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17.6.2025</w:t>
      </w:r>
      <w:r>
        <w:br/>
      </w:r>
      <w:r>
        <w:t xml:space="preserve">SWD(2025) 825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Review of the Securitisation Framework</w:t>
      </w:r>
      <w:r>
        <w:br/>
      </w:r>
      <w:r>
        <w:t xml:space="preserve">Accompanying the document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</w:t>
      </w:r>
      <w:r>
        <w:br/>
      </w:r>
      <w:r>
        <w:t xml:space="preserve">amending Regulation (EU) 2017/2402 of the European Parliament and of the Council of</w:t>
      </w:r>
      <w:r>
        <w:t xml:space="preserve"> </w:t>
      </w:r>
      <w:r>
        <w:t xml:space="preserve">12 December 2017 laying down a general framework for securitisation and creating a</w:t>
      </w:r>
      <w:r>
        <w:t xml:space="preserve"> </w:t>
      </w:r>
      <w:r>
        <w:t xml:space="preserve">specific framework for simple, transparent and standardised securitisation and</w:t>
      </w:r>
    </w:p>
    <w:p>
      <w:pPr>
        <w:pStyle w:val="BodyText"/>
      </w:pPr>
      <w:r>
        <w:t xml:space="preserve">Proposal for a REGULATION OF THE EUROPEAN PARLIAMENT AND OF THE</w:t>
      </w:r>
      <w:r>
        <w:t xml:space="preserve"> </w:t>
      </w:r>
      <w:r>
        <w:t xml:space="preserve">COUNCIL</w:t>
      </w:r>
    </w:p>
    <w:p>
      <w:pPr>
        <w:pStyle w:val="BodyText"/>
      </w:pPr>
      <w:r>
        <w:t xml:space="preserve">amending Regulation (EU) No 575/2013 on prudential requirements for credit</w:t>
      </w:r>
      <w:r>
        <w:t xml:space="preserve"> </w:t>
      </w:r>
      <w:r>
        <w:t xml:space="preserve">institutions as regards requirements for securitisation exposures</w:t>
      </w:r>
    </w:p>
    <w:p>
      <w:pPr>
        <w:pStyle w:val="BodyText"/>
      </w:pPr>
      <w:r>
        <w:t xml:space="preserve">{COM(2025) 825 final} - {COM(2025) 826 final} - {SEC(2025) 825 final} -</w:t>
      </w:r>
      <w:r>
        <w:t xml:space="preserve"> </w:t>
      </w:r>
      <w:r>
        <w:t xml:space="preserve">{SWD(2025) 826 final}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GLOSSARY……………………………………………………………………………………………………………… 5</w:t>
      </w:r>
      <w:r>
        <w:t xml:space="preserve"> </w:t>
      </w:r>
      <w:r>
        <w:t xml:space="preserve">TABLE OF ABBREVIATIONS ………………………………………………………………………………… 9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INTRODUCTION……………………………………………………………………………………………. 10</w:t>
      </w:r>
      <w:r>
        <w:t xml:space="preserve"> </w:t>
      </w:r>
      <w:r>
        <w:t xml:space="preserve">1.1. What is securitisation? ……………………………………………………………………………………… 11</w:t>
      </w:r>
      <w:r>
        <w:t xml:space="preserve"> </w:t>
      </w:r>
      <w:r>
        <w:t xml:space="preserve">1.2. Legal context…………………………………………………………………………………………………….. 15</w:t>
      </w:r>
      <w:r>
        <w:t xml:space="preserve"> </w:t>
      </w:r>
      <w:r>
        <w:t xml:space="preserve">1.3. Political context ………………………………………………………………………………………………… 16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……………………………………………………………………………….. 17</w:t>
      </w:r>
      <w:r>
        <w:t xml:space="preserve"> </w:t>
      </w:r>
      <w:r>
        <w:t xml:space="preserve">2.1 What are the problems and problem drivers? …………………………………………………….. 17</w:t>
      </w:r>
      <w:r>
        <w:t xml:space="preserve"> </w:t>
      </w:r>
      <w:r>
        <w:t xml:space="preserve">2.1.1. Problem Tree ……………………………………………………………………………………………….. 18</w:t>
      </w:r>
      <w:r>
        <w:t xml:space="preserve"> </w:t>
      </w:r>
      <w:r>
        <w:t xml:space="preserve">2.1.2. Problem 1: High operational costs for issuers and investors ………………………………. 20</w:t>
      </w:r>
      <w:r>
        <w:t xml:space="preserve"> </w:t>
      </w:r>
      <w:r>
        <w:t xml:space="preserve">2.1.3. Problem 2: Undue prudential barriers for banks to issue securitisations ……………… 22</w:t>
      </w:r>
      <w:r>
        <w:t xml:space="preserve"> </w:t>
      </w:r>
      <w:r>
        <w:t xml:space="preserve">2.1.4. Problem 3: Undue prudential costs for insurers to invest in the EU securitisation</w:t>
      </w:r>
      <w:r>
        <w:t xml:space="preserve"> </w:t>
      </w:r>
      <w:r>
        <w:t xml:space="preserve">market …………………………………………………………………………………………………………………. 25</w:t>
      </w:r>
      <w:r>
        <w:t xml:space="preserve"> </w:t>
      </w:r>
      <w:r>
        <w:t xml:space="preserve">2.2. What are the consequences? How likely is the problem to persist? ……………………… 27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………………………………………………………………………. 29</w:t>
      </w:r>
      <w:r>
        <w:t xml:space="preserve"> </w:t>
      </w:r>
      <w:r>
        <w:t xml:space="preserve">3.1. Legal basis………………………………………………………………………………………………………… 29</w:t>
      </w:r>
      <w:r>
        <w:t xml:space="preserve"> </w:t>
      </w:r>
      <w:r>
        <w:t xml:space="preserve">3.2. Subsidiarity: Necessity of EU action and Added value of EU action ……………………. 29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………………………………………………. 29</w:t>
      </w:r>
      <w:r>
        <w:t xml:space="preserve"> </w:t>
      </w:r>
      <w:r>
        <w:t xml:space="preserve">4.1. General objectives …………………………………………………………………………………………….. 29</w:t>
      </w:r>
      <w:r>
        <w:t xml:space="preserve"> </w:t>
      </w:r>
      <w:r>
        <w:t xml:space="preserve">4.2. Specific objectives …………………………………………………………………………………………….. 31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…………………………………….. 31</w:t>
      </w:r>
      <w:r>
        <w:t xml:space="preserve"> </w:t>
      </w:r>
      <w:r>
        <w:t xml:space="preserve">5.1. What is the baseline from which options are assessed?……………………………………….. 31</w:t>
      </w:r>
      <w:r>
        <w:t xml:space="preserve"> </w:t>
      </w:r>
      <w:r>
        <w:t xml:space="preserve">5.2. Description of the policy options ……………………………………………………………………….. 32</w:t>
      </w:r>
      <w:r>
        <w:t xml:space="preserve"> </w:t>
      </w:r>
      <w:r>
        <w:t xml:space="preserve">5.2.1. Measures to reduce high operational costs ………………………………………………………. 33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5.2.2. Measures to reduce undue prudential barriers for banks ……………………………………. 35</w:t>
      </w:r>
      <w:r>
        <w:t xml:space="preserve"> </w:t>
      </w:r>
      <w:r>
        <w:t xml:space="preserve">5.2.3. Measures to remove undue prudential costs for insurers to invest in the EU</w:t>
      </w:r>
      <w:r>
        <w:t xml:space="preserve"> </w:t>
      </w:r>
      <w:r>
        <w:t xml:space="preserve">securitisation market ……………………………………………………………………………………………… 36</w:t>
      </w:r>
      <w:r>
        <w:t xml:space="preserve"> </w:t>
      </w:r>
      <w:r>
        <w:t xml:space="preserve">5.3. Options discarded at an early stage …………………………………………………………………… 38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 AND HOW DO</w:t>
      </w:r>
      <w:r>
        <w:t xml:space="preserve"> </w:t>
      </w:r>
      <w:r>
        <w:t xml:space="preserve">THEY COMPARE?………………………………………………………………………………………………… 39</w:t>
      </w:r>
      <w:r>
        <w:t xml:space="preserve"> </w:t>
      </w:r>
      <w:r>
        <w:t xml:space="preserve">6.1. Measures to reduce high operational costs …………………………………………………………. 39</w:t>
      </w:r>
      <w:r>
        <w:t xml:space="preserve"> </w:t>
      </w:r>
      <w:r>
        <w:t xml:space="preserve">6.1.1. Option 1.1 Targeted measures reduce high operational costs ……………………………… 39</w:t>
      </w:r>
      <w:r>
        <w:t xml:space="preserve"> </w:t>
      </w:r>
      <w:r>
        <w:t xml:space="preserve">6.1.2. Option 1.2: Significant measures to reduce high operational costs ……………………… 43</w:t>
      </w:r>
      <w:r>
        <w:t xml:space="preserve"> </w:t>
      </w:r>
      <w:r>
        <w:t xml:space="preserve">6.2. Measures to reduce undue prudential barriers for banks …………………………………… 49</w:t>
      </w:r>
      <w:r>
        <w:t xml:space="preserve"> </w:t>
      </w:r>
      <w:r>
        <w:t xml:space="preserve">6.2.1. Option 2.1: Targeted changes to the existing prudential (capital and liquidity)</w:t>
      </w:r>
      <w:r>
        <w:t xml:space="preserve"> </w:t>
      </w:r>
      <w:r>
        <w:t xml:space="preserve">framework for banks ……………………………………………………………………………………………… 49</w:t>
      </w:r>
      <w:r>
        <w:t xml:space="preserve"> </w:t>
      </w:r>
      <w:r>
        <w:t xml:space="preserve">6.2.2. Option 2.2: Radical overhaul of the existing prudential (capital and liquidity)</w:t>
      </w:r>
      <w:r>
        <w:t xml:space="preserve"> </w:t>
      </w:r>
      <w:r>
        <w:t xml:space="preserve">framework for banks ……………………………………………………………………………………………… 59</w:t>
      </w:r>
      <w:r>
        <w:t xml:space="preserve"> </w:t>
      </w:r>
      <w:r>
        <w:t xml:space="preserve">6.3. Measures to remove undue prudential costs for insurers ……………………………………. 63</w:t>
      </w:r>
      <w:r>
        <w:t xml:space="preserve"> </w:t>
      </w:r>
      <w:r>
        <w:t xml:space="preserve">6.3.1. Comparative impacts of Options 1, 2 and 3 ……………………………………………………… 63</w:t>
      </w:r>
      <w:r>
        <w:t xml:space="preserve"> </w:t>
      </w:r>
      <w:r>
        <w:t xml:space="preserve">6.3.2. Comparative benefits and costs of the three options …………………………………………. 65</w:t>
      </w:r>
      <w:r>
        <w:t xml:space="preserve"> </w:t>
      </w:r>
      <w:r>
        <w:t xml:space="preserve">6.3.3. Overall assessment: Effectiveness, efficiency and coherence …………………………….. 68</w:t>
      </w:r>
      <w:r>
        <w:t xml:space="preserve"> </w:t>
      </w:r>
      <w:r>
        <w:t xml:space="preserve">6.3.4. Stakeholders’ views ……………………………………………………………………………………… 70</w:t>
      </w:r>
      <w:r>
        <w:t xml:space="preserve"> </w:t>
      </w:r>
      <w:r>
        <w:t xml:space="preserve">6.3.5. Summary comparison and choice of preferred option ……………………………………….. 71</w:t>
      </w:r>
      <w:r>
        <w:t xml:space="preserve"> </w:t>
      </w:r>
      <w:r>
        <w:t xml:space="preserve">6.4 Social, environmental and fundamental rights impact ………………………………………… 72</w:t>
      </w:r>
      <w:r>
        <w:t xml:space="preserve"> </w:t>
      </w:r>
      <w:r>
        <w:t xml:space="preserve">7.</w:t>
      </w:r>
      <w:r>
        <w:t xml:space="preserve"> </w:t>
      </w:r>
      <w:r>
        <w:t xml:space="preserve">COMPARISON AND PREFERRED COMBINATION OF POLICY OPTIONS .. 72</w:t>
      </w:r>
      <w:r>
        <w:t xml:space="preserve"> </w:t>
      </w:r>
      <w:r>
        <w:t xml:space="preserve">7.1. Impact of the preferred policy options on the general objective ………………………….. 74</w:t>
      </w:r>
      <w:r>
        <w:t xml:space="preserve"> </w:t>
      </w:r>
      <w:r>
        <w:t xml:space="preserve">7.2. Social, environmental and fundamental rights impact ……………………………………….. 75</w:t>
      </w:r>
      <w:r>
        <w:t xml:space="preserve"> </w:t>
      </w:r>
      <w:r>
        <w:t xml:space="preserve">7.3. REFIT (simplification and improved efficiency) ………………………………………………… 76</w:t>
      </w:r>
      <w:r>
        <w:t xml:space="preserve"> </w:t>
      </w:r>
      <w:r>
        <w:t xml:space="preserve">7.4. Application of the ‘one in, one out’ approach …………………………………………………….. 76</w:t>
      </w:r>
      <w:r>
        <w:t xml:space="preserve"> </w:t>
      </w:r>
      <w:r>
        <w:t xml:space="preserve">7.5. Impact on SMEs ……………………………………………………………………………………………….. 77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7.6. Impact on EU Competitiveness………………………………………………………………………….. 77</w:t>
      </w:r>
      <w:r>
        <w:t xml:space="preserve"> </w:t>
      </w:r>
      <w:r>
        <w:t xml:space="preserve">8.</w:t>
      </w:r>
      <w:r>
        <w:t xml:space="preserve"> </w:t>
      </w:r>
      <w:r>
        <w:t xml:space="preserve">HOW WILL ACTUAL IMPACTS BE MONITORED AND EVALUATED? ……. 77</w:t>
      </w:r>
      <w:r>
        <w:t xml:space="preserve"> </w:t>
      </w:r>
      <w:r>
        <w:t xml:space="preserve">ANNEX I: PROCEDURAL INFORMATION (STILL UNDER DEVELOPMENT) …. 79</w:t>
      </w:r>
      <w:r>
        <w:t xml:space="preserve"> </w:t>
      </w:r>
      <w:r>
        <w:t xml:space="preserve">1 - Lead DG, Decide Planning/CWP references ………………………………………………………… 79</w:t>
      </w:r>
      <w:r>
        <w:t xml:space="preserve"> </w:t>
      </w:r>
      <w:r>
        <w:t xml:space="preserve">2 - Organisation and timing …………………………………………………………………………………….. 79</w:t>
      </w:r>
      <w:r>
        <w:t xml:space="preserve"> </w:t>
      </w:r>
      <w:r>
        <w:t xml:space="preserve">3 - Consultation of the RSB ……………………………………………………………………………………… 79</w:t>
      </w:r>
      <w:r>
        <w:t xml:space="preserve"> </w:t>
      </w:r>
      <w:r>
        <w:t xml:space="preserve">4 - Evidence, sources and quality……………………………………………………………………………… 81</w:t>
      </w:r>
      <w:r>
        <w:t xml:space="preserve"> </w:t>
      </w:r>
      <w:r>
        <w:t xml:space="preserve">ANNEX II: STAKEHOLDERS’ CONSULTATION (SYNOPSIS REPORT) ……………. 83</w:t>
      </w:r>
      <w:r>
        <w:t xml:space="preserve"> </w:t>
      </w:r>
      <w:r>
        <w:t xml:space="preserve">1 - Targeted CONSULTATION ……………………………………………………………………………………. 83</w:t>
      </w:r>
      <w:r>
        <w:t xml:space="preserve"> </w:t>
      </w:r>
      <w:r>
        <w:t xml:space="preserve">2 – Call for Evidence ……………………………………………………………………………………………….. 96</w:t>
      </w:r>
      <w:r>
        <w:t xml:space="preserve"> </w:t>
      </w:r>
      <w:r>
        <w:t xml:space="preserve">3 - Bilateral contacts with stakeholders ……………………………………………………………………. 97</w:t>
      </w:r>
      <w:r>
        <w:t xml:space="preserve"> </w:t>
      </w:r>
      <w:r>
        <w:t xml:space="preserve">4 - Stakeholder Workshop ………………………………………………………………………………………. 98</w:t>
      </w:r>
      <w:r>
        <w:t xml:space="preserve"> </w:t>
      </w:r>
      <w:r>
        <w:t xml:space="preserve">5 - Input from the ESAs and ESRB ………………………………………………………………………….. 99</w:t>
      </w:r>
      <w:r>
        <w:t xml:space="preserve"> </w:t>
      </w:r>
      <w:r>
        <w:t xml:space="preserve">5 - Input from Member States ……………………………………………………………………………….. 100</w:t>
      </w:r>
      <w:r>
        <w:t xml:space="preserve"> </w:t>
      </w:r>
      <w:r>
        <w:t xml:space="preserve">ANNEX III: WHO IS AFFECTED AND HOW? ……………………………………………………. 102</w:t>
      </w:r>
      <w:r>
        <w:t xml:space="preserve"> </w:t>
      </w:r>
      <w:r>
        <w:t xml:space="preserve">1 - Practical implications of the initiative ……………………………………………………………….. 102</w:t>
      </w:r>
      <w:r>
        <w:t xml:space="preserve"> </w:t>
      </w:r>
      <w:r>
        <w:t xml:space="preserve">2 - Summary of costs and benefits ………………………………………………………………………….. 102</w:t>
      </w:r>
      <w:r>
        <w:t xml:space="preserve"> </w:t>
      </w:r>
      <w:r>
        <w:t xml:space="preserve">3 - Details of costs and benefits ………………………………………………………………………………. 109</w:t>
      </w:r>
      <w:r>
        <w:t xml:space="preserve"> </w:t>
      </w:r>
      <w:r>
        <w:t xml:space="preserve">1.</w:t>
      </w:r>
      <w:r>
        <w:t xml:space="preserve"> </w:t>
      </w:r>
      <w:r>
        <w:t xml:space="preserve">Status quo &amp; Overview of costs and benefits identified in the evaluation …………….. 109</w:t>
      </w:r>
      <w:r>
        <w:t xml:space="preserve"> </w:t>
      </w:r>
      <w:r>
        <w:t xml:space="preserve">2.</w:t>
      </w:r>
      <w:r>
        <w:t xml:space="preserve"> </w:t>
      </w:r>
      <w:r>
        <w:t xml:space="preserve">Size of the market for securitisations ………………………………………………………………. 110</w:t>
      </w:r>
      <w:r>
        <w:t xml:space="preserve"> </w:t>
      </w:r>
      <w:r>
        <w:t xml:space="preserve">3.</w:t>
      </w:r>
      <w:r>
        <w:t xml:space="preserve"> </w:t>
      </w:r>
      <w:r>
        <w:t xml:space="preserve">Nature of duties due diligence requirements (Article 5) …………………………………….. 112</w:t>
      </w:r>
      <w:r>
        <w:t xml:space="preserve"> </w:t>
      </w:r>
      <w:r>
        <w:t xml:space="preserve">4.</w:t>
      </w:r>
      <w:r>
        <w:t xml:space="preserve"> </w:t>
      </w:r>
      <w:r>
        <w:t xml:space="preserve">Cost drivers for Article 5 costs and separation of incremental costs from business-as-</w:t>
      </w:r>
      <w:r>
        <w:t xml:space="preserve"> </w:t>
      </w:r>
      <w:r>
        <w:t xml:space="preserve">usual costs: …………………………………………………………………………………………………………. 113</w:t>
      </w:r>
      <w:r>
        <w:t xml:space="preserve"> </w:t>
      </w:r>
      <w:r>
        <w:t xml:space="preserve">5.</w:t>
      </w:r>
      <w:r>
        <w:t xml:space="preserve"> </w:t>
      </w:r>
      <w:r>
        <w:t xml:space="preserve">Classification of due diligence costs from a better regulation perspective ……………. 114</w:t>
      </w:r>
      <w:r>
        <w:t xml:space="preserve"> </w:t>
      </w:r>
      <w:r>
        <w:t xml:space="preserve">6.</w:t>
      </w:r>
      <w:r>
        <w:t xml:space="preserve"> </w:t>
      </w:r>
      <w:r>
        <w:t xml:space="preserve">One-off costs due diligence …………………………………………………………………………… 114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7.</w:t>
      </w:r>
      <w:r>
        <w:t xml:space="preserve"> </w:t>
      </w:r>
      <w:r>
        <w:t xml:space="preserve">Recurring costs due diligence ………………………………………………………………………… 115</w:t>
      </w:r>
      <w:r>
        <w:t xml:space="preserve"> </w:t>
      </w:r>
      <w:r>
        <w:t xml:space="preserve">8.</w:t>
      </w:r>
      <w:r>
        <w:t xml:space="preserve"> </w:t>
      </w:r>
      <w:r>
        <w:t xml:space="preserve">Benefits of moving to a more principles based and proportionate due diligence</w:t>
      </w:r>
      <w:r>
        <w:t xml:space="preserve"> </w:t>
      </w:r>
      <w:r>
        <w:t xml:space="preserve">approach …………………………………………………………………………………………………………….. 116</w:t>
      </w:r>
      <w:r>
        <w:t xml:space="preserve"> </w:t>
      </w:r>
      <w:r>
        <w:t xml:space="preserve">9.</w:t>
      </w:r>
      <w:r>
        <w:t xml:space="preserve"> </w:t>
      </w:r>
      <w:r>
        <w:t xml:space="preserve">Nature of duties transparency requirements (Article 7) ……………………………………… 119</w:t>
      </w:r>
      <w:r>
        <w:t xml:space="preserve"> </w:t>
      </w:r>
      <w:r>
        <w:t xml:space="preserve">10.</w:t>
      </w:r>
      <w:r>
        <w:t xml:space="preserve"> </w:t>
      </w:r>
      <w:r>
        <w:t xml:space="preserve">Drivers of transparency costs and separation of incremental costs from business-as-</w:t>
      </w:r>
      <w:r>
        <w:t xml:space="preserve"> </w:t>
      </w:r>
      <w:r>
        <w:t xml:space="preserve">usual costs: …………………………………………………………………………………………………………. 120</w:t>
      </w:r>
      <w:r>
        <w:t xml:space="preserve"> </w:t>
      </w:r>
      <w:r>
        <w:t xml:space="preserve">11.</w:t>
      </w:r>
      <w:r>
        <w:t xml:space="preserve"> </w:t>
      </w:r>
      <w:r>
        <w:t xml:space="preserve">Classification of transparency costs from a better regulation perspective …………. 121</w:t>
      </w:r>
      <w:r>
        <w:t xml:space="preserve"> </w:t>
      </w:r>
      <w:r>
        <w:t xml:space="preserve">12.</w:t>
      </w:r>
      <w:r>
        <w:t xml:space="preserve"> </w:t>
      </w:r>
      <w:r>
        <w:t xml:space="preserve">One-off costs transparency ………………………………………………………………………… 121</w:t>
      </w:r>
      <w:r>
        <w:t xml:space="preserve"> </w:t>
      </w:r>
      <w:r>
        <w:t xml:space="preserve">13.</w:t>
      </w:r>
      <w:r>
        <w:t xml:space="preserve"> </w:t>
      </w:r>
      <w:r>
        <w:t xml:space="preserve">Recurring costs transparency ……………………………………………………………………… 122</w:t>
      </w:r>
      <w:r>
        <w:t xml:space="preserve"> </w:t>
      </w:r>
      <w:r>
        <w:t xml:space="preserve">14.</w:t>
      </w:r>
      <w:r>
        <w:t xml:space="preserve"> </w:t>
      </w:r>
      <w:r>
        <w:t xml:space="preserve">Impacts of the preferred policy option …………………………………………………………. 123</w:t>
      </w:r>
      <w:r>
        <w:t xml:space="preserve"> </w:t>
      </w:r>
      <w:r>
        <w:t xml:space="preserve">15.</w:t>
      </w:r>
      <w:r>
        <w:t xml:space="preserve"> </w:t>
      </w:r>
      <w:r>
        <w:t xml:space="preserve">Summary …………………………………………………………………………………………………. 124</w:t>
      </w:r>
      <w:r>
        <w:t xml:space="preserve"> </w:t>
      </w:r>
      <w:r>
        <w:t xml:space="preserve">4 - Relevant sustainable development goals…………………………………………………………….. 125</w:t>
      </w:r>
      <w:r>
        <w:t xml:space="preserve"> </w:t>
      </w:r>
      <w:r>
        <w:t xml:space="preserve">ANNEX IV: ANALYTICAL METHODS ………………………………………………………………. 126</w:t>
      </w:r>
      <w:r>
        <w:t xml:space="preserve"> </w:t>
      </w:r>
      <w:r>
        <w:t xml:space="preserve">ANNEX V: EVALUATION …………………………………………………………………………………… 133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 133</w:t>
      </w:r>
      <w:r>
        <w:t xml:space="preserve"> </w:t>
      </w:r>
      <w:r>
        <w:t xml:space="preserve">2.</w:t>
      </w:r>
      <w:r>
        <w:t xml:space="preserve"> </w:t>
      </w:r>
      <w:r>
        <w:t xml:space="preserve">What was the expected outcome of the intervention? ………………………………………. 136</w:t>
      </w:r>
      <w:r>
        <w:t xml:space="preserve"> </w:t>
      </w:r>
      <w:r>
        <w:t xml:space="preserve">3.</w:t>
      </w:r>
      <w:r>
        <w:t xml:space="preserve"> </w:t>
      </w:r>
      <w:r>
        <w:t xml:space="preserve">How has the situation evolved over the evaluation period? ………………………………. 143</w:t>
      </w:r>
      <w:r>
        <w:t xml:space="preserve"> </w:t>
      </w:r>
      <w:r>
        <w:t xml:space="preserve">4.</w:t>
      </w:r>
      <w:r>
        <w:t xml:space="preserve"> </w:t>
      </w:r>
      <w:r>
        <w:t xml:space="preserve">Evaluation findings ………………………………………………………………………………………… 156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conclusions and lessons learned? ……………………………………………….. 181</w:t>
      </w:r>
      <w:r>
        <w:t xml:space="preserve"> </w:t>
      </w:r>
      <w:r>
        <w:t xml:space="preserve">ANNEX VI: SECURITISATION PLATFORM(S) ………………………………………………… 184</w:t>
      </w:r>
      <w:r>
        <w:t xml:space="preserve"> </w:t>
      </w:r>
      <w:r>
        <w:t xml:space="preserve">ANNEX VII: COMPETITIVENESS CHECK ……………………………………………………….. 186</w:t>
      </w:r>
      <w:r>
        <w:t xml:space="preserve"> </w:t>
      </w:r>
      <w:r>
        <w:t xml:space="preserve">1 - Overview of impacts on competitiveness ……………………………………………………………. 186</w:t>
      </w:r>
      <w:r>
        <w:t xml:space="preserve"> </w:t>
      </w:r>
      <w:r>
        <w:t xml:space="preserve">2 - Synthetic assessment…………………………………………………………………………………………. 186</w:t>
      </w:r>
      <w:r>
        <w:t xml:space="preserve"> </w:t>
      </w:r>
      <w:r>
        <w:t xml:space="preserve">ANNEX VIII: SME TEST……………………………………………………………………………………… 188</w:t>
      </w:r>
      <w:r>
        <w:t xml:space="preserve"> </w:t>
      </w:r>
      <w:r>
        <w:t xml:space="preserve">1 - Identification of SMEs affected …………………………………………………………………………. 188</w:t>
      </w:r>
      <w:r>
        <w:t xml:space="preserve"> </w:t>
      </w:r>
      <w:r>
        <w:t xml:space="preserve">2 - Consultation of SME stakeholders …………………………………………………………………….. 188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3 - Impacts on SMEs ……………………………………………………………………………………………… 189</w:t>
      </w:r>
      <w:r>
        <w:t xml:space="preserve"> </w:t>
      </w:r>
      <w:r>
        <w:t xml:space="preserve">4 - Options to mitigate any negative impacts on SMEs ……………………………………………. 190</w:t>
      </w:r>
      <w:r>
        <w:t xml:space="preserve"> </w:t>
      </w:r>
      <w:r>
        <w:t xml:space="preserve">ANNEX X: COMPARISON OF SECURITISATION AND COVERED BONDS …….. 193</w:t>
      </w:r>
      <w:r>
        <w:t xml:space="preserve"> </w:t>
      </w:r>
      <w:r>
        <w:t xml:space="preserve">ANNEX XI: FURTHER DETAILS ON THE ASSESSMENT OF IMPACT OF</w:t>
      </w:r>
      <w:r>
        <w:t xml:space="preserve"> </w:t>
      </w:r>
      <w:r>
        <w:t xml:space="preserve">INSURANCE OPTIONS ……………………………………………………………………………………….. 196</w:t>
      </w:r>
      <w:r>
        <w:t xml:space="preserve"> </w:t>
      </w:r>
      <w:r>
        <w:t xml:space="preserve">1 - Detailed assessment of stakeholder impact ………………………………………………………… 196</w:t>
      </w:r>
      <w:r>
        <w:t xml:space="preserve"> </w:t>
      </w:r>
      <w:r>
        <w:t xml:space="preserve">2 - Detailed discussion of implementation costs ………………………………………………………. 197</w:t>
      </w:r>
      <w:r>
        <w:t xml:space="preserve"> </w:t>
      </w:r>
      <w:r>
        <w:t xml:space="preserve">ANNEX XII: COMPARISON OF DUE DILIGENCE AND TRANSPARENCY</w:t>
      </w:r>
      <w:r>
        <w:t xml:space="preserve"> </w:t>
      </w:r>
      <w:r>
        <w:t xml:space="preserve">REQUIREMENTS ………………………………………………………………………………………………… 199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Asset-Backed</w:t>
      </w:r>
      <w:r>
        <w:t xml:space="preserve"> </w:t>
      </w:r>
      <w:r>
        <w:t xml:space="preserve">Security (ABS)</w:t>
      </w:r>
      <w:r>
        <w:br/>
      </w:r>
      <w:r>
        <w:t xml:space="preserve">A type of financial instrument that is backed (“collateralised”) by an</w:t>
      </w:r>
      <w:r>
        <w:t xml:space="preserve"> </w:t>
      </w:r>
      <w:r>
        <w:t xml:space="preserve">underlying pool of assets – usually ones that generate a cash flow</w:t>
      </w:r>
      <w:r>
        <w:t xml:space="preserve"> </w:t>
      </w:r>
      <w:r>
        <w:t xml:space="preserve">from debt, such as auto loans, corporate loans, or credit card</w:t>
      </w:r>
      <w:r>
        <w:t xml:space="preserve"> </w:t>
      </w:r>
      <w:r>
        <w:t xml:space="preserve">receivables. Asset backed securities are created through the process</w:t>
      </w:r>
      <w:r>
        <w:t xml:space="preserve"> </w:t>
      </w:r>
      <w:r>
        <w:t xml:space="preserve">of securitisation.</w:t>
      </w:r>
      <w:r>
        <w:br/>
      </w:r>
      <w:r>
        <w:t xml:space="preserve">Agency risk</w:t>
      </w:r>
      <w:r>
        <w:t xml:space="preserve"> </w:t>
      </w:r>
      <w:r>
        <w:t xml:space="preserve">Risk arising from the multiple relationships between different agents</w:t>
      </w:r>
      <w:r>
        <w:t xml:space="preserve"> </w:t>
      </w:r>
      <w:r>
        <w:t xml:space="preserve">and parties involved in a securitisation structure, and related</w:t>
      </w:r>
      <w:r>
        <w:t xml:space="preserve"> </w:t>
      </w:r>
      <w:r>
        <w:t xml:space="preserve">information asymmetries.</w:t>
      </w:r>
      <w:r>
        <w:t xml:space="preserve"> </w:t>
      </w:r>
      <w:r>
        <w:t xml:space="preserve">Asset-Backed</w:t>
      </w:r>
      <w:r>
        <w:t xml:space="preserve"> </w:t>
      </w:r>
      <w:r>
        <w:t xml:space="preserve">Commercial Paper</w:t>
      </w:r>
      <w:r>
        <w:t xml:space="preserve"> </w:t>
      </w:r>
      <w:r>
        <w:t xml:space="preserve">(ABCP)</w:t>
      </w:r>
      <w:r>
        <w:t xml:space="preserve"> </w:t>
      </w:r>
      <w:r>
        <w:t xml:space="preserve">Securitisation</w:t>
      </w:r>
      <w:r>
        <w:t xml:space="preserve"> </w:t>
      </w:r>
      <w:r>
        <w:t xml:space="preserve">A securitisation within an asset-backed commercial paper (ABCP)</w:t>
      </w:r>
      <w:r>
        <w:t xml:space="preserve"> </w:t>
      </w:r>
      <w:r>
        <w:t xml:space="preserve">programme: a programme of securitisations the securities issued by</w:t>
      </w:r>
      <w:r>
        <w:t xml:space="preserve"> </w:t>
      </w:r>
      <w:r>
        <w:t xml:space="preserve">which predominantly take the form of asset-backed commercial</w:t>
      </w:r>
      <w:r>
        <w:t xml:space="preserve"> </w:t>
      </w:r>
      <w:r>
        <w:t xml:space="preserve">paper with an original maturity of one year or less.</w:t>
      </w:r>
      <w:r>
        <w:t xml:space="preserve"> </w:t>
      </w:r>
      <w:r>
        <w:t xml:space="preserve">Cliff Effects</w:t>
      </w:r>
      <w:r>
        <w:t xml:space="preserve"> </w:t>
      </w:r>
      <w:r>
        <w:t xml:space="preserve">Situation where small changes in the parameters used in the</w:t>
      </w:r>
      <w:r>
        <w:t xml:space="preserve"> </w:t>
      </w:r>
      <w:r>
        <w:t xml:space="preserve">calculation of banks’ capital requirements for securitisations result in</w:t>
      </w:r>
      <w:r>
        <w:t xml:space="preserve"> </w:t>
      </w:r>
      <w:r>
        <w:t xml:space="preserve">large changes in the capital requirements.</w:t>
      </w:r>
      <w:r>
        <w:br/>
      </w:r>
      <w:r>
        <w:t xml:space="preserve">CLO</w:t>
      </w:r>
      <w:r>
        <w:t xml:space="preserve"> </w:t>
      </w:r>
      <w:r>
        <w:t xml:space="preserve">Collateralised loan obligation. A securitisation backed by a pool of</w:t>
      </w:r>
      <w:r>
        <w:t xml:space="preserve"> </w:t>
      </w:r>
      <w:r>
        <w:t xml:space="preserve">debt, usually corporate loans, often leveraged loans made to</w:t>
      </w:r>
      <w:r>
        <w:t xml:space="preserve"> </w:t>
      </w:r>
      <w:r>
        <w:t xml:space="preserve">companies with lower credit rating.</w:t>
      </w:r>
      <w:r>
        <w:t xml:space="preserve"> </w:t>
      </w:r>
      <w:r>
        <w:t xml:space="preserve">Covered Bond</w:t>
      </w:r>
      <w:r>
        <w:t xml:space="preserve"> </w:t>
      </w:r>
      <w:r>
        <w:t xml:space="preserve">A senior bond issued by a bank that is characterised by a dual</w:t>
      </w:r>
      <w:r>
        <w:t xml:space="preserve"> </w:t>
      </w:r>
      <w:r>
        <w:t xml:space="preserve">recourse: i.e. an investor has a claim not only against by the bank</w:t>
      </w:r>
      <w:r>
        <w:t xml:space="preserve"> </w:t>
      </w:r>
      <w:r>
        <w:t xml:space="preserve">issuing the covered bonds, but it also has a priority claim against</w:t>
      </w:r>
      <w:r>
        <w:t xml:space="preserve"> </w:t>
      </w:r>
      <w:r>
        <w:t xml:space="preserve">specifically assigned cover assets collateralising the bond.</w:t>
      </w:r>
      <w:r>
        <w:t xml:space="preserve"> </w:t>
      </w:r>
      <w:r>
        <w:t xml:space="preserve">Default risk (also</w:t>
      </w:r>
      <w:r>
        <w:t xml:space="preserve"> </w:t>
      </w:r>
      <w:r>
        <w:t xml:space="preserve">“Counterparty”</w:t>
      </w:r>
      <w:r>
        <w:t xml:space="preserve"> </w:t>
      </w:r>
      <w:r>
        <w:t xml:space="preserve">default risk)</w:t>
      </w:r>
      <w:r>
        <w:t xml:space="preserve"> </w:t>
      </w:r>
      <w:r>
        <w:t xml:space="preserve">Risk of losses due to unexpected default, or deterioration in the credit</w:t>
      </w:r>
      <w:r>
        <w:t xml:space="preserve"> </w:t>
      </w:r>
      <w:r>
        <w:t xml:space="preserve">standing, of the counterparties and debtors of an insurance or</w:t>
      </w:r>
      <w:r>
        <w:t xml:space="preserve"> </w:t>
      </w:r>
      <w:r>
        <w:t xml:space="preserve">reinsurance company.</w:t>
      </w:r>
      <w:r>
        <w:t xml:space="preserve"> </w:t>
      </w:r>
      <w:r>
        <w:t xml:space="preserve">European Green</w:t>
      </w:r>
      <w:r>
        <w:t xml:space="preserve"> </w:t>
      </w:r>
      <w:r>
        <w:t xml:space="preserve">Bond Standard</w:t>
      </w:r>
      <w:r>
        <w:t xml:space="preserve"> </w:t>
      </w:r>
      <w:r>
        <w:t xml:space="preserve">(EUGB)</w:t>
      </w:r>
      <w:r>
        <w:t xml:space="preserve"> </w:t>
      </w:r>
      <w:r>
        <w:t xml:space="preserve">Voluntary standard introduced by the EU Green Bond Standard</w:t>
      </w:r>
      <w:r>
        <w:t xml:space="preserve"> </w:t>
      </w:r>
      <w:r>
        <w:t xml:space="preserve">Regulation to define green economic activities according to the</w:t>
      </w:r>
      <w:r>
        <w:t xml:space="preserve"> </w:t>
      </w:r>
      <w:r>
        <w:t xml:space="preserve">Taxonomy Regulation. In order to qualify the bond’s issuer needs to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commit to use the proceeds from the issuance to finance, refinance or</w:t>
      </w:r>
      <w:r>
        <w:t xml:space="preserve"> </w:t>
      </w:r>
      <w:r>
        <w:t xml:space="preserve">acquire assets aligned with the EU taxonomy.</w:t>
      </w:r>
      <w:r>
        <w:br/>
      </w:r>
      <w:r>
        <w:t xml:space="preserve">GFC</w:t>
      </w:r>
      <w:r>
        <w:br/>
      </w:r>
      <w:r>
        <w:t xml:space="preserve">Global Financial Crisis – a severe worldwide economic downturn</w:t>
      </w:r>
      <w:r>
        <w:t xml:space="preserve"> </w:t>
      </w:r>
      <w:r>
        <w:t xml:space="preserve">between mid-2007 and late 2008, triggered by the collapse of major</w:t>
      </w:r>
      <w:r>
        <w:t xml:space="preserve"> </w:t>
      </w:r>
      <w:r>
        <w:t xml:space="preserve">financial institutions due to risky lending and collapse of the US</w:t>
      </w:r>
      <w:r>
        <w:t xml:space="preserve"> </w:t>
      </w:r>
      <w:r>
        <w:t xml:space="preserve">housing market. The crisis spread internationally and led to a sharp</w:t>
      </w:r>
      <w:r>
        <w:t xml:space="preserve"> </w:t>
      </w:r>
      <w:r>
        <w:t xml:space="preserve">decline in consumer wealth, widespread unemployment, and a</w:t>
      </w:r>
      <w:r>
        <w:t xml:space="preserve"> </w:t>
      </w:r>
      <w:r>
        <w:t xml:space="preserve">collapse in economic activity. Many banks incurred large losses and</w:t>
      </w:r>
      <w:r>
        <w:t xml:space="preserve"> </w:t>
      </w:r>
      <w:r>
        <w:t xml:space="preserve">required government interventions and bailouts to prevent</w:t>
      </w:r>
      <w:r>
        <w:t xml:space="preserve"> </w:t>
      </w:r>
      <w:r>
        <w:t xml:space="preserve">bankruptcies and stabilise global financial systems.</w:t>
      </w:r>
      <w:r>
        <w:t xml:space="preserve"> </w:t>
      </w:r>
      <w:r>
        <w:t xml:space="preserve">HQLA</w:t>
      </w:r>
      <w:r>
        <w:t xml:space="preserve"> </w:t>
      </w:r>
      <w:r>
        <w:t xml:space="preserve">High-Quality Liquid Assets. Cash or assets that can be sold or</w:t>
      </w:r>
      <w:r>
        <w:t xml:space="preserve"> </w:t>
      </w:r>
      <w:r>
        <w:t xml:space="preserve">exchanged easily and immediately into cash at little or no loss of</w:t>
      </w:r>
      <w:r>
        <w:t xml:space="preserve"> </w:t>
      </w:r>
      <w:r>
        <w:t xml:space="preserve">value, to meet liquidity needs.</w:t>
      </w:r>
      <w:r>
        <w:br/>
      </w:r>
      <w:r>
        <w:t xml:space="preserve">IG</w:t>
      </w:r>
      <w:r>
        <w:t xml:space="preserve"> </w:t>
      </w:r>
      <w:r>
        <w:t xml:space="preserve">Investment Grade. A rating that indicates that a bond has a relatively</w:t>
      </w:r>
      <w:r>
        <w:t xml:space="preserve"> </w:t>
      </w:r>
      <w:r>
        <w:t xml:space="preserve">low risk of default.</w:t>
      </w:r>
      <w:r>
        <w:t xml:space="preserve"> </w:t>
      </w:r>
      <w:r>
        <w:t xml:space="preserve">‘AAA’</w:t>
      </w:r>
      <w:r>
        <w:t xml:space="preserve"> </w:t>
      </w:r>
      <w:r>
        <w:t xml:space="preserve">to</w:t>
      </w:r>
      <w:r>
        <w:t xml:space="preserve"> </w:t>
      </w:r>
      <w:r>
        <w:t xml:space="preserve">‘AA’</w:t>
      </w:r>
      <w:r>
        <w:t xml:space="preserve"> </w:t>
      </w:r>
      <w:r>
        <w:t xml:space="preserve">(high credit quality) and</w:t>
      </w:r>
      <w:r>
        <w:t xml:space="preserve"> </w:t>
      </w:r>
      <w:r>
        <w:t xml:space="preserve">‘A’</w:t>
      </w:r>
      <w:r>
        <w:t xml:space="preserve"> </w:t>
      </w:r>
      <w:r>
        <w:t xml:space="preserve">to</w:t>
      </w:r>
      <w:r>
        <w:t xml:space="preserve"> </w:t>
      </w:r>
      <w:r>
        <w:t xml:space="preserve">‘BBB’</w:t>
      </w:r>
      <w:r>
        <w:t xml:space="preserve"> </w:t>
      </w:r>
      <w:r>
        <w:t xml:space="preserve">(medium credit quality) are considered investment grade.</w:t>
      </w:r>
      <w:r>
        <w:t xml:space="preserve"> </w:t>
      </w:r>
      <w:r>
        <w:t xml:space="preserve">Junior/Equity</w:t>
      </w:r>
      <w:r>
        <w:t xml:space="preserve"> </w:t>
      </w:r>
      <w:r>
        <w:t xml:space="preserve">tranche</w:t>
      </w:r>
      <w:r>
        <w:t xml:space="preserve"> </w:t>
      </w:r>
      <w:r>
        <w:t xml:space="preserve">A junior/equity tranche in a securitisation is the lowest-ranking class</w:t>
      </w:r>
      <w:r>
        <w:t xml:space="preserve"> </w:t>
      </w:r>
      <w:r>
        <w:t xml:space="preserve">of securities, meaning it has the highest risk and is the last to receive</w:t>
      </w:r>
      <w:r>
        <w:t xml:space="preserve"> </w:t>
      </w:r>
      <w:r>
        <w:t xml:space="preserve">payments from the underlying assets. This tranche absorbs any losses</w:t>
      </w:r>
      <w:r>
        <w:t xml:space="preserve"> </w:t>
      </w:r>
      <w:r>
        <w:t xml:space="preserve">first if the cash flows from the securitised assets are insufficient.</w:t>
      </w:r>
      <w:r>
        <w:t xml:space="preserve"> </w:t>
      </w:r>
      <w:r>
        <w:t xml:space="preserve">Because of the higher risk, junior/equity tranches offer the highest</w:t>
      </w:r>
      <w:r>
        <w:t xml:space="preserve"> </w:t>
      </w:r>
      <w:r>
        <w:t xml:space="preserve">potential returns (yields), but they are also the most vulnerable to</w:t>
      </w:r>
      <w:r>
        <w:t xml:space="preserve"> </w:t>
      </w:r>
      <w:r>
        <w:t xml:space="preserve">defaults or shortfalls in the asset performance.</w:t>
      </w:r>
      <w:r>
        <w:t xml:space="preserve"> </w:t>
      </w:r>
      <w:r>
        <w:t xml:space="preserve">LCR</w:t>
      </w:r>
      <w:r>
        <w:t xml:space="preserve"> </w:t>
      </w:r>
      <w:r>
        <w:t xml:space="preserve">Liquidity Coverage Ratio. A requirement setting out the amount of</w:t>
      </w:r>
      <w:r>
        <w:t xml:space="preserve"> </w:t>
      </w:r>
      <w:r>
        <w:t xml:space="preserve">liquid assets that a bank must have to meet its short-term liquidity</w:t>
      </w:r>
      <w:r>
        <w:t xml:space="preserve"> </w:t>
      </w:r>
      <w:r>
        <w:t xml:space="preserve">needs. The LCR standard is part of the Basel III framework. In the</w:t>
      </w:r>
      <w:r>
        <w:t xml:space="preserve"> </w:t>
      </w:r>
      <w:r>
        <w:t xml:space="preserve">EU, it is implemented through the CRR and a dedicated LCR</w:t>
      </w:r>
      <w:r>
        <w:t xml:space="preserve"> </w:t>
      </w:r>
      <w:r>
        <w:t xml:space="preserve">Delegated Act that was adopted in 2015.</w:t>
      </w:r>
      <w:r>
        <w:br/>
      </w:r>
      <w:r>
        <w:t xml:space="preserve">Market volatility</w:t>
      </w:r>
      <w:r>
        <w:t xml:space="preserve"> </w:t>
      </w:r>
      <w:r>
        <w:t xml:space="preserve">risk</w:t>
      </w:r>
      <w:r>
        <w:t xml:space="preserve"> </w:t>
      </w:r>
      <w:r>
        <w:t xml:space="preserve">Risk of losses due to short-term fluctuations in market prices of</w:t>
      </w:r>
      <w:r>
        <w:t xml:space="preserve"> </w:t>
      </w:r>
      <w:r>
        <w:t xml:space="preserve">financial instruments and other assets.</w:t>
      </w:r>
      <w:r>
        <w:br/>
      </w:r>
      <w:r>
        <w:t xml:space="preserve">Mezzanine tranche</w:t>
      </w:r>
      <w:r>
        <w:t xml:space="preserve"> </w:t>
      </w:r>
      <w:r>
        <w:t xml:space="preserve">A mezzanine tranche in a securitisation refers to a middle-ranking</w:t>
      </w:r>
      <w:r>
        <w:t xml:space="preserve"> </w:t>
      </w:r>
      <w:r>
        <w:t xml:space="preserve">class of securities that sits between the senior tranche and the equity</w:t>
      </w:r>
      <w:r>
        <w:t xml:space="preserve"> </w:t>
      </w:r>
      <w:r>
        <w:t xml:space="preserve">tranche. It carries a higher risk than the senior tranche because it is</w:t>
      </w:r>
      <w:r>
        <w:t xml:space="preserve"> </w:t>
      </w:r>
      <w:r>
        <w:t xml:space="preserve">paid after the senior class, but before the equity/junior tranche. As a</w:t>
      </w:r>
      <w:r>
        <w:t xml:space="preserve"> </w:t>
      </w:r>
      <w:r>
        <w:t xml:space="preserve">result, mezzanine tranches offer higher yields to compensate for the</w:t>
      </w:r>
      <w:r>
        <w:t xml:space="preserve"> </w:t>
      </w:r>
      <w:r>
        <w:t xml:space="preserve">increased risk. If there are losses in the underlying assets, mezzanine</w:t>
      </w:r>
      <w:r>
        <w:t xml:space="preserve"> </w:t>
      </w:r>
      <w:r>
        <w:t xml:space="preserve">tranches are more likely to be affected than senior tranches, but are</w:t>
      </w:r>
      <w:r>
        <w:t xml:space="preserve"> </w:t>
      </w:r>
      <w:r>
        <w:t xml:space="preserve">protected from losses until the equity/junior tranche absorbs them.</w:t>
      </w:r>
      <w:r>
        <w:t xml:space="preserve"> </w:t>
      </w:r>
      <w:r>
        <w:t xml:space="preserve">Model risk</w:t>
      </w:r>
      <w:r>
        <w:t xml:space="preserve"> </w:t>
      </w:r>
      <w:r>
        <w:t xml:space="preserve">Model risk relates to uncertainty surrounding the way in which the</w:t>
      </w:r>
      <w:r>
        <w:t xml:space="preserve"> </w:t>
      </w:r>
      <w:r>
        <w:t xml:space="preserve">credit risk of the underlying exposures (such as loans) is allocated</w:t>
      </w:r>
      <w:r>
        <w:t xml:space="preserve"> </w:t>
      </w:r>
      <w:r>
        <w:t xml:space="preserve">across the securitisation capital structure (rather than uncertainty over</w:t>
      </w:r>
      <w:r>
        <w:t xml:space="preserve"> </w:t>
      </w:r>
      <w:r>
        <w:t xml:space="preserve">the scale of that credit risk). It arises from models used, and</w:t>
      </w:r>
      <w:r>
        <w:t xml:space="preserve"> </w:t>
      </w:r>
      <w:r>
        <w:t xml:space="preserve">assumptions made within those models, on the underlying pool and</w:t>
      </w:r>
      <w:r>
        <w:t xml:space="preserve"> </w:t>
      </w:r>
      <w:r>
        <w:t xml:space="preserve">structural features of the securitisation, used to estimate distribution</w:t>
      </w:r>
      <w:r>
        <w:t xml:space="preserve"> </w:t>
      </w:r>
      <w:r>
        <w:t xml:space="preserve">of losses across the securitisation capital structure.</w:t>
      </w:r>
      <w:r>
        <w:t xml:space="preserve"> </w:t>
      </w:r>
      <w:r>
        <w:t xml:space="preserve">Non-neutrality</w:t>
      </w:r>
      <w:r>
        <w:br/>
      </w:r>
      <w:r>
        <w:t xml:space="preserve">Non-neutrality of bank capital requirements means that holding all</w:t>
      </w:r>
      <w:r>
        <w:t xml:space="preserve"> </w:t>
      </w:r>
      <w:r>
        <w:t xml:space="preserve">the securitisation tranches in a securitisation is subject to a higher</w:t>
      </w:r>
      <w:r>
        <w:t xml:space="preserve"> </w:t>
      </w:r>
      <w:r>
        <w:t xml:space="preserve">capital charge than a direct holding of all the underlying assets as if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not securitised. Non-neutrality is the core defining element of the</w:t>
      </w:r>
      <w:r>
        <w:t xml:space="preserve"> </w:t>
      </w:r>
      <w:r>
        <w:t xml:space="preserve">securitisation capital framework for banks.</w:t>
      </w:r>
      <w:r>
        <w:br/>
      </w:r>
      <w:r>
        <w:t xml:space="preserve">Originator</w:t>
      </w:r>
      <w:r>
        <w:t xml:space="preserve"> </w:t>
      </w:r>
      <w:r>
        <w:t xml:space="preserve">An entity which itself or through related entities, directly or</w:t>
      </w:r>
      <w:r>
        <w:t xml:space="preserve"> </w:t>
      </w:r>
      <w:r>
        <w:t xml:space="preserve">indirectly, was involved in the original agreement which created the</w:t>
      </w:r>
      <w:r>
        <w:t xml:space="preserve"> </w:t>
      </w:r>
      <w:r>
        <w:t xml:space="preserve">obligations or potential obligations of the debtor or potential debtor</w:t>
      </w:r>
      <w:r>
        <w:t xml:space="preserve"> </w:t>
      </w:r>
      <w:r>
        <w:t xml:space="preserve">giving rise to the exposures being securitised or purchases a third</w:t>
      </w:r>
      <w:r>
        <w:t xml:space="preserve"> </w:t>
      </w:r>
      <w:r>
        <w:t xml:space="preserve">party’s exposures on its own account and then securitises them.</w:t>
      </w:r>
      <w:r>
        <w:t xml:space="preserve"> </w:t>
      </w:r>
      <w:r>
        <w:t xml:space="preserve">(P) factor</w:t>
      </w:r>
      <w:r>
        <w:br/>
      </w:r>
      <w:r>
        <w:t xml:space="preserve">Is the main parameter responsible for the non-neutrality of the bank</w:t>
      </w:r>
      <w:r>
        <w:t xml:space="preserve"> </w:t>
      </w:r>
      <w:r>
        <w:t xml:space="preserve">capital requirements for securitisation, aiming to capture principally</w:t>
      </w:r>
      <w:r>
        <w:t xml:space="preserve"> </w:t>
      </w:r>
      <w:r>
        <w:t xml:space="preserve">agency and model risks embedded in securitisation. It is one of the</w:t>
      </w:r>
      <w:r>
        <w:t xml:space="preserve"> </w:t>
      </w:r>
      <w:r>
        <w:t xml:space="preserve">main parameters used in the formulas for the calculation of banks’</w:t>
      </w:r>
      <w:r>
        <w:t xml:space="preserve"> </w:t>
      </w:r>
      <w:r>
        <w:t xml:space="preserve">capital requirements for securitisation. The (p) factor of 1 means</w:t>
      </w:r>
      <w:r>
        <w:t xml:space="preserve"> </w:t>
      </w:r>
      <w:r>
        <w:t xml:space="preserve">100% capital surcharge compared to the capital prior to</w:t>
      </w:r>
      <w:r>
        <w:t xml:space="preserve"> </w:t>
      </w:r>
      <w:r>
        <w:t xml:space="preserve">securitisation.</w:t>
      </w:r>
      <w:r>
        <w:br/>
      </w:r>
      <w:r>
        <w:t xml:space="preserve">RMBS</w:t>
      </w:r>
      <w:r>
        <w:br/>
      </w:r>
      <w:r>
        <w:t xml:space="preserve">Residential mortgage-backed securities. Common type of traditional</w:t>
      </w:r>
      <w:r>
        <w:t xml:space="preserve"> </w:t>
      </w:r>
      <w:r>
        <w:t xml:space="preserve">securitisation with residential mortgages used as underlying</w:t>
      </w:r>
      <w:r>
        <w:t xml:space="preserve"> </w:t>
      </w:r>
      <w:r>
        <w:t xml:space="preserve">exposures.</w:t>
      </w:r>
      <w:r>
        <w:br/>
      </w:r>
      <w:r>
        <w:t xml:space="preserve">RTS</w:t>
      </w:r>
      <w:r>
        <w:t xml:space="preserve"> </w:t>
      </w:r>
      <w:r>
        <w:t xml:space="preserve">Regulatory technical standards. Level 2 measures adopted by</w:t>
      </w:r>
      <w:r>
        <w:t xml:space="preserve"> </w:t>
      </w:r>
      <w:r>
        <w:t xml:space="preserve">Commission based on drafts from ESAs. Used to modify/supplement</w:t>
      </w:r>
      <w:r>
        <w:t xml:space="preserve"> </w:t>
      </w:r>
      <w:r>
        <w:t xml:space="preserve">non-essential (technical) elements of law. After adoption by the</w:t>
      </w:r>
      <w:r>
        <w:t xml:space="preserve"> </w:t>
      </w:r>
      <w:r>
        <w:t xml:space="preserve">College, the Council and the EP have right of objection for 3 months,</w:t>
      </w:r>
      <w:r>
        <w:t xml:space="preserve"> </w:t>
      </w:r>
      <w:r>
        <w:t xml:space="preserve">extendible by another 3 months (reduced to 1 month +1 month, if the</w:t>
      </w:r>
      <w:r>
        <w:t xml:space="preserve"> </w:t>
      </w:r>
      <w:r>
        <w:t xml:space="preserve">adopted RTS is the same as the draft submitted by the ESA).</w:t>
      </w:r>
      <w:r>
        <w:br/>
      </w:r>
      <w:r>
        <w:t xml:space="preserve">Securitisation</w:t>
      </w:r>
      <w:r>
        <w:t xml:space="preserve"> </w:t>
      </w:r>
      <w:r>
        <w:t xml:space="preserve">repository</w:t>
      </w:r>
      <w:r>
        <w:t xml:space="preserve"> </w:t>
      </w:r>
      <w:r>
        <w:t xml:space="preserve">A legal person that centrally collects and maintains the records of</w:t>
      </w:r>
      <w:r>
        <w:t xml:space="preserve"> </w:t>
      </w:r>
      <w:r>
        <w:t xml:space="preserve">securitisations.</w:t>
      </w:r>
      <w:r>
        <w:t xml:space="preserve"> </w:t>
      </w:r>
      <w:r>
        <w:t xml:space="preserve">Senior tranche</w:t>
      </w:r>
      <w:r>
        <w:t xml:space="preserve"> </w:t>
      </w:r>
      <w:r>
        <w:t xml:space="preserve">A senior tranche in a securitisation refers to the highest-ranking class</w:t>
      </w:r>
      <w:r>
        <w:t xml:space="preserve"> </w:t>
      </w:r>
      <w:r>
        <w:t xml:space="preserve">of securities in the structure, which has priority in receiving payments</w:t>
      </w:r>
      <w:r>
        <w:t xml:space="preserve"> </w:t>
      </w:r>
      <w:r>
        <w:t xml:space="preserve">from the underlying assets. It typically carries the lowest risk and</w:t>
      </w:r>
      <w:r>
        <w:t xml:space="preserve"> </w:t>
      </w:r>
      <w:r>
        <w:t xml:space="preserve">therefore offers lower yields compared to subordinate (or junior)</w:t>
      </w:r>
      <w:r>
        <w:t xml:space="preserve"> </w:t>
      </w:r>
      <w:r>
        <w:t xml:space="preserve">tranches, which are paid after the senior tranche, but take on more</w:t>
      </w:r>
      <w:r>
        <w:t xml:space="preserve"> </w:t>
      </w:r>
      <w:r>
        <w:t xml:space="preserve">risk.</w:t>
      </w:r>
      <w:r>
        <w:br/>
      </w:r>
      <w:r>
        <w:t xml:space="preserve">SME ABS</w:t>
      </w:r>
      <w:r>
        <w:t xml:space="preserve"> </w:t>
      </w:r>
      <w:r>
        <w:t xml:space="preserve">SME Asset-Backed Securities. Common type of traditional</w:t>
      </w:r>
      <w:r>
        <w:t xml:space="preserve"> </w:t>
      </w:r>
      <w:r>
        <w:t xml:space="preserve">securitisation with exposures (loans) to small and medium enterprises</w:t>
      </w:r>
      <w:r>
        <w:t xml:space="preserve"> </w:t>
      </w:r>
      <w:r>
        <w:t xml:space="preserve">used as underlying exposures.</w:t>
      </w:r>
      <w:r>
        <w:br/>
      </w:r>
      <w:r>
        <w:t xml:space="preserve">Sponsor</w:t>
      </w:r>
      <w:r>
        <w:t xml:space="preserve"> </w:t>
      </w:r>
      <w:r>
        <w:t xml:space="preserve">A credit institution or an investment firm (other than an originator),</w:t>
      </w:r>
      <w:r>
        <w:t xml:space="preserve"> </w:t>
      </w:r>
      <w:r>
        <w:t xml:space="preserve">that establishes and manages an ABCP programme (or other</w:t>
      </w:r>
      <w:r>
        <w:t xml:space="preserve"> </w:t>
      </w:r>
      <w:r>
        <w:t xml:space="preserve">securitisation) that purchases exposures from third-party entities or</w:t>
      </w:r>
      <w:r>
        <w:t xml:space="preserve"> </w:t>
      </w:r>
      <w:r>
        <w:t xml:space="preserve">establishes an ABCP programme (or other securitisation) that</w:t>
      </w:r>
      <w:r>
        <w:t xml:space="preserve"> </w:t>
      </w:r>
      <w:r>
        <w:t xml:space="preserve">purchases exposures from third-party entities and delegates the day-</w:t>
      </w:r>
      <w:r>
        <w:t xml:space="preserve"> </w:t>
      </w:r>
      <w:r>
        <w:t xml:space="preserve">to-day active portfolio management involved in that securitisation to</w:t>
      </w:r>
      <w:r>
        <w:t xml:space="preserve"> </w:t>
      </w:r>
      <w:r>
        <w:t xml:space="preserve">an entity authorised to perform such activity.</w:t>
      </w:r>
      <w:r>
        <w:t xml:space="preserve"> </w:t>
      </w:r>
      <w:r>
        <w:t xml:space="preserve">Spread risk</w:t>
      </w:r>
      <w:r>
        <w:t xml:space="preserve"> </w:t>
      </w:r>
      <w:r>
        <w:t xml:space="preserve">Risk of financial losses arising from the sensitivity of the values of</w:t>
      </w:r>
      <w:r>
        <w:t xml:space="preserve"> </w:t>
      </w:r>
      <w:r>
        <w:t xml:space="preserve">assets, liabilities and financial instruments to changes in the level or</w:t>
      </w:r>
      <w:r>
        <w:t xml:space="preserve"> </w:t>
      </w:r>
      <w:r>
        <w:t xml:space="preserve">in the volatility of credit spreads.</w:t>
      </w:r>
      <w:r>
        <w:t xml:space="preserve"> </w:t>
      </w:r>
      <w:r>
        <w:t xml:space="preserve">SRT</w:t>
      </w:r>
      <w:r>
        <w:t xml:space="preserve"> </w:t>
      </w:r>
      <w:r>
        <w:t xml:space="preserve">Significant Risk Transfer. Process by which a bank transfers, through</w:t>
      </w:r>
      <w:r>
        <w:t xml:space="preserve"> </w:t>
      </w:r>
      <w:r>
        <w:t xml:space="preserve">securitisation, a significant ‘amount’ of credit risk associated with the</w:t>
      </w:r>
      <w:r>
        <w:t xml:space="preserve"> </w:t>
      </w:r>
      <w:r>
        <w:t xml:space="preserve">pool of underlying exposures from the bank’s balance sheet to a third</w:t>
      </w:r>
      <w:r>
        <w:t xml:space="preserve"> </w:t>
      </w:r>
      <w:r>
        <w:t xml:space="preserve">party. It is a crucial regulatory and supervisory concept in the banks’</w:t>
      </w:r>
      <w:r>
        <w:t xml:space="preserve"> </w:t>
      </w:r>
      <w:r>
        <w:t xml:space="preserve">securitisations. It is a precondition for capital relief for the originator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bank, and it is therefore a strategic objective of the banks seeking to</w:t>
      </w:r>
      <w:r>
        <w:t xml:space="preserve"> </w:t>
      </w:r>
      <w:r>
        <w:t xml:space="preserve">enhance their capital efficiency and risk management.</w:t>
      </w:r>
      <w:r>
        <w:br/>
      </w:r>
      <w:r>
        <w:t xml:space="preserve">SSPE or SPV</w:t>
      </w:r>
      <w:r>
        <w:br/>
      </w:r>
      <w:r>
        <w:t xml:space="preserve">Securitisation Special Purpose Entity or Special Purpose Vehicle. A</w:t>
      </w:r>
      <w:r>
        <w:t xml:space="preserve"> </w:t>
      </w:r>
      <w:r>
        <w:t xml:space="preserve">“bankruptcy-remote entity”</w:t>
      </w:r>
      <w:r>
        <w:t xml:space="preserve">, usually a subsidiary company, with an</w:t>
      </w:r>
      <w:r>
        <w:t xml:space="preserve"> </w:t>
      </w:r>
      <w:r>
        <w:t xml:space="preserve">asset/liability structure and legal status that makes its obligations</w:t>
      </w:r>
      <w:r>
        <w:t xml:space="preserve"> </w:t>
      </w:r>
      <w:r>
        <w:t xml:space="preserve">secure, even if the parent company goes bankrupt.</w:t>
      </w:r>
      <w:r>
        <w:br/>
      </w:r>
      <w:r>
        <w:t xml:space="preserve">STS Securitisations</w:t>
      </w:r>
      <w:r>
        <w:t xml:space="preserve"> </w:t>
      </w:r>
      <w:r>
        <w:t xml:space="preserve">Simple, Transparent and Standardised securitisations. EU standard</w:t>
      </w:r>
      <w:r>
        <w:t xml:space="preserve"> </w:t>
      </w:r>
      <w:r>
        <w:t xml:space="preserve">identifying criteria for simplicity, standardisation and transparency</w:t>
      </w:r>
      <w:r>
        <w:t xml:space="preserve"> </w:t>
      </w:r>
      <w:r>
        <w:t xml:space="preserve">to differentiate STS securitisation products from more opaque and</w:t>
      </w:r>
      <w:r>
        <w:t xml:space="preserve"> </w:t>
      </w:r>
      <w:r>
        <w:t xml:space="preserve">complex ones. STS securitisations benefit from a better regulatory</w:t>
      </w:r>
      <w:r>
        <w:t xml:space="preserve"> </w:t>
      </w:r>
      <w:r>
        <w:t xml:space="preserve">treatment than non-STS ones. EU STS framework is an equivalent of</w:t>
      </w:r>
      <w:r>
        <w:t xml:space="preserve"> </w:t>
      </w:r>
      <w:r>
        <w:t xml:space="preserve">the STC framework (framework for simple, transparent and</w:t>
      </w:r>
      <w:r>
        <w:t xml:space="preserve"> </w:t>
      </w:r>
      <w:r>
        <w:t xml:space="preserve">comparable securitisations) under the Basel framework</w:t>
      </w:r>
      <w:r>
        <w:t xml:space="preserve"> </w:t>
      </w:r>
      <w:r>
        <w:t xml:space="preserve">TPV</w:t>
      </w:r>
      <w:r>
        <w:t xml:space="preserve"> </w:t>
      </w:r>
      <w:r>
        <w:t xml:space="preserve">Third-Party Verifier is an entity authorised to provide verifications</w:t>
      </w:r>
      <w:r>
        <w:t xml:space="preserve"> </w:t>
      </w:r>
      <w:r>
        <w:t xml:space="preserve">for originators or sponsors of the STS status of their transactions, in</w:t>
      </w:r>
      <w:r>
        <w:t xml:space="preserve"> </w:t>
      </w:r>
      <w:r>
        <w:t xml:space="preserve">line with Article 27 SECR.</w:t>
      </w:r>
      <w:r>
        <w:t xml:space="preserve"> </w:t>
      </w:r>
      <w:r>
        <w:t xml:space="preserve">Tranche/Tranching</w:t>
      </w:r>
      <w:r>
        <w:t xml:space="preserve"> </w:t>
      </w:r>
      <w:r>
        <w:t xml:space="preserve">A contractually established segment of the credit risk associated with</w:t>
      </w:r>
      <w:r>
        <w:t xml:space="preserve"> </w:t>
      </w:r>
      <w:r>
        <w:t xml:space="preserve">an exposure or a pool of exposures, where a position in the segment</w:t>
      </w:r>
      <w:r>
        <w:t xml:space="preserve"> </w:t>
      </w:r>
      <w:r>
        <w:t xml:space="preserve">entails a risk of credit loss greater than or smaller than a position of</w:t>
      </w:r>
      <w:r>
        <w:t xml:space="preserve"> </w:t>
      </w:r>
      <w:r>
        <w:t xml:space="preserve">the same amount in another segment, without taking account of credit</w:t>
      </w:r>
      <w:r>
        <w:t xml:space="preserve"> </w:t>
      </w:r>
      <w:r>
        <w:t xml:space="preserve">protection provided by third parties directly to the holders of</w:t>
      </w:r>
      <w:r>
        <w:t xml:space="preserve"> </w:t>
      </w:r>
      <w:r>
        <w:t xml:space="preserve">positions in the segment or in other segments. The process of creating</w:t>
      </w:r>
      <w:r>
        <w:t xml:space="preserve"> </w:t>
      </w:r>
      <w:r>
        <w:t xml:space="preserve">tranches when structuring a securitisation transaction is called</w:t>
      </w:r>
      <w:r>
        <w:t xml:space="preserve"> </w:t>
      </w:r>
      <w:r>
        <w:t xml:space="preserve">tranching.</w:t>
      </w:r>
      <w:r>
        <w:t xml:space="preserve"> </w:t>
      </w:r>
      <w:r>
        <w:t xml:space="preserve">UCITS</w:t>
      </w:r>
      <w:r>
        <w:t xml:space="preserve"> </w:t>
      </w:r>
      <w:r>
        <w:t xml:space="preserve">Undertakings for the Collective Investment in Transferable</w:t>
      </w:r>
      <w:r>
        <w:t xml:space="preserve"> </w:t>
      </w:r>
      <w:r>
        <w:t xml:space="preserve">Securities. Established a regulatory framework that creates a</w:t>
      </w:r>
      <w:r>
        <w:t xml:space="preserve"> </w:t>
      </w:r>
      <w:r>
        <w:t xml:space="preserve">harmonised regime for the management and sale of mutual funds.</w:t>
      </w:r>
      <w:r>
        <w:t xml:space="preserve"> </w:t>
      </w:r>
      <w:r>
        <w:t xml:space="preserve">UCITS funds are designed primarily for retail investors with</w:t>
      </w:r>
      <w:r>
        <w:t xml:space="preserve"> </w:t>
      </w:r>
      <w:r>
        <w:t xml:space="preserve">harmonised regulatory and investor protection requirements. UCITS</w:t>
      </w:r>
      <w:r>
        <w:t xml:space="preserve"> </w:t>
      </w:r>
      <w:r>
        <w:t xml:space="preserve">have become a globally recognised brand with many non-EU</w:t>
      </w:r>
      <w:r>
        <w:t xml:space="preserve"> </w:t>
      </w:r>
      <w:r>
        <w:t xml:space="preserve">jurisdictions allowing funds to be sold in their domestic market.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TABLE OF ABBREVIATIONS</w:t>
      </w:r>
      <w:r>
        <w:t xml:space="preserve"> </w:t>
      </w:r>
      <w:r>
        <w:t xml:space="preserve">AFME</w:t>
      </w:r>
      <w:r>
        <w:br/>
      </w:r>
      <w:r>
        <w:t xml:space="preserve">Association for Financial Markets in Europe</w:t>
      </w:r>
      <w:r>
        <w:br/>
      </w:r>
      <w:r>
        <w:t xml:space="preserve">AIFMD</w:t>
      </w:r>
      <w:r>
        <w:br/>
      </w:r>
      <w:r>
        <w:t xml:space="preserve">Alternative Investment Fund Managers Directive</w:t>
      </w:r>
      <w:r>
        <w:br/>
      </w:r>
      <w:r>
        <w:t xml:space="preserve">BCBS</w:t>
      </w:r>
      <w:r>
        <w:br/>
      </w:r>
      <w:r>
        <w:t xml:space="preserve">Basel Committee on Banking Supervision</w:t>
      </w:r>
      <w:r>
        <w:br/>
      </w:r>
      <w:r>
        <w:t xml:space="preserve">CoRep</w:t>
      </w:r>
      <w:r>
        <w:br/>
      </w:r>
      <w:r>
        <w:t xml:space="preserve">Common reporting framework</w:t>
      </w:r>
      <w:r>
        <w:br/>
      </w:r>
      <w:r>
        <w:t xml:space="preserve">CRR</w:t>
      </w:r>
      <w:r>
        <w:br/>
      </w:r>
      <w:r>
        <w:t xml:space="preserve">Capital Requirements Regulation</w:t>
      </w:r>
      <w:r>
        <w:br/>
      </w:r>
      <w:r>
        <w:t xml:space="preserve">DA</w:t>
      </w:r>
      <w:r>
        <w:t xml:space="preserve"> </w:t>
      </w:r>
      <w:r>
        <w:t xml:space="preserve">Delegated Act</w:t>
      </w:r>
      <w:r>
        <w:t xml:space="preserve"> </w:t>
      </w:r>
      <w:r>
        <w:t xml:space="preserve">DR</w:t>
      </w:r>
      <w:r>
        <w:br/>
      </w:r>
      <w:r>
        <w:t xml:space="preserve">Delegated Regulation</w:t>
      </w:r>
      <w:r>
        <w:br/>
      </w:r>
      <w:r>
        <w:t xml:space="preserve">EBA</w:t>
      </w:r>
      <w:r>
        <w:br/>
      </w:r>
      <w:r>
        <w:t xml:space="preserve">European Banking Authority</w:t>
      </w:r>
      <w:r>
        <w:br/>
      </w:r>
      <w:r>
        <w:t xml:space="preserve">ECB</w:t>
      </w:r>
      <w:r>
        <w:br/>
      </w:r>
      <w:r>
        <w:t xml:space="preserve">European Central Bank</w:t>
      </w:r>
      <w:r>
        <w:br/>
      </w:r>
      <w:r>
        <w:t xml:space="preserve">EIOPA</w:t>
      </w:r>
      <w:r>
        <w:br/>
      </w:r>
      <w:r>
        <w:t xml:space="preserve">European Insurance and Occupational Pensions Authority</w:t>
      </w:r>
      <w:r>
        <w:br/>
      </w:r>
      <w:r>
        <w:t xml:space="preserve">ESA</w:t>
      </w:r>
      <w:r>
        <w:br/>
      </w:r>
      <w:r>
        <w:t xml:space="preserve">European Supervisory Authority</w:t>
      </w:r>
      <w:r>
        <w:br/>
      </w:r>
      <w:r>
        <w:t xml:space="preserve">ESMA</w:t>
      </w:r>
      <w:r>
        <w:br/>
      </w:r>
      <w:r>
        <w:t xml:space="preserve">European Securities and Markets Authority</w:t>
      </w:r>
      <w:r>
        <w:br/>
      </w:r>
      <w:r>
        <w:t xml:space="preserve">EUGBS</w:t>
      </w:r>
      <w:r>
        <w:t xml:space="preserve"> </w:t>
      </w:r>
      <w:r>
        <w:t xml:space="preserve">European Green Bond Standard Regulation</w:t>
      </w:r>
      <w:r>
        <w:t xml:space="preserve"> </w:t>
      </w:r>
      <w:r>
        <w:t xml:space="preserve">GDP</w:t>
      </w:r>
      <w:r>
        <w:br/>
      </w:r>
      <w:r>
        <w:t xml:space="preserve">Gross domestic product</w:t>
      </w:r>
      <w:r>
        <w:br/>
      </w:r>
      <w:r>
        <w:t xml:space="preserve">GFC</w:t>
      </w:r>
      <w:r>
        <w:br/>
      </w:r>
      <w:r>
        <w:t xml:space="preserve">Global Financial Crisis</w:t>
      </w:r>
      <w:r>
        <w:br/>
      </w:r>
      <w:r>
        <w:t xml:space="preserve">IACPM</w:t>
      </w:r>
      <w:r>
        <w:br/>
      </w:r>
      <w:r>
        <w:t xml:space="preserve">International Association of Credit Portfolio Managers</w:t>
      </w:r>
      <w:r>
        <w:br/>
      </w:r>
      <w:r>
        <w:t xml:space="preserve">IG</w:t>
      </w:r>
      <w:r>
        <w:br/>
      </w:r>
      <w:r>
        <w:t xml:space="preserve">Investment grade</w:t>
      </w:r>
      <w:r>
        <w:br/>
      </w:r>
      <w:r>
        <w:t xml:space="preserve">NCA</w:t>
      </w:r>
      <w:r>
        <w:br/>
      </w:r>
      <w:r>
        <w:t xml:space="preserve">National Competent Authority</w:t>
      </w:r>
      <w:r>
        <w:br/>
      </w:r>
      <w:r>
        <w:t xml:space="preserve">NCB</w:t>
      </w:r>
      <w:r>
        <w:br/>
      </w:r>
      <w:r>
        <w:t xml:space="preserve">National Central Bank</w:t>
      </w:r>
      <w:r>
        <w:br/>
      </w:r>
      <w:r>
        <w:t xml:space="preserve">NPL</w:t>
      </w:r>
      <w:r>
        <w:t xml:space="preserve"> </w:t>
      </w:r>
      <w:r>
        <w:t xml:space="preserve">Non-performing Loan</w:t>
      </w:r>
      <w:r>
        <w:t xml:space="preserve"> </w:t>
      </w:r>
      <w:r>
        <w:t xml:space="preserve">RW</w:t>
      </w:r>
      <w:r>
        <w:br/>
      </w:r>
      <w:r>
        <w:t xml:space="preserve">Risk Weights</w:t>
      </w:r>
      <w:r>
        <w:br/>
      </w:r>
      <w:r>
        <w:t xml:space="preserve">SECR</w:t>
      </w:r>
      <w:r>
        <w:br/>
      </w:r>
      <w:r>
        <w:t xml:space="preserve">Securitisation Regulation</w:t>
      </w:r>
      <w:r>
        <w:br/>
      </w:r>
      <w:r>
        <w:t xml:space="preserve">SME</w:t>
      </w:r>
      <w:r>
        <w:br/>
      </w:r>
      <w:r>
        <w:t xml:space="preserve">Small and Medium-sized Enterprise</w:t>
      </w:r>
      <w:r>
        <w:br/>
      </w:r>
      <w:r>
        <w:t xml:space="preserve">SSM</w:t>
      </w:r>
      <w:r>
        <w:t xml:space="preserve"> </w:t>
      </w:r>
      <w:r>
        <w:t xml:space="preserve">Single Supervisory Mechanism</w:t>
      </w:r>
      <w:r>
        <w:t xml:space="preserve"> </w:t>
      </w:r>
      <w:r>
        <w:t xml:space="preserve">SII</w:t>
      </w:r>
      <w:r>
        <w:t xml:space="preserve"> </w:t>
      </w:r>
      <w:r>
        <w:t xml:space="preserve">Solvency II Directive</w:t>
      </w:r>
      <w:r>
        <w:br/>
      </w:r>
      <w:r>
        <w:t xml:space="preserve">STS</w:t>
      </w:r>
      <w:r>
        <w:t xml:space="preserve"> </w:t>
      </w:r>
      <w:r>
        <w:t xml:space="preserve">Simple, Transparent and Standardised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Securitisation is a financial practice that involves pooling various types of contractual debt,</w:t>
      </w:r>
      <w:r>
        <w:t xml:space="preserve"> </w:t>
      </w:r>
      <w:r>
        <w:t xml:space="preserve">such as mortgages, auto loans, or credit card debt, and selling their related cash flows to third-</w:t>
      </w:r>
      <w:r>
        <w:t xml:space="preserve"> </w:t>
      </w:r>
      <w:r>
        <w:t xml:space="preserve">party investors as securities. This practice emerged prominently in the U.S. in the 1970s.</w:t>
      </w:r>
      <w:r>
        <w:t xml:space="preserve"> </w:t>
      </w:r>
      <w:r>
        <w:t xml:space="preserve">Securitisation increases the depth and liquidity of financial markets by converting the illiquid</w:t>
      </w:r>
      <w:r>
        <w:t xml:space="preserve"> </w:t>
      </w:r>
      <w:r>
        <w:t xml:space="preserve">debt instruments into tradable securities that capital market investors, such asset managers,</w:t>
      </w:r>
      <w:r>
        <w:t xml:space="preserve"> </w:t>
      </w:r>
      <w:r>
        <w:t xml:space="preserve">insurers or banks, can buy. On the buy side, securitised assets are an attractive investment</w:t>
      </w:r>
      <w:r>
        <w:t xml:space="preserve"> </w:t>
      </w:r>
      <w:r>
        <w:t xml:space="preserve">opportunity for investors seeking exposure to new risks, as they enable greater diversification</w:t>
      </w:r>
      <w:r>
        <w:t xml:space="preserve"> </w:t>
      </w:r>
      <w:r>
        <w:t xml:space="preserve">and superior returns in comparison to some more established fixed income assets. In the EU’s</w:t>
      </w:r>
      <w:r>
        <w:t xml:space="preserve"> </w:t>
      </w:r>
      <w:r>
        <w:t xml:space="preserve">bank-centric financial system, it allows banks to free up capital and provide more financing to</w:t>
      </w:r>
      <w:r>
        <w:t xml:space="preserve"> </w:t>
      </w:r>
      <w:r>
        <w:t xml:space="preserve">individuals, households, and businesses, including SMEs1. Securitisation also allows banks to</w:t>
      </w:r>
      <w:r>
        <w:t xml:space="preserve"> </w:t>
      </w:r>
      <w:r>
        <w:t xml:space="preserve">transfer risks outside of the banking system, thus fostering greater risk diversification within</w:t>
      </w:r>
      <w:r>
        <w:t xml:space="preserve"> </w:t>
      </w:r>
      <w:r>
        <w:t xml:space="preserve">the financial system. By increasing the amount of financing available in the real economy,</w:t>
      </w:r>
      <w:r>
        <w:t xml:space="preserve"> </w:t>
      </w:r>
      <w:r>
        <w:t xml:space="preserve">well-functioning securitisation markets can also contribute to higher economic growth and</w:t>
      </w:r>
      <w:r>
        <w:t xml:space="preserve"> </w:t>
      </w:r>
      <w:r>
        <w:t xml:space="preserve">facilitate funding EU strategic objectives like defence or green and digital transitions. These</w:t>
      </w:r>
      <w:r>
        <w:t xml:space="preserve"> </w:t>
      </w:r>
      <w:r>
        <w:t xml:space="preserve">elements make the securitisation review an important initiative under the Savings and</w:t>
      </w:r>
      <w:r>
        <w:t xml:space="preserve"> </w:t>
      </w:r>
      <w:r>
        <w:t xml:space="preserve">Investment Union (SIU).</w:t>
      </w:r>
      <w:r>
        <w:t xml:space="preserve"> </w:t>
      </w:r>
      <w:r>
        <w:t xml:space="preserve">However, there are also risks associated with securitisation, as was seen during the Global</w:t>
      </w:r>
      <w:r>
        <w:t xml:space="preserve"> </w:t>
      </w:r>
      <w:r>
        <w:t xml:space="preserve">Financial Crisis (GFC)2. Complex structures exposed investors to large losses. Similarly,</w:t>
      </w:r>
      <w:r>
        <w:t xml:space="preserve"> </w:t>
      </w:r>
      <w:r>
        <w:t xml:space="preserve">misaligned incentives between issuers and investors incentivised issuers to securitise ‘bad</w:t>
      </w:r>
      <w:r>
        <w:t xml:space="preserve"> </w:t>
      </w:r>
      <w:r>
        <w:t xml:space="preserve">loans’3. At the same time, securitisation amplified asset price bubbles by increasing credit</w:t>
      </w:r>
      <w:r>
        <w:t xml:space="preserve"> </w:t>
      </w:r>
      <w:r>
        <w:t xml:space="preserve">growth and the risk appetite of investors, which increased risks to financial stability. Moreover,</w:t>
      </w:r>
      <w:r>
        <w:t xml:space="preserve"> </w:t>
      </w:r>
      <w:r>
        <w:t xml:space="preserve">securitisation increased risks within the financial system by increasing leverage (i.e. </w:t>
      </w:r>
      <w:r>
        <w:t xml:space="preserve"> </w:t>
      </w:r>
      <w:r>
        <w:t xml:space="preserve">securitisation allows to increase lending within the financial system while holding less capital)</w:t>
      </w:r>
      <w:r>
        <w:t xml:space="preserve"> </w:t>
      </w:r>
      <w:r>
        <w:t xml:space="preserve">and interconnectedness between financial market entities.</w:t>
      </w:r>
      <w:r>
        <w:br/>
      </w:r>
      <w:r>
        <w:t xml:space="preserve">For these reasons, as a response to the GFC, the EU Securitisation Framework has sought to</w:t>
      </w:r>
      <w:r>
        <w:t xml:space="preserve"> </w:t>
      </w:r>
      <w:r>
        <w:t xml:space="preserve">tackle the risks associated with this instrument, in particular agency and model risks. Agency</w:t>
      </w:r>
      <w:r>
        <w:t xml:space="preserve"> </w:t>
      </w:r>
      <w:r>
        <w:t xml:space="preserve">risk in the case of securitisation arises when issuers have more information than investors.</w:t>
      </w:r>
      <w:r>
        <w:t xml:space="preserve"> </w:t>
      </w:r>
      <w:r>
        <w:t xml:space="preserve">Model risk occurs when imperfect economic modelling is used to value and assess the risk of</w:t>
      </w:r>
      <w:r>
        <w:t xml:space="preserve"> </w:t>
      </w:r>
      <w:r>
        <w:t xml:space="preserve">securitisation. Several measures have been introduced to deal with these risks, including risk</w:t>
      </w:r>
      <w:r>
        <w:t xml:space="preserve"> </w:t>
      </w:r>
      <w:r>
        <w:t xml:space="preserve">retention, transparency, due diligence, and prudential requirements. Addressing these risks</w:t>
      </w:r>
      <w:r>
        <w:t xml:space="preserve"> </w:t>
      </w:r>
      <w:r>
        <w:t xml:space="preserve">effectively continues to be a key objective of the Securitisation Framework today.</w:t>
      </w:r>
      <w:r>
        <w:br/>
      </w:r>
      <w:r>
        <w:t xml:space="preserve">The evaluation of the current framework, however, shows that the Securitisation Framework</w:t>
      </w:r>
      <w:r>
        <w:t xml:space="preserve"> </w:t>
      </w:r>
      <w:r>
        <w:t xml:space="preserve">has been designed and implemented mostly in response to the shock of the GFC and as a result</w:t>
      </w:r>
      <w:r>
        <w:t xml:space="preserve"> </w:t>
      </w:r>
      <w:r>
        <w:t xml:space="preserve">is too strict and hinders market development. At the time, strict requirements were considered</w:t>
      </w:r>
    </w:p>
    <w:p>
      <w:pPr>
        <w:pStyle w:val="BodyText"/>
      </w:pPr>
      <w:r>
        <w:t xml:space="preserve">1 SMEs can be exposed to different segments of the securitisation market, for example selling trade receivables</w:t>
      </w:r>
      <w:r>
        <w:t xml:space="preserve"> </w:t>
      </w:r>
      <w:r>
        <w:t xml:space="preserve">to a program of asset backed commercial paper, taking out a new leasing contract on a commercial vehicle or</w:t>
      </w:r>
      <w:r>
        <w:t xml:space="preserve"> </w:t>
      </w:r>
      <w:r>
        <w:t xml:space="preserve">assuring new financing against company real estate which are then pooled and securitised by their lease company</w:t>
      </w:r>
      <w:r>
        <w:t xml:space="preserve"> </w:t>
      </w:r>
      <w:r>
        <w:t xml:space="preserve">or bank with other similar assets (see Annex VIII: SME test).</w:t>
      </w:r>
      <w:r>
        <w:t xml:space="preserve"> </w:t>
      </w:r>
      <w:r>
        <w:t xml:space="preserve">2 See for example the International Monetary Fund’s paper on Securitization: Lessons Learned and the Road</w:t>
      </w:r>
      <w:r>
        <w:t xml:space="preserve"> </w:t>
      </w:r>
      <w:r>
        <w:t xml:space="preserve">Ahead</w:t>
      </w:r>
      <w:r>
        <w:t xml:space="preserve"> </w:t>
      </w:r>
      <w:r>
        <w:t xml:space="preserve">https://www.imf.org/en/Publications/WP/Issues/2016/12/31/Securitization-Lessons-Learned-and-the-</w:t>
      </w:r>
      <w:r>
        <w:t xml:space="preserve"> </w:t>
      </w:r>
      <w:r>
        <w:t xml:space="preserve">Road-Ahead-41153</w:t>
      </w:r>
      <w:r>
        <w:br/>
      </w:r>
      <w:r>
        <w:t xml:space="preserve">3 See The Great Collapse: How Securitization Caused the Subprime Meltdown, Kurt Eggert, Connecticut Law</w:t>
      </w:r>
      <w:r>
        <w:t xml:space="preserve"> </w:t>
      </w:r>
      <w:r>
        <w:t xml:space="preserve">Review May 2009, for another detailed investigation of the use of securitisation to proliferate risks in the build-up</w:t>
      </w:r>
      <w:r>
        <w:t xml:space="preserve"> </w:t>
      </w:r>
      <w:r>
        <w:t xml:space="preserve">of the GFC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necessary to rebuild the securitisation market which had been suffering from inadequate</w:t>
      </w:r>
      <w:r>
        <w:t xml:space="preserve"> </w:t>
      </w:r>
      <w:r>
        <w:t xml:space="preserve">protections and severe investor distrust. Now that appropriate safeguards have been firmly</w:t>
      </w:r>
      <w:r>
        <w:t xml:space="preserve"> </w:t>
      </w:r>
      <w:r>
        <w:t xml:space="preserve">embedded in the market’s organisation and securitisation is gaining back investors’ trust, a</w:t>
      </w:r>
      <w:r>
        <w:t xml:space="preserve"> </w:t>
      </w:r>
      <w:r>
        <w:t xml:space="preserve">better balance between safeguards and growth opportunities- both for investments and</w:t>
      </w:r>
      <w:r>
        <w:t xml:space="preserve"> </w:t>
      </w:r>
      <w:r>
        <w:t xml:space="preserve">issuance- needs to be found.</w:t>
      </w:r>
      <w:r>
        <w:t xml:space="preserve"> </w:t>
      </w:r>
      <w:r>
        <w:t xml:space="preserve">The European public securitisation market, including CLOs, stood at approximately EUR 1.2</w:t>
      </w:r>
      <w:r>
        <w:t xml:space="preserve"> </w:t>
      </w:r>
      <w:r>
        <w:t xml:space="preserve">trillion in terms of outstanding volumes at the end of 2023 (compared to EUR 2 trillion at its</w:t>
      </w:r>
      <w:r>
        <w:t xml:space="preserve"> </w:t>
      </w:r>
      <w:r>
        <w:t xml:space="preserve">peak during the GFC4). Despite showing signs of gradual recovery (the EU public market was</w:t>
      </w:r>
      <w:r>
        <w:t xml:space="preserve"> </w:t>
      </w:r>
      <w:r>
        <w:t xml:space="preserve">only EUR 790 billion in the second half of 2020 compared to EUR 900 billion by the end of</w:t>
      </w:r>
      <w:r>
        <w:t xml:space="preserve"> </w:t>
      </w:r>
      <w:r>
        <w:t xml:space="preserve">2023), securitisation issuance as a percentage of GDP remains much lower in the EU than in</w:t>
      </w:r>
      <w:r>
        <w:t xml:space="preserve"> </w:t>
      </w:r>
      <w:r>
        <w:t xml:space="preserve">other major jurisdictions (according to AFME, 10-year average issuance is approximately 3%</w:t>
      </w:r>
      <w:r>
        <w:t xml:space="preserve"> </w:t>
      </w:r>
      <w:r>
        <w:t xml:space="preserve">of GDP for the US and around 0.5% for the EU). A significant portion of the traditional</w:t>
      </w:r>
      <w:r>
        <w:t xml:space="preserve"> </w:t>
      </w:r>
      <w:r>
        <w:t xml:space="preserve">securitisation transactions (see Section 1.1 right below for further details on the different types</w:t>
      </w:r>
      <w:r>
        <w:t xml:space="preserve"> </w:t>
      </w:r>
      <w:r>
        <w:t xml:space="preserve">of securitisation) remains retained on banks’ balance sheets (slightly over 40%) to be used as</w:t>
      </w:r>
      <w:r>
        <w:t xml:space="preserve"> </w:t>
      </w:r>
      <w:r>
        <w:t xml:space="preserve">collateral for obtaining liquidity from the ECB, rather than being placed on the market with</w:t>
      </w:r>
      <w:r>
        <w:t xml:space="preserve"> </w:t>
      </w:r>
      <w:r>
        <w:t xml:space="preserve">external investors. At the same time, the current investor base (i.e. the number of active</w:t>
      </w:r>
      <w:r>
        <w:t xml:space="preserve"> </w:t>
      </w:r>
      <w:r>
        <w:t xml:space="preserve">investors participating in the market) remains small5, resulting in a limited capacity to absorb</w:t>
      </w:r>
      <w:r>
        <w:t xml:space="preserve"> </w:t>
      </w:r>
      <w:r>
        <w:t xml:space="preserve">increased supply. In addition, the EU securitisation market remains highly concentrated in five</w:t>
      </w:r>
      <w:r>
        <w:t xml:space="preserve"> </w:t>
      </w:r>
      <w:r>
        <w:t xml:space="preserve">Member States (France, Italy, Germany, Netherlands and Spain). This can lead to uneven</w:t>
      </w:r>
      <w:r>
        <w:t xml:space="preserve"> </w:t>
      </w:r>
      <w:r>
        <w:t xml:space="preserve">development of capital markets within Member States and limit the tool’s potential for risk</w:t>
      </w:r>
      <w:r>
        <w:t xml:space="preserve"> </w:t>
      </w:r>
      <w:r>
        <w:t xml:space="preserve">diversification. Furthermore, banks often prefer to issue covered bonds to obtain funding since</w:t>
      </w:r>
      <w:r>
        <w:t xml:space="preserve"> </w:t>
      </w:r>
      <w:r>
        <w:t xml:space="preserve">they are subject to less strict regulatory requirements.</w:t>
      </w:r>
      <w:r>
        <w:br/>
      </w:r>
      <w:r>
        <w:t xml:space="preserve">Section 3.2 of Annex V (Evaluation) provides a more detailed assessment of the market context</w:t>
      </w:r>
      <w:r>
        <w:t xml:space="preserve"> </w:t>
      </w:r>
      <w:r>
        <w:t xml:space="preserve">and market developments of the different parts of the securitisation market as well as the</w:t>
      </w:r>
      <w:r>
        <w:t xml:space="preserve"> </w:t>
      </w:r>
      <w:r>
        <w:t xml:space="preserve">development in different countries.</w:t>
      </w:r>
      <w:r>
        <w:t xml:space="preserve"> </w:t>
      </w:r>
      <w:r>
        <w:t xml:space="preserve">1.1. What is securitisation?</w:t>
      </w:r>
      <w:r>
        <w:t xml:space="preserve"> </w:t>
      </w:r>
      <w:r>
        <w:t xml:space="preserve">Broadly speaking, there are two main types of securitisations: traditional (also known as “cash”</w:t>
      </w:r>
      <w:r>
        <w:t xml:space="preserve"> </w:t>
      </w:r>
      <w:r>
        <w:t xml:space="preserve">or “true sale”), and synthetic (for an overview of the different parts of the EU securitisation</w:t>
      </w:r>
      <w:r>
        <w:t xml:space="preserve"> </w:t>
      </w:r>
      <w:r>
        <w:t xml:space="preserve">market, see the market context in Annex V).</w:t>
      </w:r>
      <w:r>
        <w:br/>
      </w:r>
      <w:r>
        <w:t xml:space="preserve">Traditional securitisation (outstanding public6 and bank originated, sponsored or invested</w:t>
      </w:r>
      <w:r>
        <w:t xml:space="preserve"> </w:t>
      </w:r>
      <w:r>
        <w:t xml:space="preserve">private7 volumes within the EU securitisation market stood at more than EUR 1,1 trillion as of</w:t>
      </w:r>
      <w:r>
        <w:t xml:space="preserve"> </w:t>
      </w:r>
      <w:r>
        <w:t xml:space="preserve">end 2023) is used primarily to obtain funding and to transfer risk out of the balance sheet of</w:t>
      </w:r>
      <w:r>
        <w:t xml:space="preserve"> </w:t>
      </w:r>
      <w:r>
        <w:t xml:space="preserve">the lender. An example of a traditional securitisation is a bank selling a pool of mortgages to a</w:t>
      </w:r>
      <w:r>
        <w:t xml:space="preserve"> </w:t>
      </w:r>
      <w:r>
        <w:t xml:space="preserve">securitisation special purpose entity (SSPE). As a result, the credit risk associated with the</w:t>
      </w:r>
      <w:r>
        <w:t xml:space="preserve"> </w:t>
      </w:r>
      <w:r>
        <w:t xml:space="preserve">mortgages is transferred, and the mortgages are ‘erased’ from the balance sheet of the originator</w:t>
      </w:r>
      <w:r>
        <w:t xml:space="preserve"> </w:t>
      </w:r>
      <w:r>
        <w:t xml:space="preserve">bank. If a bank transfers a sufficient amount of the risk to investors, it is allowed to reduce the</w:t>
      </w:r>
      <w:r>
        <w:t xml:space="preserve"> </w:t>
      </w:r>
      <w:r>
        <w:t xml:space="preserve">capital it holds against the securitised assets, i.e. achieving ‘capital relief’ that is available for</w:t>
      </w:r>
      <w:r>
        <w:t xml:space="preserve"> </w:t>
      </w:r>
      <w:r>
        <w:t xml:space="preserve">further lending. The SSPE issues notes (debt instruments) divided into tranches of varying risk</w:t>
      </w:r>
    </w:p>
    <w:p>
      <w:pPr>
        <w:pStyle w:val="BodyText"/>
      </w:pPr>
      <w:r>
        <w:t xml:space="preserve">4 Source: AFME/SIFMA Securitisation Market Data Reports.</w:t>
      </w:r>
      <w:r>
        <w:t xml:space="preserve"> </w:t>
      </w:r>
      <w:r>
        <w:t xml:space="preserve">5 We estimate the investor base to 80-115 investors, see Annex III for details.</w:t>
      </w:r>
      <w:r>
        <w:t xml:space="preserve"> </w:t>
      </w:r>
      <w:r>
        <w:t xml:space="preserve">6 Source: AFME Securitisation Data Report Q3 2024.</w:t>
      </w:r>
      <w:r>
        <w:t xml:space="preserve"> </w:t>
      </w:r>
      <w:r>
        <w:t xml:space="preserve">7 Source: EBA COREP statistics.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profiles (usually into three tranches – junior, mezzanine and senior), which are then sold to</w:t>
      </w:r>
      <w:r>
        <w:t xml:space="preserve"> </w:t>
      </w:r>
      <w:r>
        <w:t xml:space="preserve">investors. The money raised through selling the notes to investors is paid by the SSPE to the</w:t>
      </w:r>
      <w:r>
        <w:t xml:space="preserve"> </w:t>
      </w:r>
      <w:r>
        <w:t xml:space="preserve">bank for the purchase of the mortgage loans. This gives the bank immediate access to funds</w:t>
      </w:r>
      <w:r>
        <w:t xml:space="preserve"> </w:t>
      </w:r>
      <w:r>
        <w:t xml:space="preserve">that can be used for further lending. Common types of traditional securitisations include</w:t>
      </w:r>
      <w:r>
        <w:t xml:space="preserve"> </w:t>
      </w:r>
      <w:r>
        <w:t xml:space="preserve">residential</w:t>
      </w:r>
      <w:r>
        <w:t xml:space="preserve"> </w:t>
      </w:r>
      <w:r>
        <w:t xml:space="preserve">mortgage-based</w:t>
      </w:r>
      <w:r>
        <w:t xml:space="preserve"> </w:t>
      </w:r>
      <w:r>
        <w:t xml:space="preserve">securitisation</w:t>
      </w:r>
      <w:r>
        <w:t xml:space="preserve"> </w:t>
      </w:r>
      <w:r>
        <w:t xml:space="preserve">(RMBS),</w:t>
      </w:r>
      <w:r>
        <w:t xml:space="preserve"> </w:t>
      </w:r>
      <w:r>
        <w:t xml:space="preserve">commercial-mortgages</w:t>
      </w:r>
      <w:r>
        <w:t xml:space="preserve"> </w:t>
      </w:r>
      <w:r>
        <w:t xml:space="preserve">backed</w:t>
      </w:r>
      <w:r>
        <w:t xml:space="preserve"> </w:t>
      </w:r>
      <w:r>
        <w:t xml:space="preserve">securitisation (CMBS), asset-backed securitisation (ABS), collateralised debt obligations</w:t>
      </w:r>
      <w:r>
        <w:t xml:space="preserve"> </w:t>
      </w:r>
      <w:r>
        <w:t xml:space="preserve">(CDOs), and others.</w:t>
      </w:r>
      <w:r>
        <w:br/>
      </w:r>
      <w:r>
        <w:t xml:space="preserve">Instead of placing the notes of a traditional securitisation on the market, banks can also choose</w:t>
      </w:r>
      <w:r>
        <w:t xml:space="preserve"> </w:t>
      </w:r>
      <w:r>
        <w:t xml:space="preserve">to retain part of the transaction. This allows banks to access central bank liquidity, but prevents</w:t>
      </w:r>
      <w:r>
        <w:t xml:space="preserve"> </w:t>
      </w:r>
      <w:r>
        <w:t xml:space="preserve">them from achieving ‘capital relief’. These ‘retained’ traditional securitisations currently form</w:t>
      </w:r>
      <w:r>
        <w:t xml:space="preserve"> </w:t>
      </w:r>
      <w:r>
        <w:t xml:space="preserve">an important part of the traditional securitisation market segment.</w:t>
      </w:r>
      <w:r>
        <w:br/>
      </w:r>
      <w:r>
        <w:t xml:space="preserve">Figure 1: Traditional Securitisation Structure</w:t>
      </w:r>
    </w:p>
    <w:p>
      <w:pPr>
        <w:pStyle w:val="BodyText"/>
      </w:pPr>
      <w:r>
        <w:t xml:space="preserve">A specific type of traditional securitisation is Asset-Backed Commercial Paper (ABCP)</w:t>
      </w:r>
      <w:r>
        <w:t xml:space="preserve"> </w:t>
      </w:r>
      <w:r>
        <w:t xml:space="preserve">securitisation. It is a short-term securitisation where the securities issued take the form of asset-</w:t>
      </w:r>
      <w:r>
        <w:t xml:space="preserve"> </w:t>
      </w:r>
      <w:r>
        <w:t xml:space="preserve">backed commercial paper with a maturity of less than one year. ABCP is usually used to finance</w:t>
      </w:r>
      <w:r>
        <w:t xml:space="preserve"> </w:t>
      </w:r>
      <w:r>
        <w:t xml:space="preserve">very short-term assets, such as trade receivables. ABCP is a popular form of financing for</w:t>
      </w:r>
      <w:r>
        <w:t xml:space="preserve"> </w:t>
      </w:r>
      <w:r>
        <w:t xml:space="preserve">corporates because it allows them to access short-term funding at a lower cost than they would</w:t>
      </w:r>
      <w:r>
        <w:t xml:space="preserve"> </w:t>
      </w:r>
      <w:r>
        <w:t xml:space="preserve">be able to obtain through traditional bank loans. The EU public and private outstanding ABCP</w:t>
      </w:r>
      <w:r>
        <w:t xml:space="preserve"> </w:t>
      </w:r>
      <w:r>
        <w:t xml:space="preserve">volume by the end of 2023 is estimated to EUR 180 million.8</w:t>
      </w:r>
    </w:p>
    <w:p>
      <w:pPr>
        <w:pStyle w:val="BodyText"/>
      </w:pPr>
      <w:r>
        <w:t xml:space="preserve">8 AFME Securitisation Data Report and EBA COREP statistics. For a more detailed market analysis of the private</w:t>
      </w:r>
      <w:r>
        <w:t xml:space="preserve"> </w:t>
      </w:r>
      <w:r>
        <w:t xml:space="preserve">ABCP market in Europe (with a broader coverage including the UK) see: AFME/European DataWarehouse and</w:t>
      </w:r>
      <w:r>
        <w:t xml:space="preserve"> </w:t>
      </w:r>
      <w:r>
        <w:t xml:space="preserve">True Sale International, European Benchmarking Exercise, https://www.true-sale-international.de/fileadmin/tsi-</w:t>
      </w:r>
      <w:r>
        <w:t xml:space="preserve"> </w:t>
      </w:r>
      <w:r>
        <w:t xml:space="preserve">gmbh/tsi_downloads/aktuelles/EBE_2024-H1_Report_2025-02-24_final.pdf.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Synthetic securitisation (outstanding volumes in the EU securitisation market stood at EUR</w:t>
      </w:r>
      <w:r>
        <w:t xml:space="preserve"> </w:t>
      </w:r>
      <w:r>
        <w:t xml:space="preserve">295 billion as of end 20239) is a type of securitisation that differs from traditional securitisation.</w:t>
      </w:r>
      <w:r>
        <w:t xml:space="preserve"> </w:t>
      </w:r>
      <w:r>
        <w:t xml:space="preserve">In traditional securitisation, assets are transferred off the bank’s balance sheet. In contrast,</w:t>
      </w:r>
      <w:r>
        <w:t xml:space="preserve"> </w:t>
      </w:r>
      <w:r>
        <w:t xml:space="preserve">synthetic securitisation does not involve the physical transfer of assets. These assets remain on</w:t>
      </w:r>
      <w:r>
        <w:t xml:space="preserve"> </w:t>
      </w:r>
      <w:r>
        <w:t xml:space="preserve">the originator’s balance sheet, but the risk is managed using financial instruments such as</w:t>
      </w:r>
      <w:r>
        <w:t xml:space="preserve"> </w:t>
      </w:r>
      <w:r>
        <w:t xml:space="preserve">guarantees,</w:t>
      </w:r>
      <w:r>
        <w:t xml:space="preserve"> </w:t>
      </w:r>
      <w:r>
        <w:t xml:space="preserve">making</w:t>
      </w:r>
      <w:r>
        <w:t xml:space="preserve"> </w:t>
      </w:r>
      <w:r>
        <w:t xml:space="preserve">it</w:t>
      </w:r>
      <w:r>
        <w:t xml:space="preserve"> </w:t>
      </w:r>
      <w:r>
        <w:t xml:space="preserve">like</w:t>
      </w:r>
      <w:r>
        <w:t xml:space="preserve"> </w:t>
      </w:r>
      <w:r>
        <w:t xml:space="preserve">an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contract.</w:t>
      </w:r>
      <w:r>
        <w:t xml:space="preserve"> </w:t>
      </w:r>
      <w:r>
        <w:t xml:space="preserve">Just as an insurance policy compensates the policyholder when an adverse event occurs,</w:t>
      </w:r>
      <w:r>
        <w:t xml:space="preserve"> </w:t>
      </w:r>
      <w:r>
        <w:t xml:space="preserve">synthetic securitisation allows banks to be compensated when losses materialise to the</w:t>
      </w:r>
      <w:r>
        <w:t xml:space="preserve"> </w:t>
      </w:r>
      <w:r>
        <w:t xml:space="preserve">underlying pool of assets. Thus, the banks transfer the risk of default on a set of loans to</w:t>
      </w:r>
      <w:r>
        <w:t xml:space="preserve"> </w:t>
      </w:r>
      <w:r>
        <w:t xml:space="preserve">investors, without selling the actual loans themselves. This allows banks to obtain ‘capital</w:t>
      </w:r>
      <w:r>
        <w:t xml:space="preserve"> </w:t>
      </w:r>
      <w:r>
        <w:t xml:space="preserve">relief’ i.e. reduce the amount of capital that they need to hold for these assets, but it does not</w:t>
      </w:r>
      <w:r>
        <w:t xml:space="preserve"> </w:t>
      </w:r>
      <w:r>
        <w:t xml:space="preserve">allow them to obtain funding. The investors get remunerated for accepting the credit risk of the</w:t>
      </w:r>
      <w:r>
        <w:t xml:space="preserve"> </w:t>
      </w:r>
      <w:r>
        <w:t xml:space="preserve">originating bank.</w:t>
      </w:r>
      <w:r>
        <w:t xml:space="preserve"> </w:t>
      </w:r>
      <w:r>
        <w:t xml:space="preserve">Figure 2: Synthetic Securitisation Structure</w:t>
      </w:r>
    </w:p>
    <w:p>
      <w:pPr>
        <w:pStyle w:val="BodyText"/>
      </w:pPr>
      <w:r>
        <w:t xml:space="preserve">9 Source: EBA COREP statistics. In addition, the International Association of Credit Portfolio Managers (IACPM)</w:t>
      </w:r>
      <w:r>
        <w:t xml:space="preserve"> </w:t>
      </w:r>
      <w:r>
        <w:t xml:space="preserve">performs regular market surveys on synthetic SRT securitisations, for details see: IACPM 2016-2022 Survey</w:t>
      </w:r>
      <w:r>
        <w:t xml:space="preserve"> </w:t>
      </w:r>
      <w:r>
        <w:t xml:space="preserve">Confirms that Risk Sharing is Becoming Mainstream - International Association of Credit Portfolio Managers.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Figure 3: Example of synthetic securitisation and regulatory capital relief</w:t>
      </w:r>
    </w:p>
    <w:p>
      <w:pPr>
        <w:pStyle w:val="BodyText"/>
      </w:pPr>
      <w:r>
        <w:t xml:space="preserve">Source: The European significant risk transfer securitisation market”, González and Triandafil (2023)</w:t>
      </w:r>
      <w:r>
        <w:t xml:space="preserve"> </w:t>
      </w:r>
      <w:r>
        <w:t xml:space="preserve">Figure 3 illustrates how a bank can obtain capital relief through synthetic securitisation,</w:t>
      </w:r>
      <w:r>
        <w:t xml:space="preserve"> </w:t>
      </w:r>
      <w:r>
        <w:t xml:space="preserve">enabling them to lower capital requirements compared to an alternative scenario without</w:t>
      </w:r>
      <w:r>
        <w:t xml:space="preserve"> </w:t>
      </w:r>
      <w:r>
        <w:t xml:space="preserve">securitisation. The underlying reference loan pool is EUR 2 billion. With a risk weight of 53%</w:t>
      </w:r>
      <w:r>
        <w:t xml:space="preserve"> </w:t>
      </w:r>
      <w:r>
        <w:t xml:space="preserve">and a 8% minimum capital requirement, this bank would face a EUR 85 million minimum</w:t>
      </w:r>
      <w:r>
        <w:t xml:space="preserve"> </w:t>
      </w:r>
      <w:r>
        <w:t xml:space="preserve">capital requirement for this portfolio.</w:t>
      </w:r>
      <w:r>
        <w:br/>
      </w:r>
      <w:r>
        <w:t xml:space="preserve">However, through a synthetic securitisation the bank may save on capital requirements by</w:t>
      </w:r>
      <w:r>
        <w:t xml:space="preserve"> </w:t>
      </w:r>
      <w:r>
        <w:t xml:space="preserve">transferring the risk of the mezzanine tranche to an investor (credit risk protection provider).</w:t>
      </w:r>
      <w:r>
        <w:t xml:space="preserve"> </w:t>
      </w:r>
      <w:r>
        <w:t xml:space="preserve">The portfolio is split in accordance with the capital requirements prescribed by the bank’s</w:t>
      </w:r>
      <w:r>
        <w:t xml:space="preserve"> </w:t>
      </w:r>
      <w:r>
        <w:t xml:space="preserve">regulatory securitisation approach. The senior tranche has only a 15% risk weight so requires</w:t>
      </w:r>
      <w:r>
        <w:t xml:space="preserve"> </w:t>
      </w:r>
      <w:r>
        <w:t xml:space="preserve">only EUR 22 million of capital; the mezzanine and first loss tranches have a 0% risk weight as</w:t>
      </w:r>
      <w:r>
        <w:t xml:space="preserve"> </w:t>
      </w:r>
      <w:r>
        <w:t xml:space="preserve">the risk is transferred to an external protection provider and no longer affects the bank’s balance</w:t>
      </w:r>
      <w:r>
        <w:t xml:space="preserve"> </w:t>
      </w:r>
      <w:r>
        <w:t xml:space="preserve">sheet.</w:t>
      </w:r>
      <w:r>
        <w:br/>
      </w:r>
      <w:r>
        <w:t xml:space="preserve">Overall, the transaction saves the bank EUR 63 million of capital in comparison to holding the</w:t>
      </w:r>
      <w:r>
        <w:t xml:space="preserve"> </w:t>
      </w:r>
      <w:r>
        <w:t xml:space="preserve">portfolio on its balance sheet without risk transfer.</w:t>
      </w:r>
    </w:p>
    <w:p>
      <w:pPr>
        <w:pStyle w:val="BodyText"/>
      </w:pPr>
      <w:r>
        <w:t xml:space="preserve">In the EU, securitisations can also be classified as public or private. Public securitisations (EU</w:t>
      </w:r>
      <w:r>
        <w:t xml:space="preserve"> </w:t>
      </w:r>
      <w:r>
        <w:t xml:space="preserve">outstanding volumes (excluding ABCP volumes) stood at EUR 900 billion as of end of 202310)</w:t>
      </w:r>
      <w:r>
        <w:t xml:space="preserve"> </w:t>
      </w:r>
      <w:r>
        <w:t xml:space="preserve">are those that must provide a prospectus to investors. Private securitisations (outstanding</w:t>
      </w:r>
      <w:r>
        <w:t xml:space="preserve"> </w:t>
      </w:r>
      <w:r>
        <w:t xml:space="preserve">volumes stood at EUR 632 billion as of end 202311) are defined as securitisations where no</w:t>
      </w:r>
      <w:r>
        <w:t xml:space="preserve"> </w:t>
      </w:r>
      <w:r>
        <w:t xml:space="preserve">prospectus has to be drawn up in accordance with Directive 2003/71/EC. Private securitisations</w:t>
      </w:r>
      <w:r>
        <w:t xml:space="preserve"> </w:t>
      </w:r>
      <w:r>
        <w:t xml:space="preserve">have to fulfil the same regulatory requirements as public securitisations, but they are not</w:t>
      </w:r>
      <w:r>
        <w:t xml:space="preserve"> </w:t>
      </w:r>
      <w:r>
        <w:t xml:space="preserve">required to use a securitisation repository to disclose the information prescribed by Article 7</w:t>
      </w:r>
    </w:p>
    <w:p>
      <w:pPr>
        <w:pStyle w:val="BodyText"/>
      </w:pPr>
      <w:r>
        <w:t xml:space="preserve">10 Source: AFME Securitisation data report</w:t>
      </w:r>
      <w:r>
        <w:t xml:space="preserve"> </w:t>
      </w:r>
      <w:r>
        <w:t xml:space="preserve">11 Source: EBA COREP covering transactions with bank involvement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of the SECR. Most traditional securitisations are public, while the majority of synthetic</w:t>
      </w:r>
      <w:r>
        <w:t xml:space="preserve"> </w:t>
      </w:r>
      <w:r>
        <w:t xml:space="preserve">securitisations are private.</w:t>
      </w:r>
      <w:r>
        <w:br/>
      </w:r>
      <w:r>
        <w:t xml:space="preserve">The securitisation market is therefore not a homogeneous market but is composed of various</w:t>
      </w:r>
      <w:r>
        <w:t xml:space="preserve"> </w:t>
      </w:r>
      <w:r>
        <w:t xml:space="preserve">different segments or types of securitisations. See Annex IX for a selection of case studies</w:t>
      </w:r>
      <w:r>
        <w:t xml:space="preserve"> </w:t>
      </w:r>
      <w:r>
        <w:t xml:space="preserve">which elaborate how securitisation has been used for the benefit of the real economy.</w:t>
      </w:r>
      <w:r>
        <w:t xml:space="preserve"> </w:t>
      </w:r>
      <w:r>
        <w:t xml:space="preserve">1.2. Legal context</w:t>
      </w:r>
      <w:r>
        <w:t xml:space="preserve"> </w:t>
      </w:r>
      <w:r>
        <w:t xml:space="preserve">The Securitisation Framework was adopted in 2017-18 and entered into application in 2019-</w:t>
      </w:r>
      <w:r>
        <w:t xml:space="preserve"> </w:t>
      </w:r>
      <w:r>
        <w:t xml:space="preserve">2012. It aimed to revive a safe securitisation market that improves financing of the EU economy.</w:t>
      </w:r>
      <w:r>
        <w:t xml:space="preserve"> </w:t>
      </w:r>
      <w:r>
        <w:t xml:space="preserve">It consists of a Securitisation Regulation (SECR)13 as well as amendments to the pre-existing</w:t>
      </w:r>
      <w:r>
        <w:t xml:space="preserve"> </w:t>
      </w:r>
      <w:r>
        <w:t xml:space="preserve">Capital Requirements Regulation (CRR)14, Liquidity Coverage Ratio Delegated Act (LCR)15,</w:t>
      </w:r>
      <w:r>
        <w:t xml:space="preserve"> </w:t>
      </w:r>
      <w:r>
        <w:t xml:space="preserve">Solvency II (SII) Delegated Regulation16. The SECR laid down a general framework for</w:t>
      </w:r>
      <w:r>
        <w:t xml:space="preserve"> </w:t>
      </w:r>
      <w:r>
        <w:t xml:space="preserve">securitisation applicable to all involved parties. It consists of detailed rules on risk retention,</w:t>
      </w:r>
      <w:r>
        <w:t xml:space="preserve"> </w:t>
      </w:r>
      <w:r>
        <w:t xml:space="preserve">transparency, due diligence, the prohibition of re-securitisation, and credit-granting standards.</w:t>
      </w:r>
      <w:r>
        <w:t xml:space="preserve"> </w:t>
      </w:r>
      <w:r>
        <w:t xml:space="preserve">It also introduced an additional voluntary framework for Simple, Transparent and Standardised</w:t>
      </w:r>
      <w:r>
        <w:t xml:space="preserve"> </w:t>
      </w:r>
      <w:r>
        <w:t xml:space="preserve">(STS) securitisations, originally limited to traditional securitisations only.</w:t>
      </w:r>
      <w:r>
        <w:t xml:space="preserve"> </w:t>
      </w:r>
      <w:r>
        <w:t xml:space="preserve">The CRR defines the prudential framework for banks and sets out how much capital banks</w:t>
      </w:r>
      <w:r>
        <w:t xml:space="preserve"> </w:t>
      </w:r>
      <w:r>
        <w:t xml:space="preserve">need to hold for their securitisation exposures, whether as originators or investors in</w:t>
      </w:r>
      <w:r>
        <w:t xml:space="preserve"> </w:t>
      </w:r>
      <w:r>
        <w:t xml:space="preserve">securitisation. SII defines the prudential framework for insurers and establishes capital</w:t>
      </w:r>
      <w:r>
        <w:t xml:space="preserve"> </w:t>
      </w:r>
      <w:r>
        <w:t xml:space="preserve">requirements for insurers’ investments in securitisation. The LCR defines eligibility conditions</w:t>
      </w:r>
      <w:r>
        <w:t xml:space="preserve"> </w:t>
      </w:r>
      <w:r>
        <w:t xml:space="preserve">for securitisation to be included in the banks’ liquidity buffers. Both CRR and LCR are largely</w:t>
      </w:r>
      <w:r>
        <w:t xml:space="preserve"> </w:t>
      </w:r>
      <w:r>
        <w:t xml:space="preserve">consistent with and implement the Basel III securitisation standards.</w:t>
      </w:r>
      <w:r>
        <w:br/>
      </w:r>
      <w:r>
        <w:t xml:space="preserve">In 2021, as part of the Capital Markets Recovery Package to help the EU economy to recover</w:t>
      </w:r>
      <w:r>
        <w:t xml:space="preserve"> </w:t>
      </w:r>
      <w:r>
        <w:t xml:space="preserve">from the COVID-19 pandemic, limited amendments to the SECR and to the CRR were</w:t>
      </w:r>
      <w:r>
        <w:t xml:space="preserve"> </w:t>
      </w:r>
      <w:r>
        <w:t xml:space="preserve">introduced. These amendments expanded the scope of the STS framework to synthetic</w:t>
      </w:r>
      <w:r>
        <w:t xml:space="preserve"> </w:t>
      </w:r>
      <w:r>
        <w:t xml:space="preserve">securitisations and removed certain regulatory impediments to the securitisation of non-</w:t>
      </w:r>
      <w:r>
        <w:t xml:space="preserve"> </w:t>
      </w:r>
      <w:r>
        <w:t xml:space="preserve">performing exposures.</w:t>
      </w:r>
    </w:p>
    <w:p>
      <w:pPr>
        <w:pStyle w:val="BodyText"/>
      </w:pPr>
      <w:r>
        <w:t xml:space="preserve">12 While the different constituent elements of the Framework came into application in January 2019, the CRR</w:t>
      </w:r>
      <w:r>
        <w:t xml:space="preserve"> </w:t>
      </w:r>
      <w:r>
        <w:t xml:space="preserve">allowed existing transactions to use the old rules until the end of 2019 so effectively the new CRR securitisation</w:t>
      </w:r>
      <w:r>
        <w:t xml:space="preserve"> </w:t>
      </w:r>
      <w:r>
        <w:t xml:space="preserve">rules only became fully applicable in January 2020.</w:t>
      </w:r>
      <w:r>
        <w:br/>
      </w:r>
      <w:r>
        <w:t xml:space="preserve">13 Regulation (EU) 2017/2402 of the European Parliament and of the Council of 12 December 2017 laying down</w:t>
      </w:r>
      <w:r>
        <w:t xml:space="preserve"> </w:t>
      </w:r>
      <w:r>
        <w:t xml:space="preserve">a general framework for securitisation and creating a specific framework for simple, transparent and standardised</w:t>
      </w:r>
      <w:r>
        <w:t xml:space="preserve"> </w:t>
      </w:r>
      <w:r>
        <w:t xml:space="preserve">securitisation, and amending Directives 2009/65/EC, 2009/138/EC and 2011/61/EU and Regulations (EC) No</w:t>
      </w:r>
      <w:r>
        <w:t xml:space="preserve"> </w:t>
      </w:r>
      <w:r>
        <w:t xml:space="preserve">1060/2009 and (EU) No 648/2012 (https://eur-lex.europa.eu/eli/reg/2017/2402/oj/eng)</w:t>
      </w:r>
      <w:r>
        <w:t xml:space="preserve"> </w:t>
      </w:r>
      <w:r>
        <w:t xml:space="preserve">14 Regulation (EU) No 575/2013 of the European Parliament and of the Council of 26 June 2013 on prudential</w:t>
      </w:r>
      <w:r>
        <w:t xml:space="preserve"> </w:t>
      </w:r>
      <w:r>
        <w:t xml:space="preserve">requirements for credit institutions and investment firms and amending Regulation (EU) No 648/2012 (https://eur-</w:t>
      </w:r>
      <w:r>
        <w:t xml:space="preserve"> </w:t>
      </w:r>
      <w:r>
        <w:t xml:space="preserve">lex.europa.eu/legal-content/EN/TXT/PDF/?uri=CELEX:02013R0575-20240709)</w:t>
      </w:r>
      <w:r>
        <w:t xml:space="preserve"> </w:t>
      </w:r>
      <w:r>
        <w:t xml:space="preserve">15 Commission Delegated Regulation (EU) 2015/61 of 10 October 2014 to supplement Regulation (EU) No</w:t>
      </w:r>
      <w:r>
        <w:t xml:space="preserve"> </w:t>
      </w:r>
      <w:r>
        <w:t xml:space="preserve">575/2013 of the European Parliament and the Council with regard to liquidity coverage requirement for Credit</w:t>
      </w:r>
      <w:r>
        <w:t xml:space="preserve"> </w:t>
      </w:r>
      <w:r>
        <w:t xml:space="preserve">Institutions (https://eur-lex.europa.eu/legal-content/EN/TXT/?uri=CELEX%3A02015R0061-20220708)</w:t>
      </w:r>
      <w:r>
        <w:t xml:space="preserve"> </w:t>
      </w:r>
      <w:r>
        <w:t xml:space="preserve">16 Commission Delegated Regulation (EU) 2015/35 of 10 October 2014 supplementing Directive 2009/138/EC of</w:t>
      </w:r>
      <w:r>
        <w:t xml:space="preserve"> </w:t>
      </w:r>
      <w:r>
        <w:t xml:space="preserve">the European Parliament and of the Council on the taking-up and pursuit of the business of Insurance and</w:t>
      </w:r>
      <w:r>
        <w:t xml:space="preserve"> </w:t>
      </w:r>
      <w:r>
        <w:t xml:space="preserve">Reinsurance (Solvency II) (EUR-Lex - 02015R0035-20241114 - EN - EUR-Lex)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Furthermore in 2024, a dedicated regime for green securitisations was introduced as part of the</w:t>
      </w:r>
      <w:r>
        <w:t xml:space="preserve"> </w:t>
      </w:r>
      <w:r>
        <w:t xml:space="preserve">European Green Bond Standard Regulation (EUGBS)17. The EUGBS introduces a voluntary</w:t>
      </w:r>
      <w:r>
        <w:t xml:space="preserve"> </w:t>
      </w:r>
      <w:r>
        <w:t xml:space="preserve">standard for securitisation bonds to be labelled as green. In order to qualify, assets in the</w:t>
      </w:r>
      <w:r>
        <w:t xml:space="preserve"> </w:t>
      </w:r>
      <w:r>
        <w:t xml:space="preserve">securitisation pool have to fulfil certain requirements and originators must allocate the proceeds</w:t>
      </w:r>
      <w:r>
        <w:t xml:space="preserve"> </w:t>
      </w:r>
      <w:r>
        <w:t xml:space="preserve">from securitisation to economic activities compliant with the EU Taxonomy Regulation.</w:t>
      </w:r>
      <w:r>
        <w:br/>
      </w:r>
      <w:r>
        <w:t xml:space="preserve">The evaluation in Annex V (section 2.2) explains the intervention logic of the current</w:t>
      </w:r>
      <w:r>
        <w:t xml:space="preserve"> </w:t>
      </w:r>
      <w:r>
        <w:t xml:space="preserve">framework, i.e. the problems it intended to tackle, the solutions found and their expected and</w:t>
      </w:r>
      <w:r>
        <w:t xml:space="preserve"> </w:t>
      </w:r>
      <w:r>
        <w:t xml:space="preserve">observed impacts. It assesses how the Securitisation Framework has performed over the past</w:t>
      </w:r>
      <w:r>
        <w:t xml:space="preserve"> </w:t>
      </w:r>
      <w:r>
        <w:t xml:space="preserve">five years and how it can be further improved.</w:t>
      </w:r>
      <w:r>
        <w:t xml:space="preserve"> </w:t>
      </w:r>
      <w:r>
        <w:t xml:space="preserve">1.3. Political context</w:t>
      </w:r>
      <w:r>
        <w:br/>
      </w:r>
      <w:r>
        <w:t xml:space="preserve">In response to the global financial and sovereign debt crises, the EU took multiple actions to</w:t>
      </w:r>
      <w:r>
        <w:t xml:space="preserve"> </w:t>
      </w:r>
      <w:r>
        <w:t xml:space="preserve">create a safer financial sector for the EU single market, including a framework to revitalise the</w:t>
      </w:r>
      <w:r>
        <w:t xml:space="preserve"> </w:t>
      </w:r>
      <w:r>
        <w:t xml:space="preserve">use of securitisation while preserving financial stability. In that context, the Securitisation</w:t>
      </w:r>
      <w:r>
        <w:t xml:space="preserve"> </w:t>
      </w:r>
      <w:r>
        <w:t xml:space="preserve">Framework was an important initiative under the initial Capital Markets Union (CMU) Action</w:t>
      </w:r>
      <w:r>
        <w:t xml:space="preserve"> </w:t>
      </w:r>
      <w:r>
        <w:t xml:space="preserve">Plan. Although reviving the securitisation market following the shock of the GFC was part of</w:t>
      </w:r>
      <w:r>
        <w:t xml:space="preserve"> </w:t>
      </w:r>
      <w:r>
        <w:t xml:space="preserve">the general objective of the Securitisation Framework, the focus was more on making the</w:t>
      </w:r>
      <w:r>
        <w:t xml:space="preserve"> </w:t>
      </w:r>
      <w:r>
        <w:t xml:space="preserve">market extremely safe, and fighting the stigma associated with securitisation. As a result, most</w:t>
      </w:r>
      <w:r>
        <w:t xml:space="preserve"> </w:t>
      </w:r>
      <w:r>
        <w:t xml:space="preserve">measures that were introduced made the regulatory treatment of securitisation more</w:t>
      </w:r>
      <w:r>
        <w:t xml:space="preserve"> </w:t>
      </w:r>
      <w:r>
        <w:t xml:space="preserve">conservative and aimed to primarily mitigate risks, rather than stimulate market development.</w:t>
      </w:r>
      <w:r>
        <w:br/>
      </w:r>
      <w:r>
        <w:t xml:space="preserve">In light of several years of experience with the current rules and taking into account several</w:t>
      </w:r>
      <w:r>
        <w:t xml:space="preserve"> </w:t>
      </w:r>
      <w:r>
        <w:t xml:space="preserve">recent high level political statements18 that have highlighted the need to take additional</w:t>
      </w:r>
      <w:r>
        <w:t xml:space="preserve"> </w:t>
      </w:r>
      <w:r>
        <w:t xml:space="preserve">measures to remove issuance and investment barriers in the EU securitisation market, this</w:t>
      </w:r>
      <w:r>
        <w:t xml:space="preserve"> </w:t>
      </w:r>
      <w:r>
        <w:t xml:space="preserve">review aims to strike a better balance between safety and market development. Annex II</w:t>
      </w:r>
      <w:r>
        <w:t xml:space="preserve"> </w:t>
      </w:r>
      <w:r>
        <w:t xml:space="preserve">provides for a detailed description of inputs received and positions of Member States, ESAs,</w:t>
      </w:r>
      <w:r>
        <w:t xml:space="preserve"> </w:t>
      </w:r>
      <w:r>
        <w:t xml:space="preserve">ECB and other stakeholders.</w:t>
      </w:r>
      <w:r>
        <w:br/>
      </w:r>
      <w:r>
        <w:t xml:space="preserve">Relaunching securitisation has also been recommended in the reports from Enrico Letta and</w:t>
      </w:r>
      <w:r>
        <w:t xml:space="preserve"> </w:t>
      </w:r>
      <w:r>
        <w:t xml:space="preserve">Mario Draghi as a means of strengthening the lending capacity of European banks for the</w:t>
      </w:r>
      <w:r>
        <w:t xml:space="preserve"> </w:t>
      </w:r>
      <w:r>
        <w:t xml:space="preserve">financing needs of EU priorities including defence, creating deeper capital markets, building</w:t>
      </w:r>
      <w:r>
        <w:t xml:space="preserve"> </w:t>
      </w:r>
      <w:r>
        <w:t xml:space="preserve">the Savings and Investments Union and increasing the EU’s competitiveness. Finally, the need</w:t>
      </w:r>
      <w:r>
        <w:t xml:space="preserve"> </w:t>
      </w:r>
      <w:r>
        <w:t xml:space="preserve">to accelerate work on all the measures developing banking and capital markets, including</w:t>
      </w:r>
      <w:r>
        <w:t xml:space="preserve"> </w:t>
      </w:r>
      <w:r>
        <w:t xml:space="preserve">securitisation, was highlighted in the political guidelines of Commission President von der</w:t>
      </w:r>
      <w:r>
        <w:t xml:space="preserve"> </w:t>
      </w:r>
      <w:r>
        <w:t xml:space="preserve">Leyen from July 2024, and reiterated in the mission letter to Commissioner Albuquerque. One</w:t>
      </w:r>
      <w:r>
        <w:t xml:space="preserve"> </w:t>
      </w:r>
      <w:r>
        <w:t xml:space="preserve">issue, which is mentioned in the public debate, is the possibility of setting up securitisation</w:t>
      </w:r>
    </w:p>
    <w:p>
      <w:pPr>
        <w:pStyle w:val="BodyText"/>
      </w:pPr>
      <w:r>
        <w:t xml:space="preserve">17 Regulation (EU) 2023/2631 of the European Parliament and of the Council of 22 November 2023 on European</w:t>
      </w:r>
      <w:r>
        <w:t xml:space="preserve"> </w:t>
      </w:r>
      <w:r>
        <w:t xml:space="preserve">Green Bonds and optional disclosures for bonds marketed as environmentally sustainable and for sustainability-</w:t>
      </w:r>
      <w:r>
        <w:t xml:space="preserve"> </w:t>
      </w:r>
      <w:r>
        <w:t xml:space="preserve">linked bonds.</w:t>
      </w:r>
      <w:r>
        <w:t xml:space="preserve"> </w:t>
      </w:r>
      <w:r>
        <w:t xml:space="preserve">18 The Eurogroup statement of 11 March 2024 invited the Commission to assess all the supply and demand factors</w:t>
      </w:r>
      <w:r>
        <w:t xml:space="preserve"> </w:t>
      </w:r>
      <w:r>
        <w:t xml:space="preserve">hampering the development of the securitisation market in the EU, including the prudential treatment of</w:t>
      </w:r>
      <w:r>
        <w:t xml:space="preserve"> </w:t>
      </w:r>
      <w:r>
        <w:t xml:space="preserve">securitisation for banks and insurance companies and the transparency and due diligence requirements (while</w:t>
      </w:r>
      <w:r>
        <w:t xml:space="preserve"> </w:t>
      </w:r>
      <w:r>
        <w:t xml:space="preserve">taking into account international standards). Similarly, the ECB Governing Council statement of 7 March 2024</w:t>
      </w:r>
      <w:r>
        <w:t xml:space="preserve"> </w:t>
      </w:r>
      <w:r>
        <w:t xml:space="preserve">suggested exploring the use of public guarantees and further standardisation of securitisation issuances. The</w:t>
      </w:r>
      <w:r>
        <w:t xml:space="preserve"> </w:t>
      </w:r>
      <w:r>
        <w:t xml:space="preserve">European Council conclusions of 18 April 2024 called to relaunch the European securitisation market, including</w:t>
      </w:r>
      <w:r>
        <w:t xml:space="preserve"> </w:t>
      </w:r>
      <w:r>
        <w:t xml:space="preserve">through regulatory and prudential changes. The European Council conclusions of June 2024 called again on the</w:t>
      </w:r>
      <w:r>
        <w:t xml:space="preserve"> </w:t>
      </w:r>
      <w:r>
        <w:t xml:space="preserve">Council and the Commission to accelerate work on all identified measures under the Capital Markets Union.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platform(s), with various ideas being put forward on the possible characteristics and functions</w:t>
      </w:r>
      <w:r>
        <w:t xml:space="preserve"> </w:t>
      </w:r>
      <w:r>
        <w:t xml:space="preserve">of such platforms (see Draghi report)19. Annex VI discusses the issues more in detail.</w:t>
      </w:r>
      <w:r>
        <w:br/>
      </w:r>
      <w:r>
        <w:t xml:space="preserve">Increasing the competitiveness of the EU economy requires substantial investments for the</w:t>
      </w:r>
      <w:r>
        <w:t xml:space="preserve"> </w:t>
      </w:r>
      <w:r>
        <w:t xml:space="preserve">green and digital transitions, and for funding our strategic priorities including the defence</w:t>
      </w:r>
      <w:r>
        <w:t xml:space="preserve"> </w:t>
      </w:r>
      <w:r>
        <w:t xml:space="preserve">sector (see the Competitiveness Compass20 for a more comprehensive list of the European</w:t>
      </w:r>
      <w:r>
        <w:t xml:space="preserve"> </w:t>
      </w:r>
      <w:r>
        <w:t xml:space="preserve">Commission’s strategic priorities). By allowing banks to lend more, securitisation can</w:t>
      </w:r>
      <w:r>
        <w:t xml:space="preserve"> </w:t>
      </w:r>
      <w:r>
        <w:t xml:space="preserve">contribute to the financing of these large investment needs. Securitisation is an additional tool</w:t>
      </w:r>
      <w:r>
        <w:t xml:space="preserve"> </w:t>
      </w:r>
      <w:r>
        <w:t xml:space="preserve">to meet the financing needs of corporates and SMEs. Against this background, this impact</w:t>
      </w:r>
      <w:r>
        <w:t xml:space="preserve"> </w:t>
      </w:r>
      <w:r>
        <w:t xml:space="preserve">assessment outlines the problems with the current framework based on the evaluation (Annex</w:t>
      </w:r>
      <w:r>
        <w:t xml:space="preserve"> </w:t>
      </w:r>
      <w:r>
        <w:t xml:space="preserve">V), identifies areas for improvement, and explores reform options that could further enhance</w:t>
      </w:r>
      <w:r>
        <w:t xml:space="preserve"> </w:t>
      </w:r>
      <w:r>
        <w:t xml:space="preserve">the EU’s securitisation markets, ultimately contributing to a more resilient and integrated</w:t>
      </w:r>
      <w:r>
        <w:t xml:space="preserve"> </w:t>
      </w:r>
      <w:r>
        <w:t xml:space="preserve">Savings and Investments Union.</w:t>
      </w:r>
      <w:r>
        <w:br/>
      </w:r>
      <w:r>
        <w:t xml:space="preserve">2.</w:t>
      </w:r>
      <w:r>
        <w:t xml:space="preserve"> </w:t>
      </w:r>
      <w:r>
        <w:t xml:space="preserve">PROBLEM DEFINITION</w:t>
      </w:r>
      <w:r>
        <w:br/>
      </w:r>
      <w:r>
        <w:t xml:space="preserve">2.1 What are the problems and problem drivers?</w:t>
      </w:r>
      <w:r>
        <w:t xml:space="preserve"> </w:t>
      </w:r>
      <w:r>
        <w:t xml:space="preserve">As the evaluation (Annex V, section 4) has demonstrated, the current framework has served to</w:t>
      </w:r>
      <w:r>
        <w:t xml:space="preserve"> </w:t>
      </w:r>
      <w:r>
        <w:t xml:space="preserve">make the EU securitisation market safer. At the same time, it has resulted in high operational</w:t>
      </w:r>
      <w:r>
        <w:t xml:space="preserve"> </w:t>
      </w:r>
      <w:r>
        <w:t xml:space="preserve">costs for issuers and investors, and high prudential costs21 for banks and insurers. Ultimately,</w:t>
      </w:r>
      <w:r>
        <w:t xml:space="preserve"> </w:t>
      </w:r>
      <w:r>
        <w:t xml:space="preserve">these high costs constitute a regulatory failure, which disincentivises issuance and investment</w:t>
      </w:r>
      <w:r>
        <w:t xml:space="preserve"> </w:t>
      </w:r>
      <w:r>
        <w:t xml:space="preserve">in the EU securitisation market. The evaluation shows that the specific objectives set out in the</w:t>
      </w:r>
      <w:r>
        <w:t xml:space="preserve"> </w:t>
      </w:r>
      <w:r>
        <w:t xml:space="preserve">2015 Impact Assessment (see below for a summary of this assessment) remain unmet or are</w:t>
      </w:r>
      <w:r>
        <w:t xml:space="preserve"> </w:t>
      </w:r>
      <w:r>
        <w:t xml:space="preserve">only partially achieved. The Securitisation Framework has not been effective in</w:t>
      </w:r>
      <w:r>
        <w:t xml:space="preserve"> </w:t>
      </w:r>
      <w:r>
        <w:t xml:space="preserve">reducing/eliminating unduly high operational costs (Problem 1 below), while it has been</w:t>
      </w:r>
      <w:r>
        <w:t xml:space="preserve"> </w:t>
      </w:r>
      <w:r>
        <w:t xml:space="preserve">partially effective in removing (i) regulatory disadvantages for simple and transparent</w:t>
      </w:r>
      <w:r>
        <w:t xml:space="preserve"> </w:t>
      </w:r>
      <w:r>
        <w:t xml:space="preserve">securitisations, and (ii) investor stigma. In addition, the evaluation and stakeholder feedback</w:t>
      </w:r>
      <w:r>
        <w:t xml:space="preserve"> </w:t>
      </w:r>
      <w:r>
        <w:t xml:space="preserve">have identified undue prudential barriers that disincentive banks to issue and invest (Problem</w:t>
      </w:r>
      <w:r>
        <w:t xml:space="preserve"> </w:t>
      </w:r>
      <w:r>
        <w:t xml:space="preserve">2 below) and for insurers to invest (Problem 3 below) as two new problems that need to be</w:t>
      </w:r>
      <w:r>
        <w:t xml:space="preserve"> </w:t>
      </w:r>
      <w:r>
        <w:t xml:space="preserve">addressed.</w:t>
      </w:r>
    </w:p>
    <w:p>
      <w:pPr>
        <w:pStyle w:val="BodyText"/>
      </w:pPr>
      <w:r>
        <w:t xml:space="preserve">19 Action by Member States and industry, in particular in those countries where issuance is limited, would help</w:t>
      </w:r>
      <w:r>
        <w:t xml:space="preserve"> </w:t>
      </w:r>
      <w:r>
        <w:t xml:space="preserve">issuers, investors, supervisors and the local legal community to develop platforms to encourage the issuance of</w:t>
      </w:r>
      <w:r>
        <w:t xml:space="preserve"> </w:t>
      </w:r>
      <w:r>
        <w:t xml:space="preserve">securitisation.</w:t>
      </w:r>
      <w:r>
        <w:t xml:space="preserve"> </w:t>
      </w:r>
      <w:r>
        <w:t xml:space="preserve">20 See: EU competitiveness - European Commission</w:t>
      </w:r>
      <w:r>
        <w:t xml:space="preserve"> </w:t>
      </w:r>
      <w:r>
        <w:t xml:space="preserve">21 The term ‘prudential cost’ is probably not fully accurate. It is used in this impact assessment for the sake of</w:t>
      </w:r>
      <w:r>
        <w:t xml:space="preserve"> </w:t>
      </w:r>
      <w:r>
        <w:t xml:space="preserve">simplicity although it should not be assimilated to an ‘accounting cost’. In fact, both banks and insurers are subject</w:t>
      </w:r>
      <w:r>
        <w:t xml:space="preserve"> </w:t>
      </w:r>
      <w:r>
        <w:t xml:space="preserve">to ‘risk-based’ capital requirements. These funding requirements determine how much capital financial</w:t>
      </w:r>
      <w:r>
        <w:t xml:space="preserve"> </w:t>
      </w:r>
      <w:r>
        <w:t xml:space="preserve">institutions should hold to cover the risks arising from their investments. Capital requirements are a necessary</w:t>
      </w:r>
      <w:r>
        <w:t xml:space="preserve"> </w:t>
      </w:r>
      <w:r>
        <w:t xml:space="preserve">feature of prudential rules to protect policyholders and depositors by limiting the risk of failure of an insurer or a</w:t>
      </w:r>
      <w:r>
        <w:t xml:space="preserve"> </w:t>
      </w:r>
      <w:r>
        <w:t xml:space="preserve">bank. The use of the term ‘prudential cost’ does not mean that capital requirements are undesirable or that the</w:t>
      </w:r>
      <w:r>
        <w:t xml:space="preserve"> </w:t>
      </w:r>
      <w:r>
        <w:t xml:space="preserve">ultimate objective of any initiative on securitisation should be to set all capital requirements to (almost) zero. At</w:t>
      </w:r>
      <w:r>
        <w:t xml:space="preserve"> </w:t>
      </w:r>
      <w:r>
        <w:t xml:space="preserve">the same time, capital requirements still can act as a limiting factor in insurers’ and banks’ ability to invest in</w:t>
      </w:r>
      <w:r>
        <w:t xml:space="preserve"> </w:t>
      </w:r>
      <w:r>
        <w:t xml:space="preserve">and/or issue securitisation. Therefore, by referring to ‘prudential costs’, the impact assessment simply underlines</w:t>
      </w:r>
      <w:r>
        <w:t xml:space="preserve"> </w:t>
      </w:r>
      <w:r>
        <w:t xml:space="preserve">that the appropriateness of the calibration of capital requirements needs to be reassessed, without challenging the</w:t>
      </w:r>
      <w:r>
        <w:t xml:space="preserve"> </w:t>
      </w:r>
      <w:r>
        <w:t xml:space="preserve">existence of such requirements.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Table 1: Assessment of objectives from the 2015 Impact Assessment</w:t>
      </w:r>
      <w:r>
        <w:t xml:space="preserve"> </w:t>
      </w:r>
      <w:r>
        <w:t xml:space="preserve">Objective</w:t>
      </w:r>
      <w:r>
        <w:t xml:space="preserve"> </w:t>
      </w:r>
      <w:r>
        <w:t xml:space="preserve">Assessment (see Annex V, section 4 for a</w:t>
      </w:r>
      <w:r>
        <w:t xml:space="preserve"> </w:t>
      </w:r>
      <w:r>
        <w:t xml:space="preserve">detailed assessment)</w:t>
      </w:r>
      <w:r>
        <w:t xml:space="preserve"> </w:t>
      </w:r>
      <w:r>
        <w:t xml:space="preserve">Reduce/eliminate unduly high operational</w:t>
      </w:r>
      <w:r>
        <w:t xml:space="preserve"> </w:t>
      </w:r>
      <w:r>
        <w:t xml:space="preserve">costs for issuers and investors</w:t>
      </w:r>
      <w:r>
        <w:t xml:space="preserve"> </w:t>
      </w:r>
      <w:r>
        <w:t xml:space="preserve">Not achieved</w:t>
      </w:r>
      <w:r>
        <w:t xml:space="preserve"> </w:t>
      </w:r>
      <w:r>
        <w:t xml:space="preserve">Remove stigma from investors</w:t>
      </w:r>
      <w:r>
        <w:t xml:space="preserve"> </w:t>
      </w:r>
      <w:r>
        <w:t xml:space="preserve">Partially achieved</w:t>
      </w:r>
      <w:r>
        <w:t xml:space="preserve"> </w:t>
      </w:r>
      <w:r>
        <w:t xml:space="preserve">Remove</w:t>
      </w:r>
      <w:r>
        <w:t xml:space="preserve"> </w:t>
      </w:r>
      <w:r>
        <w:t xml:space="preserve">regulatory</w:t>
      </w:r>
      <w:r>
        <w:t xml:space="preserve"> </w:t>
      </w:r>
      <w:r>
        <w:t xml:space="preserve">disadvantages</w:t>
      </w:r>
      <w:r>
        <w:t xml:space="preserve"> </w:t>
      </w:r>
      <w:r>
        <w:t xml:space="preserve">for</w:t>
      </w:r>
      <w:r>
        <w:t xml:space="preserve"> </w:t>
      </w:r>
      <w:r>
        <w:t xml:space="preserve">simple</w:t>
      </w:r>
      <w:r>
        <w:t xml:space="preserve"> </w:t>
      </w:r>
      <w:r>
        <w:t xml:space="preserve">and</w:t>
      </w:r>
      <w:r>
        <w:t xml:space="preserve"> </w:t>
      </w:r>
      <w:r>
        <w:t xml:space="preserve">transparent</w:t>
      </w:r>
      <w:r>
        <w:t xml:space="preserve"> </w:t>
      </w:r>
      <w:r>
        <w:t xml:space="preserve">securitisation</w:t>
      </w:r>
      <w:r>
        <w:t xml:space="preserve"> </w:t>
      </w:r>
      <w:r>
        <w:t xml:space="preserve">products</w:t>
      </w:r>
      <w:r>
        <w:t xml:space="preserve"> </w:t>
      </w:r>
      <w:r>
        <w:t xml:space="preserve">Partially achieved</w:t>
      </w:r>
      <w:r>
        <w:t xml:space="preserve"> </w:t>
      </w:r>
      <w:r>
        <w:t xml:space="preserve">2.1.1. Problem Tree</w:t>
      </w:r>
      <w:r>
        <w:t xml:space="preserve"> </w:t>
      </w:r>
      <w:r>
        <w:t xml:space="preserve">Figure 4 displays the problem tree, covering the three problems that were identified in the</w:t>
      </w:r>
      <w:r>
        <w:t xml:space="preserve"> </w:t>
      </w:r>
      <w:r>
        <w:t xml:space="preserve">evaluation of the Securitisation Framework, as well as during the targeted consultation and in</w:t>
      </w:r>
      <w:r>
        <w:t xml:space="preserve"> </w:t>
      </w:r>
      <w:r>
        <w:t xml:space="preserve">meetings with various stakeholders. They are described in the following sections, together with</w:t>
      </w:r>
      <w:r>
        <w:t xml:space="preserve"> </w:t>
      </w:r>
      <w:r>
        <w:t xml:space="preserve">their problem drivers and related consequences.</w:t>
      </w:r>
      <w:r>
        <w:br/>
      </w:r>
      <w:r>
        <w:t xml:space="preserve">The first problem groups together all issues related to the high operational costs faced by issuers</w:t>
      </w:r>
      <w:r>
        <w:t xml:space="preserve"> </w:t>
      </w:r>
      <w:r>
        <w:t xml:space="preserve">and investors in the EU securitisation market. The second problem focuses on prudential</w:t>
      </w:r>
      <w:r>
        <w:t xml:space="preserve"> </w:t>
      </w:r>
      <w:r>
        <w:t xml:space="preserve">factors that unduly disincentivise banks to issue or invest in securitisations. The third problem</w:t>
      </w:r>
      <w:r>
        <w:t xml:space="preserve"> </w:t>
      </w:r>
      <w:r>
        <w:t xml:space="preserve">focuses on the prudential factors that act as an undue disincentive for insurers to invest in the</w:t>
      </w:r>
      <w:r>
        <w:t xml:space="preserve"> </w:t>
      </w:r>
      <w:r>
        <w:t xml:space="preserve">EU securitisation market.</w:t>
      </w:r>
      <w:r>
        <w:t xml:space="preserve"> </w:t>
      </w:r>
      <w:r>
        <w:t xml:space="preserve">Figure 4:</w:t>
      </w:r>
      <w:r>
        <w:t xml:space="preserve"> </w:t>
      </w:r>
      <w:r>
        <w:t xml:space="preserve">Problem tree</w:t>
      </w:r>
    </w:p>
    <w:p>
      <w:pPr>
        <w:pStyle w:val="BodyText"/>
      </w:pPr>
      <w:r>
        <w:t xml:space="preserve">External factors</w:t>
      </w:r>
      <w:r>
        <w:t xml:space="preserve"> </w:t>
      </w:r>
      <w:r>
        <w:t xml:space="preserve">Beyond the regulatory framework, there are external factors that affect financial institutions’</w:t>
      </w:r>
      <w:r>
        <w:t xml:space="preserve"> </w:t>
      </w:r>
      <w:r>
        <w:t xml:space="preserve">decisions to issue and invest in the EU securitisation market. These include, among others,</w:t>
      </w:r>
      <w:r>
        <w:t xml:space="preserve"> </w:t>
      </w:r>
      <w:r>
        <w:t xml:space="preserve">monetary policy, credit growth, and the availability of alternative funding sources like covered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bonds. Evaluating the combined impact of these external factors on the development of the EU</w:t>
      </w:r>
      <w:r>
        <w:t xml:space="preserve"> </w:t>
      </w:r>
      <w:r>
        <w:t xml:space="preserve">securitisation market since the GFC is challenging due to their interdependent nature—such as</w:t>
      </w:r>
      <w:r>
        <w:t xml:space="preserve"> </w:t>
      </w:r>
      <w:r>
        <w:t xml:space="preserve">the interaction between monetary policy, credit growth, and the availability of alternative</w:t>
      </w:r>
      <w:r>
        <w:t xml:space="preserve"> </w:t>
      </w:r>
      <w:r>
        <w:t xml:space="preserve">funding sources—and the significant variation in elements like credit growth and funding</w:t>
      </w:r>
      <w:r>
        <w:t xml:space="preserve"> </w:t>
      </w:r>
      <w:r>
        <w:t xml:space="preserve">alternatives across different Member States. Although some of these factors were mentioned</w:t>
      </w:r>
      <w:r>
        <w:t xml:space="preserve"> </w:t>
      </w:r>
      <w:r>
        <w:t xml:space="preserve">by stakeholders, they primarily focused on the impact of the regulatory framework on the</w:t>
      </w:r>
      <w:r>
        <w:t xml:space="preserve"> </w:t>
      </w:r>
      <w:r>
        <w:t xml:space="preserve">securitisation market.</w:t>
      </w:r>
    </w:p>
    <w:p>
      <w:pPr>
        <w:pStyle w:val="BodyText"/>
      </w:pPr>
      <w:r>
        <w:t xml:space="preserve">The impact of accommodative monetary policy on the EU securitisation market since the</w:t>
      </w:r>
      <w:r>
        <w:t xml:space="preserve"> </w:t>
      </w:r>
      <w:r>
        <w:t xml:space="preserve">Global Financial Crisis is unclear. On the one hand, accommodative monetary policy (up until</w:t>
      </w:r>
      <w:r>
        <w:t xml:space="preserve"> </w:t>
      </w:r>
      <w:r>
        <w:t xml:space="preserve">2022) could have disincentivised banks to issue traditional securitisations as they had access to</w:t>
      </w:r>
      <w:r>
        <w:t xml:space="preserve"> </w:t>
      </w:r>
      <w:r>
        <w:t xml:space="preserve">cheap funding alternatives: central bank funding, stable deposits and liquid EU covered bond</w:t>
      </w:r>
      <w:r>
        <w:t xml:space="preserve"> </w:t>
      </w:r>
      <w:r>
        <w:t xml:space="preserve">markets22. On the other hand, the low-for-long interest rate environment could have</w:t>
      </w:r>
      <w:r>
        <w:t xml:space="preserve"> </w:t>
      </w:r>
      <w:r>
        <w:t xml:space="preserve">incentivised banks to lend more, thus providing banks with more opportunities to transfer risk</w:t>
      </w:r>
      <w:r>
        <w:t xml:space="preserve"> </w:t>
      </w:r>
      <w:r>
        <w:t xml:space="preserve">and increase their activity in the securitisation market23. Nevertheless, the low-interest rate</w:t>
      </w:r>
      <w:r>
        <w:t xml:space="preserve"> </w:t>
      </w:r>
      <w:r>
        <w:t xml:space="preserve">environment was a common factor across many other economies and therefore may not explain</w:t>
      </w:r>
      <w:r>
        <w:t xml:space="preserve"> </w:t>
      </w:r>
      <w:r>
        <w:t xml:space="preserve">on its own the slower pace of market development in the EU vis-a-vis other jurisdictions like</w:t>
      </w:r>
      <w:r>
        <w:t xml:space="preserve"> </w:t>
      </w:r>
      <w:r>
        <w:t xml:space="preserve">the United States or Australia where this market has recorded much higher issuance as a</w:t>
      </w:r>
      <w:r>
        <w:t xml:space="preserve"> </w:t>
      </w:r>
      <w:r>
        <w:t xml:space="preserve">percentage of GDP in the last 10 years (see Evaluation Section on Market Context for more</w:t>
      </w:r>
      <w:r>
        <w:t xml:space="preserve"> </w:t>
      </w:r>
      <w:r>
        <w:t xml:space="preserve">details).</w:t>
      </w:r>
    </w:p>
    <w:p>
      <w:pPr>
        <w:pStyle w:val="BodyText"/>
      </w:pPr>
      <w:r>
        <w:t xml:space="preserve">Regarding credit growth, it is generally expected that higher credit growth would have a</w:t>
      </w:r>
      <w:r>
        <w:t xml:space="preserve"> </w:t>
      </w:r>
      <w:r>
        <w:t xml:space="preserve">positive impact on securitisation activity. This is because, all else being equal, financial</w:t>
      </w:r>
      <w:r>
        <w:t xml:space="preserve"> </w:t>
      </w:r>
      <w:r>
        <w:t xml:space="preserve">institutions need to fund their increasing loan portfolios and free up their balance sheets to</w:t>
      </w:r>
      <w:r>
        <w:t xml:space="preserve"> </w:t>
      </w:r>
      <w:r>
        <w:t xml:space="preserve">facilitate further lending as demand for loans rises - and securitisation can fulfil both functions.</w:t>
      </w:r>
      <w:r>
        <w:t xml:space="preserve"> </w:t>
      </w:r>
      <w:r>
        <w:t xml:space="preserve">Credit growth in the EU experienced varying trends since the GFC, so its impact on the market</w:t>
      </w:r>
      <w:r>
        <w:t xml:space="preserve"> </w:t>
      </w:r>
      <w:r>
        <w:t xml:space="preserve">is ambiguous.</w:t>
      </w:r>
      <w:r>
        <w:br/>
      </w:r>
      <w:r>
        <w:t xml:space="preserve">It is normal for market conditions to affect the attractiveness of financial instruments, including</w:t>
      </w:r>
      <w:r>
        <w:t xml:space="preserve"> </w:t>
      </w:r>
      <w:r>
        <w:t xml:space="preserve">securitisation. Financial institutions should be able to select the instrument that best suits their</w:t>
      </w:r>
      <w:r>
        <w:t xml:space="preserve"> </w:t>
      </w:r>
      <w:r>
        <w:t xml:space="preserve">needs, based on the prevailing market conditions. The objective of this initiative is therefore to</w:t>
      </w:r>
      <w:r>
        <w:t xml:space="preserve"> </w:t>
      </w:r>
      <w:r>
        <w:t xml:space="preserve">focus on eliminating any unnecessary regulatory hurdles that may be holding back the</w:t>
      </w:r>
      <w:r>
        <w:t xml:space="preserve"> </w:t>
      </w:r>
      <w:r>
        <w:t xml:space="preserve">securitisation market, so that financial institutions can access this tool whenever it is needed</w:t>
      </w:r>
      <w:r>
        <w:t xml:space="preserve"> </w:t>
      </w:r>
      <w:r>
        <w:t xml:space="preserve">and are not constrained by undue regulatory burden.</w:t>
      </w:r>
      <w:r>
        <w:t xml:space="preserve"> </w:t>
      </w:r>
      <w:r>
        <w:t xml:space="preserve">Cross border securitisation activity is also impacted by the lack of harmonisation in regulatory</w:t>
      </w:r>
      <w:r>
        <w:t xml:space="preserve"> </w:t>
      </w:r>
      <w:r>
        <w:t xml:space="preserve">frameworks outside of financial services, including insolvency24 and taxation, which can create</w:t>
      </w:r>
    </w:p>
    <w:p>
      <w:pPr>
        <w:pStyle w:val="BodyText"/>
      </w:pPr>
      <w:r>
        <w:t xml:space="preserve">22 See academic paper that shows that low policy interest rates decrease the cost of funding, thus reducing bank</w:t>
      </w:r>
      <w:r>
        <w:t xml:space="preserve"> </w:t>
      </w:r>
      <w:r>
        <w:t xml:space="preserve">incentives to securitise loans. Source: Bakoush, M., Mishra, T. and Wolfe, S. (2018) ‘Securitization, monetary</w:t>
      </w:r>
      <w:r>
        <w:t xml:space="preserve"> </w:t>
      </w:r>
      <w:r>
        <w:t xml:space="preserve">policy and bank stability’, SSRN Electronic Journal [Preprint]. doi:10.2139/ssrn.3630704.</w:t>
      </w:r>
      <w:r>
        <w:t xml:space="preserve"> </w:t>
      </w:r>
      <w:r>
        <w:t xml:space="preserve">23 Zhang, J. and Xu, X. (2019) ‘Securitization as a response to monetary policy’, International Journal of Finance</w:t>
      </w:r>
      <w:r>
        <w:t xml:space="preserve"> </w:t>
      </w:r>
      <w:r>
        <w:t xml:space="preserve">&amp; Economics, 24(3), pp. 1333–1344. doi:10.1002/ijfe.1721 and Maddaloni, A. and Peydro, J.-L. (2010) Evidence</w:t>
      </w:r>
      <w:r>
        <w:t xml:space="preserve"> </w:t>
      </w:r>
      <w:r>
        <w:t xml:space="preserve">from the euro area and the U.S. lending standards, European Central Bank. available at:</w:t>
      </w:r>
      <w:r>
        <w:t xml:space="preserve"> </w:t>
      </w:r>
      <w:r>
        <w:t xml:space="preserve">https://www.ecb.europa.eu/pub/pdf/scpwps/ecbwp1248.pdf (Accessed: 10AD).</w:t>
      </w:r>
      <w:r>
        <w:t xml:space="preserve"> </w:t>
      </w:r>
      <w:r>
        <w:t xml:space="preserve">24 See: How Europe can reap the benefits of securitisation- Jacques Delors Centre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complexity and uncertainty for market participants trying to issue or invest in securitisations</w:t>
      </w:r>
      <w:r>
        <w:t xml:space="preserve"> </w:t>
      </w:r>
      <w:r>
        <w:t xml:space="preserve">that pool assets from multiple jurisdictions. This limits the possible scale of the securitisations,</w:t>
      </w:r>
      <w:r>
        <w:t xml:space="preserve"> </w:t>
      </w:r>
      <w:r>
        <w:t xml:space="preserve">as they are constrained by underlying loans structured along national legal requirements</w:t>
      </w:r>
      <w:r>
        <w:t xml:space="preserve"> </w:t>
      </w:r>
      <w:r>
        <w:t xml:space="preserve">(typically mortgages).</w:t>
      </w:r>
      <w:r>
        <w:t xml:space="preserve"> </w:t>
      </w:r>
      <w:r>
        <w:t xml:space="preserve">Changes to the regulatory framework might modify incentives for issuers and investors but</w:t>
      </w:r>
      <w:r>
        <w:t xml:space="preserve"> </w:t>
      </w:r>
      <w:r>
        <w:t xml:space="preserve">cannot guarantee on their own market growth. While regulatory changes can help scale up the</w:t>
      </w:r>
      <w:r>
        <w:t xml:space="preserve"> </w:t>
      </w:r>
      <w:r>
        <w:t xml:space="preserve">securitisation market, market participants also have an essential role to play in developing</w:t>
      </w:r>
      <w:r>
        <w:t xml:space="preserve"> </w:t>
      </w:r>
      <w:r>
        <w:t xml:space="preserve">standardised products that are more attractive to investors and facilitate the work for</w:t>
      </w:r>
      <w:r>
        <w:t xml:space="preserve"> </w:t>
      </w:r>
      <w:r>
        <w:t xml:space="preserve">supervisors to approve securitisation issuances. For example, the ECB is currently developing</w:t>
      </w:r>
      <w:r>
        <w:t xml:space="preserve"> </w:t>
      </w:r>
      <w:r>
        <w:t xml:space="preserve">a fast-track process for the supervisory assessment of the significant risk transfer in</w:t>
      </w:r>
      <w:r>
        <w:t xml:space="preserve"> </w:t>
      </w:r>
      <w:r>
        <w:t xml:space="preserve">securitisation, in close dialogue with the European Banking Federation, which aims to</w:t>
      </w:r>
      <w:r>
        <w:t xml:space="preserve"> </w:t>
      </w:r>
      <w:r>
        <w:t xml:space="preserve">substantially reduce the duration of the supervisory assessments for simple transactions</w:t>
      </w:r>
      <w:r>
        <w:t xml:space="preserve"> </w:t>
      </w:r>
      <w:r>
        <w:t xml:space="preserve">meeting some requirements – this initiative is which expected to further stimulate the market25.</w:t>
      </w:r>
      <w:r>
        <w:br/>
      </w:r>
      <w:r>
        <w:t xml:space="preserve">2.1.2. Problem 1: High operational costs for issuers and investors</w:t>
      </w:r>
      <w:r>
        <w:br/>
      </w:r>
      <w:r>
        <w:t xml:space="preserve">The evaluation (see Annex V, section 4.1.3) highlights the existence of high operational costs</w:t>
      </w:r>
      <w:r>
        <w:t xml:space="preserve"> </w:t>
      </w:r>
      <w:r>
        <w:t xml:space="preserve">arising from the application of the current Securitisation Framework for EU issuers and</w:t>
      </w:r>
      <w:r>
        <w:t xml:space="preserve"> </w:t>
      </w:r>
      <w:r>
        <w:t xml:space="preserve">investors in securitisations, also in comparison to other asset classes. High operational costs</w:t>
      </w:r>
      <w:r>
        <w:t xml:space="preserve"> </w:t>
      </w:r>
      <w:r>
        <w:t xml:space="preserve">disincentivise institutional investors26 from investing in securitisations and prevent financial</w:t>
      </w:r>
      <w:r>
        <w:t xml:space="preserve"> </w:t>
      </w:r>
      <w:r>
        <w:t xml:space="preserve">institutions from using securitisation to manage their credit risk, diversify exposures and obtain</w:t>
      </w:r>
      <w:r>
        <w:t xml:space="preserve"> </w:t>
      </w:r>
      <w:r>
        <w:t xml:space="preserve">new funding. Overly burdensome and detailed transparency and due diligence requirements</w:t>
      </w:r>
      <w:r>
        <w:t xml:space="preserve"> </w:t>
      </w:r>
      <w:r>
        <w:t xml:space="preserve">result in high operational costs that put EU issuers and EU investors at a competitive</w:t>
      </w:r>
      <w:r>
        <w:t xml:space="preserve"> </w:t>
      </w:r>
      <w:r>
        <w:t xml:space="preserve">disadvantage relative to their international counterparts who are not subject to the same</w:t>
      </w:r>
      <w:r>
        <w:t xml:space="preserve"> </w:t>
      </w:r>
      <w:r>
        <w:t xml:space="preserve">requirements. This makes entering the market particularly difficult. The current framework</w:t>
      </w:r>
      <w:r>
        <w:t xml:space="preserve"> </w:t>
      </w:r>
      <w:r>
        <w:t xml:space="preserve">negatively impacts also non-EU issuers when they want to sell their securitisation to EU</w:t>
      </w:r>
      <w:r>
        <w:t xml:space="preserve"> </w:t>
      </w:r>
      <w:r>
        <w:t xml:space="preserve">investors.</w:t>
      </w:r>
      <w:r>
        <w:br/>
      </w:r>
      <w:r>
        <w:t xml:space="preserve">From a better regulation perspective, these costs link to “administrative burdens”27. We</w:t>
      </w:r>
      <w:r>
        <w:t xml:space="preserve"> </w:t>
      </w:r>
      <w:r>
        <w:t xml:space="preserve">estimate that annual recurring operational or administrative costs currently amount to EUR 780</w:t>
      </w:r>
      <w:r>
        <w:t xml:space="preserve"> </w:t>
      </w:r>
      <w:r>
        <w:t xml:space="preserve">million for the financial market as a whole28. While these operational costs, may appear</w:t>
      </w:r>
      <w:r>
        <w:t xml:space="preserve"> </w:t>
      </w:r>
      <w:r>
        <w:t xml:space="preserve">moderate when compared to the total market size, they accumulate annually. Apart from the</w:t>
      </w:r>
      <w:r>
        <w:t xml:space="preserve"> </w:t>
      </w:r>
      <w:r>
        <w:t xml:space="preserve">annual recurring costs, one-off costs linked to the implementation of the SECR requirements</w:t>
      </w:r>
      <w:r>
        <w:t xml:space="preserve"> </w:t>
      </w:r>
      <w:r>
        <w:t xml:space="preserve">represent a significant barrier to entry29,Administrative hurdles therefore represent a significant</w:t>
      </w:r>
    </w:p>
    <w:p>
      <w:pPr>
        <w:pStyle w:val="BodyText"/>
      </w:pPr>
      <w:r>
        <w:t xml:space="preserve">25 Securitisations: a push for safety and simplicity</w:t>
      </w:r>
      <w:r>
        <w:t xml:space="preserve"> </w:t>
      </w:r>
      <w:r>
        <w:t xml:space="preserve">26 Institutional investors based in the EU who invest in securitisations. For more details see Article 2(12) of SECR.</w:t>
      </w:r>
      <w:r>
        <w:t xml:space="preserve"> </w:t>
      </w:r>
      <w:r>
        <w:t xml:space="preserve">Please note that securitisations are not marketed and sold to retail investors unless conditions under Article 3 of</w:t>
      </w:r>
      <w:r>
        <w:t xml:space="preserve"> </w:t>
      </w:r>
      <w:r>
        <w:t xml:space="preserve">SECR are fulfilled.</w:t>
      </w:r>
      <w:r>
        <w:br/>
      </w:r>
      <w:r>
        <w:t xml:space="preserve">27 For a detailed definition of administrative costs, see Tools #56 Typology of Costs and Benefits, #57 Standard</w:t>
      </w:r>
      <w:r>
        <w:t xml:space="preserve"> </w:t>
      </w:r>
      <w:r>
        <w:t xml:space="preserve">Cost Model and #59 One-in-one-out Calculator of the EU Better Regulation Toolbox, July 2023.</w:t>
      </w:r>
      <w:r>
        <w:t xml:space="preserve"> </w:t>
      </w:r>
      <w:r>
        <w:t xml:space="preserve">28 This administrative burden can be decomposed to annual recurring costs of fulfilling due diligence requirements</w:t>
      </w:r>
      <w:r>
        <w:t xml:space="preserve"> </w:t>
      </w:r>
      <w:r>
        <w:t xml:space="preserve">estimated to EUR 520 million and annual recurring costs of fulfilling transparency requirements estimated to EUR</w:t>
      </w:r>
      <w:r>
        <w:t xml:space="preserve"> </w:t>
      </w:r>
      <w:r>
        <w:t xml:space="preserve">120 million. Further details can be found in Annex III.</w:t>
      </w:r>
      <w:r>
        <w:t xml:space="preserve"> </w:t>
      </w:r>
      <w:r>
        <w:t xml:space="preserve">29 Further evidence on this can be found in Annex III.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obstacle for issuers and investors and have had a negative impact on the overall growth of the</w:t>
      </w:r>
      <w:r>
        <w:t xml:space="preserve"> </w:t>
      </w:r>
      <w:r>
        <w:t xml:space="preserve">market.</w:t>
      </w:r>
      <w:r>
        <w:t xml:space="preserve"> </w:t>
      </w:r>
      <w:r>
        <w:t xml:space="preserve">The extent of burden reduction that can be achieved by simplifying or removing certain due</w:t>
      </w:r>
      <w:r>
        <w:t xml:space="preserve"> </w:t>
      </w:r>
      <w:r>
        <w:t xml:space="preserve">diligence and transparency requirements should not undermine the policy goals of those</w:t>
      </w:r>
      <w:r>
        <w:t xml:space="preserve"> </w:t>
      </w:r>
      <w:r>
        <w:t xml:space="preserve">requirements. Namely, there should remain sufficiently high levels of market transparency and</w:t>
      </w:r>
      <w:r>
        <w:t xml:space="preserve"> </w:t>
      </w:r>
      <w:r>
        <w:t xml:space="preserve">investor protection to ensure that the EU securitisation market remains safe and supervisors</w:t>
      </w:r>
      <w:r>
        <w:t xml:space="preserve"> </w:t>
      </w:r>
      <w:r>
        <w:t xml:space="preserve">should continue to have access to high-quality data.</w:t>
      </w:r>
      <w:r>
        <w:t xml:space="preserve"> </w:t>
      </w:r>
      <w:r>
        <w:t xml:space="preserve">2.1.2.1. Certain due diligence requirements are too prescriptive and disproportionate</w:t>
      </w:r>
      <w:r>
        <w:t xml:space="preserve"> </w:t>
      </w:r>
      <w:r>
        <w:t xml:space="preserve">Article 5 of the SECR outlines the due diligence requirements for EU institutional investors</w:t>
      </w:r>
      <w:r>
        <w:t xml:space="preserve"> </w:t>
      </w:r>
      <w:r>
        <w:t xml:space="preserve">(see Annex V, section 4.1.3). It aims to ensure that EU investors conduct a thorough assessment</w:t>
      </w:r>
      <w:r>
        <w:t xml:space="preserve"> </w:t>
      </w:r>
      <w:r>
        <w:t xml:space="preserve">of the risks associated with securitisation. Article 5 harmonises the due diligence requirements</w:t>
      </w:r>
      <w:r>
        <w:t xml:space="preserve"> </w:t>
      </w:r>
      <w:r>
        <w:t xml:space="preserve">that were introduced by regulatory bodies in the aftermath of the GFC across various pieces of</w:t>
      </w:r>
      <w:r>
        <w:t xml:space="preserve"> </w:t>
      </w:r>
      <w:r>
        <w:t xml:space="preserve">sectoral legislation governing banks, asset managers, etc. to address key lessons learned from</w:t>
      </w:r>
      <w:r>
        <w:t xml:space="preserve"> </w:t>
      </w:r>
      <w:r>
        <w:t xml:space="preserve">the event. One critical takeaway from the crisis was the importance of a thorough risk</w:t>
      </w:r>
      <w:r>
        <w:t xml:space="preserve"> </w:t>
      </w:r>
      <w:r>
        <w:t xml:space="preserve">assessment. Inadequate due diligence, in particular risk evaluation, led investors to</w:t>
      </w:r>
      <w:r>
        <w:t xml:space="preserve"> </w:t>
      </w:r>
      <w:r>
        <w:t xml:space="preserve">unknowingly take on excessive risk, leaving them unprepared to absorb the significant losses</w:t>
      </w:r>
      <w:r>
        <w:t xml:space="preserve"> </w:t>
      </w:r>
      <w:r>
        <w:t xml:space="preserve">that ultimately materialised. As a result, due diligence requirements aim to empower investors</w:t>
      </w:r>
      <w:r>
        <w:t xml:space="preserve"> </w:t>
      </w:r>
      <w:r>
        <w:t xml:space="preserve">by ensuring that they are aware of the potential risks associated with their securitisation</w:t>
      </w:r>
      <w:r>
        <w:t xml:space="preserve"> </w:t>
      </w:r>
      <w:r>
        <w:t xml:space="preserve">investments and are better equipped to manage those risks.</w:t>
      </w:r>
      <w:r>
        <w:br/>
      </w:r>
      <w:r>
        <w:t xml:space="preserve">While Article 5 has helped to ensure that proper due diligence is carried out prior to investing</w:t>
      </w:r>
      <w:r>
        <w:t xml:space="preserve"> </w:t>
      </w:r>
      <w:r>
        <w:t xml:space="preserve">and while holding a securitisation position, the current requirements go beyond what is needed</w:t>
      </w:r>
      <w:r>
        <w:t xml:space="preserve"> </w:t>
      </w:r>
      <w:r>
        <w:t xml:space="preserve">to ensure investor protection and financial stability. The evaluation has shown that the</w:t>
      </w:r>
      <w:r>
        <w:t xml:space="preserve"> </w:t>
      </w:r>
      <w:r>
        <w:t xml:space="preserve">requirements are overly prescriptive, duplicative and costly.</w:t>
      </w:r>
      <w:r>
        <w:br/>
      </w:r>
      <w:r>
        <w:t xml:space="preserve">For example, in addition to carrying out a thorough assessment of the risks prior to holding a</w:t>
      </w:r>
      <w:r>
        <w:t xml:space="preserve"> </w:t>
      </w:r>
      <w:r>
        <w:t xml:space="preserve">securitisation position, EU investors are required to verify that originators have complied with</w:t>
      </w:r>
      <w:r>
        <w:t xml:space="preserve"> </w:t>
      </w:r>
      <w:r>
        <w:t xml:space="preserve">Securitisation Regulation Article 6 (risk retention), Article 7 (disclosure), Article 9 (credit</w:t>
      </w:r>
      <w:r>
        <w:t xml:space="preserve"> </w:t>
      </w:r>
      <w:r>
        <w:t xml:space="preserve">granting criteria), and Articles 19 to 22 and 23 to 26 (STS criteria). These verification activities</w:t>
      </w:r>
      <w:r>
        <w:t xml:space="preserve"> </w:t>
      </w:r>
      <w:r>
        <w:t xml:space="preserve">are unique to securitisation and are largely duplicative since EU supervisors are also required</w:t>
      </w:r>
      <w:r>
        <w:t xml:space="preserve"> </w:t>
      </w:r>
      <w:r>
        <w:t xml:space="preserve">to check that EU originators comply with these requirements.</w:t>
      </w:r>
      <w:r>
        <w:br/>
      </w:r>
      <w:r>
        <w:t xml:space="preserve">Moreover, stakeholders argue that the risk assessment required under Article 5(3) is not</w:t>
      </w:r>
      <w:r>
        <w:t xml:space="preserve"> </w:t>
      </w:r>
      <w:r>
        <w:t xml:space="preserve">proportionate because it does not differentiate between different types of securitisation</w:t>
      </w:r>
      <w:r>
        <w:t xml:space="preserve"> </w:t>
      </w:r>
      <w:r>
        <w:t xml:space="preserve">positions. For example, an investor in a AAA tranche has the same due diligence requirements</w:t>
      </w:r>
      <w:r>
        <w:t xml:space="preserve"> </w:t>
      </w:r>
      <w:r>
        <w:t xml:space="preserve">as an investor in a first-loss tranche, even though the risk of the position is much lower for the</w:t>
      </w:r>
      <w:r>
        <w:t xml:space="preserve"> </w:t>
      </w:r>
      <w:r>
        <w:t xml:space="preserve">senior tranche investor than the first-loss tranche investor.As a result, due diligence</w:t>
      </w:r>
      <w:r>
        <w:t xml:space="preserve"> </w:t>
      </w:r>
      <w:r>
        <w:t xml:space="preserve">requirements constitute a significant entry barrier for new investors. Investors prefer to invest</w:t>
      </w:r>
      <w:r>
        <w:t xml:space="preserve"> </w:t>
      </w:r>
      <w:r>
        <w:t xml:space="preserve">in other comparable products with less burdensome due diligence requirements (see Annex XII</w:t>
      </w:r>
      <w:r>
        <w:t xml:space="preserve"> </w:t>
      </w:r>
      <w:r>
        <w:t xml:space="preserve">for a comparison of due diligence requirements for different financial instruments).</w:t>
      </w:r>
      <w:r>
        <w:br/>
      </w:r>
      <w:r>
        <w:t xml:space="preserve">It is important to note that EU investors are subject to the same due diligence rules regardless</w:t>
      </w:r>
      <w:r>
        <w:t xml:space="preserve"> </w:t>
      </w:r>
      <w:r>
        <w:t xml:space="preserve">of whether they invest in EU or non-EU securitisations, whereas non-EU investors in EU (or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non-EU) securitisations are not bound by any of these requirements. As a result, due diligence</w:t>
      </w:r>
      <w:r>
        <w:t xml:space="preserve"> </w:t>
      </w:r>
      <w:r>
        <w:t xml:space="preserve">requirements impact the level playing field to the detriment of EU investors when investing in</w:t>
      </w:r>
      <w:r>
        <w:t xml:space="preserve"> </w:t>
      </w:r>
      <w:r>
        <w:t xml:space="preserve">securitisations vis-a-vis their non-EU peers.</w:t>
      </w:r>
      <w:r>
        <w:t xml:space="preserve"> </w:t>
      </w:r>
      <w:r>
        <w:t xml:space="preserve">2.1.2.2. Transparency requirements are not adapted to the needs of investors</w:t>
      </w:r>
      <w:r>
        <w:t xml:space="preserve"> </w:t>
      </w:r>
      <w:r>
        <w:t xml:space="preserve">The introduction of Article 7 of the SECR has improved market transparency in the EU</w:t>
      </w:r>
      <w:r>
        <w:t xml:space="preserve"> </w:t>
      </w:r>
      <w:r>
        <w:t xml:space="preserve">securitisation market by ensuring that all investors and supervisors have equal access to all</w:t>
      </w:r>
      <w:r>
        <w:t xml:space="preserve"> </w:t>
      </w:r>
      <w:r>
        <w:t xml:space="preserve">relevant information about the securitisation transaction. However, the evaluation (see Section</w:t>
      </w:r>
      <w:r>
        <w:t xml:space="preserve"> </w:t>
      </w:r>
      <w:r>
        <w:t xml:space="preserve">4) highlights several challenges. Meeting the Article 7 transparency requirements implies a</w:t>
      </w:r>
      <w:r>
        <w:t xml:space="preserve"> </w:t>
      </w:r>
      <w:r>
        <w:t xml:space="preserve">significant compliance burden on issuers, with costs exceeding those for other comparable</w:t>
      </w:r>
      <w:r>
        <w:t xml:space="preserve"> </w:t>
      </w:r>
      <w:r>
        <w:t xml:space="preserve">structured finance instruments (see Annex XII). This is confirmed by the feedback provided by</w:t>
      </w:r>
      <w:r>
        <w:t xml:space="preserve"> </w:t>
      </w:r>
      <w:r>
        <w:t xml:space="preserve">market participants to the recent targeted consultation. A key factor driving these excessive</w:t>
      </w:r>
      <w:r>
        <w:t xml:space="preserve"> </w:t>
      </w:r>
      <w:r>
        <w:t xml:space="preserve">costs is the broad scope and prescriptive nature of the transparency rules. Despite the extensive</w:t>
      </w:r>
      <w:r>
        <w:t xml:space="preserve"> </w:t>
      </w:r>
      <w:r>
        <w:t xml:space="preserve">disclosure rules, the information provided does not always align with investor needs, making</w:t>
      </w:r>
      <w:r>
        <w:t xml:space="preserve"> </w:t>
      </w:r>
      <w:r>
        <w:t xml:space="preserve">compliance with the disclosure requirements both costly and inefficient. As a result, the overall</w:t>
      </w:r>
      <w:r>
        <w:t xml:space="preserve"> </w:t>
      </w:r>
      <w:r>
        <w:t xml:space="preserve">cost of issuance has increased, discouraging securitisation activity in the EU market.</w:t>
      </w:r>
      <w:r>
        <w:t xml:space="preserve"> </w:t>
      </w:r>
      <w:r>
        <w:t xml:space="preserve">Applying a one-size-fits-all approach is challenging given the diversity of securitisation types.</w:t>
      </w:r>
      <w:r>
        <w:t xml:space="preserve"> </w:t>
      </w:r>
      <w:r>
        <w:t xml:space="preserve">In particular for private securitisations, the current disclosure framework30 does not sufficiently</w:t>
      </w:r>
      <w:r>
        <w:t xml:space="preserve"> </w:t>
      </w:r>
      <w:r>
        <w:t xml:space="preserve">account for the fact that these are typically bilateral and bespoke transactions where investors</w:t>
      </w:r>
      <w:r>
        <w:t xml:space="preserve"> </w:t>
      </w:r>
      <w:r>
        <w:t xml:space="preserve">have specific information needs for their due diligence assessment. As a result, the current</w:t>
      </w:r>
      <w:r>
        <w:t xml:space="preserve"> </w:t>
      </w:r>
      <w:r>
        <w:t xml:space="preserve">templates often provide information that is not useful for investors in private transactions. At</w:t>
      </w:r>
      <w:r>
        <w:t xml:space="preserve"> </w:t>
      </w:r>
      <w:r>
        <w:t xml:space="preserve">the same time, the fact that investors in private transactions have specific information needs</w:t>
      </w:r>
      <w:r>
        <w:t xml:space="preserve"> </w:t>
      </w:r>
      <w:r>
        <w:t xml:space="preserve">means that the prescribed templates sometimes do not meet the specific requirements of some</w:t>
      </w:r>
      <w:r>
        <w:t xml:space="preserve"> </w:t>
      </w:r>
      <w:r>
        <w:t xml:space="preserve">investors and credit rating agencies. This means that originators of private securitisations often</w:t>
      </w:r>
      <w:r>
        <w:t xml:space="preserve"> </w:t>
      </w:r>
      <w:r>
        <w:t xml:space="preserve">need to disclose additional information beyond Article 7 requirements, further increasing</w:t>
      </w:r>
      <w:r>
        <w:t xml:space="preserve"> </w:t>
      </w:r>
      <w:r>
        <w:t xml:space="preserve">complexity and costs. As regards public securitisations, stakeholders report that the current</w:t>
      </w:r>
      <w:r>
        <w:t xml:space="preserve"> </w:t>
      </w:r>
      <w:r>
        <w:t xml:space="preserve">templates provide too much information, include elements that are of limited use to investors.</w:t>
      </w:r>
      <w:r>
        <w:t xml:space="preserve"> </w:t>
      </w:r>
      <w:r>
        <w:t xml:space="preserve">2.1.3. Problem 2: Undue prudential barriers for banks to issue securitisations</w:t>
      </w:r>
      <w:r>
        <w:t xml:space="preserve"> </w:t>
      </w:r>
      <w:r>
        <w:t xml:space="preserve">The evaluation (Annex V, section 4.1) shows that existing prudential (capital and liquidity)</w:t>
      </w:r>
      <w:r>
        <w:t xml:space="preserve"> </w:t>
      </w:r>
      <w:r>
        <w:t xml:space="preserve">rules act as a disincentive for banks to issue securitisations (or invest in the senior tranches of</w:t>
      </w:r>
      <w:r>
        <w:t xml:space="preserve"> </w:t>
      </w:r>
      <w:r>
        <w:t xml:space="preserve">good quality securitisations). Bank capital requirements set out in the CRR are insufficiently</w:t>
      </w:r>
      <w:r>
        <w:t xml:space="preserve"> </w:t>
      </w:r>
      <w:r>
        <w:t xml:space="preserve">risk sensitive and overly conservative, resulting in unduly high levels of capital requirements</w:t>
      </w:r>
      <w:r>
        <w:t xml:space="preserve"> </w:t>
      </w:r>
      <w:r>
        <w:t xml:space="preserve">that banks need to comply with for their securitisation exposures. Based on ESAs estimates,</w:t>
      </w:r>
      <w:r>
        <w:t xml:space="preserve"> </w:t>
      </w:r>
      <w:r>
        <w:t xml:space="preserve">the revised securitisation prudential framework has led to significant increases in banks’ capital</w:t>
      </w:r>
      <w:r>
        <w:t xml:space="preserve"> </w:t>
      </w:r>
      <w:r>
        <w:t xml:space="preserve">requirements for securitisation exposures (+114% for bank originators, +77% for bank</w:t>
      </w:r>
      <w:r>
        <w:t xml:space="preserve"> </w:t>
      </w:r>
      <w:r>
        <w:t xml:space="preserve">sponsors and +105% for bank investors across the market, with large variations in the impact</w:t>
      </w:r>
      <w:r>
        <w:t xml:space="preserve"> </w:t>
      </w:r>
      <w:r>
        <w:t xml:space="preserve">depending on the composition of the tranches held), compared to the previous regime. Senior</w:t>
      </w:r>
      <w:r>
        <w:t xml:space="preserve"> </w:t>
      </w:r>
      <w:r>
        <w:t xml:space="preserve">tranches of securitisations have experienced an increase of more than 100% in capital</w:t>
      </w:r>
      <w:r>
        <w:t xml:space="preserve"> </w:t>
      </w:r>
      <w:r>
        <w:t xml:space="preserve">requirements, while mezzanine tranches have experienced an even greater increase of capital</w:t>
      </w:r>
      <w:r>
        <w:t xml:space="preserve"> </w:t>
      </w:r>
      <w:r>
        <w:t xml:space="preserve">requirement, with a median increase of 281%. On average, the required capital for</w:t>
      </w:r>
    </w:p>
    <w:p>
      <w:pPr>
        <w:pStyle w:val="BodyText"/>
      </w:pPr>
      <w:r>
        <w:t xml:space="preserve">30 Private securitisations are exempted from having to report to the public securitisation repositories. However,</w:t>
      </w:r>
      <w:r>
        <w:t xml:space="preserve"> </w:t>
      </w:r>
      <w:r>
        <w:t xml:space="preserve">they need to make the same information available as public securitisation, using the same format.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securitisations is approximately double the capital required for the capitalisation of the</w:t>
      </w:r>
      <w:r>
        <w:t xml:space="preserve"> </w:t>
      </w:r>
      <w:r>
        <w:t xml:space="preserve">underlying pool of non-securitised assets.</w:t>
      </w:r>
    </w:p>
    <w:p>
      <w:pPr>
        <w:pStyle w:val="BodyText"/>
      </w:pPr>
      <w:r>
        <w:t xml:space="preserve">These significant increases fail to accurately recognise the important risk mitigants</w:t>
      </w:r>
      <w:r>
        <w:t xml:space="preserve"> </w:t>
      </w:r>
      <w:r>
        <w:t xml:space="preserve">implemented in the EU securitisation regulatory and supervisory frameworks which have</w:t>
      </w:r>
      <w:r>
        <w:t xml:space="preserve"> </w:t>
      </w:r>
      <w:r>
        <w:t xml:space="preserve">significantly reduced the agency and model risks embedded in securitisation transactions, as</w:t>
      </w:r>
      <w:r>
        <w:t xml:space="preserve"> </w:t>
      </w:r>
      <w:r>
        <w:t xml:space="preserve">well as the good credit performance of EU securitisations. The model and agency risks have</w:t>
      </w:r>
      <w:r>
        <w:t xml:space="preserve"> </w:t>
      </w:r>
      <w:r>
        <w:t xml:space="preserve">been reduced in recent years, notably with the introduction of STS criteria, the multi-year</w:t>
      </w:r>
      <w:r>
        <w:t xml:space="preserve"> </w:t>
      </w:r>
      <w:r>
        <w:t xml:space="preserve">Targeted Review of Internal Models by the SSM, the multi-year IRB Repair programme by the</w:t>
      </w:r>
      <w:r>
        <w:t xml:space="preserve"> </w:t>
      </w:r>
      <w:r>
        <w:t xml:space="preserve">EBA, the introduction of the output floor in the banking package, the risk retention</w:t>
      </w:r>
      <w:r>
        <w:t xml:space="preserve"> </w:t>
      </w:r>
      <w:r>
        <w:t xml:space="preserve">requirement, and the banning of re-securitisations. As regards the credit performance, default</w:t>
      </w:r>
      <w:r>
        <w:t xml:space="preserve"> </w:t>
      </w:r>
      <w:r>
        <w:t xml:space="preserve">rates of EU securitisations have been significantly lower than those of US securitisations. Also,</w:t>
      </w:r>
      <w:r>
        <w:t xml:space="preserve"> </w:t>
      </w:r>
      <w:r>
        <w:t xml:space="preserve">very few senior tranches of EU securitisations have ever suffered any losses. Data over a 30-</w:t>
      </w:r>
      <w:r>
        <w:t xml:space="preserve"> </w:t>
      </w:r>
      <w:r>
        <w:t xml:space="preserve">year time period show that the default risk and ratings transitions of European securitisations</w:t>
      </w:r>
      <w:r>
        <w:t xml:space="preserve"> </w:t>
      </w:r>
      <w:r>
        <w:t xml:space="preserve">across tranches rated AAA to BB are commensurate with default and ratings transitions data</w:t>
      </w:r>
      <w:r>
        <w:t xml:space="preserve"> </w:t>
      </w:r>
      <w:r>
        <w:t xml:space="preserve">for other fixed income asset classes, such as European corporate bonds or global sovereign</w:t>
      </w:r>
      <w:r>
        <w:t xml:space="preserve"> </w:t>
      </w:r>
      <w:r>
        <w:t xml:space="preserve">bonds, rated the same level, reflecting the strong credit performance of securitisations.</w:t>
      </w:r>
    </w:p>
    <w:p>
      <w:pPr>
        <w:pStyle w:val="BodyText"/>
      </w:pPr>
      <w:r>
        <w:t xml:space="preserve">The evaluation therefore assesses the adequacy of the capital requirements from two</w:t>
      </w:r>
      <w:r>
        <w:t xml:space="preserve"> </w:t>
      </w:r>
      <w:r>
        <w:t xml:space="preserve">dimensions. First, the risk mitigation measures that reduce the ‘agency’ and ‘model’ risks of</w:t>
      </w:r>
      <w:r>
        <w:t xml:space="preserve"> </w:t>
      </w:r>
      <w:r>
        <w:t xml:space="preserve">securitisation transactions should be recognised in the requirements, where appropriate.</w:t>
      </w:r>
      <w:r>
        <w:t xml:space="preserve"> </w:t>
      </w:r>
      <w:r>
        <w:t xml:space="preserve">Second, as supported by data on default rates, the structural credit performance of EU</w:t>
      </w:r>
      <w:r>
        <w:t xml:space="preserve"> </w:t>
      </w:r>
      <w:r>
        <w:t xml:space="preserve">securitisations has been very good over the past 20+ years.</w:t>
      </w:r>
    </w:p>
    <w:p>
      <w:pPr>
        <w:pStyle w:val="BodyText"/>
      </w:pPr>
      <w:r>
        <w:t xml:space="preserve">These two dimensions, reinforced with examples provided in the evaluation, demonstrate that</w:t>
      </w:r>
      <w:r>
        <w:t xml:space="preserve"> </w:t>
      </w:r>
      <w:r>
        <w:t xml:space="preserve">the current capital requirements for banks are disproportionate and go beyond what is necessary</w:t>
      </w:r>
      <w:r>
        <w:t xml:space="preserve"> </w:t>
      </w:r>
      <w:r>
        <w:t xml:space="preserve">to ensure a proper and prudent capitalisation of the securitisations by banks. While the presence</w:t>
      </w:r>
      <w:r>
        <w:t xml:space="preserve"> </w:t>
      </w:r>
      <w:r>
        <w:t xml:space="preserve">of non-neutrality of securitisation capital requirements – as one of the main defining elements</w:t>
      </w:r>
      <w:r>
        <w:t xml:space="preserve"> </w:t>
      </w:r>
      <w:r>
        <w:t xml:space="preserve">of the securitisation capital framework for banks - is justified, the magnitude of the non-</w:t>
      </w:r>
      <w:r>
        <w:t xml:space="preserve"> </w:t>
      </w:r>
      <w:r>
        <w:t xml:space="preserve">neutrality seems no longer 31. In addition, there are significant discrepancies in the capital</w:t>
      </w:r>
      <w:r>
        <w:t xml:space="preserve"> </w:t>
      </w:r>
      <w:r>
        <w:t xml:space="preserve">requirements for securitisations among banks using different approaches applicable to their</w:t>
      </w:r>
      <w:r>
        <w:t xml:space="preserve"> </w:t>
      </w:r>
      <w:r>
        <w:t xml:space="preserve">calculation (in particular the standardised approaches, used by small-to-medium sized banks,</w:t>
      </w:r>
      <w:r>
        <w:t xml:space="preserve"> </w:t>
      </w:r>
      <w:r>
        <w:t xml:space="preserve">are too conservative, resulting in overly conservative capital requirements in absolute terms as</w:t>
      </w:r>
      <w:r>
        <w:t xml:space="preserve"> </w:t>
      </w:r>
      <w:r>
        <w:t xml:space="preserve">well as relative to capital requirements under the internal ratings-based approaches, used by</w:t>
      </w:r>
      <w:r>
        <w:t xml:space="preserve"> </w:t>
      </w:r>
      <w:r>
        <w:t xml:space="preserve">large banks).</w:t>
      </w:r>
      <w:r>
        <w:t xml:space="preserve"> </w:t>
      </w:r>
      <w:r>
        <w:t xml:space="preserve">The issue of insufficient risk sensitivity limits the attractiveness of securitisation:</w:t>
      </w:r>
      <w:r>
        <w:t xml:space="preserve"> </w:t>
      </w:r>
      <w:r>
        <w:t xml:space="preserve">securitisations are seen as too ‘expensive’ which limits their use as a credit risk and balance</w:t>
      </w:r>
      <w:r>
        <w:t xml:space="preserve"> </w:t>
      </w:r>
      <w:r>
        <w:t xml:space="preserve">sheet management tool for banks. Consequently, the lack of risk sensitivity acts as a prudential</w:t>
      </w:r>
      <w:r>
        <w:t xml:space="preserve"> </w:t>
      </w:r>
      <w:r>
        <w:t xml:space="preserve">impediment that disincentivises EU banks from engaging in the EU securitisation market.</w:t>
      </w:r>
      <w:r>
        <w:t xml:space="preserve"> </w:t>
      </w:r>
      <w:r>
        <w:t xml:space="preserve">Overall, the securitisation capital requirements currently represent only 1.5% of the EU banks’</w:t>
      </w:r>
    </w:p>
    <w:p>
      <w:pPr>
        <w:pStyle w:val="BodyText"/>
      </w:pPr>
      <w:r>
        <w:t xml:space="preserve">31 Non-neutrality of bank securitisation capital requirements means that holding all the securitisation tranches in</w:t>
      </w:r>
      <w:r>
        <w:t xml:space="preserve"> </w:t>
      </w:r>
      <w:r>
        <w:t xml:space="preserve">a securitisation is subject to a higher capital charge than a direct holding of all the underlying assets as if not</w:t>
      </w:r>
      <w:r>
        <w:t xml:space="preserve"> </w:t>
      </w:r>
      <w:r>
        <w:t xml:space="preserve">securitised.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total risk-weighted asset volume (EBA, as of December 2024). Also, small-to-medium sized</w:t>
      </w:r>
      <w:r>
        <w:t xml:space="preserve"> </w:t>
      </w:r>
      <w:r>
        <w:t xml:space="preserve">banks are not participating in the securitisation transactions.</w:t>
      </w:r>
      <w:r>
        <w:t xml:space="preserve"> </w:t>
      </w:r>
      <w:r>
        <w:t xml:space="preserve">The fact that banks cannot easily issue (originate) securitisations in the EU is an important</w:t>
      </w:r>
      <w:r>
        <w:t xml:space="preserve"> </w:t>
      </w:r>
      <w:r>
        <w:t xml:space="preserve">issue because banks play a critical role in the financing of the EU economy and limiting</w:t>
      </w:r>
      <w:r>
        <w:t xml:space="preserve"> </w:t>
      </w:r>
      <w:r>
        <w:t xml:space="preserve">securitisation issuance ultimately limits banks’ ability to lend more to the real economy. Banks</w:t>
      </w:r>
      <w:r>
        <w:t xml:space="preserve"> </w:t>
      </w:r>
      <w:r>
        <w:t xml:space="preserve">are natural users of securitisation transactions for their funding, capital, and credit risk</w:t>
      </w:r>
      <w:r>
        <w:t xml:space="preserve"> </w:t>
      </w:r>
      <w:r>
        <w:t xml:space="preserve">management practices. As shown in Figure 5 below, EU banks are primarily originators (i.e. </w:t>
      </w:r>
      <w:r>
        <w:t xml:space="preserve"> </w:t>
      </w:r>
      <w:r>
        <w:t xml:space="preserve">issuers) and, to a smaller extent, sponsors of securitisations, whereas in other jurisdictions</w:t>
      </w:r>
      <w:r>
        <w:t xml:space="preserve"> </w:t>
      </w:r>
      <w:r>
        <w:t xml:space="preserve">banks are primarily investors32. Therefore, barriers to banks’ origination (i.e. issuance) of</w:t>
      </w:r>
      <w:r>
        <w:t xml:space="preserve"> </w:t>
      </w:r>
      <w:r>
        <w:t xml:space="preserve">securitisation might have a disproportionately high impact in the EU relative to other</w:t>
      </w:r>
      <w:r>
        <w:t xml:space="preserve"> </w:t>
      </w:r>
      <w:r>
        <w:t xml:space="preserve">jurisdictions. The current prudential set-up does not allow banks to maximise the potential that</w:t>
      </w:r>
      <w:r>
        <w:t xml:space="preserve"> </w:t>
      </w:r>
      <w:r>
        <w:t xml:space="preserve">securitisation can provide for their funding, capital and credit management strategies, and</w:t>
      </w:r>
      <w:r>
        <w:t xml:space="preserve"> </w:t>
      </w:r>
      <w:r>
        <w:t xml:space="preserve">which could be beneficial for the EU economy as a whole.</w:t>
      </w:r>
      <w:r>
        <w:br/>
      </w:r>
      <w:r>
        <w:t xml:space="preserve">Figure 5: Banks’ role in securitisation (exposure measure)</w:t>
      </w:r>
      <w:r>
        <w:t xml:space="preserve"> </w:t>
      </w:r>
      <w:r>
        <w:t xml:space="preserve">Source: BCBS Dashboard</w:t>
      </w:r>
      <w:r>
        <w:t xml:space="preserve"> </w:t>
      </w:r>
      <w:r>
        <w:t xml:space="preserve">As shown in the evaluation, existing bank capital requirements fail to reflect the robust credit</w:t>
      </w:r>
      <w:r>
        <w:t xml:space="preserve"> </w:t>
      </w:r>
      <w:r>
        <w:t xml:space="preserve">performance of the EU securitisation market over the last years and decades. The EU-issued</w:t>
      </w:r>
      <w:r>
        <w:t xml:space="preserve"> </w:t>
      </w:r>
      <w:r>
        <w:t xml:space="preserve">securitisation market’s resilience has now been tested through multiple economic and financial</w:t>
      </w:r>
      <w:r>
        <w:t xml:space="preserve"> </w:t>
      </w:r>
      <w:r>
        <w:t xml:space="preserve">cycles and periods of stress, including the GFC, the euro area sovereign debt crisis, the COVID-</w:t>
      </w:r>
      <w:r>
        <w:t xml:space="preserve"> </w:t>
      </w:r>
      <w:r>
        <w:t xml:space="preserve">19 pandemic, the aftermath of the Russian invasion of Ukraine, and during the 2023 banking</w:t>
      </w:r>
      <w:r>
        <w:t xml:space="preserve"> </w:t>
      </w:r>
      <w:r>
        <w:t xml:space="preserve">turmoil. This suggests that the good credit performance of the EU-issued securitisation market</w:t>
      </w:r>
      <w:r>
        <w:t xml:space="preserve"> </w:t>
      </w:r>
      <w:r>
        <w:t xml:space="preserve">is of a structural, rather than cyclical, nature.</w:t>
      </w:r>
      <w:r>
        <w:br/>
      </w:r>
      <w:r>
        <w:t xml:space="preserve">Besides the level of capital conservativeness, the evaluation has shed light on a number of</w:t>
      </w:r>
      <w:r>
        <w:t xml:space="preserve"> </w:t>
      </w:r>
      <w:r>
        <w:t xml:space="preserve">additional issues related to the framework for SRT embedded in the CRR and the liquidity</w:t>
      </w:r>
      <w:r>
        <w:t xml:space="preserve"> </w:t>
      </w:r>
      <w:r>
        <w:t xml:space="preserve">treatment of securitisations embedded in the LCR, which pose barriers for the banks’</w:t>
      </w:r>
    </w:p>
    <w:p>
      <w:pPr>
        <w:pStyle w:val="BodyText"/>
      </w:pPr>
      <w:r>
        <w:t xml:space="preserve">32 The US market is less bank-centric than the EU market, allowing non-bank entities to play a more significant</w:t>
      </w:r>
      <w:r>
        <w:t xml:space="preserve"> </w:t>
      </w:r>
      <w:r>
        <w:t xml:space="preserve">role as originators of securitisation. This is in contrast to the EU, where the bank-centric nature of the market leads</w:t>
      </w:r>
      <w:r>
        <w:t xml:space="preserve"> </w:t>
      </w:r>
      <w:r>
        <w:t xml:space="preserve">to banks dominating as originators. Moreover in the US, government agencies such as Fannie Mae and Freddie</w:t>
      </w:r>
      <w:r>
        <w:t xml:space="preserve"> </w:t>
      </w:r>
      <w:r>
        <w:t xml:space="preserve">Mac play a prominent role, further reducing the influence of traditional banks as originators.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participation in the securitisation market. The rules governing the SRT33 have several structural</w:t>
      </w:r>
      <w:r>
        <w:t xml:space="preserve"> </w:t>
      </w:r>
      <w:r>
        <w:t xml:space="preserve">limitations which may impede a transfer of risk in some transactions. In addition, the rules have</w:t>
      </w:r>
      <w:r>
        <w:t xml:space="preserve"> </w:t>
      </w:r>
      <w:r>
        <w:t xml:space="preserve">in some instances led to excessively costly and complex supervisory processes and inconsistent</w:t>
      </w:r>
      <w:r>
        <w:t xml:space="preserve"> </w:t>
      </w:r>
      <w:r>
        <w:t xml:space="preserve">supervisory assessments of individual securitisation transactions. This has constrained banks</w:t>
      </w:r>
      <w:r>
        <w:t xml:space="preserve"> </w:t>
      </w:r>
      <w:r>
        <w:t xml:space="preserve">in their capacity to issue securitisation and to use it as a capital optimisation tool and risk</w:t>
      </w:r>
      <w:r>
        <w:t xml:space="preserve"> </w:t>
      </w:r>
      <w:r>
        <w:t xml:space="preserve">transfer tool.</w:t>
      </w:r>
      <w:r>
        <w:br/>
      </w:r>
      <w:r>
        <w:t xml:space="preserve">In addition, the narrowness of the eligibility rules for securitisation in the banks’ liquidity</w:t>
      </w:r>
      <w:r>
        <w:t xml:space="preserve"> </w:t>
      </w:r>
      <w:r>
        <w:t xml:space="preserve">buffers under the LCR has reduced demand by bank treasuries for senior tranches of publicly</w:t>
      </w:r>
      <w:r>
        <w:t xml:space="preserve"> </w:t>
      </w:r>
      <w:r>
        <w:t xml:space="preserve">offered STS traditional securitisations and lowered the level of diversification in the LCR</w:t>
      </w:r>
      <w:r>
        <w:t xml:space="preserve"> </w:t>
      </w:r>
      <w:r>
        <w:t xml:space="preserve">liquidity buffer. This has reduced banks’ investments in these high quality securitisations and</w:t>
      </w:r>
      <w:r>
        <w:t xml:space="preserve"> </w:t>
      </w:r>
      <w:r>
        <w:t xml:space="preserve">has limited banks’ contribution to the securitisation market liquidity.</w:t>
      </w:r>
      <w:r>
        <w:br/>
      </w:r>
      <w:r>
        <w:t xml:space="preserve">All in all, the existing framework reduces the attractiveness of securitisation as an effective</w:t>
      </w:r>
      <w:r>
        <w:t xml:space="preserve"> </w:t>
      </w:r>
      <w:r>
        <w:t xml:space="preserve">instrument to address banks’ funding needs, manage capital and balance sheets, and redistribute</w:t>
      </w:r>
      <w:r>
        <w:t xml:space="preserve"> </w:t>
      </w:r>
      <w:r>
        <w:t xml:space="preserve">risks across the wider financial system. The assessment calls for greater confidence in the</w:t>
      </w:r>
      <w:r>
        <w:t xml:space="preserve"> </w:t>
      </w:r>
      <w:r>
        <w:t xml:space="preserve">quality and resilience of well-regulated and supervised securitisation transactions and puts</w:t>
      </w:r>
      <w:r>
        <w:t xml:space="preserve"> </w:t>
      </w:r>
      <w:r>
        <w:t xml:space="preserve">forward the reduction of undue prudential barriers for banks as originators or investors as a</w:t>
      </w:r>
      <w:r>
        <w:t xml:space="preserve"> </w:t>
      </w:r>
      <w:r>
        <w:t xml:space="preserve">new objective.</w:t>
      </w:r>
      <w:r>
        <w:t xml:space="preserve"> </w:t>
      </w:r>
      <w:r>
        <w:t xml:space="preserve">2.1.4. Problem 3: Undue prudential costs for insurers to invest in the EU securitisation market</w:t>
      </w:r>
      <w:r>
        <w:br/>
      </w:r>
      <w:r>
        <w:t xml:space="preserve">The evaluation (Annex V, section 4.1.2.2., sub-section b) shows that the existing prudential</w:t>
      </w:r>
      <w:r>
        <w:t xml:space="preserve"> </w:t>
      </w:r>
      <w:r>
        <w:t xml:space="preserve">rules for insurers result in high prudential costs that act as a disincentive to invest in the EU</w:t>
      </w:r>
      <w:r>
        <w:t xml:space="preserve"> </w:t>
      </w:r>
      <w:r>
        <w:t xml:space="preserve">securitisation market.</w:t>
      </w:r>
      <w:r>
        <w:t xml:space="preserve"> </w:t>
      </w:r>
      <w:r>
        <w:t xml:space="preserve">Insurance companies are subject to SII which regulates how much capital insurers should set</w:t>
      </w:r>
      <w:r>
        <w:t xml:space="preserve"> </w:t>
      </w:r>
      <w:r>
        <w:t xml:space="preserve">aside to cater for the risks arising from their investment activities. While larger insurers</w:t>
      </w:r>
      <w:r>
        <w:t xml:space="preserve"> </w:t>
      </w:r>
      <w:r>
        <w:t xml:space="preserve">generally use their own modelling of risks (‘internal model’) which is more tailored to the</w:t>
      </w:r>
      <w:r>
        <w:t xml:space="preserve"> </w:t>
      </w:r>
      <w:r>
        <w:t xml:space="preserve">specificities of their risk profile, smaller insurers use the so-called ‘standard formula’ which</w:t>
      </w:r>
      <w:r>
        <w:t xml:space="preserve"> </w:t>
      </w:r>
      <w:r>
        <w:t xml:space="preserve">clearly prescribes capital requirements on investments. Insurers using an internal model are</w:t>
      </w:r>
      <w:r>
        <w:t xml:space="preserve"> </w:t>
      </w:r>
      <w:r>
        <w:t xml:space="preserve">relatively free to determine how to assess market and credit risks (subject to prior supervisory</w:t>
      </w:r>
      <w:r>
        <w:t xml:space="preserve"> </w:t>
      </w:r>
      <w:r>
        <w:t xml:space="preserve">approval). Market data confirms that internal model insurers invest more than twice as much</w:t>
      </w:r>
      <w:r>
        <w:t xml:space="preserve"> </w:t>
      </w:r>
      <w:r>
        <w:t xml:space="preserve">in securitisation as those using the standard formula. Insurance companies which use the</w:t>
      </w:r>
      <w:r>
        <w:t xml:space="preserve"> </w:t>
      </w:r>
      <w:r>
        <w:t xml:space="preserve">standard formula have no discretion when it comes to computing capital requirements. In</w:t>
      </w:r>
      <w:r>
        <w:t xml:space="preserve"> </w:t>
      </w:r>
      <w:r>
        <w:t xml:space="preserve">general, standard formula capital requirements for securitisation are higher (slightly higher for</w:t>
      </w:r>
      <w:r>
        <w:t xml:space="preserve"> </w:t>
      </w:r>
      <w:r>
        <w:t xml:space="preserve">senior STS securitisation, significantly higher for non-STS securitisation) than those applicable</w:t>
      </w:r>
      <w:r>
        <w:t xml:space="preserve"> </w:t>
      </w:r>
      <w:r>
        <w:t xml:space="preserve">to other fixed income securities such as corporate bonds.</w:t>
      </w:r>
      <w:r>
        <w:t xml:space="preserve"> </w:t>
      </w:r>
      <w:r>
        <w:t xml:space="preserve">SII capital charges for non-STS securitisation investments are generally deemed ‘punitive’ by</w:t>
      </w:r>
      <w:r>
        <w:t xml:space="preserve"> </w:t>
      </w:r>
      <w:r>
        <w:t xml:space="preserve">financial stakeholders. To illustrate the problem more concretely, investing in a non-STS</w:t>
      </w:r>
      <w:r>
        <w:t xml:space="preserve"> </w:t>
      </w:r>
      <w:r>
        <w:t xml:space="preserve">securitisation would likely require an insurer to fund more than half of the value of the</w:t>
      </w:r>
      <w:r>
        <w:t xml:space="preserve"> </w:t>
      </w:r>
      <w:r>
        <w:t xml:space="preserve">investment with capital. The evaluation provides several pieces of evidence supporting that the</w:t>
      </w:r>
    </w:p>
    <w:p>
      <w:pPr>
        <w:pStyle w:val="BodyText"/>
      </w:pPr>
      <w:r>
        <w:t xml:space="preserve">33 Banks are only allowed to reduce their capital requirements when the supervisor acknowledges that the</w:t>
      </w:r>
      <w:r>
        <w:t xml:space="preserve"> </w:t>
      </w:r>
      <w:r>
        <w:t xml:space="preserve">securitisation transfers a significant amount of risk to third party investors – this is known as Significant Risk</w:t>
      </w:r>
      <w:r>
        <w:t xml:space="preserve"> </w:t>
      </w:r>
      <w:r>
        <w:t xml:space="preserve">Transfer’. The SRT framework sets out several requirements and tests, based on which the supervisors assess</w:t>
      </w:r>
      <w:r>
        <w:t xml:space="preserve"> </w:t>
      </w:r>
      <w:r>
        <w:t xml:space="preserve">whether the significant risk transfer has been achieved.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prudential treatment for non-STS securitisation, which dates back from 2013, is overly</w:t>
      </w:r>
      <w:r>
        <w:t xml:space="preserve"> </w:t>
      </w:r>
      <w:r>
        <w:t xml:space="preserve">conservative. For example, under SII, it is more costly to invest in the best rated senior tranches</w:t>
      </w:r>
      <w:r>
        <w:t xml:space="preserve"> </w:t>
      </w:r>
      <w:r>
        <w:t xml:space="preserve">of non-STS securitisation (which would imply an amount of capital exceeding in general 50%</w:t>
      </w:r>
      <w:r>
        <w:t xml:space="preserve"> </w:t>
      </w:r>
      <w:r>
        <w:t xml:space="preserve">of the investment amount) than in riskier asset classes like unlisted equities or in equities from</w:t>
      </w:r>
      <w:r>
        <w:t xml:space="preserve"> </w:t>
      </w:r>
      <w:r>
        <w:t xml:space="preserve">emerging markets, and this raises issues of coherence. This finding also holds when comparing</w:t>
      </w:r>
      <w:r>
        <w:t xml:space="preserve"> </w:t>
      </w:r>
      <w:r>
        <w:t xml:space="preserve">with the capital requirements that are applicable to insurers using their own internal model.</w:t>
      </w:r>
      <w:r>
        <w:t xml:space="preserve"> </w:t>
      </w:r>
      <w:r>
        <w:t xml:space="preserve">In addition, the capital charges for securitisation under SII are not sufficiently risk sensitive.</w:t>
      </w:r>
      <w:r>
        <w:t xml:space="preserve"> </w:t>
      </w:r>
      <w:r>
        <w:t xml:space="preserve">The framework assigns the same capital charge for all non-STS transactions, regardless of their</w:t>
      </w:r>
      <w:r>
        <w:t xml:space="preserve"> </w:t>
      </w:r>
      <w:r>
        <w:t xml:space="preserve">seniority. This means that insurers are required to hold the same amount of capital whether</w:t>
      </w:r>
      <w:r>
        <w:t xml:space="preserve"> </w:t>
      </w:r>
      <w:r>
        <w:t xml:space="preserve">they invest in a risky first-loss tranche or whether they invest in the most senior protected</w:t>
      </w:r>
      <w:r>
        <w:t xml:space="preserve"> </w:t>
      </w:r>
      <w:r>
        <w:t xml:space="preserve">tranche in a non-STS transaction. All else equal, this lack of risk sensitivity incentivises</w:t>
      </w:r>
      <w:r>
        <w:t xml:space="preserve"> </w:t>
      </w:r>
      <w:r>
        <w:t xml:space="preserve">insurers to invest in the most complex and most junior assets to obtain a higher return since the</w:t>
      </w:r>
      <w:r>
        <w:t xml:space="preserve"> </w:t>
      </w:r>
      <w:r>
        <w:t xml:space="preserve">prudential cost of such investments would be the same as the one applicable to more senior and</w:t>
      </w:r>
      <w:r>
        <w:t xml:space="preserve"> </w:t>
      </w:r>
      <w:r>
        <w:t xml:space="preserve">less complex non-STS securitisations with the same rating. Ultimately, such risk seeking</w:t>
      </w:r>
      <w:r>
        <w:t xml:space="preserve"> </w:t>
      </w:r>
      <w:r>
        <w:t xml:space="preserve">behaviour could endanger policyholder protection by lowering the risk-bearing capacity of</w:t>
      </w:r>
      <w:r>
        <w:t xml:space="preserve"> </w:t>
      </w:r>
      <w:r>
        <w:t xml:space="preserve">insurers.</w:t>
      </w:r>
      <w:r>
        <w:t xml:space="preserve"> </w:t>
      </w:r>
      <w:r>
        <w:t xml:space="preserve">Such elements demonstrate that the current insurance capital requirements for non-STS</w:t>
      </w:r>
      <w:r>
        <w:t xml:space="preserve"> </w:t>
      </w:r>
      <w:r>
        <w:t xml:space="preserve">securitisation goes beyond what is strictly necessary to ensure financial stability.</w:t>
      </w:r>
      <w:r>
        <w:br/>
      </w:r>
      <w:r>
        <w:t xml:space="preserve">Unlike for banks where STS capital charges are still an issue, for insurers the core problem is</w:t>
      </w:r>
      <w:r>
        <w:t xml:space="preserve"> </w:t>
      </w:r>
      <w:r>
        <w:t xml:space="preserve">the non-STS segment of securitisation. The current capital requirements on senior tranches of</w:t>
      </w:r>
      <w:r>
        <w:t xml:space="preserve"> </w:t>
      </w:r>
      <w:r>
        <w:t xml:space="preserve">STS securitisations are very close to those applicable to corporate bonds. Therefore, it is</w:t>
      </w:r>
      <w:r>
        <w:t xml:space="preserve"> </w:t>
      </w:r>
      <w:r>
        <w:t xml:space="preserve">difficult to claim that prudential rules play a major role in the limited level of insurers’</w:t>
      </w:r>
      <w:r>
        <w:t xml:space="preserve"> </w:t>
      </w:r>
      <w:r>
        <w:t xml:space="preserve">investments in senior tranches of STS securitisations34. In fact, insurers’ investments in senior</w:t>
      </w:r>
      <w:r>
        <w:t xml:space="preserve"> </w:t>
      </w:r>
      <w:r>
        <w:t xml:space="preserve">tranches of STS securitisations represent only 6% of total investments in securitisation. As for</w:t>
      </w:r>
      <w:r>
        <w:t xml:space="preserve"> </w:t>
      </w:r>
      <w:r>
        <w:t xml:space="preserve">non-senior tranches of STS securitisations, the evaluation concludes that they are usually</w:t>
      </w:r>
      <w:r>
        <w:t xml:space="preserve"> </w:t>
      </w:r>
      <w:r>
        <w:t xml:space="preserve">largely oversubscribed by various types of investors (i.e. much more demand than supply) and</w:t>
      </w:r>
      <w:r>
        <w:t xml:space="preserve"> </w:t>
      </w:r>
      <w:r>
        <w:t xml:space="preserve">the capital requirements under Solvency II are coherent with those applicable under banking</w:t>
      </w:r>
      <w:r>
        <w:t xml:space="preserve"> </w:t>
      </w:r>
      <w:r>
        <w:t xml:space="preserve">rules.</w:t>
      </w:r>
      <w:r>
        <w:br/>
      </w:r>
      <w:r>
        <w:t xml:space="preserve">The evaluation also identified factors other than undue prudential rules which can discourage</w:t>
      </w:r>
      <w:r>
        <w:t xml:space="preserve"> </w:t>
      </w:r>
      <w:r>
        <w:t xml:space="preserve">insurers from investing in securitisation. According to EIOPA’s 2022 advice on securitisation35</w:t>
      </w:r>
      <w:r>
        <w:t xml:space="preserve"> </w:t>
      </w:r>
      <w:r>
        <w:t xml:space="preserve">insurers typically focus on the ‘financial risk / return profile’ of an investment (and not the</w:t>
      </w:r>
      <w:r>
        <w:t xml:space="preserve"> </w:t>
      </w:r>
      <w:r>
        <w:t xml:space="preserve">‘prudential cost / return profile’). Their investment strategies prioritise asset-liability</w:t>
      </w:r>
      <w:r>
        <w:t xml:space="preserve"> </w:t>
      </w:r>
      <w:r>
        <w:t xml:space="preserve">management, particularly for insurance products with long-term liabilities and fixed cash</w:t>
      </w:r>
      <w:r>
        <w:t xml:space="preserve"> </w:t>
      </w:r>
      <w:r>
        <w:t xml:space="preserve">flows. This applies not only to life insurers but also to many non-life insurers offering liability</w:t>
      </w:r>
      <w:r>
        <w:t xml:space="preserve"> </w:t>
      </w:r>
      <w:r>
        <w:t xml:space="preserve">insurance. To manage risk, insurers may favour long-term, fixed-rate investments that protect</w:t>
      </w:r>
      <w:r>
        <w:t xml:space="preserve"> </w:t>
      </w:r>
      <w:r>
        <w:t xml:space="preserve">them from fluctuations in interest rates and irregular cash inflows, both of which could weaken</w:t>
      </w:r>
    </w:p>
    <w:p>
      <w:pPr>
        <w:pStyle w:val="BodyText"/>
      </w:pPr>
      <w:r>
        <w:t xml:space="preserve">34 In particular, a difference of less than two percentage points in capital requirements cannot on its own justify</w:t>
      </w:r>
      <w:r>
        <w:t xml:space="preserve"> </w:t>
      </w:r>
      <w:r>
        <w:t xml:space="preserve">why corporate bonds represent more than 15% of insurers’ portfolio whereas senior STS requirements make up</w:t>
      </w:r>
      <w:r>
        <w:t xml:space="preserve"> </w:t>
      </w:r>
      <w:r>
        <w:t xml:space="preserve">less than 0.5%.</w:t>
      </w:r>
      <w:r>
        <w:t xml:space="preserve"> </w:t>
      </w:r>
      <w:r>
        <w:t xml:space="preserve">35</w:t>
      </w:r>
      <w:r>
        <w:t xml:space="preserve"> </w:t>
      </w:r>
      <w:r>
        <w:t xml:space="preserve">See:</w:t>
      </w:r>
      <w:r>
        <w:t xml:space="preserve"> </w:t>
      </w:r>
      <w:r>
        <w:t xml:space="preserve">https://www.eiopa.europa.eu/publications/joint-committee-advice-review-securitisation-prudential-</w:t>
      </w:r>
      <w:r>
        <w:t xml:space="preserve"> </w:t>
      </w:r>
      <w:r>
        <w:t xml:space="preserve">framework_en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their capital position. The perceived complexity of securitisation as an asset class which</w:t>
      </w:r>
      <w:r>
        <w:t xml:space="preserve"> </w:t>
      </w:r>
      <w:r>
        <w:t xml:space="preserve">requires extensive due diligence is another relevant factor.</w:t>
      </w:r>
      <w:r>
        <w:br/>
      </w:r>
      <w:r>
        <w:t xml:space="preserve">There is however evidence that these factors should not be overstated. A Bank of America</w:t>
      </w:r>
      <w:r>
        <w:t xml:space="preserve"> </w:t>
      </w:r>
      <w:r>
        <w:t xml:space="preserve">paper, drawing on market research, presents long-term data on investment portfolios of EU and</w:t>
      </w:r>
      <w:r>
        <w:t xml:space="preserve"> </w:t>
      </w:r>
      <w:r>
        <w:t xml:space="preserve">US insurers and concludes that EU insurers were more active in the securitisation market before</w:t>
      </w:r>
      <w:r>
        <w:t xml:space="preserve"> </w:t>
      </w:r>
      <w:r>
        <w:t xml:space="preserve">the Global Financial Crisis, which suggests that they saw value in these investments36.</w:t>
      </w:r>
      <w:r>
        <w:t xml:space="preserve"> </w:t>
      </w:r>
      <w:r>
        <w:t xml:space="preserve">Moreover, US insurers are still significantly investing in securitisation, particularly for long-</w:t>
      </w:r>
      <w:r>
        <w:t xml:space="preserve"> </w:t>
      </w:r>
      <w:r>
        <w:t xml:space="preserve">term annuity products with regular cash outflows - securitisation represents on average 15% of</w:t>
      </w:r>
      <w:r>
        <w:t xml:space="preserve"> </w:t>
      </w:r>
      <w:r>
        <w:t xml:space="preserve">their investment portfolio37. In addition, all consultation activities reported in Annex II point</w:t>
      </w:r>
      <w:r>
        <w:t xml:space="preserve"> </w:t>
      </w:r>
      <w:r>
        <w:t xml:space="preserve">to both the willingness of insurers to ramp up their participation in the securitisation market</w:t>
      </w:r>
      <w:r>
        <w:t xml:space="preserve"> </w:t>
      </w:r>
      <w:r>
        <w:t xml:space="preserve">and the hurdles generated by prudential rules. This contradicts the statement that securitisation</w:t>
      </w:r>
      <w:r>
        <w:t xml:space="preserve"> </w:t>
      </w:r>
      <w:r>
        <w:t xml:space="preserve">is not appropriate to match long-term liabilities.</w:t>
      </w:r>
      <w:r>
        <w:br/>
      </w:r>
      <w:r>
        <w:t xml:space="preserve">2.2. What are the consequences? How likely is the problem to persist?</w:t>
      </w:r>
      <w:r>
        <w:br/>
      </w:r>
      <w:r>
        <w:t xml:space="preserve">The problems outlined in Section 2.1 have resulted in a relatively small and unduly constrained</w:t>
      </w:r>
      <w:r>
        <w:t xml:space="preserve"> </w:t>
      </w:r>
      <w:r>
        <w:t xml:space="preserve">EU securitisation market. High operational costs, driven by complexity, as well as due</w:t>
      </w:r>
      <w:r>
        <w:t xml:space="preserve"> </w:t>
      </w:r>
      <w:r>
        <w:t xml:space="preserve">diligence and transparency costs, create a barrier for new issuers and investors to enter the</w:t>
      </w:r>
      <w:r>
        <w:t xml:space="preserve"> </w:t>
      </w:r>
      <w:r>
        <w:t xml:space="preserve">market. As a result, only a limited number of issuers and investors that can afford these costs</w:t>
      </w:r>
      <w:r>
        <w:t xml:space="preserve"> </w:t>
      </w:r>
      <w:r>
        <w:t xml:space="preserve">continue to operate. This limited investor base leads to fewer transactions, resulting in low</w:t>
      </w:r>
      <w:r>
        <w:t xml:space="preserve"> </w:t>
      </w:r>
      <w:r>
        <w:t xml:space="preserve">market liquidity, which disincentivises issuers from using securitisation. In turn, limited supply</w:t>
      </w:r>
      <w:r>
        <w:t xml:space="preserve"> </w:t>
      </w:r>
      <w:r>
        <w:t xml:space="preserve">makes the securitisation market unattractive for new investors to come in. Furthermore, as the</w:t>
      </w:r>
      <w:r>
        <w:t xml:space="preserve"> </w:t>
      </w:r>
      <w:r>
        <w:t xml:space="preserve">prudential requirements associated with securitisation continue to be higher than those of other</w:t>
      </w:r>
      <w:r>
        <w:t xml:space="preserve"> </w:t>
      </w:r>
      <w:r>
        <w:t xml:space="preserve">asset classes, prudentially regulated financial institutions are disinclined to issue or invest in</w:t>
      </w:r>
      <w:r>
        <w:t xml:space="preserve"> </w:t>
      </w:r>
      <w:r>
        <w:t xml:space="preserve">securitisations.</w:t>
      </w:r>
      <w:r>
        <w:t xml:space="preserve"> </w:t>
      </w:r>
      <w:r>
        <w:t xml:space="preserve">Together, these high operational and prudential requirements reduce the competitiveness of the</w:t>
      </w:r>
      <w:r>
        <w:t xml:space="preserve"> </w:t>
      </w:r>
      <w:r>
        <w:t xml:space="preserve">actors in the EU securitisation market. Financial institutions, businesses and households</w:t>
      </w:r>
      <w:r>
        <w:t xml:space="preserve"> </w:t>
      </w:r>
      <w:r>
        <w:t xml:space="preserve">therefore do not fully reap the benefits that securitisation could offer in terms of risk</w:t>
      </w:r>
      <w:r>
        <w:t xml:space="preserve"> </w:t>
      </w:r>
      <w:r>
        <w:t xml:space="preserve">diversification, capital market development and additional lending.</w:t>
      </w:r>
      <w:r>
        <w:t xml:space="preserve"> </w:t>
      </w:r>
      <w:r>
        <w:t xml:space="preserve">In the absence of regulatory action, it is difficult to envisage a change in the issuance and</w:t>
      </w:r>
      <w:r>
        <w:t xml:space="preserve"> </w:t>
      </w:r>
      <w:r>
        <w:t xml:space="preserve">investment behaviour of financial institutions. In general, issuers and investors will continue</w:t>
      </w:r>
      <w:r>
        <w:t xml:space="preserve"> </w:t>
      </w:r>
      <w:r>
        <w:t xml:space="preserve">to prefer financial instruments with lower operational and regulatory requirements. Banks’</w:t>
      </w:r>
      <w:r>
        <w:t xml:space="preserve"> </w:t>
      </w:r>
      <w:r>
        <w:t xml:space="preserve">current strong preference for alternative, lower-cost instruments, such as covered bonds, is</w:t>
      </w:r>
      <w:r>
        <w:t xml:space="preserve"> </w:t>
      </w:r>
      <w:r>
        <w:t xml:space="preserve">unlikely to change, and the issuance of traditional securitisation will likely remain subdued.</w:t>
      </w:r>
      <w:r>
        <w:br/>
      </w:r>
      <w:r>
        <w:t xml:space="preserve">The continued operation of the EU securitisation market below its full potential represents a</w:t>
      </w:r>
      <w:r>
        <w:t xml:space="preserve"> </w:t>
      </w:r>
      <w:r>
        <w:t xml:space="preserve">missed opportunity for Europe for funding strategic priorities and deepening the EU’s capital</w:t>
      </w:r>
      <w:r>
        <w:t xml:space="preserve"> </w:t>
      </w:r>
      <w:r>
        <w:t xml:space="preserve">markets. This, in turn, hinders the efficient financing of EU businesses and households. In</w:t>
      </w:r>
      <w:r>
        <w:t xml:space="preserve"> </w:t>
      </w:r>
      <w:r>
        <w:t xml:space="preserve">addition, the securitisation market’s potential to expand the universe of investable securities for</w:t>
      </w:r>
    </w:p>
    <w:p>
      <w:pPr>
        <w:pStyle w:val="BodyText"/>
      </w:pPr>
      <w:r>
        <w:t xml:space="preserve">36 See for instance “European SF Weekly: European vs US insurers’ asset mix”, BofA Global Research, 24 June</w:t>
      </w:r>
      <w:r>
        <w:t xml:space="preserve"> </w:t>
      </w:r>
      <w:r>
        <w:t xml:space="preserve">2024. As public authorities and supervisors did not collect data on a consistent basis over time (Solvency II only</w:t>
      </w:r>
      <w:r>
        <w:t xml:space="preserve"> </w:t>
      </w:r>
      <w:r>
        <w:t xml:space="preserve">applies since 2016), it is not possible to confirm or infirm the validity of this assessment.</w:t>
      </w:r>
      <w:r>
        <w:t xml:space="preserve"> </w:t>
      </w:r>
      <w:r>
        <w:t xml:space="preserve">37 See: https://content.naic.org/sites/default/files/capital-markets-special-reports-asset-mix-ye2023.pdf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institutional investors is not being fully utilised, ultimately limiting the depth and development</w:t>
      </w:r>
      <w:r>
        <w:t xml:space="preserve"> </w:t>
      </w:r>
      <w:r>
        <w:t xml:space="preserve">of EU capital markets.</w:t>
      </w:r>
      <w:r>
        <w:br/>
      </w:r>
      <w:r>
        <w:t xml:space="preserve">Investment needs will continue to grow, driven by digitalisation, decarbonisation, and defence</w:t>
      </w:r>
      <w:r>
        <w:t xml:space="preserve"> </w:t>
      </w:r>
      <w:r>
        <w:t xml:space="preserve">spending. To meet these demands, the EU’s investment-to-GDP ratio will need to return to</w:t>
      </w:r>
      <w:r>
        <w:t xml:space="preserve"> </w:t>
      </w:r>
      <w:r>
        <w:t xml:space="preserve">levels last seen in the 1960s and 1970s. To meet the objectives set out in the Draghi report:</w:t>
      </w:r>
      <w:r>
        <w:t xml:space="preserve"> </w:t>
      </w:r>
      <w:r>
        <w:t xml:space="preserve">“[T]he financing needs required for the EU to meet its objectives are massive, but productive</w:t>
      </w:r>
      <w:r>
        <w:t xml:space="preserve"> </w:t>
      </w:r>
      <w:r>
        <w:t xml:space="preserve">investment is weak despite ample private savings. A minimum annual additional investment of</w:t>
      </w:r>
      <w:r>
        <w:t xml:space="preserve"> </w:t>
      </w:r>
      <w:r>
        <w:t xml:space="preserve">EUR 750 to 800 billion is needed, based on the latest Commission estimates, corresponding to</w:t>
      </w:r>
      <w:r>
        <w:t xml:space="preserve"> </w:t>
      </w:r>
      <w:r>
        <w:t xml:space="preserve">4.4-4.7% of EU GDP in 2023”38.</w:t>
      </w:r>
      <w:r>
        <w:t xml:space="preserve"> </w:t>
      </w:r>
      <w:r>
        <w:t xml:space="preserve">The benefits of securitisation, such as increased funding and capital market development,</w:t>
      </w:r>
      <w:r>
        <w:t xml:space="preserve"> </w:t>
      </w:r>
      <w:r>
        <w:t xml:space="preserve">depend on how financial institutions choose to utilise the benefits brought by the instrument.</w:t>
      </w:r>
      <w:r>
        <w:t xml:space="preserve"> </w:t>
      </w:r>
      <w:r>
        <w:t xml:space="preserve">A bank may use the additional balance sheet capacity gained through securitisation to increase</w:t>
      </w:r>
      <w:r>
        <w:t xml:space="preserve"> </w:t>
      </w:r>
      <w:r>
        <w:t xml:space="preserve">lending, and deepen the capital market, or it may retain them for other purposes. Ultimately,</w:t>
      </w:r>
      <w:r>
        <w:t xml:space="preserve"> </w:t>
      </w:r>
      <w:r>
        <w:t xml:space="preserve">this decision lies with the issuing bank. Regulation should not dictate a specific outcome. That</w:t>
      </w:r>
      <w:r>
        <w:t xml:space="preserve"> </w:t>
      </w:r>
      <w:r>
        <w:t xml:space="preserve">being said, lending to the real economy is a core business of banks and a key driver of their</w:t>
      </w:r>
      <w:r>
        <w:t xml:space="preserve"> </w:t>
      </w:r>
      <w:r>
        <w:t xml:space="preserve">profits. Therefore, it is reasonable to assume that, all else being equal, a well-functioning</w:t>
      </w:r>
      <w:r>
        <w:t xml:space="preserve"> </w:t>
      </w:r>
      <w:r>
        <w:t xml:space="preserve">securitisation market will incentivise banks to increase their lending to the real economy.</w:t>
      </w:r>
      <w:r>
        <w:br/>
      </w:r>
      <w:r>
        <w:t xml:space="preserve">Quantifying the exact impact on the real economy from releasing bank capital through</w:t>
      </w:r>
      <w:r>
        <w:t xml:space="preserve"> </w:t>
      </w:r>
      <w:r>
        <w:t xml:space="preserve">securitisation is, however, a challenging task. One respondent to the targeted consultation</w:t>
      </w:r>
      <w:r>
        <w:t xml:space="preserve"> </w:t>
      </w:r>
      <w:r>
        <w:t xml:space="preserve">estimated that every EUR 10 bn risk-weighted assets that banks can securitise, rather than keep</w:t>
      </w:r>
      <w:r>
        <w:t xml:space="preserve"> </w:t>
      </w:r>
      <w:r>
        <w:t xml:space="preserve">on their balance sheet, allows them to provide additional lending of EUR 15-20 bn. There are</w:t>
      </w:r>
      <w:r>
        <w:t xml:space="preserve"> </w:t>
      </w:r>
      <w:r>
        <w:t xml:space="preserve">also several studies that show that there is a positive relationship between banks’ released</w:t>
      </w:r>
      <w:r>
        <w:t xml:space="preserve"> </w:t>
      </w:r>
      <w:r>
        <w:t xml:space="preserve">capital and loan supply. For instance, one study39 provides evidence that banks’ use of capital</w:t>
      </w:r>
      <w:r>
        <w:t xml:space="preserve"> </w:t>
      </w:r>
      <w:r>
        <w:t xml:space="preserve">buffers can benefit both the real economy and banks themselves, without a negative impact on</w:t>
      </w:r>
      <w:r>
        <w:t xml:space="preserve"> </w:t>
      </w:r>
      <w:r>
        <w:t xml:space="preserve">the banks’ resilience. Capital buffers are extra capital that banks hold above the minimum</w:t>
      </w:r>
      <w:r>
        <w:t xml:space="preserve"> </w:t>
      </w:r>
      <w:r>
        <w:t xml:space="preserve">regulatory requirements and include buffers which are designed to be released at times of</w:t>
      </w:r>
      <w:r>
        <w:t xml:space="preserve"> </w:t>
      </w:r>
      <w:r>
        <w:t xml:space="preserve">economic adversity. Banks’ willingness to use the capital buffers increases lending and GDP</w:t>
      </w:r>
      <w:r>
        <w:t xml:space="preserve"> </w:t>
      </w:r>
      <w:r>
        <w:t xml:space="preserve">and lowers credit losses. The study shows that, in stressed scenarios, a broad-based use of</w:t>
      </w:r>
      <w:r>
        <w:t xml:space="preserve"> </w:t>
      </w:r>
      <w:r>
        <w:t xml:space="preserve">capital buffers could increase lending to the real economy by more than 3%, and GDP by over</w:t>
      </w:r>
      <w:r>
        <w:t xml:space="preserve"> </w:t>
      </w:r>
      <w:r>
        <w:t xml:space="preserve">0.5%.</w:t>
      </w:r>
      <w:r>
        <w:br/>
      </w:r>
      <w:r>
        <w:t xml:space="preserve">All in all, the goal of the regulatory framework is not to limit the choices of issuers to a</w:t>
      </w:r>
      <w:r>
        <w:t xml:space="preserve"> </w:t>
      </w:r>
      <w:r>
        <w:t xml:space="preserve">particular outcome, but rather to remove obstacles that might hinder the use of securitisation in</w:t>
      </w:r>
      <w:r>
        <w:t xml:space="preserve"> </w:t>
      </w:r>
      <w:r>
        <w:t xml:space="preserve">its various applications. A more accessible securitisation market offers financial institutions</w:t>
      </w:r>
      <w:r>
        <w:t xml:space="preserve"> </w:t>
      </w:r>
      <w:r>
        <w:t xml:space="preserve">enhanced opportunities to increase the financing capacity for key EU initiatives. Conversely, a</w:t>
      </w:r>
      <w:r>
        <w:t xml:space="preserve"> </w:t>
      </w:r>
      <w:r>
        <w:t xml:space="preserve">failure to address the above shortcomings is likely to perpetuate and perhaps even aggravate</w:t>
      </w:r>
      <w:r>
        <w:t xml:space="preserve"> </w:t>
      </w:r>
      <w:r>
        <w:t xml:space="preserve">the problems and barriers outlined in Section 2.</w:t>
      </w:r>
    </w:p>
    <w:p>
      <w:pPr>
        <w:pStyle w:val="BodyText"/>
      </w:pPr>
      <w:r>
        <w:t xml:space="preserve">38</w:t>
      </w:r>
      <w:r>
        <w:br/>
      </w:r>
      <w:r>
        <w:t xml:space="preserve">Draghi report p. 59, Chapter 5: “Financing Investment”.</w:t>
      </w:r>
      <w:r>
        <w:t xml:space="preserve"> </w:t>
      </w:r>
      <w:r>
        <w:t xml:space="preserve">39</w:t>
      </w:r>
      <w:r>
        <w:br/>
      </w:r>
      <w:r>
        <w:t xml:space="preserve">See Buffer use and lending impact; Borsuk, Budnik, Volk, 2020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The regulatory requirements for the Securitisation Framework are already set at EU level.</w:t>
      </w:r>
      <w:r>
        <w:t xml:space="preserve"> </w:t>
      </w:r>
      <w:r>
        <w:t xml:space="preserve">Consequently, the legal basis for the review will remain the same as the legal basis of the</w:t>
      </w:r>
      <w:r>
        <w:t xml:space="preserve"> </w:t>
      </w:r>
      <w:r>
        <w:t xml:space="preserve">original legislative acts, namely Article 114 TFEU for SECR, Articles 111(1)(c) and 135(2) of</w:t>
      </w:r>
      <w:r>
        <w:t xml:space="preserve"> </w:t>
      </w:r>
      <w:r>
        <w:t xml:space="preserve">the SII Directive empowering the Commission to adopt delegated acts on the prudential</w:t>
      </w:r>
      <w:r>
        <w:t xml:space="preserve"> </w:t>
      </w:r>
      <w:r>
        <w:t xml:space="preserve">treatment of investments, including securitisation, Article 114 TFEU for the CRR and Article</w:t>
      </w:r>
      <w:r>
        <w:t xml:space="preserve"> </w:t>
      </w:r>
      <w:r>
        <w:t xml:space="preserve">460 of CRR for the LCR Delegated Regulation.</w:t>
      </w:r>
      <w:r>
        <w:br/>
      </w:r>
      <w:r>
        <w:t xml:space="preserve">3.2. Subsidiarity: Necessity of EU action and Added value of EU action</w:t>
      </w:r>
      <w:r>
        <w:t xml:space="preserve"> </w:t>
      </w:r>
      <w:r>
        <w:t xml:space="preserve">The purpose of the review is to make the EU Securitisation Framework less burdensome, more</w:t>
      </w:r>
      <w:r>
        <w:t xml:space="preserve"> </w:t>
      </w:r>
      <w:r>
        <w:t xml:space="preserve">principles-based, more proportionate and more risk-sensitive. In particular, the review</w:t>
      </w:r>
      <w:r>
        <w:t xml:space="preserve"> </w:t>
      </w:r>
      <w:r>
        <w:t xml:space="preserve">examines certain provisions on due diligence, transparency and prudential (capital and</w:t>
      </w:r>
      <w:r>
        <w:t xml:space="preserve"> </w:t>
      </w:r>
      <w:r>
        <w:t xml:space="preserve">liquidity) requirements. Only action at EU level can ensure that going forward, these regulatory</w:t>
      </w:r>
      <w:r>
        <w:t xml:space="preserve"> </w:t>
      </w:r>
      <w:r>
        <w:t xml:space="preserve">provisions are applied uniformly and guarantee the existence of the well-established regulatory</w:t>
      </w:r>
      <w:r>
        <w:t xml:space="preserve"> </w:t>
      </w:r>
      <w:r>
        <w:t xml:space="preserve">framework regarding the taking up and the pursuit of securitisation-related activity, including</w:t>
      </w:r>
      <w:r>
        <w:t xml:space="preserve"> </w:t>
      </w:r>
      <w:r>
        <w:t xml:space="preserve">issuance and investment, across the Single Market.</w:t>
      </w:r>
      <w:r>
        <w:br/>
      </w:r>
      <w:r>
        <w:t xml:space="preserve">The ability of Member States to adopt national measures is limited, given that the existing EU</w:t>
      </w:r>
      <w:r>
        <w:t xml:space="preserve"> </w:t>
      </w:r>
      <w:r>
        <w:t xml:space="preserve">Securitisation Framework, already provides for a harmonised set of rules at EU level and that</w:t>
      </w:r>
      <w:r>
        <w:t xml:space="preserve"> </w:t>
      </w:r>
      <w:r>
        <w:t xml:space="preserve">changes at national level would conflict with Union law currently in force.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 General objectives</w:t>
      </w:r>
      <w:r>
        <w:br/>
      </w:r>
      <w:r>
        <w:t xml:space="preserve">The general objective of the Securitisation Framework, as expressed in the impact assessment</w:t>
      </w:r>
      <w:r>
        <w:t xml:space="preserve"> </w:t>
      </w:r>
      <w:r>
        <w:t xml:space="preserve">of 2015 accompanying the Commission’s proposal was: “to revive a safer securitisation market</w:t>
      </w:r>
      <w:r>
        <w:t xml:space="preserve"> </w:t>
      </w:r>
      <w:r>
        <w:t xml:space="preserve">that will improve the financing of the EU economy, weakening the link between banks’</w:t>
      </w:r>
      <w:r>
        <w:t xml:space="preserve"> </w:t>
      </w:r>
      <w:r>
        <w:t xml:space="preserve">deleveraging needs and credit tightening in the short run, and creating a more balanced and</w:t>
      </w:r>
      <w:r>
        <w:t xml:space="preserve"> </w:t>
      </w:r>
      <w:r>
        <w:t xml:space="preserve">stable funding structure of the EU economy in the long run.” The evaluation (Annex V, section</w:t>
      </w:r>
      <w:r>
        <w:t xml:space="preserve"> </w:t>
      </w:r>
      <w:r>
        <w:t xml:space="preserve">5) finds that this general objective has been only partially achieved because while the</w:t>
      </w:r>
      <w:r>
        <w:t xml:space="preserve"> </w:t>
      </w:r>
      <w:r>
        <w:t xml:space="preserve">securitisation market is safer, the initiative has not been sufficient to revive the market or</w:t>
      </w:r>
      <w:r>
        <w:t xml:space="preserve"> </w:t>
      </w:r>
      <w:r>
        <w:t xml:space="preserve">improve financing opportunities. Indeed, most of the measures that were introduced in the</w:t>
      </w:r>
      <w:r>
        <w:t xml:space="preserve"> </w:t>
      </w:r>
      <w:r>
        <w:t xml:space="preserve">current framework aimed first and foremost to mitigate potential risks associated with</w:t>
      </w:r>
      <w:r>
        <w:t xml:space="preserve"> </w:t>
      </w:r>
      <w:r>
        <w:t xml:space="preserve">securitisation, rather than support market development. Going forward, the objective is to strike</w:t>
      </w:r>
      <w:r>
        <w:t xml:space="preserve"> </w:t>
      </w:r>
      <w:r>
        <w:t xml:space="preserve">a better balance between safety and market development. For this reason, most of the policy</w:t>
      </w:r>
      <w:r>
        <w:t xml:space="preserve"> </w:t>
      </w:r>
      <w:r>
        <w:t xml:space="preserve">options presented below focus on developing further the EU securitisation market by making</w:t>
      </w:r>
      <w:r>
        <w:t xml:space="preserve"> </w:t>
      </w:r>
      <w:r>
        <w:t xml:space="preserve">the framework more proportionate and risk-sensitive. This is the main difference with the</w:t>
      </w:r>
      <w:r>
        <w:t xml:space="preserve"> </w:t>
      </w:r>
      <w:r>
        <w:t xml:space="preserve">approach taken in the 2015 Impact Assessment where safety was the main focus.</w:t>
      </w:r>
      <w:r>
        <w:t xml:space="preserve"> </w:t>
      </w:r>
      <w:r>
        <w:t xml:space="preserve">Addressing the unattained objective of reviving the securitisation market will contribute to</w:t>
      </w:r>
      <w:r>
        <w:t xml:space="preserve"> </w:t>
      </w:r>
      <w:r>
        <w:t xml:space="preserve">creating a more balanced and stable funding structure to increase the available financing for</w:t>
      </w:r>
      <w:r>
        <w:t xml:space="preserve"> </w:t>
      </w:r>
      <w:r>
        <w:t xml:space="preserve">the EU economy. The achievement of this general objective requires the pursuit of several more</w:t>
      </w:r>
      <w:r>
        <w:t xml:space="preserve"> </w:t>
      </w:r>
      <w:r>
        <w:t xml:space="preserve">specific policy objectives, such as transparency requirements for issuers, due diligence</w:t>
      </w:r>
      <w:r>
        <w:t xml:space="preserve"> </w:t>
      </w:r>
      <w:r>
        <w:t xml:space="preserve">obligations for investors, and prudential requirements.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This initiative does not seek to achieve a specific target for the size or growth of the</w:t>
      </w:r>
      <w:r>
        <w:t xml:space="preserve"> </w:t>
      </w:r>
      <w:r>
        <w:t xml:space="preserve">securitisation market, also not in comparison taking as reference the situation in other</w:t>
      </w:r>
      <w:r>
        <w:t xml:space="preserve"> </w:t>
      </w:r>
      <w:r>
        <w:t xml:space="preserve">jurisdictions. Instead, it focuses on creating an ‘enabling framework’ by removing regulatory</w:t>
      </w:r>
      <w:r>
        <w:t xml:space="preserve"> </w:t>
      </w:r>
      <w:r>
        <w:t xml:space="preserve">barriers, allowing the market to develop in a more sustainable and resilient way without the</w:t>
      </w:r>
      <w:r>
        <w:t xml:space="preserve"> </w:t>
      </w:r>
      <w:r>
        <w:t xml:space="preserve">risks of rigid issuance targets. Comparing the EU securitisation market to those in other regions</w:t>
      </w:r>
      <w:r>
        <w:t xml:space="preserve"> </w:t>
      </w:r>
      <w:r>
        <w:t xml:space="preserve">can be misleading due to key differences in regulatory frameworks, particularities of financial</w:t>
      </w:r>
      <w:r>
        <w:t xml:space="preserve"> </w:t>
      </w:r>
      <w:r>
        <w:t xml:space="preserve">markets, historical developments and structural characteristics40. Using other markets as a</w:t>
      </w:r>
      <w:r>
        <w:t xml:space="preserve"> </w:t>
      </w:r>
      <w:r>
        <w:t xml:space="preserve">benchmark may overlook these important differences, leading to inaccurate conclusions or</w:t>
      </w:r>
      <w:r>
        <w:t xml:space="preserve"> </w:t>
      </w:r>
      <w:r>
        <w:t xml:space="preserve">ineffective policy decisions. Each market has its unique characteristics and challenges</w:t>
      </w:r>
      <w:r>
        <w:t xml:space="preserve"> </w:t>
      </w:r>
      <w:r>
        <w:t xml:space="preserve">requiring bespoke analysis and approaches.</w:t>
      </w:r>
      <w:r>
        <w:br/>
      </w:r>
      <w:r>
        <w:t xml:space="preserve">Last but not least, the objective focuses on removing undue barriers, instead of channelling</w:t>
      </w:r>
      <w:r>
        <w:t xml:space="preserve"> </w:t>
      </w:r>
      <w:r>
        <w:t xml:space="preserve">funds for a specific purpose (i.e. allowing for bank capital relief only on the condition that they</w:t>
      </w:r>
      <w:r>
        <w:t xml:space="preserve"> </w:t>
      </w:r>
      <w:r>
        <w:t xml:space="preserve">provide additional lending for specific purposes or to specific sectors of the economy).</w:t>
      </w:r>
      <w:r>
        <w:t xml:space="preserve"> </w:t>
      </w:r>
      <w:r>
        <w:t xml:space="preserve">Prudential regulation is designed to ensure the stability of banks, insurers and the financial</w:t>
      </w:r>
      <w:r>
        <w:t xml:space="preserve"> </w:t>
      </w:r>
      <w:r>
        <w:t xml:space="preserve">system, and to ensure an appropriate reflection of risks through proper capitalisation. Prudential</w:t>
      </w:r>
      <w:r>
        <w:t xml:space="preserve"> </w:t>
      </w:r>
      <w:r>
        <w:t xml:space="preserve">regulation is not intended to serve as an instrument to promote the development of specific</w:t>
      </w:r>
      <w:r>
        <w:t xml:space="preserve"> </w:t>
      </w:r>
      <w:r>
        <w:t xml:space="preserve">industries or branches of economic activity (for example tax policy – outside the scope of this</w:t>
      </w:r>
      <w:r>
        <w:t xml:space="preserve"> </w:t>
      </w:r>
      <w:r>
        <w:t xml:space="preserve">initiative – is better suited for supporting specific sectors, activities, or purposes but tax policy</w:t>
      </w:r>
      <w:r>
        <w:t xml:space="preserve"> </w:t>
      </w:r>
      <w:r>
        <w:t xml:space="preserve">is outside the scope of this initiative).</w:t>
      </w:r>
      <w:r>
        <w:br/>
      </w:r>
      <w:r>
        <w:t xml:space="preserve">Introducing a conditions-based system is also technically very complex and challenging and</w:t>
      </w:r>
      <w:r>
        <w:t xml:space="preserve"> </w:t>
      </w:r>
      <w:r>
        <w:t xml:space="preserve">would require in depth monitoring and compliance, which could deter banks from engaging in</w:t>
      </w:r>
      <w:r>
        <w:t xml:space="preserve"> </w:t>
      </w:r>
      <w:r>
        <w:t xml:space="preserve">the securitisation activities to prevent charges for potential non-compliance. Introducing a</w:t>
      </w:r>
      <w:r>
        <w:t xml:space="preserve"> </w:t>
      </w:r>
      <w:r>
        <w:t xml:space="preserve">conditions-based system is also technically very complex and challenging and would require</w:t>
      </w:r>
      <w:r>
        <w:t xml:space="preserve"> </w:t>
      </w:r>
      <w:r>
        <w:t xml:space="preserve">in depth monitoring and compliance, which could deter banks from engaging in the</w:t>
      </w:r>
      <w:r>
        <w:t xml:space="preserve"> </w:t>
      </w:r>
      <w:r>
        <w:t xml:space="preserve">securitisation activities to prevent charges for potential non-compliance. Setting up such a</w:t>
      </w:r>
      <w:r>
        <w:t xml:space="preserve"> </w:t>
      </w:r>
      <w:r>
        <w:t xml:space="preserve">monitoring system would also require additional reporting, which would run against the idea</w:t>
      </w:r>
      <w:r>
        <w:t xml:space="preserve"> </w:t>
      </w:r>
      <w:r>
        <w:t xml:space="preserve">of reducing the burden for market participants.</w:t>
      </w:r>
      <w:r>
        <w:t xml:space="preserve"> </w:t>
      </w:r>
      <w:r>
        <w:t xml:space="preserve">Overall, introducing such conditionality in the banks’ prudential framework could prove to be</w:t>
      </w:r>
      <w:r>
        <w:t xml:space="preserve"> </w:t>
      </w:r>
      <w:r>
        <w:t xml:space="preserve">counterproductive and could negatively impact the effectiveness of the current initiative, in the</w:t>
      </w:r>
      <w:r>
        <w:t xml:space="preserve"> </w:t>
      </w:r>
      <w:r>
        <w:t xml:space="preserve">end potentially defeating its primary objective. Considering the above, the current initiative</w:t>
      </w:r>
      <w:r>
        <w:t xml:space="preserve"> </w:t>
      </w:r>
      <w:r>
        <w:t xml:space="preserve">does not aim to stimulate or impose constraints on banks’ specific activities but focuses instead</w:t>
      </w:r>
      <w:r>
        <w:t xml:space="preserve"> </w:t>
      </w:r>
      <w:r>
        <w:t xml:space="preserve">on economic incentives through removing undue prudential and non-prudential barriers. Also,</w:t>
      </w:r>
      <w:r>
        <w:t xml:space="preserve"> </w:t>
      </w:r>
      <w:r>
        <w:t xml:space="preserve">naturally, the more risk sensitive and better calibrated framework will impact different types</w:t>
      </w:r>
      <w:r>
        <w:t xml:space="preserve"> </w:t>
      </w:r>
      <w:r>
        <w:t xml:space="preserve">of securitisations differently. For example, a more risk sensitive prudential framework should</w:t>
      </w:r>
      <w:r>
        <w:t xml:space="preserve"> </w:t>
      </w:r>
      <w:r>
        <w:t xml:space="preserve">make securitisations of low risk assets more attractive, as these would receive a better capital</w:t>
      </w:r>
      <w:r>
        <w:t xml:space="preserve"> </w:t>
      </w:r>
      <w:r>
        <w:t xml:space="preserve">treatment.</w:t>
      </w:r>
      <w:r>
        <w:br/>
      </w:r>
      <w:r>
        <w:t xml:space="preserve">Overall, it is by means of a more risk-sensitive, more proportionate and better calibrated</w:t>
      </w:r>
      <w:r>
        <w:t xml:space="preserve"> </w:t>
      </w:r>
      <w:r>
        <w:t xml:space="preserve">framework, that we aim to create conditions and environment for greater lending to the real</w:t>
      </w:r>
    </w:p>
    <w:p>
      <w:pPr>
        <w:pStyle w:val="BodyText"/>
      </w:pPr>
      <w:r>
        <w:t xml:space="preserve">40 Examples of such differences include the presence of government-sponsored agencies and the role of the central</w:t>
      </w:r>
      <w:r>
        <w:t xml:space="preserve"> </w:t>
      </w:r>
      <w:r>
        <w:t xml:space="preserve">bank in securitisation markets, the absence of alternative instruments, like covered bonds, the particularities of</w:t>
      </w:r>
      <w:r>
        <w:t xml:space="preserve"> </w:t>
      </w:r>
      <w:r>
        <w:t xml:space="preserve">the insolvency and corporate tax regimes, etc.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economy. A well-functioning securitisation market will incentivise banks to be more active in</w:t>
      </w:r>
      <w:r>
        <w:t xml:space="preserve"> </w:t>
      </w:r>
      <w:r>
        <w:t xml:space="preserve">the market ultimately also making them lend more to the economy.</w:t>
      </w:r>
      <w:r>
        <w:br/>
      </w:r>
      <w:r>
        <w:t xml:space="preserve">4.2. Specific objectives</w:t>
      </w:r>
      <w:r>
        <w:br/>
      </w:r>
      <w:r>
        <w:t xml:space="preserve">The following specific objectives aim to address the three problems identified in Section 2:</w:t>
      </w:r>
      <w:r>
        <w:t xml:space="preserve"> </w:t>
      </w:r>
      <w:r>
        <w:t xml:space="preserve"> Reduce undue operational costs for issuers and investors balancing with robust and</w:t>
      </w:r>
      <w:r>
        <w:t xml:space="preserve"> </w:t>
      </w:r>
      <w:r>
        <w:t xml:space="preserve">proportionate standards of transparency, investor protection and supervision (linked to</w:t>
      </w:r>
      <w:r>
        <w:t xml:space="preserve"> </w:t>
      </w:r>
      <w:r>
        <w:t xml:space="preserve">problem 1).</w:t>
      </w:r>
      <w:r>
        <w:t xml:space="preserve"> </w:t>
      </w:r>
      <w:r>
        <w:t xml:space="preserve"> Adjust the prudential framework to better account for actual risks and remove undue</w:t>
      </w:r>
      <w:r>
        <w:t xml:space="preserve"> </w:t>
      </w:r>
      <w:r>
        <w:t xml:space="preserve">prudential barriers for banks and insurers when issuing and investing in securitisations</w:t>
      </w:r>
      <w:r>
        <w:t xml:space="preserve"> </w:t>
      </w:r>
      <w:r>
        <w:t xml:space="preserve">while at the same time safeguarding financial stability and consumer protection (linked</w:t>
      </w:r>
      <w:r>
        <w:t xml:space="preserve"> </w:t>
      </w:r>
      <w:r>
        <w:t xml:space="preserve">to problem 2 and 3).</w:t>
      </w:r>
      <w:r>
        <w:t xml:space="preserve"> </w:t>
      </w:r>
      <w:r>
        <w:t xml:space="preserve">Do we know how banks may use additional capital relief from the securitisation review?</w:t>
      </w:r>
      <w:r>
        <w:t xml:space="preserve"> </w:t>
      </w:r>
      <w:r>
        <w:t xml:space="preserve">Banks which have used securitisation to pool and transfer certain exposures from their balance</w:t>
      </w:r>
      <w:r>
        <w:t xml:space="preserve"> </w:t>
      </w:r>
      <w:r>
        <w:t xml:space="preserve">sheet41 (or for synthetic securitisations, transfer default risks thereof) will be able to use that</w:t>
      </w:r>
      <w:r>
        <w:t xml:space="preserve"> </w:t>
      </w:r>
      <w:r>
        <w:t xml:space="preserve">freed-up capacity in their balance sheets (in the form of freed capital) for new lending. In a</w:t>
      </w:r>
      <w:r>
        <w:t xml:space="preserve"> </w:t>
      </w:r>
      <w:r>
        <w:t xml:space="preserve">traditional securitisation transaction, they will additionally obtain funding to do that.</w:t>
      </w:r>
      <w:r>
        <w:t xml:space="preserve"> </w:t>
      </w:r>
      <w:r>
        <w:t xml:space="preserve">Encouraged by the positive experience with cost-efficient and accessible securitisation, banks</w:t>
      </w:r>
      <w:r>
        <w:t xml:space="preserve"> </w:t>
      </w:r>
      <w:r>
        <w:t xml:space="preserve">will also consider using this instrument again to “transfer out” of the balance sheet those new</w:t>
      </w:r>
      <w:r>
        <w:t xml:space="preserve"> </w:t>
      </w:r>
      <w:r>
        <w:t xml:space="preserve">or other loans (or, as appropriate, default risks thereof) that can then be offered to willing buyers</w:t>
      </w:r>
      <w:r>
        <w:t xml:space="preserve"> </w:t>
      </w:r>
      <w:r>
        <w:t xml:space="preserve">in a new securitisation transaction. Even if some banks might decide not to use capital relief</w:t>
      </w:r>
      <w:r>
        <w:t xml:space="preserve"> </w:t>
      </w:r>
      <w:r>
        <w:t xml:space="preserve">obtained from securitisation for new lending (but e.g. to pay-out dividends or buy back shares),</w:t>
      </w:r>
      <w:r>
        <w:t xml:space="preserve"> </w:t>
      </w:r>
      <w:r>
        <w:t xml:space="preserve">this will not be a prevailing pattern in the sector for which lending is the core activity.</w:t>
      </w:r>
      <w:r>
        <w:t xml:space="preserve"> </w:t>
      </w:r>
      <w:r>
        <w:t xml:space="preserve">Productive and prudent use of a bank’s balance sheets will be under continued scrutiny of</w:t>
      </w:r>
      <w:r>
        <w:t xml:space="preserve"> </w:t>
      </w:r>
      <w:r>
        <w:t xml:space="preserve">supervisors and shareholders. Thus, the cumulative effect of wider use of securitisation can be</w:t>
      </w:r>
      <w:r>
        <w:t xml:space="preserve"> </w:t>
      </w:r>
      <w:r>
        <w:t xml:space="preserve">expected to result in greater lending capacity for EU banking sector as a whole.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 What is the baseline from which options are assessed?</w:t>
      </w:r>
      <w:r>
        <w:t xml:space="preserve"> </w:t>
      </w:r>
      <w:r>
        <w:t xml:space="preserve">In the baseline scenario, the current EU rules on securitisation would remain unchanged.</w:t>
      </w:r>
      <w:r>
        <w:br/>
      </w:r>
      <w:r>
        <w:t xml:space="preserve">In terms of non-prudential regulation, the SECR would continue to require investors to carry</w:t>
      </w:r>
      <w:r>
        <w:t xml:space="preserve"> </w:t>
      </w:r>
      <w:r>
        <w:t xml:space="preserve">out a costly due diligence process. Similarly, it would continue to impose high costs for issuers</w:t>
      </w:r>
      <w:r>
        <w:t xml:space="preserve"> </w:t>
      </w:r>
      <w:r>
        <w:t xml:space="preserve">to disclose when issuing a securitisation. As explained in the Evaluation, this translates into</w:t>
      </w:r>
      <w:r>
        <w:t xml:space="preserve"> </w:t>
      </w:r>
      <w:r>
        <w:t xml:space="preserve">high operational costs (currently estimated annual recurring administrative costs of about EUR</w:t>
      </w:r>
      <w:r>
        <w:t xml:space="preserve"> </w:t>
      </w:r>
      <w:r>
        <w:t xml:space="preserve">780 million) that will continue to act as a deterrent for issuers and investors to be present on</w:t>
      </w:r>
      <w:r>
        <w:t xml:space="preserve"> </w:t>
      </w:r>
      <w:r>
        <w:t xml:space="preserve">this market. The scope of the STS standard would remain unchanged in terms of the applicable</w:t>
      </w:r>
      <w:r>
        <w:t xml:space="preserve"> </w:t>
      </w:r>
      <w:r>
        <w:t xml:space="preserve">qualifying criteria as well as the types of securitisations that it applies to. Other important</w:t>
      </w:r>
    </w:p>
    <w:p>
      <w:pPr>
        <w:pStyle w:val="BodyText"/>
      </w:pPr>
      <w:r>
        <w:t xml:space="preserve">41 Assuming that the bank originator manages to transfer a significant amount of risk to third parties (i.e. it</w:t>
      </w:r>
      <w:r>
        <w:t xml:space="preserve"> </w:t>
      </w:r>
      <w:r>
        <w:t xml:space="preserve">achieves Significant Risk Transfer - see Section 6.2 for more detailed explanation).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requirements (which this initiative does not consider modifying), that require issuers to retain</w:t>
      </w:r>
      <w:r>
        <w:t xml:space="preserve"> </w:t>
      </w:r>
      <w:r>
        <w:t xml:space="preserve">a share of the risk, to apply adequate credit granting criteria and that limit complexity by</w:t>
      </w:r>
      <w:r>
        <w:t xml:space="preserve"> </w:t>
      </w:r>
      <w:r>
        <w:t xml:space="preserve">banning re-securitisations would continue to apply. We do not expect the number of market</w:t>
      </w:r>
      <w:r>
        <w:t xml:space="preserve"> </w:t>
      </w:r>
      <w:r>
        <w:t xml:space="preserve">participants to increase, and it is possible that their number may decrease, with activity shifting</w:t>
      </w:r>
      <w:r>
        <w:t xml:space="preserve"> </w:t>
      </w:r>
      <w:r>
        <w:t xml:space="preserve">to other markets with more favourable regulatory treatment.</w:t>
      </w:r>
      <w:r>
        <w:t xml:space="preserve"> </w:t>
      </w:r>
      <w:r>
        <w:t xml:space="preserve">In terms of the prudential regulation, there would be no change to the current framework</w:t>
      </w:r>
      <w:r>
        <w:t xml:space="preserve"> </w:t>
      </w:r>
      <w:r>
        <w:t xml:space="preserve">determining the amount of capital that banks and insurers should set aside for the securitisation</w:t>
      </w:r>
      <w:r>
        <w:t xml:space="preserve"> </w:t>
      </w:r>
      <w:r>
        <w:t xml:space="preserve">positions they hold. While the framework would continue to differentiate between the capital</w:t>
      </w:r>
      <w:r>
        <w:t xml:space="preserve"> </w:t>
      </w:r>
      <w:r>
        <w:t xml:space="preserve">treatment of STS and non-STS securitisations (allowing lower capital for STS securitisation</w:t>
      </w:r>
      <w:r>
        <w:t xml:space="preserve"> </w:t>
      </w:r>
      <w:r>
        <w:t xml:space="preserve">compared to non-STS securitisation), the capital requirements would continue to be overly</w:t>
      </w:r>
      <w:r>
        <w:t xml:space="preserve"> </w:t>
      </w:r>
      <w:r>
        <w:t xml:space="preserve">conservative and not sufficiently sensitive to reduced risk levels that have been observed in the</w:t>
      </w:r>
      <w:r>
        <w:t xml:space="preserve"> </w:t>
      </w:r>
      <w:r>
        <w:t xml:space="preserve">post-crisis period.</w:t>
      </w:r>
      <w:r>
        <w:br/>
      </w:r>
      <w:r>
        <w:t xml:space="preserve">The rules governing the transfer of risk through securitisation (so-called ‘Significant Risk</w:t>
      </w:r>
      <w:r>
        <w:t xml:space="preserve"> </w:t>
      </w:r>
      <w:r>
        <w:t xml:space="preserve">Transfer’ framework) would continue to feature some structural deficiencies and be</w:t>
      </w:r>
      <w:r>
        <w:t xml:space="preserve"> </w:t>
      </w:r>
      <w:r>
        <w:t xml:space="preserve">accompanied with lengthy supervisory processes. In addition, there would be no change to the</w:t>
      </w:r>
      <w:r>
        <w:t xml:space="preserve"> </w:t>
      </w:r>
      <w:r>
        <w:t xml:space="preserve">current strict rules on eligibility of securitisations as high-quality liquid assets for the</w:t>
      </w:r>
      <w:r>
        <w:t xml:space="preserve"> </w:t>
      </w:r>
      <w:r>
        <w:t xml:space="preserve">calculation of banks’ liquidity coverage ratio, and banks would continue to be disincentivised</w:t>
      </w:r>
      <w:r>
        <w:t xml:space="preserve"> </w:t>
      </w:r>
      <w:r>
        <w:t xml:space="preserve">to use the securitisations to diversify their liquidity buffers. As explained in section 2.3 where</w:t>
      </w:r>
      <w:r>
        <w:t xml:space="preserve"> </w:t>
      </w:r>
      <w:r>
        <w:t xml:space="preserve">we discuss in detail the consequences of the current framework and its problems, the baseline</w:t>
      </w:r>
      <w:r>
        <w:t xml:space="preserve"> </w:t>
      </w:r>
      <w:r>
        <w:t xml:space="preserve">scenario is not expected to achieve the objectives of the Securitisation Framework, will</w:t>
      </w:r>
      <w:r>
        <w:t xml:space="preserve"> </w:t>
      </w:r>
      <w:r>
        <w:t xml:space="preserve">discourage the use of securitisation and will not allow securitisation to contribute to the</w:t>
      </w:r>
      <w:r>
        <w:t xml:space="preserve"> </w:t>
      </w:r>
      <w:r>
        <w:t xml:space="preserve">development of the SIU.</w:t>
      </w:r>
      <w:r>
        <w:t xml:space="preserve"> </w:t>
      </w:r>
      <w:r>
        <w:t xml:space="preserve">The impact of external factors on the development of the market in the absence of regulatory</w:t>
      </w:r>
      <w:r>
        <w:t xml:space="preserve"> </w:t>
      </w:r>
      <w:r>
        <w:t xml:space="preserve">changes is uncertain (see section 2 for a more detailed explanation). In its monetary policy</w:t>
      </w:r>
      <w:r>
        <w:t xml:space="preserve"> </w:t>
      </w:r>
      <w:r>
        <w:t xml:space="preserve">statement on 17 April 2025, the ECB lowered the three key ECB interest rates by 25 basis</w:t>
      </w:r>
      <w:r>
        <w:t xml:space="preserve"> </w:t>
      </w:r>
      <w:r>
        <w:t xml:space="preserve">points, easing financial conditions in the euro area. They explain that while the euro area has</w:t>
      </w:r>
      <w:r>
        <w:t xml:space="preserve"> </w:t>
      </w:r>
      <w:r>
        <w:t xml:space="preserve">been building resilience to global shocks, the outlook remains uncertain due to rising trade</w:t>
      </w:r>
      <w:r>
        <w:t xml:space="preserve"> </w:t>
      </w:r>
      <w:r>
        <w:t xml:space="preserve">tensions which can negatively affect confidence among households and firms. This heightened</w:t>
      </w:r>
      <w:r>
        <w:t xml:space="preserve"> </w:t>
      </w:r>
      <w:r>
        <w:t xml:space="preserve">level of uncertainty can suppress investment and consumption, and thus negatively affect</w:t>
      </w:r>
      <w:r>
        <w:t xml:space="preserve"> </w:t>
      </w:r>
      <w:r>
        <w:t xml:space="preserve">securitisation activity.</w:t>
      </w:r>
      <w:r>
        <w:t xml:space="preserve"> </w:t>
      </w:r>
      <w:r>
        <w:t xml:space="preserve">5.2. Description of the policy options</w:t>
      </w:r>
      <w:r>
        <w:br/>
      </w:r>
      <w:r>
        <w:t xml:space="preserve">Figure 6: Overview of policy options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All the options that are presented require legislative changes. Options 1.1 and 1.2 require</w:t>
      </w:r>
      <w:r>
        <w:t xml:space="preserve"> </w:t>
      </w:r>
      <w:r>
        <w:t xml:space="preserve">amending the Securitisation Regulation. Options 2.1, and 2.2 require amending the Capital</w:t>
      </w:r>
      <w:r>
        <w:t xml:space="preserve"> </w:t>
      </w:r>
      <w:r>
        <w:t xml:space="preserve">Requirements Regulation and the Liquidity Coverage Ratio Delegated Regulation. Options 3.1,</w:t>
      </w:r>
      <w:r>
        <w:t xml:space="preserve"> </w:t>
      </w:r>
      <w:r>
        <w:t xml:space="preserve">3.2, and 3.3. require amending the Solvency II Delegated Regulation.</w:t>
      </w:r>
      <w:r>
        <w:t xml:space="preserve"> </w:t>
      </w:r>
      <w:r>
        <w:t xml:space="preserve">5.2.1. Measures to reduce high operational costs</w:t>
      </w:r>
      <w:r>
        <w:t xml:space="preserve"> </w:t>
      </w:r>
      <w:r>
        <w:t xml:space="preserve">Two options are considered to reduce high operational costs for issuers and investors in the EU</w:t>
      </w:r>
      <w:r>
        <w:t xml:space="preserve"> </w:t>
      </w:r>
      <w:r>
        <w:t xml:space="preserve">securitisation market (Problem 1). Even though reducing high operational costs was also an</w:t>
      </w:r>
      <w:r>
        <w:t xml:space="preserve"> </w:t>
      </w:r>
      <w:r>
        <w:t xml:space="preserve">objective in the previous impact assessment, the approach taken to achieve this objective in</w:t>
      </w:r>
      <w:r>
        <w:t xml:space="preserve"> </w:t>
      </w:r>
      <w:r>
        <w:t xml:space="preserve">this impact assessment is not the same as before. While the previous impact assessment tried</w:t>
      </w:r>
      <w:r>
        <w:t xml:space="preserve"> </w:t>
      </w:r>
      <w:r>
        <w:t xml:space="preserve">to reduce operational costs by putting all requirements in one legal framework, this impact</w:t>
      </w:r>
      <w:r>
        <w:t xml:space="preserve"> </w:t>
      </w:r>
      <w:r>
        <w:t xml:space="preserve">assessment focuses on simplifying burdensome requirements as much as possible while</w:t>
      </w:r>
      <w:r>
        <w:t xml:space="preserve"> </w:t>
      </w:r>
      <w:r>
        <w:t xml:space="preserve">respecting the principles behind their introduction.</w:t>
      </w:r>
      <w:r>
        <w:br/>
      </w:r>
      <w:r>
        <w:t xml:space="preserve">Option 1.1 is based on the idea that the current due diligence and transparency framework for</w:t>
      </w:r>
      <w:r>
        <w:t xml:space="preserve"> </w:t>
      </w:r>
      <w:r>
        <w:t xml:space="preserve">securitisation is generally sound but can be refined through targeted adjustments. By contrast,</w:t>
      </w:r>
      <w:r>
        <w:t xml:space="preserve"> </w:t>
      </w:r>
      <w:r>
        <w:t xml:space="preserve">option 1.2 is based on the premise that existing measures to ensure market transparency and</w:t>
      </w:r>
      <w:r>
        <w:t xml:space="preserve"> </w:t>
      </w:r>
      <w:r>
        <w:t xml:space="preserve">investor scrutiny are ill-suited to improve the situation in the securitisation market</w:t>
      </w:r>
      <w:r>
        <w:t xml:space="preserve"> </w:t>
      </w:r>
      <w:r>
        <w:t xml:space="preserve">meaningfully. It therefore proposes a more fundamental change by eliminating specific due</w:t>
      </w:r>
      <w:r>
        <w:t xml:space="preserve"> </w:t>
      </w:r>
      <w:r>
        <w:t xml:space="preserve">diligence requirements for securitisations and making disclosure to investors principles-based.</w:t>
      </w:r>
      <w:r>
        <w:t xml:space="preserve"> </w:t>
      </w:r>
      <w:r>
        <w:t xml:space="preserve">These two distinct approaches were reflected in the responses to our targeted consultation, with</w:t>
      </w:r>
      <w:r>
        <w:t xml:space="preserve"> </w:t>
      </w:r>
      <w:r>
        <w:t xml:space="preserve">some stakeholders advocating for tweaks to the existing framework and others arguing for more</w:t>
      </w:r>
      <w:r>
        <w:t xml:space="preserve"> </w:t>
      </w:r>
      <w:r>
        <w:t xml:space="preserve">significant changes.</w:t>
      </w:r>
      <w:r>
        <w:t xml:space="preserve"> </w:t>
      </w:r>
      <w:r>
        <w:t xml:space="preserve">5.2.1.1. Option 1.1. Targeted measures to reduce high operational costs</w:t>
      </w:r>
      <w:r>
        <w:t xml:space="preserve"> </w:t>
      </w:r>
      <w:r>
        <w:t xml:space="preserve">Option 1.1 seeks to reduce operational costs for both issuers and investors by simplifying and</w:t>
      </w:r>
      <w:r>
        <w:t xml:space="preserve"> </w:t>
      </w:r>
      <w:r>
        <w:t xml:space="preserve">removing certain due diligence and transparency requirements. This option would maintain the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same level of market transparency, investor protection, and data quality for supervision, while</w:t>
      </w:r>
      <w:r>
        <w:t xml:space="preserve"> </w:t>
      </w:r>
      <w:r>
        <w:t xml:space="preserve">reducing costs.</w:t>
      </w:r>
      <w:r>
        <w:t xml:space="preserve"> </w:t>
      </w:r>
      <w:r>
        <w:t xml:space="preserve">For investors, operational costs would be reduced by simplifying those current due diligence</w:t>
      </w:r>
      <w:r>
        <w:t xml:space="preserve"> </w:t>
      </w:r>
      <w:r>
        <w:t xml:space="preserve">requirements that are deemed redundant or overly prescriptive. This would include: (1)</w:t>
      </w:r>
      <w:r>
        <w:t xml:space="preserve"> </w:t>
      </w:r>
      <w:r>
        <w:t xml:space="preserve">removing all verification requirements in Article 5(1) and 5(3)(c) of the Securitisation</w:t>
      </w:r>
      <w:r>
        <w:t xml:space="preserve"> </w:t>
      </w:r>
      <w:r>
        <w:t xml:space="preserve">Regulation where the responsible sell-side party is established and supervised in the EU42, (2)</w:t>
      </w:r>
      <w:r>
        <w:t xml:space="preserve"> </w:t>
      </w:r>
      <w:r>
        <w:t xml:space="preserve">allowing for a tailored risk assessment depending on the type of securitisation position (i.e. less</w:t>
      </w:r>
      <w:r>
        <w:t xml:space="preserve"> </w:t>
      </w:r>
      <w:r>
        <w:t xml:space="preserve">intensive due diligence for low risk tranches and repeat transactions), and (3) give investors in</w:t>
      </w:r>
      <w:r>
        <w:t xml:space="preserve"> </w:t>
      </w:r>
      <w:r>
        <w:t xml:space="preserve">secondary market transactions (where a securitised tranche already held by one investor is sold</w:t>
      </w:r>
      <w:r>
        <w:t xml:space="preserve"> </w:t>
      </w:r>
      <w:r>
        <w:t xml:space="preserve">to another investor) more time to document their due diligence. As EU competent authorities</w:t>
      </w:r>
      <w:r>
        <w:t xml:space="preserve"> </w:t>
      </w:r>
      <w:r>
        <w:t xml:space="preserve">can enforce the Securitisation Framework on EU issuers, but not on non-EU entities,</w:t>
      </w:r>
      <w:r>
        <w:t xml:space="preserve"> </w:t>
      </w:r>
      <w:r>
        <w:t xml:space="preserve">verification requirements would continue to apply to non-EU securitisations. For the same</w:t>
      </w:r>
      <w:r>
        <w:t xml:space="preserve"> </w:t>
      </w:r>
      <w:r>
        <w:t xml:space="preserve">reason, investors would be required to verify transactions issued by unsupervised EU entities.</w:t>
      </w:r>
      <w:r>
        <w:t xml:space="preserve"> </w:t>
      </w:r>
      <w:r>
        <w:t xml:space="preserve">For issuers, operational costs would be reduced by optimising the transparency framework.</w:t>
      </w:r>
      <w:r>
        <w:t xml:space="preserve"> </w:t>
      </w:r>
      <w:r>
        <w:t xml:space="preserve">The disclosure templates for public transactions would be streamlined to reduce the number of</w:t>
      </w:r>
      <w:r>
        <w:t xml:space="preserve"> </w:t>
      </w:r>
      <w:r>
        <w:t xml:space="preserve">obligatory data fields. This means carefully scrutinising the existing disclosure templates and</w:t>
      </w:r>
      <w:r>
        <w:t xml:space="preserve"> </w:t>
      </w:r>
      <w:r>
        <w:t xml:space="preserve">removing fields that provide limited benefit to investors. To safeguard market transparency,</w:t>
      </w:r>
      <w:r>
        <w:t xml:space="preserve"> </w:t>
      </w:r>
      <w:r>
        <w:t xml:space="preserve">the definition of public securitisations would be widened to capture e.g. transactions that do</w:t>
      </w:r>
      <w:r>
        <w:t xml:space="preserve"> </w:t>
      </w:r>
      <w:r>
        <w:t xml:space="preserve">not involve issuing a prospectus but are admitted to trading. Under this option, private</w:t>
      </w:r>
      <w:r>
        <w:t xml:space="preserve"> </w:t>
      </w:r>
      <w:r>
        <w:t xml:space="preserve">transactions would be required to report to securitisation repositories, using a simplified</w:t>
      </w:r>
      <w:r>
        <w:t xml:space="preserve"> </w:t>
      </w:r>
      <w:r>
        <w:t xml:space="preserve">template. This would improve supervisory monitoring and market transparency. However, to</w:t>
      </w:r>
      <w:r>
        <w:t xml:space="preserve"> </w:t>
      </w:r>
      <w:r>
        <w:t xml:space="preserve">maintain the confidentiality of private transactions, data from these transactions would not be</w:t>
      </w:r>
      <w:r>
        <w:t xml:space="preserve"> </w:t>
      </w:r>
      <w:r>
        <w:t xml:space="preserve">publicly disclosed.</w:t>
      </w:r>
      <w:r>
        <w:t xml:space="preserve"> </w:t>
      </w:r>
      <w:r>
        <w:t xml:space="preserve">This approach would remove redundant and burdensome requirements, allowing for more</w:t>
      </w:r>
      <w:r>
        <w:t xml:space="preserve"> </w:t>
      </w:r>
      <w:r>
        <w:t xml:space="preserve">tailored due diligence, while maintaining high standards of risk assessment and market</w:t>
      </w:r>
      <w:r>
        <w:t xml:space="preserve"> </w:t>
      </w:r>
      <w:r>
        <w:t xml:space="preserve">transparency.</w:t>
      </w:r>
      <w:r>
        <w:br/>
      </w:r>
      <w:r>
        <w:t xml:space="preserve">5.2.1.2. Option 1.2. Significant measures to reduce high operational costs</w:t>
      </w:r>
      <w:r>
        <w:t xml:space="preserve"> </w:t>
      </w:r>
      <w:r>
        <w:t xml:space="preserve">Option 1.2 comprises a broader set of measures to yield a more significant reduction in</w:t>
      </w:r>
      <w:r>
        <w:t xml:space="preserve"> </w:t>
      </w:r>
      <w:r>
        <w:t xml:space="preserve">operational costs. This approach would introduce a more substantial change to the current</w:t>
      </w:r>
      <w:r>
        <w:t xml:space="preserve"> </w:t>
      </w:r>
      <w:r>
        <w:t xml:space="preserve">framework that would entail accepting greater risks in terms of investor protection, market</w:t>
      </w:r>
      <w:r>
        <w:t xml:space="preserve"> </w:t>
      </w:r>
      <w:r>
        <w:t xml:space="preserve">transparency and quality of supervision.</w:t>
      </w:r>
      <w:r>
        <w:t xml:space="preserve"> </w:t>
      </w:r>
      <w:r>
        <w:t xml:space="preserve">Under this option, mandatory securitisation-specific due diligence requirements would be</w:t>
      </w:r>
      <w:r>
        <w:t xml:space="preserve"> </w:t>
      </w:r>
      <w:r>
        <w:t xml:space="preserve">removed for regulated investors (banks, insurers, UCITS and AIFMs), thus eliminating</w:t>
      </w:r>
      <w:r>
        <w:t xml:space="preserve"> </w:t>
      </w:r>
      <w:r>
        <w:t xml:space="preserve">additional operational requirements and costs for regulated investors imposed by the SECR.</w:t>
      </w:r>
      <w:r>
        <w:t xml:space="preserve"> </w:t>
      </w:r>
      <w:r>
        <w:t xml:space="preserve">This would not relieve regulated investors of the need to carry out due diligence, since the due</w:t>
      </w:r>
      <w:r>
        <w:t xml:space="preserve"> </w:t>
      </w:r>
      <w:r>
        <w:t xml:space="preserve">diligence requirements under their respective sectoral legislations would still apply. In essence,</w:t>
      </w:r>
      <w:r>
        <w:t xml:space="preserve"> </w:t>
      </w:r>
      <w:r>
        <w:t xml:space="preserve">removing the specific due diligence regime for securitisation transactions would mean that</w:t>
      </w:r>
    </w:p>
    <w:p>
      <w:pPr>
        <w:pStyle w:val="BodyText"/>
      </w:pPr>
      <w:r>
        <w:t xml:space="preserve">42 Concretely, this would mean that EU investors would no longer have to check that EU sell side parties comply</w:t>
      </w:r>
      <w:r>
        <w:t xml:space="preserve"> </w:t>
      </w:r>
      <w:r>
        <w:t xml:space="preserve">with the credit granting criteria, risk retention requirements, disclosure requirements or STS criteria.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requirements for securitisations would be the same as for all other asset classes. Investors that</w:t>
      </w:r>
      <w:r>
        <w:t xml:space="preserve"> </w:t>
      </w:r>
      <w:r>
        <w:t xml:space="preserve">do not have due diligence requirements under their own sectoral legislations would still be</w:t>
      </w:r>
      <w:r>
        <w:t xml:space="preserve"> </w:t>
      </w:r>
      <w:r>
        <w:t xml:space="preserve">required to apply those requirements set out in the SECR.</w:t>
      </w:r>
      <w:r>
        <w:t xml:space="preserve"> </w:t>
      </w:r>
      <w:r>
        <w:t xml:space="preserve">For issuers, under this option transparency requirements would become principles based. The</w:t>
      </w:r>
      <w:r>
        <w:t xml:space="preserve"> </w:t>
      </w:r>
      <w:r>
        <w:t xml:space="preserve">SECR would only specify the key information principles that securitisation disclosures should</w:t>
      </w:r>
      <w:r>
        <w:t xml:space="preserve"> </w:t>
      </w:r>
      <w:r>
        <w:t xml:space="preserve">abide by. Instead of prescribing Commission-specified disclosure templates applicable to all</w:t>
      </w:r>
      <w:r>
        <w:t xml:space="preserve"> </w:t>
      </w:r>
      <w:r>
        <w:t xml:space="preserve">securitisations, the method for disclosing information to investors and potential investors</w:t>
      </w:r>
      <w:r>
        <w:t xml:space="preserve"> </w:t>
      </w:r>
      <w:r>
        <w:t xml:space="preserve">would be left to the discretion of market participants. A simplified reporting template would</w:t>
      </w:r>
      <w:r>
        <w:t xml:space="preserve"> </w:t>
      </w:r>
      <w:r>
        <w:t xml:space="preserve">be retained for all transactions (private and public), for supervisory purposes only. As in Option</w:t>
      </w:r>
      <w:r>
        <w:t xml:space="preserve"> </w:t>
      </w:r>
      <w:r>
        <w:t xml:space="preserve">1.1, private transactions would also be required to report to securitisation repositories providing</w:t>
      </w:r>
      <w:r>
        <w:t xml:space="preserve"> </w:t>
      </w:r>
      <w:r>
        <w:t xml:space="preserve">a safeguard for market transparency.</w:t>
      </w:r>
      <w:r>
        <w:br/>
      </w:r>
      <w:r>
        <w:t xml:space="preserve">5.2.2. Measures to reduce undue prudential barriers for banks</w:t>
      </w:r>
      <w:r>
        <w:t xml:space="preserve"> </w:t>
      </w:r>
      <w:r>
        <w:t xml:space="preserve">Two options are considered to address Problem 2. It is important to note that unlike the previous</w:t>
      </w:r>
      <w:r>
        <w:t xml:space="preserve"> </w:t>
      </w:r>
      <w:r>
        <w:t xml:space="preserve">impact assessment that proposed to increase capital requirements across the board for all</w:t>
      </w:r>
      <w:r>
        <w:t xml:space="preserve"> </w:t>
      </w:r>
      <w:r>
        <w:t xml:space="preserve">securitisations, the current impact assessment proposes to reduce these requirements for</w:t>
      </w:r>
      <w:r>
        <w:t xml:space="preserve"> </w:t>
      </w:r>
      <w:r>
        <w:t xml:space="preserve">securitisations for which risks have been mitigated in the post-crisis period. As such, the</w:t>
      </w:r>
      <w:r>
        <w:t xml:space="preserve"> </w:t>
      </w:r>
      <w:r>
        <w:t xml:space="preserve">approach taken in the previous impact assessment is different from the one taken now. The</w:t>
      </w:r>
      <w:r>
        <w:t xml:space="preserve"> </w:t>
      </w:r>
      <w:r>
        <w:t xml:space="preserve">reason being that while the primary focus of the previous impact assessment was on making</w:t>
      </w:r>
      <w:r>
        <w:t xml:space="preserve"> </w:t>
      </w:r>
      <w:r>
        <w:t xml:space="preserve">the market safer, the current impact assessment tries to strike a better balance between safety</w:t>
      </w:r>
      <w:r>
        <w:t xml:space="preserve"> </w:t>
      </w:r>
      <w:r>
        <w:t xml:space="preserve">and market development.</w:t>
      </w:r>
      <w:r>
        <w:t xml:space="preserve"> </w:t>
      </w:r>
      <w:r>
        <w:t xml:space="preserve">5.2.2.1. Option 2.1 Targeted changes to the existing prudential (capital and liquidity)</w:t>
      </w:r>
      <w:r>
        <w:t xml:space="preserve"> </w:t>
      </w:r>
      <w:r>
        <w:t xml:space="preserve">framework for banks</w:t>
      </w:r>
      <w:r>
        <w:t xml:space="preserve"> </w:t>
      </w:r>
      <w:r>
        <w:t xml:space="preserve">Option 2.1 entails introduction of targeted changes to the existing prudential (capital and</w:t>
      </w:r>
      <w:r>
        <w:t xml:space="preserve"> </w:t>
      </w:r>
      <w:r>
        <w:t xml:space="preserve">liquidity) requirements applied to banks. It contains a set of measures that require amendments</w:t>
      </w:r>
      <w:r>
        <w:t xml:space="preserve"> </w:t>
      </w:r>
      <w:r>
        <w:t xml:space="preserve">to both CRR and LCR.</w:t>
      </w:r>
      <w:r>
        <w:br/>
      </w:r>
      <w:r>
        <w:t xml:space="preserve">Targeted changes to the CRR would ensure that:</w:t>
      </w:r>
      <w:r>
        <w:t xml:space="preserve"> </w:t>
      </w:r>
      <w:r>
        <w:t xml:space="preserve">· banks can calculate the minimum capital they need to hold for their securitisation exposures</w:t>
      </w:r>
      <w:r>
        <w:t xml:space="preserve"> </w:t>
      </w:r>
      <w:r>
        <w:t xml:space="preserve">in a more risk sensitive manner, meaning that the amount of capital could be</w:t>
      </w:r>
      <w:r>
        <w:t xml:space="preserve"> </w:t>
      </w:r>
      <w:r>
        <w:t xml:space="preserve">adapted/reduced for securitisations where crucial risks driving the capital needs, such as</w:t>
      </w:r>
      <w:r>
        <w:t xml:space="preserve"> </w:t>
      </w:r>
      <w:r>
        <w:t xml:space="preserve">agency and model risks, are mitigated, as evidenced in the evaluation; and</w:t>
      </w:r>
      <w:r>
        <w:t xml:space="preserve"> </w:t>
      </w:r>
      <w:r>
        <w:t xml:space="preserve">· the framework used by supervisors for assessing the transactions and endorsing the capital</w:t>
      </w:r>
      <w:r>
        <w:t xml:space="preserve"> </w:t>
      </w:r>
      <w:r>
        <w:t xml:space="preserve">relief (the SRT Framework) is clearer, more robust and results in more efficient and</w:t>
      </w:r>
      <w:r>
        <w:t xml:space="preserve"> </w:t>
      </w:r>
      <w:r>
        <w:t xml:space="preserve">coherent processes.</w:t>
      </w:r>
      <w:r>
        <w:br/>
      </w:r>
      <w:r>
        <w:t xml:space="preserve">Targeted changes to the LCR would address inconsistencies in the existing requirements that</w:t>
      </w:r>
      <w:r>
        <w:t xml:space="preserve"> </w:t>
      </w:r>
      <w:r>
        <w:t xml:space="preserve">securitisations need to comply with, to be eligible for inclusion in the banks’ liquidity buffer</w:t>
      </w:r>
      <w:r>
        <w:t xml:space="preserve"> </w:t>
      </w:r>
      <w:r>
        <w:t xml:space="preserve">(while maintaining the existing scope of eligible securitisations, limited to senior tranches of</w:t>
      </w:r>
      <w:r>
        <w:t xml:space="preserve"> </w:t>
      </w:r>
      <w:r>
        <w:t xml:space="preserve">STS traditional securitisations only).</w:t>
      </w:r>
      <w:r>
        <w:br/>
      </w:r>
      <w:r>
        <w:t xml:space="preserve">The overall aim of option 2.1 is to reduce the main undue barriers for banks’ issuance of</w:t>
      </w:r>
      <w:r>
        <w:t xml:space="preserve"> </w:t>
      </w:r>
      <w:r>
        <w:t xml:space="preserve">securitisations stemming from the existing banking prudential rules, without resorting to a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significant restructuring of the framework as a whole and limiting the scope of divergences</w:t>
      </w:r>
      <w:r>
        <w:t xml:space="preserve"> </w:t>
      </w:r>
      <w:r>
        <w:t xml:space="preserve">from the international Basel standards. It focuses on those elements of the prudential</w:t>
      </w:r>
      <w:r>
        <w:t xml:space="preserve"> </w:t>
      </w:r>
      <w:r>
        <w:t xml:space="preserve">framework that are assessed to have the most prominent effect on achievement of the above</w:t>
      </w:r>
      <w:r>
        <w:t xml:space="preserve"> </w:t>
      </w:r>
      <w:r>
        <w:t xml:space="preserve">goal.</w:t>
      </w:r>
      <w:r>
        <w:t xml:space="preserve"> </w:t>
      </w:r>
      <w:r>
        <w:t xml:space="preserve">5.2.2.2. Option 2.2. Radical overhaul of the exiting prudential (capital and liquidity) framework</w:t>
      </w:r>
      <w:r>
        <w:t xml:space="preserve"> </w:t>
      </w:r>
      <w:r>
        <w:t xml:space="preserve">for banks</w:t>
      </w:r>
      <w:r>
        <w:t xml:space="preserve"> </w:t>
      </w:r>
      <w:r>
        <w:t xml:space="preserve">Option 2.2 entails a set of measures that introduce a fundamental reorganisation of the current</w:t>
      </w:r>
      <w:r>
        <w:t xml:space="preserve"> </w:t>
      </w:r>
      <w:r>
        <w:t xml:space="preserve">framework, specifically:</w:t>
      </w:r>
      <w:r>
        <w:t xml:space="preserve"> </w:t>
      </w:r>
      <w:r>
        <w:t xml:space="preserve">•</w:t>
      </w:r>
      <w:r>
        <w:t xml:space="preserve"> </w:t>
      </w:r>
      <w:r>
        <w:t xml:space="preserve">Re-design of the existing capital framework, resulting in introducing entirely new formulas</w:t>
      </w:r>
      <w:r>
        <w:t xml:space="preserve"> </w:t>
      </w:r>
      <w:r>
        <w:t xml:space="preserve">and methods that banks would need to follow when calculating capital for their</w:t>
      </w:r>
      <w:r>
        <w:t xml:space="preserve"> </w:t>
      </w:r>
      <w:r>
        <w:t xml:space="preserve">securitisation exposures;</w:t>
      </w:r>
      <w:r>
        <w:br/>
      </w:r>
      <w:r>
        <w:t xml:space="preserve">•</w:t>
      </w:r>
      <w:r>
        <w:t xml:space="preserve"> </w:t>
      </w:r>
      <w:r>
        <w:t xml:space="preserve">Removal of the existing complex requirements for supervisors to check securitisation</w:t>
      </w:r>
      <w:r>
        <w:t xml:space="preserve"> </w:t>
      </w:r>
      <w:r>
        <w:t xml:space="preserve">transactions and to endorse the capital relief (resulting in banks merely self-assessing their</w:t>
      </w:r>
      <w:r>
        <w:t xml:space="preserve"> </w:t>
      </w:r>
      <w:r>
        <w:t xml:space="preserve">securitisations, without the need for checks by supervisors);</w:t>
      </w:r>
      <w:r>
        <w:br/>
      </w:r>
      <w:r>
        <w:t xml:space="preserve">•</w:t>
      </w:r>
      <w:r>
        <w:t xml:space="preserve"> </w:t>
      </w:r>
      <w:r>
        <w:t xml:space="preserve">Significant relaxation of the requirements that securitisations need to comply with to be</w:t>
      </w:r>
      <w:r>
        <w:t xml:space="preserve"> </w:t>
      </w:r>
      <w:r>
        <w:t xml:space="preserve">eligible for inclusion in banks’ liquidity buffers, including extension of the scope of eligible</w:t>
      </w:r>
      <w:r>
        <w:t xml:space="preserve"> </w:t>
      </w:r>
      <w:r>
        <w:t xml:space="preserve">securitisations for liquidity buffer purposes also to (senior tranches) of non-STS traditional</w:t>
      </w:r>
      <w:r>
        <w:t xml:space="preserve"> </w:t>
      </w:r>
      <w:r>
        <w:t xml:space="preserve">securitisations.</w:t>
      </w:r>
      <w:r>
        <w:br/>
      </w:r>
      <w:r>
        <w:t xml:space="preserve">The overall aim of option 2.2. is to significantly reduce the barriers for banks’ issuance of</w:t>
      </w:r>
      <w:r>
        <w:t xml:space="preserve"> </w:t>
      </w:r>
      <w:r>
        <w:t xml:space="preserve">securitisation, by means of substantial restructuring of the existing rules and loosening a</w:t>
      </w:r>
      <w:r>
        <w:t xml:space="preserve"> </w:t>
      </w:r>
      <w:r>
        <w:t xml:space="preserve">number of existing requirements. The option 2.2. would result in material divergences from the</w:t>
      </w:r>
      <w:r>
        <w:t xml:space="preserve"> </w:t>
      </w:r>
      <w:r>
        <w:t xml:space="preserve">international Basel standards.</w:t>
      </w:r>
      <w:r>
        <w:br/>
      </w:r>
      <w:r>
        <w:t xml:space="preserve">5.2.3. Measures to remove undue prudential costs for insurers to invest in the EU securitisation</w:t>
      </w:r>
      <w:r>
        <w:t xml:space="preserve"> </w:t>
      </w:r>
      <w:r>
        <w:t xml:space="preserve">market</w:t>
      </w:r>
      <w:r>
        <w:t xml:space="preserve"> </w:t>
      </w:r>
      <w:r>
        <w:t xml:space="preserve">In order to remove the existing disincentives for insurers to invest in the EU securitisation</w:t>
      </w:r>
      <w:r>
        <w:t xml:space="preserve"> </w:t>
      </w:r>
      <w:r>
        <w:t xml:space="preserve">market, three options are presented, all of which propose to reduce capital requirements for</w:t>
      </w:r>
      <w:r>
        <w:t xml:space="preserve"> </w:t>
      </w:r>
      <w:r>
        <w:t xml:space="preserve">insurers. This would be done by amendments to the Solvency II Delegated Regulation43. The</w:t>
      </w:r>
      <w:r>
        <w:t xml:space="preserve"> </w:t>
      </w:r>
      <w:r>
        <w:t xml:space="preserve">first and second option focus on non-STS securitisations only, while the third option applies to</w:t>
      </w:r>
      <w:r>
        <w:t xml:space="preserve"> </w:t>
      </w:r>
      <w:r>
        <w:t xml:space="preserve">all securitisation transactions. In the context of this review, one may question whether such</w:t>
      </w:r>
      <w:r>
        <w:t xml:space="preserve"> </w:t>
      </w:r>
      <w:r>
        <w:t xml:space="preserve">continued focus on reducing capital requirements is justified, considering the moderate effect</w:t>
      </w:r>
      <w:r>
        <w:t xml:space="preserve"> </w:t>
      </w:r>
      <w:r>
        <w:t xml:space="preserve">of the previous attempt to reduce capital requirements for STS securitisations (even if we still</w:t>
      </w:r>
      <w:r>
        <w:t xml:space="preserve"> </w:t>
      </w:r>
      <w:r>
        <w:t xml:space="preserve">noted an increase of more than 50% in such investments between 2019 and 2023). Our</w:t>
      </w:r>
      <w:r>
        <w:t xml:space="preserve"> </w:t>
      </w:r>
      <w:r>
        <w:t xml:space="preserve">assessment – as outlined in the evaluation – leads us to conclude that reducing capital</w:t>
      </w:r>
      <w:r>
        <w:t xml:space="preserve"> </w:t>
      </w:r>
      <w:r>
        <w:t xml:space="preserve">requirements (in particular on non-STS securitisations) can help change insurers’ investment</w:t>
      </w:r>
      <w:r>
        <w:t xml:space="preserve"> </w:t>
      </w:r>
      <w:r>
        <w:t xml:space="preserve">behaviour for the following reasons:</w:t>
      </w:r>
      <w:r>
        <w:br/>
      </w:r>
      <w:r>
        <w:t xml:space="preserve">•</w:t>
      </w:r>
      <w:r>
        <w:t xml:space="preserve"> </w:t>
      </w:r>
      <w:r>
        <w:t xml:space="preserve">There is evidence that insurers using an internal model – which results in general in lower</w:t>
      </w:r>
      <w:r>
        <w:t xml:space="preserve"> </w:t>
      </w:r>
      <w:r>
        <w:t xml:space="preserve">capital requirements than under the standard formula – invest more than twice as much in</w:t>
      </w:r>
      <w:r>
        <w:t xml:space="preserve"> </w:t>
      </w:r>
      <w:r>
        <w:t xml:space="preserve">securitisation than companies using the standard formula. While other factors can explain</w:t>
      </w:r>
    </w:p>
    <w:p>
      <w:pPr>
        <w:pStyle w:val="BodyText"/>
      </w:pPr>
      <w:r>
        <w:t xml:space="preserve">43 Delegated Regulation (EU) 2015/35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such a situation – in particular the average size of insurers using an internal model is larger</w:t>
      </w:r>
      <w:r>
        <w:t xml:space="preserve"> </w:t>
      </w:r>
      <w:r>
        <w:t xml:space="preserve">than the average size of standard formula insurers – there are also very large standard</w:t>
      </w:r>
      <w:r>
        <w:t xml:space="preserve"> </w:t>
      </w:r>
      <w:r>
        <w:t xml:space="preserve">formula insurers (for instance, insurance subsidiaries of large banking groups use the</w:t>
      </w:r>
      <w:r>
        <w:t xml:space="preserve"> </w:t>
      </w:r>
      <w:r>
        <w:t xml:space="preserve">standard formula) which still invest negligible amounts in securitisation. Therefore, the</w:t>
      </w:r>
      <w:r>
        <w:t xml:space="preserve"> </w:t>
      </w:r>
      <w:r>
        <w:t xml:space="preserve">comparison implies that it cannot be precluded that capital requirements do play a role in</w:t>
      </w:r>
      <w:r>
        <w:t xml:space="preserve"> </w:t>
      </w:r>
      <w:r>
        <w:t xml:space="preserve">insurers’ investment decisions;</w:t>
      </w:r>
      <w:r>
        <w:t xml:space="preserve"> </w:t>
      </w:r>
      <w:r>
        <w:t xml:space="preserve">•</w:t>
      </w:r>
      <w:r>
        <w:t xml:space="preserve"> </w:t>
      </w:r>
      <w:r>
        <w:t xml:space="preserve">In all consultation activities conducted by Commission services a majority view from</w:t>
      </w:r>
      <w:r>
        <w:t xml:space="preserve"> </w:t>
      </w:r>
      <w:r>
        <w:t xml:space="preserve">stakeholders has been that capital requirements under Solvency II are perceived as an</w:t>
      </w:r>
      <w:r>
        <w:t xml:space="preserve"> </w:t>
      </w:r>
      <w:r>
        <w:t xml:space="preserve">obstacle to investments in securitisations despite an appetite to increase exposure to this</w:t>
      </w:r>
      <w:r>
        <w:t xml:space="preserve"> </w:t>
      </w:r>
      <w:r>
        <w:t xml:space="preserve">asset class;</w:t>
      </w:r>
      <w:r>
        <w:t xml:space="preserve"> </w:t>
      </w:r>
      <w:r>
        <w:t xml:space="preserve">•</w:t>
      </w:r>
      <w:r>
        <w:t xml:space="preserve"> </w:t>
      </w:r>
      <w:r>
        <w:t xml:space="preserve">Capital charges in the previous framework for simple and transparent securitisation were</w:t>
      </w:r>
      <w:r>
        <w:t xml:space="preserve"> </w:t>
      </w:r>
      <w:r>
        <w:t xml:space="preserve">high, but not as high as the current capital charges for non-STS securitisations. As a result,</w:t>
      </w:r>
      <w:r>
        <w:t xml:space="preserve"> </w:t>
      </w:r>
      <w:r>
        <w:t xml:space="preserve">the impact of reducing capital charges for non-STS securitisations is likely to be more</w:t>
      </w:r>
      <w:r>
        <w:t xml:space="preserve"> </w:t>
      </w:r>
      <w:r>
        <w:t xml:space="preserve">significant than the one already observed for STS after the last initiative.</w:t>
      </w:r>
      <w:r>
        <w:t xml:space="preserve"> </w:t>
      </w:r>
      <w:r>
        <w:t xml:space="preserve">•</w:t>
      </w:r>
      <w:r>
        <w:t xml:space="preserve"> </w:t>
      </w:r>
      <w:r>
        <w:t xml:space="preserve">Non-STS securitisations represent a bigger share of the EU securitisation market.</w:t>
      </w:r>
      <w:r>
        <w:t xml:space="preserve"> </w:t>
      </w:r>
      <w:r>
        <w:t xml:space="preserve">Consequently, decreasing capital charges for these types of securitisations will have a</w:t>
      </w:r>
      <w:r>
        <w:t xml:space="preserve"> </w:t>
      </w:r>
      <w:r>
        <w:t xml:space="preserve">broader and more substantial impact on the market in absolute amounts.</w:t>
      </w:r>
      <w:r>
        <w:t xml:space="preserve"> </w:t>
      </w:r>
      <w:r>
        <w:t xml:space="preserve">5.2.3.1. Option 3.1. Removing prudential barriers to investments in all non-STS securitisations</w:t>
      </w:r>
      <w:r>
        <w:br/>
      </w:r>
      <w:r>
        <w:t xml:space="preserve">Under option 3.1, non-STS capital requirements would be decreased, removing the excessive</w:t>
      </w:r>
      <w:r>
        <w:t xml:space="preserve"> </w:t>
      </w:r>
      <w:r>
        <w:t xml:space="preserve">level of prudence embedded in the current framework. The decrease in risk factors could be</w:t>
      </w:r>
      <w:r>
        <w:t xml:space="preserve"> </w:t>
      </w:r>
      <w:r>
        <w:t xml:space="preserve">between 25% and 40% depending on the credit rating. By reducing the cost of investing in non-</w:t>
      </w:r>
      <w:r>
        <w:t xml:space="preserve"> </w:t>
      </w:r>
      <w:r>
        <w:t xml:space="preserve">STS securitisation, this option would make investments in non-STS securitisation more</w:t>
      </w:r>
      <w:r>
        <w:t xml:space="preserve"> </w:t>
      </w:r>
      <w:r>
        <w:t xml:space="preserve">attractive than under current rules.</w:t>
      </w:r>
      <w:r>
        <w:t xml:space="preserve"> </w:t>
      </w:r>
      <w:r>
        <w:t xml:space="preserve">5.2.3.2. Option 3.2. Improving risk sensitivity and removing prudential barriers to investments</w:t>
      </w:r>
      <w:r>
        <w:t xml:space="preserve"> </w:t>
      </w:r>
      <w:r>
        <w:t xml:space="preserve">in the safest tranches of non-STS securitisation</w:t>
      </w:r>
      <w:r>
        <w:br/>
      </w:r>
      <w:r>
        <w:t xml:space="preserve">Under option 3.2, capital requirements on non-STS securitisation would be made more risk</w:t>
      </w:r>
      <w:r>
        <w:t xml:space="preserve"> </w:t>
      </w:r>
      <w:r>
        <w:t xml:space="preserve">sensitive by differentiating between senior and non-senior tranches, as is the case for STS</w:t>
      </w:r>
      <w:r>
        <w:t xml:space="preserve"> </w:t>
      </w:r>
      <w:r>
        <w:t xml:space="preserve">securitisation. The calibration approach would aim at some consistency with the banking</w:t>
      </w:r>
      <w:r>
        <w:t xml:space="preserve"> </w:t>
      </w:r>
      <w:r>
        <w:t xml:space="preserve">calibrations.</w:t>
      </w:r>
      <w:r>
        <w:t xml:space="preserve"> </w:t>
      </w:r>
      <w:r>
        <w:t xml:space="preserve">The level of capital requirements for non-senior tranches would remain broadly in line with the</w:t>
      </w:r>
      <w:r>
        <w:t xml:space="preserve"> </w:t>
      </w:r>
      <w:r>
        <w:t xml:space="preserve">current capital charges applicable to non-STS securitisation, whereas the capital requirements</w:t>
      </w:r>
      <w:r>
        <w:t xml:space="preserve"> </w:t>
      </w:r>
      <w:r>
        <w:t xml:space="preserve">for senior tranches would be reduced by a factor of up to 5 depending on the credit rating of</w:t>
      </w:r>
      <w:r>
        <w:t xml:space="preserve"> </w:t>
      </w:r>
      <w:r>
        <w:t xml:space="preserve">the senior tranche44. Reducing the capital requirements applicable to senior tranches of non-</w:t>
      </w:r>
      <w:r>
        <w:t xml:space="preserve"> </w:t>
      </w:r>
      <w:r>
        <w:t xml:space="preserve">STS securitisation would remove the existing prudential disincentives to investments in this</w:t>
      </w:r>
      <w:r>
        <w:t xml:space="preserve"> </w:t>
      </w:r>
      <w:r>
        <w:t xml:space="preserve">market segment.</w:t>
      </w:r>
    </w:p>
    <w:p>
      <w:pPr>
        <w:pStyle w:val="BodyText"/>
      </w:pPr>
      <w:r>
        <w:t xml:space="preserve">44 The calibration follows a similar approach as for STS calibration in 2017. As the improvement concerns the</w:t>
      </w:r>
      <w:r>
        <w:t xml:space="preserve"> </w:t>
      </w:r>
      <w:r>
        <w:t xml:space="preserve">senior tranches only, the corresponding reduction in risk factors is more significant than under Option 3.1. This</w:t>
      </w:r>
      <w:r>
        <w:t xml:space="preserve"> </w:t>
      </w:r>
      <w:r>
        <w:t xml:space="preserve">makes the ratio of senior-to-non senior non-STS securitisation capital requirements broadly more coherent with</w:t>
      </w:r>
      <w:r>
        <w:t xml:space="preserve"> </w:t>
      </w:r>
      <w:r>
        <w:t xml:space="preserve">banking rules.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5.2.3.3. Option 3.3. Overhauling the prudential treatment of securitisation in order to make all</w:t>
      </w:r>
      <w:r>
        <w:t xml:space="preserve"> </w:t>
      </w:r>
      <w:r>
        <w:t xml:space="preserve">securitisation investments relatively more ‘attractive’ than under current rules</w:t>
      </w:r>
      <w:r>
        <w:br/>
      </w:r>
      <w:r>
        <w:t xml:space="preserve">Under option 3.3, the framework for securitisation (STS and non-STS) would be overhauled to</w:t>
      </w:r>
      <w:r>
        <w:t xml:space="preserve"> </w:t>
      </w:r>
      <w:r>
        <w:t xml:space="preserve">lower all capital requirements for securitisations. Stakeholder responses to the targeted</w:t>
      </w:r>
      <w:r>
        <w:t xml:space="preserve"> </w:t>
      </w:r>
      <w:r>
        <w:t xml:space="preserve">consultation argued that the very low default probability of securitisation justifies lower capital</w:t>
      </w:r>
      <w:r>
        <w:t xml:space="preserve"> </w:t>
      </w:r>
      <w:r>
        <w:t xml:space="preserve">requirements across the board. However, under the current rules, capital requirements for</w:t>
      </w:r>
      <w:r>
        <w:t xml:space="preserve"> </w:t>
      </w:r>
      <w:r>
        <w:t xml:space="preserve">insurers capture spread risk (i.e. the exposure to volatility in market price of securitisation</w:t>
      </w:r>
      <w:r>
        <w:t xml:space="preserve"> </w:t>
      </w:r>
      <w:r>
        <w:t xml:space="preserve">investments), which can be driven by several factors45, only one of which being default risk.</w:t>
      </w:r>
      <w:r>
        <w:t xml:space="preserve"> </w:t>
      </w:r>
      <w:r>
        <w:t xml:space="preserve">Option 3.3 would therefore change the current framework to focus only on default risk. Since</w:t>
      </w:r>
      <w:r>
        <w:t xml:space="preserve"> </w:t>
      </w:r>
      <w:r>
        <w:t xml:space="preserve">default risk is in essence a subset of spread risk, this overhaul would imply a significant</w:t>
      </w:r>
      <w:r>
        <w:t xml:space="preserve"> </w:t>
      </w:r>
      <w:r>
        <w:t xml:space="preserve">reduction in risk factors (by up to 80% depending on the securitisation type and rating46) for</w:t>
      </w:r>
      <w:r>
        <w:t xml:space="preserve"> </w:t>
      </w:r>
      <w:r>
        <w:t xml:space="preserve">all (STS and non-STS) securitisation investments.</w:t>
      </w:r>
      <w:r>
        <w:t xml:space="preserve"> </w:t>
      </w:r>
      <w:r>
        <w:t xml:space="preserve">5.3. Options discarded at an early stage</w:t>
      </w:r>
      <w:r>
        <w:t xml:space="preserve"> </w:t>
      </w:r>
      <w:r>
        <w:t xml:space="preserve">The identified options in the previous section have been defined based on stakeholder feedback</w:t>
      </w:r>
      <w:r>
        <w:t xml:space="preserve"> </w:t>
      </w:r>
      <w:r>
        <w:t xml:space="preserve">received through our consultation, as well as our own evaluation of the framework. All the</w:t>
      </w:r>
      <w:r>
        <w:t xml:space="preserve"> </w:t>
      </w:r>
      <w:r>
        <w:t xml:space="preserve">presented options are realistic and comprise elements of changes proposed by stakeholders. We</w:t>
      </w:r>
      <w:r>
        <w:t xml:space="preserve"> </w:t>
      </w:r>
      <w:r>
        <w:t xml:space="preserve">did not assess extreme options that would risk compromising market integrity and financial</w:t>
      </w:r>
      <w:r>
        <w:t xml:space="preserve"> </w:t>
      </w:r>
      <w:r>
        <w:t xml:space="preserve">stability, like strong deviations from the international Basel agreement.</w:t>
      </w:r>
      <w:r>
        <w:br/>
      </w:r>
      <w:r>
        <w:t xml:space="preserve">Regarding operational costs and banking prudential requirements, the options considered in the</w:t>
      </w:r>
      <w:r>
        <w:t xml:space="preserve"> </w:t>
      </w:r>
      <w:r>
        <w:t xml:space="preserve">previous section cover the full spectrum of possible plausible options to address the problems</w:t>
      </w:r>
      <w:r>
        <w:t xml:space="preserve"> </w:t>
      </w:r>
      <w:r>
        <w:t xml:space="preserve">identified. For each of the three problems, both ‘targeted’ and ‘more radical’ options are listed.</w:t>
      </w:r>
      <w:r>
        <w:br/>
      </w:r>
      <w:r>
        <w:t xml:space="preserve">Regarding insurance prudential requirements, it was decided to discard the possibility to</w:t>
      </w:r>
      <w:r>
        <w:t xml:space="preserve"> </w:t>
      </w:r>
      <w:r>
        <w:t xml:space="preserve">increase the granularity of the STS category by introducing a dedicated prudential treatment</w:t>
      </w:r>
      <w:r>
        <w:t xml:space="preserve"> </w:t>
      </w:r>
      <w:r>
        <w:t xml:space="preserve">for ‘mezzanine’ tranches. First, the evaluation shows that there is limited evidence that</w:t>
      </w:r>
      <w:r>
        <w:t xml:space="preserve"> </w:t>
      </w:r>
      <w:r>
        <w:t xml:space="preserve">amending the prudential treatment of STS securitisation is an urgent need in view of the</w:t>
      </w:r>
      <w:r>
        <w:t xml:space="preserve"> </w:t>
      </w:r>
      <w:r>
        <w:t xml:space="preserve">oversubscription of non-senior STS issuances47. In addition, this would add significant</w:t>
      </w:r>
      <w:r>
        <w:t xml:space="preserve"> </w:t>
      </w:r>
      <w:r>
        <w:t xml:space="preserve">complexity (how to define ‘mezzanine’ in an objective manner, and set out harmonised</w:t>
      </w:r>
      <w:r>
        <w:t xml:space="preserve"> </w:t>
      </w:r>
      <w:r>
        <w:t xml:space="preserve">characteristics in terms of tranche thickness) and inconsistency with banking rules where there</w:t>
      </w:r>
      <w:r>
        <w:t xml:space="preserve"> </w:t>
      </w:r>
      <w:r>
        <w:t xml:space="preserve">is no explicit treatment for mezzanine tranches.</w:t>
      </w:r>
    </w:p>
    <w:p>
      <w:pPr>
        <w:pStyle w:val="BodyText"/>
      </w:pPr>
      <w:r>
        <w:t xml:space="preserve">45 Frictions between supply and demand, liquidity risks, unexpected credit risk premium, risk of rating downgrade,</w:t>
      </w:r>
      <w:r>
        <w:t xml:space="preserve"> </w:t>
      </w:r>
      <w:r>
        <w:t xml:space="preserve">etc.</w:t>
      </w:r>
      <w:r>
        <w:t xml:space="preserve"> </w:t>
      </w:r>
      <w:r>
        <w:t xml:space="preserve">46 We assume a reduction in capital requirements of the same magnitude as in Option 3.2, but applied to all</w:t>
      </w:r>
      <w:r>
        <w:t xml:space="preserve"> </w:t>
      </w:r>
      <w:r>
        <w:t xml:space="preserve">tranches and types of securitisations.</w:t>
      </w:r>
      <w:r>
        <w:t xml:space="preserve"> </w:t>
      </w:r>
      <w:r>
        <w:t xml:space="preserve">47 Although the subscribers are mainly non-insurers.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 AND HOW DO THEY COMPARE?</w:t>
      </w:r>
      <w:r>
        <w:t xml:space="preserve"> </w:t>
      </w:r>
      <w:r>
        <w:t xml:space="preserve">6.1. Measures to reduce high operational costs</w:t>
      </w:r>
      <w:r>
        <w:t xml:space="preserve"> </w:t>
      </w:r>
      <w:r>
        <w:t xml:space="preserve">6.1.1. Option 1.1 Targeted measures reduce high operational costs</w:t>
      </w:r>
      <w:r>
        <w:t xml:space="preserve"> </w:t>
      </w:r>
      <w:r>
        <w:t xml:space="preserve">6.1.1.1. Benefits</w:t>
      </w:r>
      <w:r>
        <w:t xml:space="preserve"> </w:t>
      </w:r>
      <w:r>
        <w:t xml:space="preserve">Simplifying the due diligence requirements, as outlined in option 1.1, would substantially lower</w:t>
      </w:r>
      <w:r>
        <w:t xml:space="preserve"> </w:t>
      </w:r>
      <w:r>
        <w:t xml:space="preserve">the additional costs imposed by the SECR on investors by eliminating the verification</w:t>
      </w:r>
      <w:r>
        <w:t xml:space="preserve"> </w:t>
      </w:r>
      <w:r>
        <w:t xml:space="preserve">requirements for regulated investors when investing in securitisations originated by entities</w:t>
      </w:r>
      <w:r>
        <w:t xml:space="preserve"> </w:t>
      </w:r>
      <w:r>
        <w:t xml:space="preserve">subject to supervision in the EU. Verification requirements were consistently cited by investors</w:t>
      </w:r>
      <w:r>
        <w:t xml:space="preserve"> </w:t>
      </w:r>
      <w:r>
        <w:t xml:space="preserve">as a key driver of the costs imposed by the SECR.</w:t>
      </w:r>
      <w:r>
        <w:br/>
      </w:r>
      <w:r>
        <w:t xml:space="preserve">Removing the requirement for investors to verify that an STS securitisation complies with the</w:t>
      </w:r>
      <w:r>
        <w:t xml:space="preserve"> </w:t>
      </w:r>
      <w:r>
        <w:t xml:space="preserve">STS criteria would reduce the due diligence cost for investing in such transactions. This is</w:t>
      </w:r>
      <w:r>
        <w:t xml:space="preserve"> </w:t>
      </w:r>
      <w:r>
        <w:t xml:space="preserve">expected to increase the price that investors would be willing to pay for an STS securitisation,</w:t>
      </w:r>
      <w:r>
        <w:t xml:space="preserve"> </w:t>
      </w:r>
      <w:r>
        <w:t xml:space="preserve">thereby increasing the attractiveness of using the STS label for issuers. Even though investors</w:t>
      </w:r>
      <w:r>
        <w:t xml:space="preserve"> </w:t>
      </w:r>
      <w:r>
        <w:t xml:space="preserve">would no longer be checking that a transaction complies with the STS criteria, the integrity of</w:t>
      </w:r>
      <w:r>
        <w:t xml:space="preserve"> </w:t>
      </w:r>
      <w:r>
        <w:t xml:space="preserve">the label is not undermined as supervisors would still be checking this as is currently required</w:t>
      </w:r>
      <w:r>
        <w:t xml:space="preserve"> </w:t>
      </w:r>
      <w:r>
        <w:t xml:space="preserve">under the Securitisation Regulation. Moreover, originators and sponsors are liable for sanctions</w:t>
      </w:r>
      <w:r>
        <w:t xml:space="preserve"> </w:t>
      </w:r>
      <w:r>
        <w:t xml:space="preserve">in case they misleadingly or erroneously label a transaction as STS and they can also rely on</w:t>
      </w:r>
      <w:r>
        <w:t xml:space="preserve"> </w:t>
      </w:r>
      <w:r>
        <w:t xml:space="preserve">the services of external third-party verifiers of STS compliance.</w:t>
      </w:r>
      <w:r>
        <w:t xml:space="preserve"> </w:t>
      </w:r>
      <w:r>
        <w:t xml:space="preserve">In addition, making the risk assessment principles-based would ensure that investors still</w:t>
      </w:r>
      <w:r>
        <w:t xml:space="preserve"> </w:t>
      </w:r>
      <w:r>
        <w:t xml:space="preserve">analyse the key structural features and risk characteristics of a securitisation transaction while</w:t>
      </w:r>
      <w:r>
        <w:t xml:space="preserve"> </w:t>
      </w:r>
      <w:r>
        <w:t xml:space="preserve">at the same time providing them with sufficient flexibility to look at those structural features</w:t>
      </w:r>
      <w:r>
        <w:t xml:space="preserve"> </w:t>
      </w:r>
      <w:r>
        <w:t xml:space="preserve">and risk characteristics that are most relevant for the type of transaction they wish to invest in.</w:t>
      </w:r>
      <w:r>
        <w:t xml:space="preserve"> </w:t>
      </w:r>
      <w:r>
        <w:t xml:space="preserve">This would be beneficial for investors that primarily invest in low-risk senior positions,</w:t>
      </w:r>
      <w:r>
        <w:t xml:space="preserve"> </w:t>
      </w:r>
      <w:r>
        <w:t xml:space="preserve">allowing them to carry out a lighter and more targeted risk assessment than for investors that</w:t>
      </w:r>
      <w:r>
        <w:t xml:space="preserve"> </w:t>
      </w:r>
      <w:r>
        <w:t xml:space="preserve">invest in high-risk first loss tranches48.</w:t>
      </w:r>
      <w:r>
        <w:br/>
      </w:r>
      <w:r>
        <w:t xml:space="preserve">Finally, simplified requirements for repeat securitisations49 would incentivise standardisation,</w:t>
      </w:r>
      <w:r>
        <w:t xml:space="preserve"> </w:t>
      </w:r>
      <w:r>
        <w:t xml:space="preserve">as it would be less costly to invest in a series of transactions with similar characteristics issued</w:t>
      </w:r>
      <w:r>
        <w:t xml:space="preserve"> </w:t>
      </w:r>
      <w:r>
        <w:t xml:space="preserve">by the same originator. Simplified requirements for secondary market transactions would make</w:t>
      </w:r>
      <w:r>
        <w:t xml:space="preserve"> </w:t>
      </w:r>
      <w:r>
        <w:t xml:space="preserve">it easier to invest in the secondary market50, thereby increasing market liquidity.</w:t>
      </w:r>
      <w:r>
        <w:br/>
      </w:r>
      <w:r>
        <w:t xml:space="preserve">At the moment, stakeholder feedback suggests that the additional burden imposed by the due</w:t>
      </w:r>
      <w:r>
        <w:t xml:space="preserve"> </w:t>
      </w:r>
      <w:r>
        <w:t xml:space="preserve">diligence requirements in the SECR is the highest for a AAA-rated tranche with a repeat issuer</w:t>
      </w:r>
      <w:r>
        <w:t xml:space="preserve"> </w:t>
      </w:r>
      <w:r>
        <w:t xml:space="preserve">in the secondary market. According to market perceptions, the due diligence costs for these</w:t>
      </w:r>
    </w:p>
    <w:p>
      <w:pPr>
        <w:pStyle w:val="BodyText"/>
      </w:pPr>
      <w:r>
        <w:t xml:space="preserve">48 According to the AFME Securitisation data report for Q4 2023, 96.6% of public securitisation notes rated by</w:t>
      </w:r>
      <w:r>
        <w:t xml:space="preserve"> </w:t>
      </w:r>
      <w:r>
        <w:t xml:space="preserve">Moody’s are rated investment grade and 86.7% received the two highest credit ratings of AA or AAA.</w:t>
      </w:r>
      <w:r>
        <w:br/>
      </w:r>
      <w:r>
        <w:t xml:space="preserve">49 Repeat transactions are estimated to about 67% of public market transactions by AFME, see</w:t>
      </w:r>
      <w:r>
        <w:t xml:space="preserve"> </w:t>
      </w:r>
      <w:r>
        <w:t xml:space="preserve">https://www.afme.eu/Portals/0/DispatchFeaturedImages/Article%205%20presentation%20for%20Commission</w:t>
      </w:r>
      <w:r>
        <w:t xml:space="preserve"> </w:t>
      </w:r>
      <w:r>
        <w:t xml:space="preserve">%2015.1.25.pdf</w:t>
      </w:r>
      <w:r>
        <w:t xml:space="preserve"> </w:t>
      </w:r>
      <w:r>
        <w:t xml:space="preserve">50 Anecdotal evidence provided in the stakeholder consultation suggests that secondary market transactions make</w:t>
      </w:r>
      <w:r>
        <w:t xml:space="preserve"> </w:t>
      </w:r>
      <w:r>
        <w:t xml:space="preserve">about 50% of the transaction volume in public securitisation markets.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transactions are up to 75% higher than what would be incurred in the regular course of business</w:t>
      </w:r>
      <w:r>
        <w:t xml:space="preserve"> </w:t>
      </w:r>
      <w:r>
        <w:t xml:space="preserve">(without the requirements imposed by the SECR). On the other hand, due diligence for a new</w:t>
      </w:r>
      <w:r>
        <w:t xml:space="preserve"> </w:t>
      </w:r>
      <w:r>
        <w:t xml:space="preserve">issuer is estimated to be only approx. 33% higher due to the due diligence requirements</w:t>
      </w:r>
      <w:r>
        <w:t xml:space="preserve"> </w:t>
      </w:r>
      <w:r>
        <w:t xml:space="preserve">imposed by the SECR51. This finding shows a lack of risk sensitivity in the current framework</w:t>
      </w:r>
      <w:r>
        <w:t xml:space="preserve"> </w:t>
      </w:r>
      <w:r>
        <w:t xml:space="preserve">that needs to be remedied in order to reduce costs. On average, based on information received</w:t>
      </w:r>
      <w:r>
        <w:t xml:space="preserve"> </w:t>
      </w:r>
      <w:r>
        <w:t xml:space="preserve">from stakeholders we estimate a savings potential of about 44%52.</w:t>
      </w:r>
      <w:r>
        <w:t xml:space="preserve"> </w:t>
      </w:r>
      <w:r>
        <w:t xml:space="preserve">Due to the duplicative or redundant nature of the provisions that are proposed to be removed,</w:t>
      </w:r>
      <w:r>
        <w:t xml:space="preserve"> </w:t>
      </w:r>
      <w:r>
        <w:t xml:space="preserve">no negative impacts can be expected on the ability of investors to analyse the risks of individual</w:t>
      </w:r>
      <w:r>
        <w:t xml:space="preserve"> </w:t>
      </w:r>
      <w:r>
        <w:t xml:space="preserve">transactions, as well as on the possible emergence of macro financial stability risks in the</w:t>
      </w:r>
      <w:r>
        <w:t xml:space="preserve"> </w:t>
      </w:r>
      <w:r>
        <w:t xml:space="preserve">securitisation market.</w:t>
      </w:r>
      <w:r>
        <w:br/>
      </w:r>
      <w:r>
        <w:t xml:space="preserve">In the area of transparency, option 1.1 would improve the current reporting burden by reducing</w:t>
      </w:r>
      <w:r>
        <w:t xml:space="preserve"> </w:t>
      </w:r>
      <w:r>
        <w:t xml:space="preserve">the number of obligatory data fields, in particular those that are redundant or that refer to the</w:t>
      </w:r>
      <w:r>
        <w:t xml:space="preserve"> </w:t>
      </w:r>
      <w:r>
        <w:t xml:space="preserve">information that is unavailable or irrelevant for the particular type of securitisation. The impact</w:t>
      </w:r>
      <w:r>
        <w:t xml:space="preserve"> </w:t>
      </w:r>
      <w:r>
        <w:t xml:space="preserve">of this measure might vary for different types of securitisations, depending on the number of</w:t>
      </w:r>
      <w:r>
        <w:t xml:space="preserve"> </w:t>
      </w:r>
      <w:r>
        <w:t xml:space="preserve">fields that would be removed. It might be possible to achieve a higher reduction in certain</w:t>
      </w:r>
      <w:r>
        <w:t xml:space="preserve"> </w:t>
      </w:r>
      <w:r>
        <w:t xml:space="preserve">templates in comparison to others, without compromising investor protection. For example, the</w:t>
      </w:r>
      <w:r>
        <w:t xml:space="preserve"> </w:t>
      </w:r>
      <w:r>
        <w:t xml:space="preserve">disclosure costs for issuers of private securitisations would be significantly reduced by</w:t>
      </w:r>
      <w:r>
        <w:t xml:space="preserve"> </w:t>
      </w:r>
      <w:r>
        <w:t xml:space="preserve">introducing a dedicated, simplified disclosure template for this type of deals. Both private and</w:t>
      </w:r>
      <w:r>
        <w:t xml:space="preserve"> </w:t>
      </w:r>
      <w:r>
        <w:t xml:space="preserve">public securitisations would benefit from option 1.1 as it would reduce the current reporting</w:t>
      </w:r>
      <w:r>
        <w:t xml:space="preserve"> </w:t>
      </w:r>
      <w:r>
        <w:t xml:space="preserve">requirements and potentially allow to securitise assets, for which certain data was</w:t>
      </w:r>
      <w:r>
        <w:t xml:space="preserve"> </w:t>
      </w:r>
      <w:r>
        <w:t xml:space="preserve">uneconomical to collect.</w:t>
      </w:r>
      <w:r>
        <w:br/>
      </w:r>
      <w:r>
        <w:t xml:space="preserve">Most respondents, however, did not specify by how much option 1.1 would reduce costs, as</w:t>
      </w:r>
      <w:r>
        <w:t xml:space="preserve"> </w:t>
      </w:r>
      <w:r>
        <w:t xml:space="preserve">this would depend on the concrete details of the change that were not presented in the high-</w:t>
      </w:r>
      <w:r>
        <w:t xml:space="preserve"> </w:t>
      </w:r>
      <w:r>
        <w:t xml:space="preserve">level-description in the stakeholder consultation. Of the few replies received to this question,</w:t>
      </w:r>
      <w:r>
        <w:t xml:space="preserve"> </w:t>
      </w:r>
      <w:r>
        <w:t xml:space="preserve">most respondents spoke of a “minor” or “moderate” expected reduction of their total costs.</w:t>
      </w:r>
      <w:r>
        <w:t xml:space="preserve"> </w:t>
      </w:r>
      <w:r>
        <w:t xml:space="preserve">This is due to the fact that established issuers already incurred the bulk of the costs in the past</w:t>
      </w:r>
      <w:r>
        <w:t xml:space="preserve"> </w:t>
      </w:r>
      <w:r>
        <w:t xml:space="preserve">during the implementation of the required templates. A reduction in one-off costs will,</w:t>
      </w:r>
      <w:r>
        <w:t xml:space="preserve"> </w:t>
      </w:r>
      <w:r>
        <w:t xml:space="preserve">however, be very relevant for new players that are considering entering the securitisation</w:t>
      </w:r>
      <w:r>
        <w:t xml:space="preserve"> </w:t>
      </w:r>
      <w:r>
        <w:t xml:space="preserve">market and that currently would not do so due to the very high one-off costs. Respondents also</w:t>
      </w:r>
      <w:r>
        <w:t xml:space="preserve"> </w:t>
      </w:r>
      <w:r>
        <w:t xml:space="preserve">estimate a reduction of annual recurring reporting costs between 15%-25% (full range with an</w:t>
      </w:r>
      <w:r>
        <w:t xml:space="preserve"> </w:t>
      </w:r>
      <w:r>
        <w:t xml:space="preserve">average of 22,5%), which will be partly offset by the estimated additional costs of</w:t>
      </w:r>
      <w:r>
        <w:t xml:space="preserve"> </w:t>
      </w:r>
      <w:r>
        <w:t xml:space="preserve">approximately 7 million that would result from the reporting of private transactions to</w:t>
      </w:r>
      <w:r>
        <w:t xml:space="preserve"> </w:t>
      </w:r>
      <w:r>
        <w:t xml:space="preserve">securitisation repositories.53</w:t>
      </w:r>
      <w:r>
        <w:t xml:space="preserve"> </w:t>
      </w:r>
      <w:r>
        <w:t xml:space="preserve">Furthermore, lower one-off costs would benefit all types of new issuers entering the market by</w:t>
      </w:r>
      <w:r>
        <w:t xml:space="preserve"> </w:t>
      </w:r>
      <w:r>
        <w:t xml:space="preserve">making it less costly, in comparison to the baseline, to set up the reporting framework.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AFME,</w:t>
      </w:r>
      <w:r>
        <w:t xml:space="preserve"> </w:t>
      </w:r>
      <w:r>
        <w:t xml:space="preserve">https://www.afme.eu/Portals/0/DispatchFeaturedImages/Article%205%20presentation%20for%20Commission</w:t>
      </w:r>
      <w:r>
        <w:t xml:space="preserve"> </w:t>
      </w:r>
      <w:r>
        <w:t xml:space="preserve">%2015.1.25.pdf.</w:t>
      </w:r>
      <w:r>
        <w:t xml:space="preserve"> </w:t>
      </w:r>
      <w:r>
        <w:t xml:space="preserve">52 This savings potential is the result of a more complex analysis that is presented in detail in Annex III.</w:t>
      </w:r>
      <w:r>
        <w:t xml:space="preserve"> </w:t>
      </w:r>
      <w:r>
        <w:t xml:space="preserve">53 More details for the cost estimations are in Annex III.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In widening the legal definition for public securitisations, option 1.1 would support overall</w:t>
      </w:r>
      <w:r>
        <w:t xml:space="preserve"> </w:t>
      </w:r>
      <w:r>
        <w:t xml:space="preserve">market transparency, as fewer transactions would qualify as private and be eligible to use the</w:t>
      </w:r>
      <w:r>
        <w:t xml:space="preserve"> </w:t>
      </w:r>
      <w:r>
        <w:t xml:space="preserve">simplified reporting regime. Moreover, removing the current exemption that allows private</w:t>
      </w:r>
      <w:r>
        <w:t xml:space="preserve"> </w:t>
      </w:r>
      <w:r>
        <w:t xml:space="preserve">securitisations to avoid reporting to securitisation repositories, would facilitate the ability of</w:t>
      </w:r>
      <w:r>
        <w:t xml:space="preserve"> </w:t>
      </w:r>
      <w:r>
        <w:t xml:space="preserve">supervisors to monitor the private side of the securitisation market, and thus reduce supervisory</w:t>
      </w:r>
      <w:r>
        <w:t xml:space="preserve"> </w:t>
      </w:r>
      <w:r>
        <w:t xml:space="preserve">costs for this part of the market. Therefore, option 1.1 is also expected to benefit supervision</w:t>
      </w:r>
      <w:r>
        <w:t xml:space="preserve"> </w:t>
      </w:r>
      <w:r>
        <w:t xml:space="preserve">as supervisors would obtain access to data for the entire securitisation market, both public and</w:t>
      </w:r>
      <w:r>
        <w:t xml:space="preserve"> </w:t>
      </w:r>
      <w:r>
        <w:t xml:space="preserve">private, via the securitisation repositories.</w:t>
      </w:r>
      <w:r>
        <w:t xml:space="preserve"> </w:t>
      </w:r>
      <w:r>
        <w:t xml:space="preserve">Overall, the changes proposed to the due diligence and transparency requirements are estimated</w:t>
      </w:r>
      <w:r>
        <w:t xml:space="preserve"> </w:t>
      </w:r>
      <w:r>
        <w:t xml:space="preserve">to result in EUR 310 million of cost savings per year for the EU securitisation market.</w:t>
      </w:r>
      <w:r>
        <w:t xml:space="preserve"> </w:t>
      </w:r>
      <w:r>
        <w:t xml:space="preserve">6.1.1.2. Costs</w:t>
      </w:r>
      <w:r>
        <w:t xml:space="preserve"> </w:t>
      </w:r>
      <w:r>
        <w:t xml:space="preserve">While option 1.1 is expected to have a positive impact on investors’ recurring due diligence</w:t>
      </w:r>
      <w:r>
        <w:t xml:space="preserve"> </w:t>
      </w:r>
      <w:r>
        <w:t xml:space="preserve">costs, there will be a trade-off in terms of the cost of supervisory efforts. Adopting a more</w:t>
      </w:r>
      <w:r>
        <w:t xml:space="preserve"> </w:t>
      </w:r>
      <w:r>
        <w:t xml:space="preserve">principles-based approach to risk assessment may require supervisors to dedicate more time</w:t>
      </w:r>
      <w:r>
        <w:t xml:space="preserve"> </w:t>
      </w:r>
      <w:r>
        <w:t xml:space="preserve">and resources to understanding investors’ risk management practices. Moreover, removing the</w:t>
      </w:r>
      <w:r>
        <w:t xml:space="preserve"> </w:t>
      </w:r>
      <w:r>
        <w:t xml:space="preserve">verification requirements for investors may require supervisors to dedicate more resources to</w:t>
      </w:r>
      <w:r>
        <w:t xml:space="preserve"> </w:t>
      </w:r>
      <w:r>
        <w:t xml:space="preserve">supervise the compliance of issuers with the sell-side requirements (risk retention,</w:t>
      </w:r>
      <w:r>
        <w:t xml:space="preserve"> </w:t>
      </w:r>
      <w:r>
        <w:t xml:space="preserve">transparency, credit granting standards). Option 1.1 could also result in more divergent</w:t>
      </w:r>
      <w:r>
        <w:t xml:space="preserve"> </w:t>
      </w:r>
      <w:r>
        <w:t xml:space="preserve">supervisory approaches. For this reason, it may be useful to develop supervisory guidance and</w:t>
      </w:r>
      <w:r>
        <w:t xml:space="preserve"> </w:t>
      </w:r>
      <w:r>
        <w:t xml:space="preserve">enhance cooperation to ensure that option 1.1 does not result in an uneven playing field.</w:t>
      </w:r>
      <w:r>
        <w:t xml:space="preserve"> </w:t>
      </w:r>
      <w:r>
        <w:t xml:space="preserve">Option 1.1 would imply one-off adjustment costs for all existing issuers due to having to adapt</w:t>
      </w:r>
      <w:r>
        <w:t xml:space="preserve"> </w:t>
      </w:r>
      <w:r>
        <w:t xml:space="preserve">to new disclosure templates.</w:t>
      </w:r>
      <w:r>
        <w:br/>
      </w:r>
      <w:r>
        <w:t xml:space="preserve">There was no sufficient evidence in the stakeholder consultation on the one-off implementation</w:t>
      </w:r>
      <w:r>
        <w:t xml:space="preserve"> </w:t>
      </w:r>
      <w:r>
        <w:t xml:space="preserve">efforts to adapt to a simplified reporting as proposed in option 1.1 as stakeholders could not</w:t>
      </w:r>
      <w:r>
        <w:t xml:space="preserve"> </w:t>
      </w:r>
      <w:r>
        <w:t xml:space="preserve">assess the costs without detailed and concrete proposal listing all the required data fields.</w:t>
      </w:r>
      <w:r>
        <w:t xml:space="preserve"> </w:t>
      </w:r>
      <w:r>
        <w:t xml:space="preserve">However, one securitisation repository provided an estimate of their adjustment costs for the</w:t>
      </w:r>
      <w:r>
        <w:t xml:space="preserve"> </w:t>
      </w:r>
      <w:r>
        <w:t xml:space="preserve">described adaptation to be about EUR 50,000-70,000. If we take this reply as a rough estimate</w:t>
      </w:r>
      <w:r>
        <w:t xml:space="preserve"> </w:t>
      </w:r>
      <w:r>
        <w:t xml:space="preserve">with a conservative margin, we estimate the adaptation costs to EUR 100,000 per issuer</w:t>
      </w:r>
      <w:r>
        <w:t xml:space="preserve"> </w:t>
      </w:r>
      <w:r>
        <w:t xml:space="preserve">(assuming that existing data fields are re-used to a maximum extent) and that approx. 330 active</w:t>
      </w:r>
      <w:r>
        <w:t xml:space="preserve"> </w:t>
      </w:r>
      <w:r>
        <w:t xml:space="preserve">issuers in the market incur the same cost on average (there will be smaller players operating</w:t>
      </w:r>
      <w:r>
        <w:t xml:space="preserve"> </w:t>
      </w:r>
      <w:r>
        <w:t xml:space="preserve">without IT infrastructure and larger players with more complex IT systems and changes), we</w:t>
      </w:r>
      <w:r>
        <w:t xml:space="preserve"> </w:t>
      </w:r>
      <w:r>
        <w:t xml:space="preserve">obtain one-off implementation costs of EUR 33 million for the market as a whole.</w:t>
      </w:r>
      <w:r>
        <w:t xml:space="preserve"> </w:t>
      </w:r>
      <w:r>
        <w:t xml:space="preserve">On the one hand, private issuers will benefit from the simplified reporting template and</w:t>
      </w:r>
      <w:r>
        <w:t xml:space="preserve"> </w:t>
      </w:r>
      <w:r>
        <w:t xml:space="preserve">therefore will face lower recurring reporting costs compared to the baseline54. On the other</w:t>
      </w:r>
      <w:r>
        <w:t xml:space="preserve"> </w:t>
      </w:r>
      <w:r>
        <w:t xml:space="preserve">hand, private issuers will face additional recurring costs resulting from the obligation to report</w:t>
      </w:r>
      <w:r>
        <w:t xml:space="preserve"> </w:t>
      </w:r>
      <w:r>
        <w:t xml:space="preserve">to securitisation repositories. Based on the current fees charged by securitisation repositories,</w:t>
      </w:r>
    </w:p>
    <w:p>
      <w:pPr>
        <w:pStyle w:val="BodyText"/>
      </w:pPr>
      <w:r>
        <w:t xml:space="preserve">54 We refrain from a market cost estimation for private issuers as the number of private issuers currently cannot</w:t>
      </w:r>
      <w:r>
        <w:t xml:space="preserve"> </w:t>
      </w:r>
      <w:r>
        <w:t xml:space="preserve">be determined as they are not obliged to report to public repositories. We can assume however that there is an</w:t>
      </w:r>
      <w:r>
        <w:t xml:space="preserve"> </w:t>
      </w:r>
      <w:r>
        <w:t xml:space="preserve">overlap of issuers that operate in both segments, public and private.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those costs are less than EUR 10,000 per year per transaction55. For an estimated number of</w:t>
      </w:r>
      <w:r>
        <w:t xml:space="preserve"> </w:t>
      </w:r>
      <w:r>
        <w:t xml:space="preserve">700 outstanding private transactions, this amounts to about EUR 7 million annually.56</w:t>
      </w:r>
      <w:r>
        <w:t xml:space="preserve"> </w:t>
      </w:r>
      <w:r>
        <w:t xml:space="preserve">6.1.1.3. Overall assessment: Effectiveness, efficiency and coherence</w:t>
      </w:r>
      <w:r>
        <w:t xml:space="preserve"> </w:t>
      </w:r>
      <w:r>
        <w:t xml:space="preserve">Option 1.1 will lower the recurring costs investors face when complying with the due diligence</w:t>
      </w:r>
      <w:r>
        <w:t xml:space="preserve"> </w:t>
      </w:r>
      <w:r>
        <w:t xml:space="preserve">requirements in the SECR. However, the impact would not be the same for all types of</w:t>
      </w:r>
      <w:r>
        <w:t xml:space="preserve"> </w:t>
      </w:r>
      <w:r>
        <w:t xml:space="preserve">securitisations. Recurring due diligence costs for EU issued securitisations would be reduced</w:t>
      </w:r>
      <w:r>
        <w:t xml:space="preserve"> </w:t>
      </w:r>
      <w:r>
        <w:t xml:space="preserve">to a greater extent than for non-EU securitisations. This would be an acceptable outcome</w:t>
      </w:r>
      <w:r>
        <w:t xml:space="preserve"> </w:t>
      </w:r>
      <w:r>
        <w:t xml:space="preserve">because EU transactions are supervised according to the SECR, whereas this is not the case for</w:t>
      </w:r>
      <w:r>
        <w:t xml:space="preserve"> </w:t>
      </w:r>
      <w:r>
        <w:t xml:space="preserve">transactions issued outside of the EU.</w:t>
      </w:r>
      <w:r>
        <w:t xml:space="preserve"> </w:t>
      </w:r>
      <w:r>
        <w:t xml:space="preserve">At the same time, option 1.1 would not significantly change the risk assessment that an investor</w:t>
      </w:r>
      <w:r>
        <w:t xml:space="preserve"> </w:t>
      </w:r>
      <w:r>
        <w:t xml:space="preserve">needs to carry out in order to invest in a securitisation. Therefore, this option would result in</w:t>
      </w:r>
      <w:r>
        <w:t xml:space="preserve"> </w:t>
      </w:r>
      <w:r>
        <w:t xml:space="preserve">the same level of investor protection as the baseline.</w:t>
      </w:r>
      <w:r>
        <w:t xml:space="preserve"> </w:t>
      </w:r>
      <w:r>
        <w:t xml:space="preserve">As regards issuers, option 1.1 will reduce operational costs by reducing the amount of</w:t>
      </w:r>
      <w:r>
        <w:t xml:space="preserve"> </w:t>
      </w:r>
      <w:r>
        <w:t xml:space="preserve">information that issuers are required to disclose. The long-term impact of reducing annual</w:t>
      </w:r>
      <w:r>
        <w:t xml:space="preserve"> </w:t>
      </w:r>
      <w:r>
        <w:t xml:space="preserve">recurring costs will be more than sufficient to offset the impact of the one-off costs that need</w:t>
      </w:r>
      <w:r>
        <w:t xml:space="preserve"> </w:t>
      </w:r>
      <w:r>
        <w:t xml:space="preserve">to be incurred by issuers to adapt to the revised type of reporting. This option is also expected</w:t>
      </w:r>
      <w:r>
        <w:t xml:space="preserve"> </w:t>
      </w:r>
      <w:r>
        <w:t xml:space="preserve">to facilitate market entry as it would entail lower one-off costs for new issuers compared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Option 1.1 will improve market transparency relative to the baseline as a higher share of</w:t>
      </w:r>
      <w:r>
        <w:t xml:space="preserve"> </w:t>
      </w:r>
      <w:r>
        <w:t xml:space="preserve">securitisations will be expected to report to securitisation repositories.</w:t>
      </w:r>
      <w:r>
        <w:br/>
      </w:r>
      <w:r>
        <w:t xml:space="preserve">The overall impact on the cost of supervision is expected to be neutral as the need for more</w:t>
      </w:r>
      <w:r>
        <w:t xml:space="preserve"> </w:t>
      </w:r>
      <w:r>
        <w:t xml:space="preserve">oversight over compliance with due diligence would be offset by lower need for resources to</w:t>
      </w:r>
      <w:r>
        <w:t xml:space="preserve"> </w:t>
      </w:r>
      <w:r>
        <w:t xml:space="preserve">supervise disclosure.</w:t>
      </w:r>
      <w:r>
        <w:t xml:space="preserve"> </w:t>
      </w:r>
      <w:r>
        <w:t xml:space="preserve">Option 1.1 would continue to be coherent with the rest of the Securitisation Framework (i.e. </w:t>
      </w:r>
      <w:r>
        <w:t xml:space="preserve"> </w:t>
      </w:r>
      <w:r>
        <w:t xml:space="preserve">‘internal coherence’), as well as with other pieces of financial legislation and with international</w:t>
      </w:r>
      <w:r>
        <w:t xml:space="preserve"> </w:t>
      </w:r>
      <w:r>
        <w:t xml:space="preserve">standards (i.e. ‘external coherence’).</w:t>
      </w:r>
      <w:r>
        <w:br/>
      </w:r>
      <w:r>
        <w:t xml:space="preserve">6.1.1.4. Stakeholders’ views</w:t>
      </w:r>
      <w:r>
        <w:t xml:space="preserve"> </w:t>
      </w:r>
      <w:r>
        <w:t xml:space="preserve">In general, both the industry and the supervisors support option 1.1. Many respondents to the</w:t>
      </w:r>
      <w:r>
        <w:t xml:space="preserve"> </w:t>
      </w:r>
      <w:r>
        <w:t xml:space="preserve">targeted consultation indicated that implementing option 1.1 could be expected to result in</w:t>
      </w:r>
      <w:r>
        <w:t xml:space="preserve"> </w:t>
      </w:r>
      <w:r>
        <w:t xml:space="preserve">higher securitisation issuance, thereby contributing to the general objective.</w:t>
      </w:r>
      <w:r>
        <w:t xml:space="preserve"> </w:t>
      </w:r>
      <w:r>
        <w:t xml:space="preserve">Option 1.1 was preferred by many respondents under the condition that it would mean keeping</w:t>
      </w:r>
      <w:r>
        <w:t xml:space="preserve"> </w:t>
      </w:r>
      <w:r>
        <w:t xml:space="preserve">the structure of the current templates that are already implemented while introducing flexibility</w:t>
      </w:r>
      <w:r>
        <w:t xml:space="preserve"> </w:t>
      </w:r>
      <w:r>
        <w:t xml:space="preserve">by using the “no-data-option – ND” more extensively. For very granular transactions, i.e. </w:t>
      </w:r>
    </w:p>
    <w:p>
      <w:pPr>
        <w:pStyle w:val="BodyText"/>
      </w:pPr>
      <w:r>
        <w:t xml:space="preserve">55 The rates are published by the securitisation repositories on their websites.</w:t>
      </w:r>
      <w:r>
        <w:t xml:space="preserve"> </w:t>
      </w:r>
      <w:r>
        <w:t xml:space="preserve">56 Details in Annex III.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transactions pooling thousands of underlying exposures such as credit card receivables,</w:t>
      </w:r>
      <w:r>
        <w:t xml:space="preserve"> </w:t>
      </w:r>
      <w:r>
        <w:t xml:space="preserve">removing the requirement of loan-by-loan reporting and instead allowing for aggregate</w:t>
      </w:r>
      <w:r>
        <w:t xml:space="preserve"> </w:t>
      </w:r>
      <w:r>
        <w:t xml:space="preserve">reporting could also be considered. Flexibility of the required format57 and allowing the</w:t>
      </w:r>
      <w:r>
        <w:t xml:space="preserve"> </w:t>
      </w:r>
      <w:r>
        <w:t xml:space="preserve">inclusion of additional data would also be welcomed by certain issuers to better meet the needs</w:t>
      </w:r>
      <w:r>
        <w:t xml:space="preserve"> </w:t>
      </w:r>
      <w:r>
        <w:t xml:space="preserve">of investors. Some respondents pointed also to further reporting with similar content, e.g. </w:t>
      </w:r>
      <w:r>
        <w:t xml:space="preserve"> </w:t>
      </w:r>
      <w:r>
        <w:t xml:space="preserve">securitisation reporting required by the ECB or national competent authorities. Alignment and</w:t>
      </w:r>
      <w:r>
        <w:t xml:space="preserve"> </w:t>
      </w:r>
      <w:r>
        <w:t xml:space="preserve">data sharing between authorities could have beneficial effects for the reporting entities.</w:t>
      </w:r>
      <w:r>
        <w:t xml:space="preserve"> </w:t>
      </w:r>
      <w:r>
        <w:t xml:space="preserve">Regarding the removal of STS verification, some supervisors argue that this should be</w:t>
      </w:r>
      <w:r>
        <w:t xml:space="preserve"> </w:t>
      </w:r>
      <w:r>
        <w:t xml:space="preserve">contingent on introducing supervision requirements for STS third-party verifiers (TPVs)58,</w:t>
      </w:r>
      <w:r>
        <w:t xml:space="preserve"> </w:t>
      </w:r>
      <w:r>
        <w:t xml:space="preserve">whereas the industry seems to think that TPVs are already supervised under the SECR.</w:t>
      </w:r>
      <w:r>
        <w:t xml:space="preserve"> </w:t>
      </w:r>
      <w:r>
        <w:t xml:space="preserve">Removing verification requirements, and in particular STS verification, is the main ask from</w:t>
      </w:r>
      <w:r>
        <w:t xml:space="preserve"> </w:t>
      </w:r>
      <w:r>
        <w:t xml:space="preserve">stakeholders in the area of due diligence.</w:t>
      </w:r>
      <w:r>
        <w:t xml:space="preserve"> </w:t>
      </w:r>
      <w:r>
        <w:t xml:space="preserve">Regarding transparency, issuers warn that requiring private securitisations to report to the</w:t>
      </w:r>
      <w:r>
        <w:t xml:space="preserve"> </w:t>
      </w:r>
      <w:r>
        <w:t xml:space="preserve">securitisation repositories would increase compliance costs for those transactions, which runs</w:t>
      </w:r>
      <w:r>
        <w:t xml:space="preserve"> </w:t>
      </w:r>
      <w:r>
        <w:t xml:space="preserve">contrary to the policy goal of burden reduction. Moreover, stakeholders warn that disclosure</w:t>
      </w:r>
      <w:r>
        <w:t xml:space="preserve"> </w:t>
      </w:r>
      <w:r>
        <w:t xml:space="preserve">requirements for private securitisations should take into account confidentiality and data breach</w:t>
      </w:r>
      <w:r>
        <w:t xml:space="preserve"> </w:t>
      </w:r>
      <w:r>
        <w:t xml:space="preserve">risks.</w:t>
      </w:r>
      <w:r>
        <w:t xml:space="preserve"> </w:t>
      </w:r>
      <w:r>
        <w:t xml:space="preserve">Option 1.1 would not negatively affect financial stability. In terms of disclosure, option 1.1 still</w:t>
      </w:r>
      <w:r>
        <w:t xml:space="preserve"> </w:t>
      </w:r>
      <w:r>
        <w:t xml:space="preserve">requires enough information about the characteristics and performance of the underlying</w:t>
      </w:r>
      <w:r>
        <w:t xml:space="preserve"> </w:t>
      </w:r>
      <w:r>
        <w:t xml:space="preserve">exposure and the structural features of the transaction to be disclosed to investors so they can</w:t>
      </w:r>
      <w:r>
        <w:t xml:space="preserve"> </w:t>
      </w:r>
      <w:r>
        <w:t xml:space="preserve">carry out a proper risk assessment. Regarding due diligence, option 1.1 still requires investors</w:t>
      </w:r>
      <w:r>
        <w:t xml:space="preserve"> </w:t>
      </w:r>
      <w:r>
        <w:t xml:space="preserve">to meaningfully assess the risks associated with securitisation. Supervisors are still expected to</w:t>
      </w:r>
      <w:r>
        <w:t xml:space="preserve"> </w:t>
      </w:r>
      <w:r>
        <w:t xml:space="preserve">pay close attention to the activities of the securitisation parties.</w:t>
      </w:r>
      <w:r>
        <w:t xml:space="preserve"> </w:t>
      </w:r>
      <w:r>
        <w:t xml:space="preserve">6.1.2. Option 1.2: Significant measures to reduce high operational costs</w:t>
      </w:r>
      <w:r>
        <w:t xml:space="preserve"> </w:t>
      </w:r>
      <w:r>
        <w:t xml:space="preserve">6.1.2.1 Benefits</w:t>
      </w:r>
      <w:r>
        <w:t xml:space="preserve"> </w:t>
      </w:r>
      <w:r>
        <w:t xml:space="preserve">Option 1.2 would remove all operational costs (recurring plus one-off) associated with the due</w:t>
      </w:r>
      <w:r>
        <w:t xml:space="preserve"> </w:t>
      </w:r>
      <w:r>
        <w:t xml:space="preserve">diligence requirements in the SECR for EU regulated investors that go beyond the usual course</w:t>
      </w:r>
      <w:r>
        <w:t xml:space="preserve"> </w:t>
      </w:r>
      <w:r>
        <w:t xml:space="preserve">of business and what would be required by their respective sectoral regulations in the absence</w:t>
      </w:r>
      <w:r>
        <w:t xml:space="preserve"> </w:t>
      </w:r>
      <w:r>
        <w:t xml:space="preserve">of Art. 5 SECR. According to stakeholder feedback, the one-off costs to set up an investment</w:t>
      </w:r>
      <w:r>
        <w:t xml:space="preserve"> </w:t>
      </w:r>
      <w:r>
        <w:t xml:space="preserve">business that would invest in securitisations, associated with the implementation of existing</w:t>
      </w:r>
      <w:r>
        <w:t xml:space="preserve"> </w:t>
      </w:r>
      <w:r>
        <w:t xml:space="preserve">due diligence requirements only, are about EUR 130,000 per entity. If the existing due</w:t>
      </w:r>
    </w:p>
    <w:p>
      <w:pPr>
        <w:pStyle w:val="BodyText"/>
      </w:pPr>
      <w:r>
        <w:t xml:space="preserve">57 E.g. xlsx instead of xml only</w:t>
      </w:r>
      <w:r>
        <w:t xml:space="preserve"> </w:t>
      </w:r>
      <w:r>
        <w:t xml:space="preserve">58 The SECR establishes a system of third-party verification entities to assist both issuers and investors, on a</w:t>
      </w:r>
      <w:r>
        <w:t xml:space="preserve"> </w:t>
      </w:r>
      <w:r>
        <w:t xml:space="preserve">voluntary basis, in assessing the compliance of a transaction with the STS criteria. However, the involvement of</w:t>
      </w:r>
      <w:r>
        <w:t xml:space="preserve"> </w:t>
      </w:r>
      <w:r>
        <w:t xml:space="preserve">such verifiers does not remove the legal responsibility from institutional investors to perform due diligence on the</w:t>
      </w:r>
      <w:r>
        <w:t xml:space="preserve"> </w:t>
      </w:r>
      <w:r>
        <w:t xml:space="preserve">investment and investors remain liable for their obligations under the regulation. These third-party verification</w:t>
      </w:r>
      <w:r>
        <w:t xml:space="preserve"> </w:t>
      </w:r>
      <w:r>
        <w:t xml:space="preserve">entities are authorised by the respective national competent authority of the Member State in which they are</w:t>
      </w:r>
      <w:r>
        <w:t xml:space="preserve"> </w:t>
      </w:r>
      <w:r>
        <w:t xml:space="preserve">incorporated. Two third-party verifiers have been authorised so far. To date, most STS transactions have used the</w:t>
      </w:r>
      <w:r>
        <w:t xml:space="preserve"> </w:t>
      </w:r>
      <w:r>
        <w:t xml:space="preserve">services of one of the two third-party verifiers.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diligence requirements no longer apply, those costs and time-investment would no longer have</w:t>
      </w:r>
      <w:r>
        <w:t xml:space="preserve"> </w:t>
      </w:r>
      <w:r>
        <w:t xml:space="preserve">to be incurred by new market entrants, which would facilitate market entry.</w:t>
      </w:r>
      <w:r>
        <w:t xml:space="preserve"> </w:t>
      </w:r>
      <w:r>
        <w:t xml:space="preserve">This would not exempt EU investors from conducting due diligence when investing in</w:t>
      </w:r>
      <w:r>
        <w:t xml:space="preserve"> </w:t>
      </w:r>
      <w:r>
        <w:t xml:space="preserve">securitisations, but it would eliminate the need for investors to comply with due diligence</w:t>
      </w:r>
      <w:r>
        <w:t xml:space="preserve"> </w:t>
      </w:r>
      <w:r>
        <w:t xml:space="preserve">requirements stipulated in the SECR on top of the due diligence requirements outlined in their</w:t>
      </w:r>
      <w:r>
        <w:t xml:space="preserve"> </w:t>
      </w:r>
      <w:r>
        <w:t xml:space="preserve">respective sectoral legislations. In practice, investors would still need to adhere to the due</w:t>
      </w:r>
      <w:r>
        <w:t xml:space="preserve"> </w:t>
      </w:r>
      <w:r>
        <w:t xml:space="preserve">diligence standards specific to their sector, just as they are required to do so when investing in</w:t>
      </w:r>
      <w:r>
        <w:t xml:space="preserve"> </w:t>
      </w:r>
      <w:r>
        <w:t xml:space="preserve">other financial instruments. Investors that do not have due diligence provisions within their</w:t>
      </w:r>
      <w:r>
        <w:t xml:space="preserve"> </w:t>
      </w:r>
      <w:r>
        <w:t xml:space="preserve">own sectoral legislations would still have to apply the due diligence requirements in the SECR.</w:t>
      </w:r>
      <w:r>
        <w:t xml:space="preserve"> </w:t>
      </w:r>
      <w:r>
        <w:t xml:space="preserve">The main beneficiaries from such an approach would be those investors for which the existing</w:t>
      </w:r>
      <w:r>
        <w:t xml:space="preserve"> </w:t>
      </w:r>
      <w:r>
        <w:t xml:space="preserve">due diligence requirements result in an additional effort on top of their regular due diligence</w:t>
      </w:r>
      <w:r>
        <w:t xml:space="preserve"> </w:t>
      </w:r>
      <w:r>
        <w:t xml:space="preserve">process. According to the result from the targeted consultation, the costs added by the due</w:t>
      </w:r>
      <w:r>
        <w:t xml:space="preserve"> </w:t>
      </w:r>
      <w:r>
        <w:t xml:space="preserve">diligence requirements in the SECR vary significantly depending on the type of respondent.</w:t>
      </w:r>
      <w:r>
        <w:t xml:space="preserve"> </w:t>
      </w:r>
      <w:r>
        <w:t xml:space="preserve">Some large and experienced asset managers report additional costs as low as 0%. This is the</w:t>
      </w:r>
      <w:r>
        <w:t xml:space="preserve"> </w:t>
      </w:r>
      <w:r>
        <w:t xml:space="preserve">case because they already carried out similar due diligence procedures as those required under</w:t>
      </w:r>
      <w:r>
        <w:t xml:space="preserve"> </w:t>
      </w:r>
      <w:r>
        <w:t xml:space="preserve">the SECR before its entry into force. For other small, regulated institutional investors that carry</w:t>
      </w:r>
      <w:r>
        <w:t xml:space="preserve"> </w:t>
      </w:r>
      <w:r>
        <w:t xml:space="preserve">out different due diligence procedures than those stipulated under the SECR or for other new</w:t>
      </w:r>
      <w:r>
        <w:t xml:space="preserve"> </w:t>
      </w:r>
      <w:r>
        <w:t xml:space="preserve">market entrants option 1.2 could, however, potentially save a significant amount of</w:t>
      </w:r>
      <w:r>
        <w:t xml:space="preserve"> </w:t>
      </w:r>
      <w:r>
        <w:t xml:space="preserve">administrative costs.</w:t>
      </w:r>
      <w:r>
        <w:br/>
      </w:r>
      <w:r>
        <w:t xml:space="preserve">In addition to reducing costs, option 1.2 would also lead to a level playing field between</w:t>
      </w:r>
      <w:r>
        <w:t xml:space="preserve"> </w:t>
      </w:r>
      <w:r>
        <w:t xml:space="preserve">securitisations and other financial instruments that are not subject to additional specific due</w:t>
      </w:r>
      <w:r>
        <w:t xml:space="preserve"> </w:t>
      </w:r>
      <w:r>
        <w:t xml:space="preserve">diligence requirements. In turn, this would incentivise EU investors to invest more in</w:t>
      </w:r>
      <w:r>
        <w:t xml:space="preserve"> </w:t>
      </w:r>
      <w:r>
        <w:t xml:space="preserve">securitisations. One may reasonably expect that greater investor interest in securitisations</w:t>
      </w:r>
      <w:r>
        <w:t xml:space="preserve"> </w:t>
      </w:r>
      <w:r>
        <w:t xml:space="preserve">would be followed by the emergence of a wider and more diverse securitisation offer (greater</w:t>
      </w:r>
      <w:r>
        <w:t xml:space="preserve"> </w:t>
      </w:r>
      <w:r>
        <w:t xml:space="preserve">issuance), thus supporting the role of securitisation in funding the EU’s economy (see</w:t>
      </w:r>
      <w:r>
        <w:t xml:space="preserve"> </w:t>
      </w:r>
      <w:r>
        <w:t xml:space="preserve">introduction section for a more detailed explanation of what securitisation is and how it can</w:t>
      </w:r>
      <w:r>
        <w:t xml:space="preserve"> </w:t>
      </w:r>
      <w:r>
        <w:t xml:space="preserve">support the EU economy). This option would also benefit new EU regulated investors as it will</w:t>
      </w:r>
      <w:r>
        <w:t xml:space="preserve"> </w:t>
      </w:r>
      <w:r>
        <w:t xml:space="preserve">not be necessary for them set up dedicated processes to comply with the existing due diligence</w:t>
      </w:r>
      <w:r>
        <w:t xml:space="preserve"> </w:t>
      </w:r>
      <w:r>
        <w:t xml:space="preserve">requirements in the SECR.</w:t>
      </w:r>
      <w:r>
        <w:br/>
      </w:r>
      <w:r>
        <w:t xml:space="preserve">Option 1.2 would reduce operational costs for all issuers relative to the baseline scenario. The</w:t>
      </w:r>
      <w:r>
        <w:t xml:space="preserve"> </w:t>
      </w:r>
      <w:r>
        <w:t xml:space="preserve">reduction will impact start-up costs in particular, as this approach would give issuers the</w:t>
      </w:r>
      <w:r>
        <w:t xml:space="preserve"> </w:t>
      </w:r>
      <w:r>
        <w:t xml:space="preserve">flexibility to customize their disclosures for each specific deal rather than having to abide by a</w:t>
      </w:r>
      <w:r>
        <w:t xml:space="preserve"> </w:t>
      </w:r>
      <w:r>
        <w:t xml:space="preserve">prescribed disclosure template and format. This is expected to be less costly than the current</w:t>
      </w:r>
      <w:r>
        <w:t xml:space="preserve"> </w:t>
      </w:r>
      <w:r>
        <w:t xml:space="preserve">one-size-fits-all approach, which is often reported to fail to meet the specific characteristics of</w:t>
      </w:r>
      <w:r>
        <w:t xml:space="preserve"> </w:t>
      </w:r>
      <w:r>
        <w:t xml:space="preserve">securitisation transactions and unique investor needs.</w:t>
      </w:r>
      <w:r>
        <w:br/>
      </w:r>
      <w:r>
        <w:t xml:space="preserve">Option 1.2 would not require issuers to disclose information that investors find superfluous and</w:t>
      </w:r>
      <w:r>
        <w:t xml:space="preserve"> </w:t>
      </w:r>
      <w:r>
        <w:t xml:space="preserve">that they do not use when making investment decisions. Overall, this streamlined approach</w:t>
      </w:r>
      <w:r>
        <w:t xml:space="preserve"> </w:t>
      </w:r>
      <w:r>
        <w:t xml:space="preserve">should make the disclosure process more straightforward and useful to certain market</w:t>
      </w:r>
      <w:r>
        <w:t xml:space="preserve"> </w:t>
      </w:r>
      <w:r>
        <w:t xml:space="preserve">participants, while not adversely impacting the reporting of information necessary for</w:t>
      </w:r>
      <w:r>
        <w:t xml:space="preserve"> </w:t>
      </w:r>
      <w:r>
        <w:t xml:space="preserve">supervisory purposes.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At the same time, by requiring all securitisations (public and private) to report to securitisation</w:t>
      </w:r>
      <w:r>
        <w:t xml:space="preserve"> </w:t>
      </w:r>
      <w:r>
        <w:t xml:space="preserve">repositories with a single supervisory template, market transparency would be enhanced in</w:t>
      </w:r>
      <w:r>
        <w:t xml:space="preserve"> </w:t>
      </w:r>
      <w:r>
        <w:t xml:space="preserve">comparison to the baseline scenario where only public transactions are obliged to report to</w:t>
      </w:r>
      <w:r>
        <w:t xml:space="preserve"> </w:t>
      </w:r>
      <w:r>
        <w:t xml:space="preserve">repositories. This would allow investors, supervisors and market analysts to get a better view</w:t>
      </w:r>
      <w:r>
        <w:t xml:space="preserve"> </w:t>
      </w:r>
      <w:r>
        <w:t xml:space="preserve">of the market, lowering information asymmetry, enhancing price formation and supporting the</w:t>
      </w:r>
      <w:r>
        <w:t xml:space="preserve"> </w:t>
      </w:r>
      <w:r>
        <w:t xml:space="preserve">further development of the EU securitisation market.</w:t>
      </w:r>
      <w:r>
        <w:br/>
      </w:r>
      <w:r>
        <w:t xml:space="preserve">6.1.2.2. Costs</w:t>
      </w:r>
      <w:r>
        <w:t xml:space="preserve"> </w:t>
      </w:r>
      <w:r>
        <w:t xml:space="preserve">With regard to due diligence, no significant adjustment costs are expected under option 1.2. As</w:t>
      </w:r>
      <w:r>
        <w:t xml:space="preserve"> </w:t>
      </w:r>
      <w:r>
        <w:t xml:space="preserve">for supervisory costs, the impact is likely to be neutral as regards securitisations issued by EU</w:t>
      </w:r>
      <w:r>
        <w:t xml:space="preserve"> </w:t>
      </w:r>
      <w:r>
        <w:t xml:space="preserve">entities as supervisors are already responsible for overseeing due diligence rules in sectoral</w:t>
      </w:r>
      <w:r>
        <w:t xml:space="preserve"> </w:t>
      </w:r>
      <w:r>
        <w:t xml:space="preserve">legislation.</w:t>
      </w:r>
      <w:r>
        <w:br/>
      </w:r>
      <w:r>
        <w:t xml:space="preserve">In the area of transparency, option 1.2 would imply some adjustment costs for existing issuers</w:t>
      </w:r>
      <w:r>
        <w:t xml:space="preserve"> </w:t>
      </w:r>
      <w:r>
        <w:t xml:space="preserve">as they would have to adapt their reporting systems. These costs should be comparable to</w:t>
      </w:r>
      <w:r>
        <w:t xml:space="preserve"> </w:t>
      </w:r>
      <w:r>
        <w:t xml:space="preserve">option 1.1 as the new template would build on the existing reporting requirements only with</w:t>
      </w:r>
      <w:r>
        <w:t xml:space="preserve"> </w:t>
      </w:r>
      <w:r>
        <w:t xml:space="preserve">significantly fewer mandatory data fields than the current set of templates.</w:t>
      </w:r>
      <w:r>
        <w:br/>
      </w:r>
      <w:r>
        <w:t xml:space="preserve">As regards supervisors, the reduced reliance on standardised reporting for investors would</w:t>
      </w:r>
      <w:r>
        <w:t xml:space="preserve"> </w:t>
      </w:r>
      <w:r>
        <w:t xml:space="preserve">make it more costly to ensure that issuers disclose sufficient information to investors.</w:t>
      </w:r>
      <w:r>
        <w:t xml:space="preserve"> </w:t>
      </w:r>
      <w:r>
        <w:t xml:space="preserve">Moreover, due diligence costs might increase as a result of option 1.2 for transparency, as</w:t>
      </w:r>
      <w:r>
        <w:t xml:space="preserve"> </w:t>
      </w:r>
      <w:r>
        <w:t xml:space="preserve">investors would have less readily available information on other deals, besides the one they are</w:t>
      </w:r>
      <w:r>
        <w:t xml:space="preserve"> </w:t>
      </w:r>
      <w:r>
        <w:t xml:space="preserve">directly investing in.</w:t>
      </w:r>
      <w:r>
        <w:br/>
      </w:r>
      <w:r>
        <w:t xml:space="preserve">6.1.2.3. Overall assessment: Effectiveness, efficiency and coherence</w:t>
      </w:r>
      <w:r>
        <w:t xml:space="preserve"> </w:t>
      </w:r>
      <w:r>
        <w:t xml:space="preserve">Option 1.2 would be the most effective in reducing operational costs for all issuers and</w:t>
      </w:r>
      <w:r>
        <w:t xml:space="preserve"> </w:t>
      </w:r>
      <w:r>
        <w:t xml:space="preserve">investors relative to the baseline scenario.</w:t>
      </w:r>
      <w:r>
        <w:br/>
      </w:r>
      <w:r>
        <w:t xml:space="preserve">With regard to due diligence, however, there is a risk that this option would be incoherent with</w:t>
      </w:r>
      <w:r>
        <w:t xml:space="preserve"> </w:t>
      </w:r>
      <w:r>
        <w:t xml:space="preserve">international standards, in particular with respect to the recommendation by the Financial</w:t>
      </w:r>
      <w:r>
        <w:t xml:space="preserve"> </w:t>
      </w:r>
      <w:r>
        <w:t xml:space="preserve">Stability Forum (later succeeded by Financial Stability Board), to ensure stronger requirements</w:t>
      </w:r>
      <w:r>
        <w:t xml:space="preserve"> </w:t>
      </w:r>
      <w:r>
        <w:t xml:space="preserve">for investors’ processes for investment in structured products59. In addition, reducing due</w:t>
      </w:r>
      <w:r>
        <w:t xml:space="preserve"> </w:t>
      </w:r>
      <w:r>
        <w:t xml:space="preserve">diligence standards too much might also facilitate investments by inexperienced investors who</w:t>
      </w:r>
      <w:r>
        <w:t xml:space="preserve"> </w:t>
      </w:r>
      <w:r>
        <w:t xml:space="preserve">might not be capable of assessing comprehensively the relevant risks of the transaction, which</w:t>
      </w:r>
      <w:r>
        <w:t xml:space="preserve"> </w:t>
      </w:r>
      <w:r>
        <w:t xml:space="preserve">could put financial stability at risk.</w:t>
      </w:r>
      <w:r>
        <w:br/>
      </w:r>
      <w:r>
        <w:t xml:space="preserve">Regarding transparency, the reduction in recurring costs is expected to be comparable with that</w:t>
      </w:r>
      <w:r>
        <w:t xml:space="preserve"> </w:t>
      </w:r>
      <w:r>
        <w:t xml:space="preserve">achieved by option 1.1. Disclosure will still be required, but the regulation will rely on the best</w:t>
      </w:r>
      <w:r>
        <w:t xml:space="preserve"> </w:t>
      </w:r>
      <w:r>
        <w:t xml:space="preserve">efforts of issuers subject to market control (if investors are not happy with the disclosure, they</w:t>
      </w:r>
      <w:r>
        <w:t xml:space="preserve"> </w:t>
      </w:r>
      <w:r>
        <w:t xml:space="preserve">will not invest). The primary beneficiaries would be new issuers, who would not be burdened</w:t>
      </w:r>
      <w:r>
        <w:t xml:space="preserve"> </w:t>
      </w:r>
      <w:r>
        <w:t xml:space="preserve">with high one-off costs to set up the reporting framework required in the baseline scenario.</w:t>
      </w:r>
    </w:p>
    <w:p>
      <w:pPr>
        <w:pStyle w:val="BodyText"/>
      </w:pPr>
      <w:r>
        <w:t xml:space="preserve">59 Report of the Financial Stability Forum on Enhancing Market and Institutional Resilience, April 2008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Supervisory control is improved from the baseline as private securitisations would also report</w:t>
      </w:r>
      <w:r>
        <w:t xml:space="preserve"> </w:t>
      </w:r>
      <w:r>
        <w:t xml:space="preserve">to the securitisation repositories, but not to the same level as in option 1.1, as the disclosure</w:t>
      </w:r>
      <w:r>
        <w:t xml:space="preserve"> </w:t>
      </w:r>
      <w:r>
        <w:t xml:space="preserve">templates will provide less information (at least for “public” securitisations).</w:t>
      </w:r>
      <w:r>
        <w:t xml:space="preserve"> </w:t>
      </w:r>
      <w:r>
        <w:t xml:space="preserve">Overall market transparency should be sufficient but may decrease from the baseline because:</w:t>
      </w:r>
      <w:r>
        <w:t xml:space="preserve"> </w:t>
      </w:r>
      <w:r>
        <w:t xml:space="preserve">i) disclosure from issuers to investors may not always be visible to the entire market, ii) data</w:t>
      </w:r>
      <w:r>
        <w:t xml:space="preserve"> </w:t>
      </w:r>
      <w:r>
        <w:t xml:space="preserve">would no longer be available for public transactions in a uniform and standardised format, and</w:t>
      </w:r>
      <w:r>
        <w:t xml:space="preserve"> </w:t>
      </w:r>
      <w:r>
        <w:t xml:space="preserve">iii) the information disclosed via repositories will be limited.</w:t>
      </w:r>
      <w:r>
        <w:t xml:space="preserve"> </w:t>
      </w:r>
      <w:r>
        <w:t xml:space="preserve">Although Option 1.2 is more ambitious than Option 1.1, it would not lower requirements to</w:t>
      </w:r>
      <w:r>
        <w:t xml:space="preserve"> </w:t>
      </w:r>
      <w:r>
        <w:t xml:space="preserve">such an extent that financial stability could be at risk. In terms of disclosure, Option 1.2 still</w:t>
      </w:r>
      <w:r>
        <w:t xml:space="preserve"> </w:t>
      </w:r>
      <w:r>
        <w:t xml:space="preserve">requires enough information about the characteristics and performance of the underlying</w:t>
      </w:r>
      <w:r>
        <w:t xml:space="preserve"> </w:t>
      </w:r>
      <w:r>
        <w:t xml:space="preserve">exposure and the structural features of the transaction to be disclosed to investors so they can</w:t>
      </w:r>
      <w:r>
        <w:t xml:space="preserve"> </w:t>
      </w:r>
      <w:r>
        <w:t xml:space="preserve">carry out a proper risk assessment. Moreover, even if securitisation specific due diligence rules</w:t>
      </w:r>
      <w:r>
        <w:t xml:space="preserve"> </w:t>
      </w:r>
      <w:r>
        <w:t xml:space="preserve">are eliminated under Option 1.2, investors will still be required to meaningfully assess the risks</w:t>
      </w:r>
      <w:r>
        <w:t xml:space="preserve"> </w:t>
      </w:r>
      <w:r>
        <w:t xml:space="preserve">associated with securitisation in line with their own sectoral legislation.6.1.2.4. Stakeholder</w:t>
      </w:r>
      <w:r>
        <w:t xml:space="preserve"> </w:t>
      </w:r>
      <w:r>
        <w:t xml:space="preserve">views</w:t>
      </w:r>
      <w:r>
        <w:t xml:space="preserve"> </w:t>
      </w:r>
      <w:r>
        <w:t xml:space="preserve">Regarding transparency, there is no support from supervisors for option 1.2. Some industry</w:t>
      </w:r>
      <w:r>
        <w:t xml:space="preserve"> </w:t>
      </w:r>
      <w:r>
        <w:t xml:space="preserve">participants are supportive of this option, but most prefer option 1.1 (45 respondents preferred</w:t>
      </w:r>
      <w:r>
        <w:t xml:space="preserve"> </w:t>
      </w:r>
      <w:r>
        <w:t xml:space="preserve">option 1.1, 12 respondents preferred option 1.2, 3 respondents did not want any changes to the</w:t>
      </w:r>
      <w:r>
        <w:t xml:space="preserve"> </w:t>
      </w:r>
      <w:r>
        <w:t xml:space="preserve">current regime and 43 respondents did not answer). Many industry stakeholders warned that it</w:t>
      </w:r>
      <w:r>
        <w:t xml:space="preserve"> </w:t>
      </w:r>
      <w:r>
        <w:t xml:space="preserve">is difficult to estimate the potential savings that Option 1.2 might bring. One large market</w:t>
      </w:r>
      <w:r>
        <w:t xml:space="preserve"> </w:t>
      </w:r>
      <w:r>
        <w:t xml:space="preserve">player pointed out that “if the overall volume of data does not change or if data is difficult to</w:t>
      </w:r>
      <w:r>
        <w:t xml:space="preserve"> </w:t>
      </w:r>
      <w:r>
        <w:t xml:space="preserve">obtain and/or highly complex …, the cost reduction could be lower than expected”.</w:t>
      </w:r>
      <w:r>
        <w:t xml:space="preserve"> </w:t>
      </w:r>
      <w:r>
        <w:t xml:space="preserve">Regarding due diligence, option 1.2 was not explicitly discussed with either market participants</w:t>
      </w:r>
      <w:r>
        <w:t xml:space="preserve"> </w:t>
      </w:r>
      <w:r>
        <w:t xml:space="preserve">or supervisors. However, from the consultation responses, it appears that some industry</w:t>
      </w:r>
      <w:r>
        <w:t xml:space="preserve"> </w:t>
      </w:r>
      <w:r>
        <w:t xml:space="preserve">participants think that due diligence requirements in sectoral legislation are sufficient and that</w:t>
      </w:r>
      <w:r>
        <w:t xml:space="preserve"> </w:t>
      </w:r>
      <w:r>
        <w:t xml:space="preserve">specific due diligence requirements for securitisation in addition to sectoral due diligence</w:t>
      </w:r>
      <w:r>
        <w:t xml:space="preserve"> </w:t>
      </w:r>
      <w:r>
        <w:t xml:space="preserve">requirements are not needed. Although option 1.2 was not explicitly discussed with</w:t>
      </w:r>
      <w:r>
        <w:t xml:space="preserve"> </w:t>
      </w:r>
      <w:r>
        <w:t xml:space="preserve">supervisors, based on previous discussions on this topic, we expect that they would not favour</w:t>
      </w:r>
      <w:r>
        <w:t xml:space="preserve"> </w:t>
      </w:r>
      <w:r>
        <w:t xml:space="preserve">this option since most of them seem to support the idea of having additional due diligence</w:t>
      </w:r>
      <w:r>
        <w:t xml:space="preserve"> </w:t>
      </w:r>
      <w:r>
        <w:t xml:space="preserve">requirements for securitisations.</w:t>
      </w:r>
      <w:r>
        <w:t xml:space="preserve"> </w:t>
      </w:r>
      <w:r>
        <w:t xml:space="preserve">6.1.2.5. Summary</w:t>
      </w:r>
      <w:r>
        <w:t xml:space="preserve"> </w:t>
      </w:r>
      <w:r>
        <w:t xml:space="preserve">Comparative presentation of the impacts of Option 1.1 and Option 1.2.</w:t>
      </w:r>
    </w:p>
    <w:p>
      <w:pPr>
        <w:pStyle w:val="BodyText"/>
      </w:pPr>
      <w:r>
        <w:t xml:space="preserve">Option 1.1</w:t>
      </w:r>
      <w:r>
        <w:t xml:space="preserve"> </w:t>
      </w:r>
      <w:r>
        <w:t xml:space="preserve">Option 1.2</w:t>
      </w:r>
      <w:r>
        <w:t xml:space="preserve"> </w:t>
      </w:r>
      <w:r>
        <w:t xml:space="preserve">Effectiveness and efficiency</w:t>
      </w:r>
      <w:r>
        <w:t xml:space="preserve"> </w:t>
      </w:r>
      <w:r>
        <w:t xml:space="preserve">Reduction in recurring due diligence costs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Ensuring that adequate due diligence is performed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Reduction in one-off disclosure costs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Reduction in recurrent disclosure costs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Ensuring high market transparency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Market oversight by supervisors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Legend: +++ = Very positive ++ = Positive + = Slightly positive +/- = Mixed effect 0 =</w:t>
      </w:r>
      <w:r>
        <w:t xml:space="preserve"> </w:t>
      </w:r>
      <w:r>
        <w:t xml:space="preserve">no effect - = Slightly negative – = Negative — = very negative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Impacts on stakeholder groups</w:t>
      </w:r>
    </w:p>
    <w:p>
      <w:pPr>
        <w:pStyle w:val="BodyText"/>
      </w:pPr>
      <w:r>
        <w:t xml:space="preserve">Issuers of</w:t>
      </w:r>
      <w:r>
        <w:t xml:space="preserve"> </w:t>
      </w:r>
      <w:r>
        <w:t xml:space="preserve">public</w:t>
      </w:r>
      <w:r>
        <w:t xml:space="preserve"> </w:t>
      </w:r>
      <w:r>
        <w:t xml:space="preserve">securitisations</w:t>
      </w:r>
      <w:r>
        <w:t xml:space="preserve"> </w:t>
      </w:r>
      <w:r>
        <w:t xml:space="preserve">Issuers of private</w:t>
      </w:r>
      <w:r>
        <w:t xml:space="preserve"> </w:t>
      </w:r>
      <w:r>
        <w:t xml:space="preserve">securitisations</w:t>
      </w:r>
      <w:r>
        <w:t xml:space="preserve"> </w:t>
      </w:r>
      <w:r>
        <w:t xml:space="preserve">Investors</w:t>
      </w:r>
      <w:r>
        <w:t xml:space="preserve"> </w:t>
      </w:r>
      <w:r>
        <w:t xml:space="preserve">Supervisory</w:t>
      </w:r>
      <w:r>
        <w:t xml:space="preserve"> </w:t>
      </w:r>
      <w:r>
        <w:t xml:space="preserve">authorities</w:t>
      </w:r>
      <w:r>
        <w:t xml:space="preserve"> </w:t>
      </w:r>
      <w:r>
        <w:t xml:space="preserve">Option 1.1. ++ (Simplified</w:t>
      </w:r>
      <w:r>
        <w:t xml:space="preserve"> </w:t>
      </w:r>
      <w:r>
        <w:t xml:space="preserve">templates)</w:t>
      </w:r>
      <w:r>
        <w:t xml:space="preserve"> </w:t>
      </w:r>
      <w:r>
        <w:t xml:space="preserve">Summary: ++</w:t>
      </w:r>
      <w:r>
        <w:t xml:space="preserve"> </w:t>
      </w:r>
      <w:r>
        <w:t xml:space="preserve">+++ (much</w:t>
      </w:r>
      <w:r>
        <w:t xml:space="preserve"> </w:t>
      </w:r>
      <w:r>
        <w:t xml:space="preserve">simpler</w:t>
      </w:r>
      <w:r>
        <w:t xml:space="preserve"> </w:t>
      </w:r>
      <w:r>
        <w:t xml:space="preserve">reporting)</w:t>
      </w:r>
      <w:r>
        <w:t xml:space="preserve"> </w:t>
      </w:r>
      <w:r>
        <w:t xml:space="preserve">- (reporting to</w:t>
      </w:r>
      <w:r>
        <w:t xml:space="preserve"> </w:t>
      </w:r>
      <w:r>
        <w:t xml:space="preserve">securitisation</w:t>
      </w:r>
      <w:r>
        <w:t xml:space="preserve"> </w:t>
      </w:r>
      <w:r>
        <w:t xml:space="preserve">repositories)</w:t>
      </w:r>
      <w:r>
        <w:t xml:space="preserve"> </w:t>
      </w:r>
      <w:r>
        <w:t xml:space="preserve">++ (removal of</w:t>
      </w:r>
      <w:r>
        <w:t xml:space="preserve"> </w:t>
      </w:r>
      <w:r>
        <w:t xml:space="preserve">redundant due</w:t>
      </w:r>
      <w:r>
        <w:t xml:space="preserve"> </w:t>
      </w:r>
      <w:r>
        <w:t xml:space="preserve">diligence</w:t>
      </w:r>
      <w:r>
        <w:t xml:space="preserve"> </w:t>
      </w:r>
      <w:r>
        <w:t xml:space="preserve">requirements)</w:t>
      </w:r>
      <w:r>
        <w:t xml:space="preserve"> </w:t>
      </w:r>
      <w:r>
        <w:t xml:space="preserve">Summary: ++</w:t>
      </w:r>
      <w:r>
        <w:t xml:space="preserve"> </w:t>
      </w:r>
      <w:r>
        <w:t xml:space="preserve">+ (better overview</w:t>
      </w:r>
      <w:r>
        <w:t xml:space="preserve"> </w:t>
      </w:r>
      <w:r>
        <w:t xml:space="preserve">of private</w:t>
      </w:r>
      <w:r>
        <w:t xml:space="preserve"> </w:t>
      </w:r>
      <w:r>
        <w:t xml:space="preserve">securitisations)</w:t>
      </w:r>
      <w:r>
        <w:t xml:space="preserve"> </w:t>
      </w:r>
      <w:r>
        <w:t xml:space="preserve">+ (less supervisory</w:t>
      </w:r>
      <w:r>
        <w:t xml:space="preserve"> </w:t>
      </w:r>
      <w:r>
        <w:t xml:space="preserve">resources needed to</w:t>
      </w:r>
      <w:r>
        <w:t xml:space="preserve"> </w:t>
      </w:r>
      <w:r>
        <w:t xml:space="preserve">supervise private</w:t>
      </w:r>
      <w:r>
        <w:t xml:space="preserve"> </w:t>
      </w:r>
      <w:r>
        <w:t xml:space="preserve">securitisations)</w:t>
      </w:r>
      <w:r>
        <w:t xml:space="preserve"> </w:t>
      </w:r>
      <w:r>
        <w:t xml:space="preserve">+ (wider oversight</w:t>
      </w:r>
      <w:r>
        <w:t xml:space="preserve"> </w:t>
      </w:r>
      <w:r>
        <w:t xml:space="preserve">over the public</w:t>
      </w:r>
      <w:r>
        <w:t xml:space="preserve"> </w:t>
      </w:r>
      <w:r>
        <w:t xml:space="preserve">market thanks to a</w:t>
      </w:r>
      <w:r>
        <w:t xml:space="preserve"> </w:t>
      </w:r>
      <w:r>
        <w:t xml:space="preserve">broader definition)</w:t>
      </w:r>
      <w:r>
        <w:t xml:space="preserve"> </w:t>
      </w:r>
      <w:r>
        <w:t xml:space="preserve">- (more resources</w:t>
      </w:r>
      <w:r>
        <w:t xml:space="preserve"> </w:t>
      </w:r>
      <w:r>
        <w:t xml:space="preserve">needed to supervise</w:t>
      </w:r>
      <w:r>
        <w:t xml:space="preserve"> </w:t>
      </w:r>
      <w:r>
        <w:t xml:space="preserve">due diligence)</w:t>
      </w:r>
      <w:r>
        <w:t xml:space="preserve"> </w:t>
      </w:r>
      <w:r>
        <w:t xml:space="preserve">Option 1.2. Summary: ++</w:t>
      </w:r>
      <w:r>
        <w:t xml:space="preserve"> </w:t>
      </w:r>
      <w:r>
        <w:t xml:space="preserve">+++ (no one-</w:t>
      </w:r>
      <w:r>
        <w:t xml:space="preserve"> </w:t>
      </w:r>
      <w:r>
        <w:t xml:space="preserve">size-fits-all</w:t>
      </w:r>
      <w:r>
        <w:t xml:space="preserve"> </w:t>
      </w:r>
      <w:r>
        <w:t xml:space="preserve">reporting to</w:t>
      </w:r>
      <w:r>
        <w:t xml:space="preserve"> </w:t>
      </w:r>
      <w:r>
        <w:t xml:space="preserve">investors)</w:t>
      </w:r>
      <w:r>
        <w:t xml:space="preserve"> </w:t>
      </w:r>
      <w:r>
        <w:t xml:space="preserve">- (new</w:t>
      </w:r>
      <w:r>
        <w:t xml:space="preserve"> </w:t>
      </w:r>
      <w:r>
        <w:t xml:space="preserve">reporting</w:t>
      </w:r>
      <w:r>
        <w:t xml:space="preserve"> </w:t>
      </w:r>
      <w:r>
        <w:t xml:space="preserve">template needs</w:t>
      </w:r>
      <w:r>
        <w:t xml:space="preserve"> </w:t>
      </w:r>
      <w:r>
        <w:t xml:space="preserve">to be</w:t>
      </w:r>
      <w:r>
        <w:t xml:space="preserve"> </w:t>
      </w:r>
      <w:r>
        <w:t xml:space="preserve">introduced for</w:t>
      </w:r>
      <w:r>
        <w:t xml:space="preserve"> </w:t>
      </w:r>
      <w:r>
        <w:t xml:space="preserve">supervisory</w:t>
      </w:r>
      <w:r>
        <w:t xml:space="preserve"> </w:t>
      </w:r>
      <w:r>
        <w:t xml:space="preserve">purposes)</w:t>
      </w:r>
      <w:r>
        <w:t xml:space="preserve"> </w:t>
      </w:r>
      <w:r>
        <w:t xml:space="preserve">Summary: +</w:t>
      </w:r>
      <w:r>
        <w:t xml:space="preserve"> </w:t>
      </w:r>
      <w:r>
        <w:t xml:space="preserve">++ (simpler</w:t>
      </w:r>
      <w:r>
        <w:t xml:space="preserve"> </w:t>
      </w:r>
      <w:r>
        <w:t xml:space="preserve">reporting)</w:t>
      </w:r>
      <w:r>
        <w:t xml:space="preserve"> </w:t>
      </w:r>
      <w:r>
        <w:t xml:space="preserve">Same as for</w:t>
      </w:r>
      <w:r>
        <w:t xml:space="preserve"> </w:t>
      </w:r>
      <w:r>
        <w:t xml:space="preserve">public</w:t>
      </w:r>
      <w:r>
        <w:t xml:space="preserve"> </w:t>
      </w:r>
      <w:r>
        <w:t xml:space="preserve">securitisations.</w:t>
      </w:r>
      <w:r>
        <w:t xml:space="preserve"> </w:t>
      </w:r>
      <w:r>
        <w:t xml:space="preserve">Under this</w:t>
      </w:r>
      <w:r>
        <w:t xml:space="preserve"> </w:t>
      </w:r>
      <w:r>
        <w:t xml:space="preserve">option, there will</w:t>
      </w:r>
      <w:r>
        <w:t xml:space="preserve"> </w:t>
      </w:r>
      <w:r>
        <w:t xml:space="preserve">be no distinction</w:t>
      </w:r>
      <w:r>
        <w:t xml:space="preserve"> </w:t>
      </w:r>
      <w:r>
        <w:t xml:space="preserve">between public</w:t>
      </w:r>
      <w:r>
        <w:t xml:space="preserve"> </w:t>
      </w:r>
      <w:r>
        <w:t xml:space="preserve">and private</w:t>
      </w:r>
      <w:r>
        <w:t xml:space="preserve"> </w:t>
      </w:r>
      <w:r>
        <w:t xml:space="preserve">securitisations.</w:t>
      </w:r>
    </w:p>
    <w:p>
      <w:pPr>
        <w:pStyle w:val="Compact"/>
        <w:numPr>
          <w:ilvl w:val="0"/>
          <w:numId w:val="1001"/>
        </w:numPr>
      </w:pPr>
      <w:r>
        <w:t xml:space="preserve">(reporting to</w:t>
      </w:r>
      <w:r>
        <w:t xml:space="preserve"> </w:t>
      </w:r>
      <w:r>
        <w:t xml:space="preserve">securitisation</w:t>
      </w:r>
      <w:r>
        <w:t xml:space="preserve"> </w:t>
      </w:r>
      <w:r>
        <w:t xml:space="preserve">repositories)</w:t>
      </w:r>
      <w:r>
        <w:t xml:space="preserve"> </w:t>
      </w:r>
      <w:r>
        <w:t xml:space="preserve">Summary: +</w:t>
      </w:r>
      <w:r>
        <w:t xml:space="preserve"> </w:t>
      </w:r>
      <w:r>
        <w:t xml:space="preserve">+++ (Eliminate</w:t>
      </w:r>
      <w:r>
        <w:t xml:space="preserve"> </w:t>
      </w:r>
      <w:r>
        <w:t xml:space="preserve">the need to</w:t>
      </w:r>
      <w:r>
        <w:t xml:space="preserve"> </w:t>
      </w:r>
      <w:r>
        <w:t xml:space="preserve">comply with</w:t>
      </w:r>
      <w:r>
        <w:t xml:space="preserve"> </w:t>
      </w:r>
      <w:r>
        <w:t xml:space="preserve">SECR due</w:t>
      </w:r>
      <w:r>
        <w:t xml:space="preserve"> </w:t>
      </w:r>
      <w:r>
        <w:t xml:space="preserve">diligence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EU regulated</w:t>
      </w:r>
      <w:r>
        <w:t xml:space="preserve"> </w:t>
      </w:r>
      <w:r>
        <w:t xml:space="preserve">investors)</w:t>
      </w:r>
    </w:p>
    <w:p>
      <w:pPr>
        <w:pStyle w:val="Compact"/>
        <w:numPr>
          <w:ilvl w:val="0"/>
          <w:numId w:val="1001"/>
        </w:numPr>
      </w:pPr>
      <w:r>
        <w:t xml:space="preserve">(less</w:t>
      </w:r>
      <w:r>
        <w:t xml:space="preserve"> </w:t>
      </w:r>
      <w:r>
        <w:t xml:space="preserve">comparable data</w:t>
      </w:r>
      <w:r>
        <w:t xml:space="preserve"> </w:t>
      </w:r>
      <w:r>
        <w:t xml:space="preserve">available for</w:t>
      </w:r>
      <w:r>
        <w:t xml:space="preserve"> </w:t>
      </w:r>
      <w:r>
        <w:t xml:space="preserve">analysing the</w:t>
      </w:r>
      <w:r>
        <w:t xml:space="preserve"> </w:t>
      </w:r>
      <w:r>
        <w:t xml:space="preserve">securitisation</w:t>
      </w:r>
      <w:r>
        <w:t xml:space="preserve"> </w:t>
      </w:r>
      <w:r>
        <w:t xml:space="preserve">market)</w:t>
      </w:r>
    </w:p>
    <w:p>
      <w:pPr>
        <w:pStyle w:val="Compact"/>
        <w:numPr>
          <w:ilvl w:val="0"/>
          <w:numId w:val="1001"/>
        </w:numPr>
      </w:pPr>
      <w:r>
        <w:t xml:space="preserve">(risk of</w:t>
      </w:r>
      <w:r>
        <w:t xml:space="preserve"> </w:t>
      </w:r>
      <w:r>
        <w:t xml:space="preserve">diverging due</w:t>
      </w:r>
      <w:r>
        <w:t xml:space="preserve"> </w:t>
      </w:r>
      <w:r>
        <w:t xml:space="preserve">diligence</w:t>
      </w:r>
      <w:r>
        <w:t xml:space="preserve"> </w:t>
      </w:r>
      <w:r>
        <w:t xml:space="preserve">practices by</w:t>
      </w:r>
      <w:r>
        <w:t xml:space="preserve"> </w:t>
      </w:r>
      <w:r>
        <w:t xml:space="preserve">different types of</w:t>
      </w:r>
      <w:r>
        <w:t xml:space="preserve"> </w:t>
      </w:r>
      <w:r>
        <w:t xml:space="preserve">investors)</w:t>
      </w:r>
      <w:r>
        <w:t xml:space="preserve"> </w:t>
      </w:r>
      <w:r>
        <w:t xml:space="preserve">Summary: 0</w:t>
      </w:r>
    </w:p>
    <w:p>
      <w:pPr>
        <w:pStyle w:val="Compact"/>
        <w:numPr>
          <w:ilvl w:val="0"/>
          <w:numId w:val="1001"/>
        </w:numPr>
      </w:pPr>
      <w:r>
        <w:t xml:space="preserve">(better overview</w:t>
      </w:r>
      <w:r>
        <w:t xml:space="preserve"> </w:t>
      </w:r>
      <w:r>
        <w:t xml:space="preserve">of private</w:t>
      </w:r>
      <w:r>
        <w:t xml:space="preserve"> </w:t>
      </w:r>
      <w:r>
        <w:t xml:space="preserve">securitisations)</w:t>
      </w:r>
    </w:p>
    <w:p>
      <w:pPr>
        <w:pStyle w:val="Compact"/>
        <w:numPr>
          <w:ilvl w:val="0"/>
          <w:numId w:val="1001"/>
        </w:numPr>
      </w:pPr>
      <w:r>
        <w:t xml:space="preserve">(less supervisory</w:t>
      </w:r>
      <w:r>
        <w:t xml:space="preserve"> </w:t>
      </w:r>
      <w:r>
        <w:t xml:space="preserve">resources needed to</w:t>
      </w:r>
      <w:r>
        <w:t xml:space="preserve"> </w:t>
      </w:r>
      <w:r>
        <w:t xml:space="preserve">supervise private</w:t>
      </w:r>
      <w:r>
        <w:t xml:space="preserve"> </w:t>
      </w:r>
      <w:r>
        <w:t xml:space="preserve">securitisations)</w:t>
      </w:r>
    </w:p>
    <w:p>
      <w:pPr>
        <w:pStyle w:val="Compact"/>
        <w:numPr>
          <w:ilvl w:val="0"/>
          <w:numId w:val="1001"/>
        </w:numPr>
      </w:pPr>
      <w:r>
        <w:t xml:space="preserve">(less supervisory</w:t>
      </w:r>
      <w:r>
        <w:t xml:space="preserve"> </w:t>
      </w:r>
      <w:r>
        <w:t xml:space="preserve">data for public</w:t>
      </w:r>
      <w:r>
        <w:t xml:space="preserve"> </w:t>
      </w:r>
      <w:r>
        <w:t xml:space="preserve">securitisations)</w:t>
      </w:r>
    </w:p>
    <w:p>
      <w:pPr>
        <w:pStyle w:val="Compact"/>
        <w:numPr>
          <w:ilvl w:val="0"/>
          <w:numId w:val="1001"/>
        </w:numPr>
      </w:pPr>
      <w:r>
        <w:t xml:space="preserve">(less transparency</w:t>
      </w:r>
      <w:r>
        <w:t xml:space="preserve"> </w:t>
      </w:r>
      <w:r>
        <w:t xml:space="preserve">regarding the</w:t>
      </w:r>
      <w:r>
        <w:t xml:space="preserve"> </w:t>
      </w:r>
      <w:r>
        <w:t xml:space="preserve">disclosures that</w:t>
      </w:r>
      <w:r>
        <w:t xml:space="preserve"> </w:t>
      </w:r>
      <w:r>
        <w:t xml:space="preserve">investors receive)</w:t>
      </w:r>
    </w:p>
    <w:p>
      <w:pPr>
        <w:pStyle w:val="FirstParagraph"/>
      </w:pPr>
      <w:r>
        <w:t xml:space="preserve">Legend:</w:t>
      </w:r>
      <w:r>
        <w:t xml:space="preserve"> </w:t>
      </w:r>
      <w:r>
        <w:t xml:space="preserve">+++ = Very positive</w:t>
      </w:r>
      <w:r>
        <w:br/>
      </w:r>
      <w:r>
        <w:t xml:space="preserve">++ = Positive + = Slightly positive</w:t>
      </w:r>
      <w:r>
        <w:t xml:space="preserve"> </w:t>
      </w:r>
      <w:r>
        <w:t xml:space="preserve">+/- = Mixed effect</w:t>
      </w:r>
    </w:p>
    <w:p>
      <w:pPr>
        <w:pStyle w:val="BodyText"/>
      </w:pPr>
      <w:r>
        <w:t xml:space="preserve">0 = no effect</w:t>
      </w:r>
      <w:r>
        <w:br/>
      </w:r>
      <w:r>
        <w:t xml:space="preserve">- = Slightly negative</w:t>
      </w:r>
      <w:r>
        <w:t xml:space="preserve"> </w:t>
      </w:r>
      <w:r>
        <w:t xml:space="preserve">– = Negative</w:t>
      </w:r>
    </w:p>
    <w:p>
      <w:pPr>
        <w:pStyle w:val="BodyText"/>
      </w:pPr>
      <w:r>
        <w:t xml:space="preserve">— = very negative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Note: the summary provided in the table on ‘impacts on stakeholder groups’ is a net result of the pluses</w:t>
      </w:r>
      <w:r>
        <w:t xml:space="preserve"> </w:t>
      </w:r>
      <w:r>
        <w:t xml:space="preserve">and minuses in each cell.</w:t>
      </w:r>
      <w:r>
        <w:t xml:space="preserve"> </w:t>
      </w:r>
      <w:r>
        <w:t xml:space="preserve">6.2. Measures to reduce undue prudential barriers for banks</w:t>
      </w:r>
      <w:r>
        <w:t xml:space="preserve"> </w:t>
      </w:r>
      <w:r>
        <w:t xml:space="preserve">6.2.1. Option 2.1: Targeted changes to the existing prudential (capital and liquidity)</w:t>
      </w:r>
      <w:r>
        <w:t xml:space="preserve"> </w:t>
      </w:r>
      <w:r>
        <w:t xml:space="preserve">framework for banks</w:t>
      </w:r>
      <w:r>
        <w:t xml:space="preserve"> </w:t>
      </w:r>
      <w:r>
        <w:t xml:space="preserve">High level description of the securitisation capital framework in the CRR</w:t>
      </w:r>
      <w:r>
        <w:t xml:space="preserve"> </w:t>
      </w:r>
      <w:r>
        <w:t xml:space="preserve">The current prudential securitisation framework for banks (set out in the CRR, which</w:t>
      </w:r>
      <w:r>
        <w:t xml:space="preserve"> </w:t>
      </w:r>
      <w:r>
        <w:t xml:space="preserve">implements the Basel III securitisation framework), has significantly increased capital</w:t>
      </w:r>
      <w:r>
        <w:t xml:space="preserve"> </w:t>
      </w:r>
      <w:r>
        <w:t xml:space="preserve">requirements for banks’ securitisation exposures compared to the previous regime: as a</w:t>
      </w:r>
      <w:r>
        <w:t xml:space="preserve"> </w:t>
      </w:r>
      <w:r>
        <w:t xml:space="preserve">measure of prudence a considerable level of overcapitalisation (or the so-called ‘non-</w:t>
      </w:r>
      <w:r>
        <w:t xml:space="preserve"> </w:t>
      </w:r>
      <w:r>
        <w:t xml:space="preserve">neutrality’) was introduced, to address the agency and model risks inherent to securitisation</w:t>
      </w:r>
      <w:r>
        <w:t xml:space="preserve"> </w:t>
      </w:r>
      <w:r>
        <w:t xml:space="preserve">transactions. ‘Non-neutrality’ of capital requirements means that holding all the</w:t>
      </w:r>
      <w:r>
        <w:t xml:space="preserve"> </w:t>
      </w:r>
      <w:r>
        <w:t xml:space="preserve">securitisation tranches in a securitisation is subject to a higher capital charge than in a</w:t>
      </w:r>
      <w:r>
        <w:t xml:space="preserve"> </w:t>
      </w:r>
      <w:r>
        <w:t xml:space="preserve">counterfactual where the bank has a direct holding of all the underlying non-securitised</w:t>
      </w:r>
      <w:r>
        <w:t xml:space="preserve"> </w:t>
      </w:r>
      <w:r>
        <w:t xml:space="preserve">assets.60</w:t>
      </w:r>
      <w:r>
        <w:br/>
      </w:r>
      <w:r>
        <w:t xml:space="preserve">More specifically, there are two correction factors in the CRR capital framework that</w:t>
      </w:r>
      <w:r>
        <w:t xml:space="preserve"> </w:t>
      </w:r>
      <w:r>
        <w:t xml:space="preserve">safeguard and ensure the capital ‘non-neutrality’, of the framework: (i) a risk weight floor</w:t>
      </w:r>
      <w:r>
        <w:t xml:space="preserve"> </w:t>
      </w:r>
      <w:r>
        <w:t xml:space="preserve">for exposures to the senior tranche – which defines an absolute minimum risk weight for</w:t>
      </w:r>
      <w:r>
        <w:t xml:space="preserve"> </w:t>
      </w:r>
      <w:r>
        <w:t xml:space="preserve">banks’ exposures to the senior tranche of securitisation – i.e. even if the calculation of capital</w:t>
      </w:r>
      <w:r>
        <w:t xml:space="preserve"> </w:t>
      </w:r>
      <w:r>
        <w:t xml:space="preserve">requirements for that tranche results in lower risk weights, the risk weight floor needs to be</w:t>
      </w:r>
      <w:r>
        <w:t xml:space="preserve"> </w:t>
      </w:r>
      <w:r>
        <w:t xml:space="preserve">applied to prevent excessively low resulting risk weights; and (ii) a (p) factor (‘penalty</w:t>
      </w:r>
      <w:r>
        <w:t xml:space="preserve"> </w:t>
      </w:r>
      <w:r>
        <w:t xml:space="preserve">factor’) which defines the relative capital surcharge for all securitisation exposures,</w:t>
      </w:r>
      <w:r>
        <w:t xml:space="preserve"> </w:t>
      </w:r>
      <w:r>
        <w:t xml:space="preserve">compared to the capital requirement for the underlying pool of exposures. In terms of impact</w:t>
      </w:r>
      <w:r>
        <w:t xml:space="preserve"> </w:t>
      </w:r>
      <w:r>
        <w:t xml:space="preserve">on individual tranches, the risk weight floor to senior tranches influences the capital</w:t>
      </w:r>
      <w:r>
        <w:t xml:space="preserve"> </w:t>
      </w:r>
      <w:r>
        <w:t xml:space="preserve">requirement for senior tranches only, while the (p) factor influences the capital requirements</w:t>
      </w:r>
      <w:r>
        <w:t xml:space="preserve"> </w:t>
      </w:r>
      <w:r>
        <w:t xml:space="preserve">for all tranches, not just the senior one. Each bank needs to reflect the risk weight floor and</w:t>
      </w:r>
      <w:r>
        <w:t xml:space="preserve"> </w:t>
      </w:r>
      <w:r>
        <w:t xml:space="preserve">the (p) factor in the calculation of the minimum capital requirement that applies to their</w:t>
      </w:r>
      <w:r>
        <w:t xml:space="preserve"> </w:t>
      </w:r>
      <w:r>
        <w:t xml:space="preserve">securitisation exposures.</w:t>
      </w:r>
      <w:r>
        <w:t xml:space="preserve"> </w:t>
      </w:r>
      <w:r>
        <w:t xml:space="preserve">Another important element of the securitisation capital framework is the Significant Risk</w:t>
      </w:r>
      <w:r>
        <w:t xml:space="preserve"> </w:t>
      </w:r>
      <w:r>
        <w:t xml:space="preserve">Transfer (SRT) framework, which set out tests and rules that supervisors need to follow,</w:t>
      </w:r>
      <w:r>
        <w:t xml:space="preserve"> </w:t>
      </w:r>
      <w:r>
        <w:t xml:space="preserve">when assessing whether the bank has transferred a sufficient amount of risk through a</w:t>
      </w:r>
      <w:r>
        <w:t xml:space="preserve"> </w:t>
      </w:r>
      <w:r>
        <w:t xml:space="preserve">specific securitisation to external investors, and whether as a consequence, it achieves the</w:t>
      </w:r>
      <w:r>
        <w:t xml:space="preserve"> </w:t>
      </w:r>
      <w:r>
        <w:t xml:space="preserve">capital relief (i.e. it is allowed to reduce the capital it has to hold, after securitisation).</w:t>
      </w:r>
      <w:r>
        <w:t xml:space="preserve"> </w:t>
      </w:r>
      <w:r>
        <w:t xml:space="preserve">Option 2.1 entails targeted amendments towards a more risk-sensitive design of banks’ capital</w:t>
      </w:r>
      <w:r>
        <w:t xml:space="preserve"> </w:t>
      </w:r>
      <w:r>
        <w:t xml:space="preserve">and liquidity requirements, in the CRR and in the LCR Delegated Act, where undue</w:t>
      </w:r>
      <w:r>
        <w:t xml:space="preserve"> </w:t>
      </w:r>
      <w:r>
        <w:t xml:space="preserve">requirements would be limited.</w:t>
      </w:r>
    </w:p>
    <w:p>
      <w:pPr>
        <w:pStyle w:val="BodyText"/>
      </w:pPr>
      <w:r>
        <w:t xml:space="preserve">60 Only by transferring a sufficient amount of risk (by selling tranches to an external investor or obtaining a credit</w:t>
      </w:r>
      <w:r>
        <w:t xml:space="preserve"> </w:t>
      </w:r>
      <w:r>
        <w:t xml:space="preserve">protection for certain tranches) can an originator bank achieve capital requirements which are the same or lower</w:t>
      </w:r>
      <w:r>
        <w:t xml:space="preserve"> </w:t>
      </w:r>
      <w:r>
        <w:t xml:space="preserve">than those previously held against the underlying assets.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The targeted changes to the CRR aim to achieve the following objectives: (i) introduce more</w:t>
      </w:r>
      <w:r>
        <w:t xml:space="preserve"> </w:t>
      </w:r>
      <w:r>
        <w:t xml:space="preserve">risk sensitivity into the framework, while supporting financial stability; (ii) reduce unjustified</w:t>
      </w:r>
      <w:r>
        <w:t xml:space="preserve"> </w:t>
      </w:r>
      <w:r>
        <w:t xml:space="preserve">levels of conservatism and capital non-neutrality; (iii) mitigate undue discrepancies between</w:t>
      </w:r>
      <w:r>
        <w:t xml:space="preserve"> </w:t>
      </w:r>
      <w:r>
        <w:t xml:space="preserve">the standardised and internal rating-based approaches for the calculation of capital</w:t>
      </w:r>
      <w:r>
        <w:t xml:space="preserve"> </w:t>
      </w:r>
      <w:r>
        <w:t xml:space="preserve">requirements for securitisation, which should also encourage greater participation of medium-</w:t>
      </w:r>
      <w:r>
        <w:t xml:space="preserve"> </w:t>
      </w:r>
      <w:r>
        <w:t xml:space="preserve">sized banks; (iv) differentiate the prudential treatment for originators/sponsors of</w:t>
      </w:r>
      <w:r>
        <w:t xml:space="preserve"> </w:t>
      </w:r>
      <w:r>
        <w:t xml:space="preserve">securitisations and investors; and (v) make the significant risk transfer framework more robust</w:t>
      </w:r>
      <w:r>
        <w:t xml:space="preserve"> </w:t>
      </w:r>
      <w:r>
        <w:t xml:space="preserve">and predictable. This is achieved through targeted changes to the securitisation capital</w:t>
      </w:r>
      <w:r>
        <w:t xml:space="preserve"> </w:t>
      </w:r>
      <w:r>
        <w:t xml:space="preserve">framework, and to the significant risk framework, in the CRR. The targeted changes to the</w:t>
      </w:r>
      <w:r>
        <w:t xml:space="preserve"> </w:t>
      </w:r>
      <w:r>
        <w:t xml:space="preserve">securitisation capital framework are focused on the above mentioned two elements that have</w:t>
      </w:r>
      <w:r>
        <w:t xml:space="preserve"> </w:t>
      </w:r>
      <w:r>
        <w:t xml:space="preserve">the most significant and direct impact on the capital requirements: the risk weight floor for the</w:t>
      </w:r>
      <w:r>
        <w:t xml:space="preserve"> </w:t>
      </w:r>
      <w:r>
        <w:t xml:space="preserve">senior tranches and the (p) factor.</w:t>
      </w:r>
      <w:r>
        <w:br/>
      </w:r>
      <w:r>
        <w:t xml:space="preserve">The proposed changes (and capital reductions in percentage changes) are targeted on (i) the</w:t>
      </w:r>
      <w:r>
        <w:t xml:space="preserve"> </w:t>
      </w:r>
      <w:r>
        <w:t xml:space="preserve">senior tranches, where the exposures of banks are concentrated and where there is space to</w:t>
      </w:r>
      <w:r>
        <w:t xml:space="preserve"> </w:t>
      </w:r>
      <w:r>
        <w:t xml:space="preserve">reduce the excessive conservativeness (the focus is less on the riskier junior and mezzanine</w:t>
      </w:r>
      <w:r>
        <w:t xml:space="preserve"> </w:t>
      </w:r>
      <w:r>
        <w:t xml:space="preserve">tranches); (ii) on originator positions where agency and model risks are reduced (rather than</w:t>
      </w:r>
      <w:r>
        <w:t xml:space="preserve"> </w:t>
      </w:r>
      <w:r>
        <w:t xml:space="preserve">investor positions); (iii) on STS securitisations where the STS requirements largely mitigated</w:t>
      </w:r>
      <w:r>
        <w:t xml:space="preserve"> </w:t>
      </w:r>
      <w:r>
        <w:t xml:space="preserve">the agency and model risks (rather than non-STS securitisations). This focus behind the</w:t>
      </w:r>
      <w:r>
        <w:t xml:space="preserve"> </w:t>
      </w:r>
      <w:r>
        <w:t xml:space="preserve">changes (i.e. away from banks investing in non-STS or away from relaxing the prudential</w:t>
      </w:r>
      <w:r>
        <w:t xml:space="preserve"> </w:t>
      </w:r>
      <w:r>
        <w:t xml:space="preserve">treatment for the more risky tranches) is also consistent and in line with the objective to transfer</w:t>
      </w:r>
      <w:r>
        <w:t xml:space="preserve"> </w:t>
      </w:r>
      <w:r>
        <w:t xml:space="preserve">the risk outside of the banking system towards those that may be better placed to bear those</w:t>
      </w:r>
      <w:r>
        <w:t xml:space="preserve"> </w:t>
      </w:r>
      <w:r>
        <w:t xml:space="preserve">risks.</w:t>
      </w:r>
      <w:r>
        <w:br/>
      </w:r>
      <w:r>
        <w:t xml:space="preserve">With respect to the risk weight floors for senior tranches, the current framework is not risk-</w:t>
      </w:r>
      <w:r>
        <w:t xml:space="preserve"> </w:t>
      </w:r>
      <w:r>
        <w:t xml:space="preserve">sensitive, as it allows only for two risk weight floors for senior tranches (a 10% risk weight</w:t>
      </w:r>
      <w:r>
        <w:t xml:space="preserve"> </w:t>
      </w:r>
      <w:r>
        <w:t xml:space="preserve">floor for STS transactions, and a 15% risk weight floor for non-STS transactions). Under this</w:t>
      </w:r>
      <w:r>
        <w:t xml:space="preserve"> </w:t>
      </w:r>
      <w:r>
        <w:t xml:space="preserve">option, the risk weight floors are made risk sensitive: they are made proportional to the</w:t>
      </w:r>
      <w:r>
        <w:t xml:space="preserve"> </w:t>
      </w:r>
      <w:r>
        <w:t xml:space="preserve">riskiness of the underlying securitised portfolio. A lower risk weight floor is calculated for</w:t>
      </w:r>
      <w:r>
        <w:t xml:space="preserve"> </w:t>
      </w:r>
      <w:r>
        <w:t xml:space="preserve">securitisations of assets that are deemed less risky (i.e. that have relatively low risk weights),</w:t>
      </w:r>
      <w:r>
        <w:t xml:space="preserve"> </w:t>
      </w:r>
      <w:r>
        <w:t xml:space="preserve">such as residential mortgages or SME and corporate exposures, in comparison to securitisations</w:t>
      </w:r>
      <w:r>
        <w:t xml:space="preserve"> </w:t>
      </w:r>
      <w:r>
        <w:t xml:space="preserve">of riskier assets. To prevent excessive reductions, the risk weight floors calculated under this</w:t>
      </w:r>
      <w:r>
        <w:t xml:space="preserve"> </w:t>
      </w:r>
      <w:r>
        <w:t xml:space="preserve">risk-sensitive formula will be subject to pre-defined minimum levels.</w:t>
      </w:r>
      <w:r>
        <w:t xml:space="preserve"> </w:t>
      </w:r>
      <w:r>
        <w:t xml:space="preserve">Moreover, building on the proposals in the 2022 Joint Committee Report, the concept of</w:t>
      </w:r>
      <w:r>
        <w:t xml:space="preserve"> </w:t>
      </w:r>
      <w:r>
        <w:t xml:space="preserve">‘resilient securitisations’ is introduced: securitisations which feature reduced agency and model</w:t>
      </w:r>
      <w:r>
        <w:t xml:space="preserve"> </w:t>
      </w:r>
      <w:r>
        <w:t xml:space="preserve">risk, and which comply with a set of safeguards61 that ensure the resilience of the transactions</w:t>
      </w:r>
      <w:r>
        <w:t xml:space="preserve"> </w:t>
      </w:r>
      <w:r>
        <w:t xml:space="preserve">and the protection of the senior tranche. These transactions would benefit from a lower risk</w:t>
      </w:r>
      <w:r>
        <w:t xml:space="preserve"> </w:t>
      </w:r>
      <w:r>
        <w:t xml:space="preserve">weight floor and lower (p) factor for the senior tranche, compared to non-resilient transactions.</w:t>
      </w:r>
      <w:r>
        <w:t xml:space="preserve"> </w:t>
      </w:r>
      <w:r>
        <w:t xml:space="preserve">The resilient transactions safeguards are adjusted compared to the 2022 Report, to capture a</w:t>
      </w:r>
      <w:r>
        <w:t xml:space="preserve"> </w:t>
      </w:r>
      <w:r>
        <w:t xml:space="preserve">larger part of the securitisation market, while still ensuring prudent results.</w:t>
      </w:r>
    </w:p>
    <w:p>
      <w:pPr>
        <w:pStyle w:val="BodyText"/>
      </w:pPr>
      <w:r>
        <w:t xml:space="preserve">61 The safeguards are: (i) minimum thickness of first loss/mezzanine tranche that protects the</w:t>
      </w:r>
      <w:r>
        <w:t xml:space="preserve"> </w:t>
      </w:r>
      <w:r>
        <w:t xml:space="preserve">senior tranche from losses, (ii) minimum granularity of asset pool, (iii) sequential amortisation,</w:t>
      </w:r>
      <w:r>
        <w:t xml:space="preserve"> </w:t>
      </w:r>
      <w:r>
        <w:t xml:space="preserve">and (iv) funded credit protection (in case of synthetic securitisations only). With the exception</w:t>
      </w:r>
      <w:r>
        <w:t xml:space="preserve"> </w:t>
      </w:r>
      <w:r>
        <w:t xml:space="preserve">of the first one, the safeguards are existing criteria for STS purposes (i.e. defined in the</w:t>
      </w:r>
      <w:r>
        <w:t xml:space="preserve"> </w:t>
      </w:r>
      <w:r>
        <w:t xml:space="preserve">Securitisation Regulation or in the Article 243 of the CRR).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With respect to the (p) factor, under the standardised approach (SEC-SA), targeted changes are</w:t>
      </w:r>
      <w:r>
        <w:t xml:space="preserve"> </w:t>
      </w:r>
      <w:r>
        <w:t xml:space="preserve">introduced to the (p) factor to address an excessively punitive capital treatment, for senior</w:t>
      </w:r>
      <w:r>
        <w:t xml:space="preserve"> </w:t>
      </w:r>
      <w:r>
        <w:t xml:space="preserve">tranches. Under the internal rating-based approach (SEC-IRBA), formula-outcome scaling</w:t>
      </w:r>
      <w:r>
        <w:t xml:space="preserve"> </w:t>
      </w:r>
      <w:r>
        <w:t xml:space="preserve">factors and floors to the (p) factor are lowered and caps are introduced, in particular for senior</w:t>
      </w:r>
      <w:r>
        <w:t xml:space="preserve"> </w:t>
      </w:r>
      <w:r>
        <w:t xml:space="preserve">tranches.</w:t>
      </w:r>
      <w:r>
        <w:br/>
      </w:r>
      <w:r>
        <w:t xml:space="preserve">As regards the significant risk framework, the proposed changes aim to make the framework</w:t>
      </w:r>
      <w:r>
        <w:t xml:space="preserve"> </w:t>
      </w:r>
      <w:r>
        <w:t xml:space="preserve">more robust by replacing the current prescriptive tests for assessing the amount of risk</w:t>
      </w:r>
      <w:r>
        <w:t xml:space="preserve"> </w:t>
      </w:r>
      <w:r>
        <w:t xml:space="preserve">transferred in securitisation, which is a precondition for the bank to benefit from the capital</w:t>
      </w:r>
      <w:r>
        <w:t xml:space="preserve"> </w:t>
      </w:r>
      <w:r>
        <w:t xml:space="preserve">relief through securitisation, by the Principle Based Approach (PBA) test, as proposed by EBA</w:t>
      </w:r>
      <w:r>
        <w:t xml:space="preserve"> </w:t>
      </w:r>
      <w:r>
        <w:t xml:space="preserve">in 2020. The PBA test addresses the limitations of the current tests which fail to ensure the</w:t>
      </w:r>
      <w:r>
        <w:t xml:space="preserve"> </w:t>
      </w:r>
      <w:r>
        <w:t xml:space="preserve">transfer of risk to third parties in some cases, and specifically aims at the transfer of the</w:t>
      </w:r>
      <w:r>
        <w:t xml:space="preserve"> </w:t>
      </w:r>
      <w:r>
        <w:t xml:space="preserve">unexpected losses of the securitised portfolio. Supervisors would maintain the flexibility to</w:t>
      </w:r>
      <w:r>
        <w:t xml:space="preserve"> </w:t>
      </w:r>
      <w:r>
        <w:t xml:space="preserve">adapt supervisory assessments of transactions with complex features. The main elements of the</w:t>
      </w:r>
      <w:r>
        <w:t xml:space="preserve"> </w:t>
      </w:r>
      <w:r>
        <w:t xml:space="preserve">SRT assessment and the broad design of the test would be defined in the CRR. EBA would be</w:t>
      </w:r>
      <w:r>
        <w:t xml:space="preserve"> </w:t>
      </w:r>
      <w:r>
        <w:t xml:space="preserve">mandated to deliver technical standards which would operationalise the technical details of the</w:t>
      </w:r>
      <w:r>
        <w:t xml:space="preserve"> </w:t>
      </w:r>
      <w:r>
        <w:t xml:space="preserve">test and would set high level principles for the supervisory process, including for a fast-track</w:t>
      </w:r>
      <w:r>
        <w:t xml:space="preserve"> </w:t>
      </w:r>
      <w:r>
        <w:t xml:space="preserve">process for simpler transactions.</w:t>
      </w:r>
      <w:r>
        <w:br/>
      </w:r>
      <w:r>
        <w:t xml:space="preserve">Before proceeding to analysis of impacts, it should also be clarified that the impact of the</w:t>
      </w:r>
      <w:r>
        <w:t xml:space="preserve"> </w:t>
      </w:r>
      <w:r>
        <w:t xml:space="preserve">proposed changes to the capital and liquidity for securitisation for banks on their issuance and</w:t>
      </w:r>
      <w:r>
        <w:t xml:space="preserve"> </w:t>
      </w:r>
      <w:r>
        <w:t xml:space="preserve">investment behaviour differs based on the type of securitisation transaction (i.e. whether it</w:t>
      </w:r>
      <w:r>
        <w:t xml:space="preserve"> </w:t>
      </w:r>
      <w:r>
        <w:t xml:space="preserve">concerns traditional or synthetic securitisation) and the role of the bank in the securitisation</w:t>
      </w:r>
      <w:r>
        <w:t xml:space="preserve"> </w:t>
      </w:r>
      <w:r>
        <w:t xml:space="preserve">transaction (i.e. whether the bank originates the transaction or invests in it). These</w:t>
      </w:r>
      <w:r>
        <w:t xml:space="preserve"> </w:t>
      </w:r>
      <w:r>
        <w:t xml:space="preserve">particularities have been taken into account when designing the measures under each option</w:t>
      </w:r>
      <w:r>
        <w:t xml:space="preserve"> </w:t>
      </w:r>
      <w:r>
        <w:t xml:space="preserve">and when assessing their impact on the securitisation market.</w:t>
      </w:r>
      <w:r>
        <w:br/>
      </w:r>
      <w:r>
        <w:t xml:space="preserve">The main objective of synthetic securitisation is capital and credit risk management, as banks</w:t>
      </w:r>
      <w:r>
        <w:t xml:space="preserve"> </w:t>
      </w:r>
      <w:r>
        <w:t xml:space="preserve">sell and transfer out risk and achieve SRT to achieve capital relief. The originator bank</w:t>
      </w:r>
      <w:r>
        <w:t xml:space="preserve"> </w:t>
      </w:r>
      <w:r>
        <w:t xml:space="preserve">normally retains the senior tranche and sells the mezzanine tranche which contains higher risk,</w:t>
      </w:r>
      <w:r>
        <w:t xml:space="preserve"> </w:t>
      </w:r>
      <w:r>
        <w:t xml:space="preserve">to achieve SRT. Banks are not investing in synthetic securitisations. Securitisation prudential</w:t>
      </w:r>
      <w:r>
        <w:t xml:space="preserve"> </w:t>
      </w:r>
      <w:r>
        <w:t xml:space="preserve">rules have therefore direct impact on synthetic securitisations.</w:t>
      </w:r>
      <w:r>
        <w:br/>
      </w:r>
      <w:r>
        <w:t xml:space="preserve">On the other hand, traditional securitisations are issued mostly for funding purposes i.e. to get</w:t>
      </w:r>
      <w:r>
        <w:t xml:space="preserve"> </w:t>
      </w:r>
      <w:r>
        <w:t xml:space="preserve">access to cash/funds. This is achieved by selling senior tranches (hence, contrary to synthetic</w:t>
      </w:r>
      <w:r>
        <w:t xml:space="preserve"> </w:t>
      </w:r>
      <w:r>
        <w:t xml:space="preserve">transactions, here the senior tranche is sold and is no longer capitalised).62 Banks are important</w:t>
      </w:r>
      <w:r>
        <w:t xml:space="preserve"> </w:t>
      </w:r>
      <w:r>
        <w:t xml:space="preserve">investors in the senior tranches of traditional securitisations, as the latter are eligible for their</w:t>
      </w:r>
      <w:r>
        <w:t xml:space="preserve"> </w:t>
      </w:r>
      <w:r>
        <w:t xml:space="preserve">LCR liquidity buffers. Overall, in the case of traditional securitisations, the securitisation</w:t>
      </w:r>
      <w:r>
        <w:t xml:space="preserve"> </w:t>
      </w:r>
      <w:r>
        <w:t xml:space="preserve">prudential rules mostly impact banks that invest in the senior tranches. The treatment of these</w:t>
      </w:r>
    </w:p>
    <w:p>
      <w:pPr>
        <w:pStyle w:val="BodyText"/>
      </w:pPr>
      <w:r>
        <w:t xml:space="preserve">62 A specific type of traditional securitisations (currently representing a majority of traditional securitisations in</w:t>
      </w:r>
      <w:r>
        <w:t xml:space="preserve"> </w:t>
      </w:r>
      <w:r>
        <w:t xml:space="preserve">the market) are transactions where the bank does not sell but retains the senior tranche and uses is as collateral to</w:t>
      </w:r>
      <w:r>
        <w:t xml:space="preserve"> </w:t>
      </w:r>
      <w:r>
        <w:t xml:space="preserve">access central bank funding (these transactions do not meet SRT rules and the securitisation prudential framework</w:t>
      </w:r>
      <w:r>
        <w:t xml:space="preserve"> </w:t>
      </w:r>
      <w:r>
        <w:t xml:space="preserve">is not relevant because the originator bank has to continue to apply the credit risk framework for calculating capital</w:t>
      </w:r>
      <w:r>
        <w:t xml:space="preserve"> </w:t>
      </w:r>
      <w:r>
        <w:t xml:space="preserve">for the whole underlying portfolio).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securitisations under the LCR is considered to be the more important driver for banks’</w:t>
      </w:r>
      <w:r>
        <w:t xml:space="preserve"> </w:t>
      </w:r>
      <w:r>
        <w:t xml:space="preserve">investments in these securitisations.</w:t>
      </w:r>
      <w:r>
        <w:t xml:space="preserve"> </w:t>
      </w:r>
      <w:r>
        <w:t xml:space="preserve">The securitisation rules in the CRR apply to bank originators (i.e. to the exposures they retain</w:t>
      </w:r>
      <w:r>
        <w:t xml:space="preserve"> </w:t>
      </w:r>
      <w:r>
        <w:t xml:space="preserve">in the securitisation they have originated – subject to the condition that significant risk transfer</w:t>
      </w:r>
      <w:r>
        <w:t xml:space="preserve"> </w:t>
      </w:r>
      <w:r>
        <w:t xml:space="preserve">is achieved), bank sponsors (i.e. to tranches they sponsor) as well as to bank investors (i.e. to</w:t>
      </w:r>
      <w:r>
        <w:t xml:space="preserve"> </w:t>
      </w:r>
      <w:r>
        <w:t xml:space="preserve">the tranches they have bought).</w:t>
      </w:r>
      <w:r>
        <w:br/>
      </w:r>
      <w:r>
        <w:t xml:space="preserve">6.2.1.1. Benefits</w:t>
      </w:r>
      <w:r>
        <w:t xml:space="preserve"> </w:t>
      </w:r>
      <w:r>
        <w:t xml:space="preserve">Option 2.1 would make the capital requirements for banks’ securitisation exposures more risk-</w:t>
      </w:r>
      <w:r>
        <w:t xml:space="preserve"> </w:t>
      </w:r>
      <w:r>
        <w:t xml:space="preserve">sensitive by reducing the amount of capital that banks are required to hold for securitisations</w:t>
      </w:r>
      <w:r>
        <w:t xml:space="preserve"> </w:t>
      </w:r>
      <w:r>
        <w:t xml:space="preserve">where key risks driving the securitisation capital needs, such as agency and model risks, have</w:t>
      </w:r>
      <w:r>
        <w:t xml:space="preserve"> </w:t>
      </w:r>
      <w:r>
        <w:t xml:space="preserve">been mitigated. These risks are lower, for example, from the perspective of an originator (who</w:t>
      </w:r>
      <w:r>
        <w:t xml:space="preserve"> </w:t>
      </w:r>
      <w:r>
        <w:t xml:space="preserve">has more detailed knowledge and control over the underlying exposures and the securitisation</w:t>
      </w:r>
      <w:r>
        <w:t xml:space="preserve"> </w:t>
      </w:r>
      <w:r>
        <w:t xml:space="preserve">origination process than an investor), or in case of STS transactions (because STS criteria</w:t>
      </w:r>
      <w:r>
        <w:t xml:space="preserve"> </w:t>
      </w:r>
      <w:r>
        <w:t xml:space="preserve">largely mitigate the agency and model risks).</w:t>
      </w:r>
      <w:r>
        <w:br/>
      </w:r>
      <w:r>
        <w:t xml:space="preserve">Revising the capital framework in a risk-sensitive manner is expected to reduce excessive</w:t>
      </w:r>
      <w:r>
        <w:t xml:space="preserve"> </w:t>
      </w:r>
      <w:r>
        <w:t xml:space="preserve">overcapitalisation by better aligning the capital treatment with the underlying risks. Targeted</w:t>
      </w:r>
      <w:r>
        <w:t xml:space="preserve"> </w:t>
      </w:r>
      <w:r>
        <w:t xml:space="preserve">revisions would also mitigate undue discrepancies in the capital requirements for different</w:t>
      </w:r>
      <w:r>
        <w:t xml:space="preserve"> </w:t>
      </w:r>
      <w:r>
        <w:t xml:space="preserve">banks using different approaches for the calculation of their securitisation capital requirements</w:t>
      </w:r>
      <w:r>
        <w:t xml:space="preserve"> </w:t>
      </w:r>
      <w:r>
        <w:t xml:space="preserve">(concretely, more coherence would be introduced between more sophisticated internal</w:t>
      </w:r>
      <w:r>
        <w:t xml:space="preserve"> </w:t>
      </w:r>
      <w:r>
        <w:t xml:space="preserve">approaches and less sophisticated standardised approaches).</w:t>
      </w:r>
      <w:r>
        <w:t xml:space="preserve"> </w:t>
      </w:r>
      <w:r>
        <w:t xml:space="preserve">The proposed revisions are expected to have a positive impact on market developments, as</w:t>
      </w:r>
      <w:r>
        <w:t xml:space="preserve"> </w:t>
      </w:r>
      <w:r>
        <w:t xml:space="preserve">follows:</w:t>
      </w:r>
      <w:r>
        <w:br/>
      </w:r>
      <w:r>
        <w:t xml:space="preserve"> They should lead to an increase in issuance by banks of securitisations which achieve SRT,</w:t>
      </w:r>
      <w:r>
        <w:t xml:space="preserve"> </w:t>
      </w:r>
      <w:r>
        <w:t xml:space="preserve">as a more favourable prudential treatment is expected to increase the attractiveness of</w:t>
      </w:r>
      <w:r>
        <w:t xml:space="preserve"> </w:t>
      </w:r>
      <w:r>
        <w:t xml:space="preserve">securitisation as a tool for risk sharing purposes. The changes should affect mostly synthetic</w:t>
      </w:r>
      <w:r>
        <w:t xml:space="preserve"> </w:t>
      </w:r>
      <w:r>
        <w:t xml:space="preserve">securitisations (which are primarily structured for SRT purposes), but it should also</w:t>
      </w:r>
      <w:r>
        <w:t xml:space="preserve"> </w:t>
      </w:r>
      <w:r>
        <w:t xml:space="preserve">encourage issuance of traditional securitisations which are done for SRT purposes and</w:t>
      </w:r>
      <w:r>
        <w:t xml:space="preserve"> </w:t>
      </w:r>
      <w:r>
        <w:t xml:space="preserve">where senior tranches are sold to the market.</w:t>
      </w:r>
      <w:r>
        <w:t xml:space="preserve"> </w:t>
      </w:r>
      <w:r>
        <w:t xml:space="preserve"> More banks could decide to issue, notably less sophisticated banks using the standardised</w:t>
      </w:r>
      <w:r>
        <w:t xml:space="preserve"> </w:t>
      </w:r>
      <w:r>
        <w:t xml:space="preserve">approach might have better incentives to enter the market as issuers. In 2024, over 70 banks</w:t>
      </w:r>
      <w:r>
        <w:t xml:space="preserve"> </w:t>
      </w:r>
      <w:r>
        <w:t xml:space="preserve">issued securitisation that achieved SRT; this number is expected to increase.</w:t>
      </w:r>
      <w:r>
        <w:br/>
      </w:r>
      <w:r>
        <w:t xml:space="preserve"> The measures should also positively impact banks’ investments in senior tranches of STS</w:t>
      </w:r>
      <w:r>
        <w:t xml:space="preserve"> </w:t>
      </w:r>
      <w:r>
        <w:t xml:space="preserve">traditional securitisations (acknowledging that the liquidity treatment of these</w:t>
      </w:r>
      <w:r>
        <w:t xml:space="preserve"> </w:t>
      </w:r>
      <w:r>
        <w:t xml:space="preserve">securitisations in the LCR has a more pronounced effect on the attractiveness of the banks</w:t>
      </w:r>
      <w:r>
        <w:t xml:space="preserve"> </w:t>
      </w:r>
      <w:r>
        <w:t xml:space="preserve">to invest in these securitisation). Currently, in the primary market, according to market</w:t>
      </w:r>
      <w:r>
        <w:t xml:space="preserve"> </w:t>
      </w:r>
      <w:r>
        <w:t xml:space="preserve">estimates, the oversubscription for senior tranches has been on average 1.5/1.7 of investor</w:t>
      </w:r>
      <w:r>
        <w:t xml:space="preserve"> </w:t>
      </w:r>
      <w:r>
        <w:t xml:space="preserve">per senior tranche on average in 2024; this number is expected to increase.</w:t>
      </w:r>
      <w:r>
        <w:br/>
      </w:r>
      <w:r>
        <w:t xml:space="preserve">While the reduction of the capital requirements for individual securitisation transactions is</w:t>
      </w:r>
      <w:r>
        <w:t xml:space="preserve"> </w:t>
      </w:r>
      <w:r>
        <w:t xml:space="preserve">expected to be potentially significant, the overall impact on the capital of banks would be quite</w:t>
      </w:r>
      <w:r>
        <w:t xml:space="preserve"> </w:t>
      </w:r>
      <w:r>
        <w:t xml:space="preserve">limited, because of the very small weight of securitisation exposures in their total exposures.</w:t>
      </w:r>
      <w:r>
        <w:t xml:space="preserve"> </w:t>
      </w:r>
      <w:r>
        <w:t xml:space="preserve">Indeed, the risk-weighted assets corresponding to banks’ securitisation positions currently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represents only 1.5% of the banks’ total risk-weighted assets (according to EBA, as of</w:t>
      </w:r>
      <w:r>
        <w:t xml:space="preserve"> </w:t>
      </w:r>
      <w:r>
        <w:t xml:space="preserve">December 2024).</w:t>
      </w:r>
      <w:r>
        <w:br/>
      </w:r>
      <w:r>
        <w:t xml:space="preserve">As regards the use of traditional securitisation for funding purposes, the total outstanding</w:t>
      </w:r>
      <w:r>
        <w:t xml:space="preserve"> </w:t>
      </w:r>
      <w:r>
        <w:t xml:space="preserve">securitisation funding represented 0.4% of EU banks’ total balance sheet as of December 2023</w:t>
      </w:r>
      <w:r>
        <w:t xml:space="preserve"> </w:t>
      </w:r>
      <w:r>
        <w:t xml:space="preserve">(compared to 63.1% of funding coming from deposits and 5.4% coming from covered bonds,</w:t>
      </w:r>
      <w:r>
        <w:t xml:space="preserve"> </w:t>
      </w:r>
      <w:r>
        <w:t xml:space="preserve">for example). This means that on aggregate traditional securitisation is very scarcely used as a</w:t>
      </w:r>
      <w:r>
        <w:t xml:space="preserve"> </w:t>
      </w:r>
      <w:r>
        <w:t xml:space="preserve">source of banks’ funding, although it could be an important funding instrument for some banks.</w:t>
      </w:r>
      <w:r>
        <w:t xml:space="preserve"> </w:t>
      </w:r>
      <w:r>
        <w:t xml:space="preserve">It is expected that the measures under option 2.1 will increase this share but the overall impact</w:t>
      </w:r>
      <w:r>
        <w:t xml:space="preserve"> </w:t>
      </w:r>
      <w:r>
        <w:t xml:space="preserve">on banks’ funding mix would likely not be substantial.</w:t>
      </w:r>
      <w:r>
        <w:t xml:space="preserve"> </w:t>
      </w:r>
      <w:r>
        <w:t xml:space="preserve">On the impact of the proposed measures, based on informal checks with supervisors and</w:t>
      </w:r>
      <w:r>
        <w:t xml:space="preserve"> </w:t>
      </w:r>
      <w:r>
        <w:t xml:space="preserve">indicative figures covering a sample of anonymised existing SRT securitisations, the reductions</w:t>
      </w:r>
      <w:r>
        <w:t xml:space="preserve"> </w:t>
      </w:r>
      <w:r>
        <w:t xml:space="preserve">of the risk weight floors and (p) factors are expected to result in reductions of capital</w:t>
      </w:r>
      <w:r>
        <w:t xml:space="preserve"> </w:t>
      </w:r>
      <w:r>
        <w:t xml:space="preserve">requirements for senior tranches by approximately one third, on average. These estimates</w:t>
      </w:r>
      <w:r>
        <w:t xml:space="preserve"> </w:t>
      </w:r>
      <w:r>
        <w:t xml:space="preserve">should be interpreted with caution as they are subject to a number of caveats (as explained</w:t>
      </w:r>
      <w:r>
        <w:t xml:space="preserve"> </w:t>
      </w:r>
      <w:r>
        <w:t xml:space="preserve">below).</w:t>
      </w:r>
      <w:r>
        <w:br/>
      </w:r>
      <w:r>
        <w:t xml:space="preserve">The measures are expected to reduce the levels of capital required for securitisation, but still in</w:t>
      </w:r>
      <w:r>
        <w:t xml:space="preserve"> </w:t>
      </w:r>
      <w:r>
        <w:t xml:space="preserve">a prudent way. The overall amount of capital for securitisation would always be approximately</w:t>
      </w:r>
      <w:r>
        <w:t xml:space="preserve"> </w:t>
      </w:r>
      <w:r>
        <w:t xml:space="preserve">at least 20% higher compared to the capital of the underlying exposures, based on the principle</w:t>
      </w:r>
      <w:r>
        <w:t xml:space="preserve"> </w:t>
      </w:r>
      <w:r>
        <w:t xml:space="preserve">of non-neutrality and prudence (as the (p) factor would never be lower than 0.2, even for the</w:t>
      </w:r>
      <w:r>
        <w:t xml:space="preserve"> </w:t>
      </w:r>
      <w:r>
        <w:t xml:space="preserve">least risky transactions).</w:t>
      </w:r>
      <w:r>
        <w:br/>
      </w:r>
      <w:r>
        <w:t xml:space="preserve">Respondents to the consultation provided unverifiable estimates of the impact of changes to</w:t>
      </w:r>
      <w:r>
        <w:t xml:space="preserve"> </w:t>
      </w:r>
      <w:r>
        <w:t xml:space="preserve">the securitisation framework on additional lending. One respondent wrote that every EUR 10</w:t>
      </w:r>
      <w:r>
        <w:t xml:space="preserve"> </w:t>
      </w:r>
      <w:r>
        <w:t xml:space="preserve">bn of risk-weighted assets that banks can securitise, rather than keep on their balance sheet,</w:t>
      </w:r>
      <w:r>
        <w:t xml:space="preserve"> </w:t>
      </w:r>
      <w:r>
        <w:t xml:space="preserve">allows banks to provide additional lending of EUR 15-20 bn63. Another respondent suggests</w:t>
      </w:r>
      <w:r>
        <w:t xml:space="preserve"> </w:t>
      </w:r>
      <w:r>
        <w:t xml:space="preserve">that 71% of the capital released or funding generated by SRT securitisations is currently used</w:t>
      </w:r>
      <w:r>
        <w:t xml:space="preserve"> </w:t>
      </w:r>
      <w:r>
        <w:t xml:space="preserve">for further lending to the EU economy; and that this percentage would likely increase with the</w:t>
      </w:r>
      <w:r>
        <w:t xml:space="preserve"> </w:t>
      </w:r>
      <w:r>
        <w:t xml:space="preserve">proposed measures.</w:t>
      </w:r>
      <w:r>
        <w:br/>
      </w:r>
      <w:r>
        <w:t xml:space="preserve">All these quantitative estimates should however be interpreted with caution. There is significant</w:t>
      </w:r>
      <w:r>
        <w:t xml:space="preserve"> </w:t>
      </w:r>
      <w:r>
        <w:t xml:space="preserve">uncertainty in all the estimates and in modelling the outcomes of the proposed measures in</w:t>
      </w:r>
      <w:r>
        <w:t xml:space="preserve"> </w:t>
      </w:r>
      <w:r>
        <w:t xml:space="preserve">general, as estimates rely on several assumptions and they have the following main limitations:</w:t>
      </w:r>
      <w:r>
        <w:br/>
      </w:r>
      <w:r>
        <w:t xml:space="preserve"> First and foremost, static and mechanistic comparisons are limited as they do not allow to</w:t>
      </w:r>
      <w:r>
        <w:t xml:space="preserve"> </w:t>
      </w:r>
      <w:r>
        <w:t xml:space="preserve">take into account the behavioural changes or the modification in the structuring of the</w:t>
      </w:r>
      <w:r>
        <w:t xml:space="preserve"> </w:t>
      </w:r>
      <w:r>
        <w:t xml:space="preserve">products themselves, which makes comparability and achieving reliable and accurate</w:t>
      </w:r>
      <w:r>
        <w:t xml:space="preserve"> </w:t>
      </w:r>
      <w:r>
        <w:t xml:space="preserve">estimates difficult. This is especially relevant for securitisations, where banks structure the</w:t>
      </w:r>
      <w:r>
        <w:t xml:space="preserve"> </w:t>
      </w:r>
      <w:r>
        <w:t xml:space="preserve">securitisation transactions according to the applicable regulation (and hence banks would</w:t>
      </w:r>
      <w:r>
        <w:t xml:space="preserve"> </w:t>
      </w:r>
      <w:r>
        <w:t xml:space="preserve">structure securitisation transactions differently under two different regulatory regimes).</w:t>
      </w:r>
      <w:r>
        <w:br/>
      </w:r>
      <w:r>
        <w:t xml:space="preserve"> Second, it is difficult to quantify the amount of capital that would be relieved from the</w:t>
      </w:r>
      <w:r>
        <w:t xml:space="preserve"> </w:t>
      </w:r>
      <w:r>
        <w:t xml:space="preserve">banking system altogether, as there are various external variables that come into play, such</w:t>
      </w:r>
      <w:r>
        <w:t xml:space="preserve"> </w:t>
      </w:r>
      <w:r>
        <w:t xml:space="preserve">as the overall number of issuer banks, the number of investors and the overall volume of</w:t>
      </w:r>
    </w:p>
    <w:p>
      <w:pPr>
        <w:pStyle w:val="BodyText"/>
      </w:pPr>
      <w:r>
        <w:t xml:space="preserve">63 These estimates might be inflated.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issued securitisation transactions, which are difficult to predict as they also depend on wider</w:t>
      </w:r>
      <w:r>
        <w:t xml:space="preserve"> </w:t>
      </w:r>
      <w:r>
        <w:t xml:space="preserve">macro-economic and interest rate environments etc.</w:t>
      </w:r>
      <w:r>
        <w:br/>
      </w:r>
      <w:r>
        <w:t xml:space="preserve"> Third, the quantification is complicated by the fact that it assesses the impact of a series of</w:t>
      </w:r>
      <w:r>
        <w:t xml:space="preserve"> </w:t>
      </w:r>
      <w:r>
        <w:t xml:space="preserve">measures including several parameters, rather than a single measure and a single parameter</w:t>
      </w:r>
      <w:r>
        <w:t xml:space="preserve"> </w:t>
      </w:r>
      <w:r>
        <w:t xml:space="preserve">(i.e. even if one could provide an estimate of the impact of the changes to the floor</w:t>
      </w:r>
      <w:r>
        <w:t xml:space="preserve"> </w:t>
      </w:r>
      <w:r>
        <w:t xml:space="preserve">parameters – and this is already subject to a number of limitations as mentioned above – it</w:t>
      </w:r>
      <w:r>
        <w:t xml:space="preserve"> </w:t>
      </w:r>
      <w:r>
        <w:t xml:space="preserve">is impossible to provide a reasonable quantitative estimation of the combined effect of the</w:t>
      </w:r>
      <w:r>
        <w:t xml:space="preserve"> </w:t>
      </w:r>
      <w:r>
        <w:t xml:space="preserve">measures);</w:t>
      </w:r>
      <w:r>
        <w:br/>
      </w:r>
      <w:r>
        <w:t xml:space="preserve"> Fourth, the impact also depends on response to the incentives set by the prudential treatment</w:t>
      </w:r>
      <w:r>
        <w:t xml:space="preserve"> </w:t>
      </w:r>
      <w:r>
        <w:t xml:space="preserve">for originators and investors, which are more difficult to quantify. The overall amount of</w:t>
      </w:r>
      <w:r>
        <w:t xml:space="preserve"> </w:t>
      </w:r>
      <w:r>
        <w:t xml:space="preserve">released capital depends also on the impact of the SRT framework and the SRT rules on</w:t>
      </w:r>
      <w:r>
        <w:t xml:space="preserve"> </w:t>
      </w:r>
      <w:r>
        <w:t xml:space="preserve">the overall issuance, which are also expected to change, under the Option 2.1. A decisive</w:t>
      </w:r>
      <w:r>
        <w:t xml:space="preserve"> </w:t>
      </w:r>
      <w:r>
        <w:t xml:space="preserve">factor in this respect is also the complexity of the securitisation structures that banks might</w:t>
      </w:r>
      <w:r>
        <w:t xml:space="preserve"> </w:t>
      </w:r>
      <w:r>
        <w:t xml:space="preserve">decide to use: if banks have simple standardised structures, this might ease the life of</w:t>
      </w:r>
      <w:r>
        <w:t xml:space="preserve"> </w:t>
      </w:r>
      <w:r>
        <w:t xml:space="preserve">investors and supervisors and provide more relief overall thanks to the increased number</w:t>
      </w:r>
      <w:r>
        <w:t xml:space="preserve"> </w:t>
      </w:r>
      <w:r>
        <w:t xml:space="preserve">of issuances, compared to individual more complex issuances which might provide more</w:t>
      </w:r>
      <w:r>
        <w:t xml:space="preserve"> </w:t>
      </w:r>
      <w:r>
        <w:t xml:space="preserve">benefits only if seen in isolation.</w:t>
      </w:r>
      <w:r>
        <w:br/>
      </w:r>
      <w:r>
        <w:t xml:space="preserve">Taking all the above into account, the most important impact of option 2.1 is therefore</w:t>
      </w:r>
      <w:r>
        <w:t xml:space="preserve"> </w:t>
      </w:r>
      <w:r>
        <w:t xml:space="preserve">qualitative, and that is that it would make the use of securitisation more attractive as a tool for</w:t>
      </w:r>
      <w:r>
        <w:t xml:space="preserve"> </w:t>
      </w:r>
      <w:r>
        <w:t xml:space="preserve">risk transfer and capital relief, with smaller transaction costs (related to due diligence and</w:t>
      </w:r>
      <w:r>
        <w:t xml:space="preserve"> </w:t>
      </w:r>
      <w:r>
        <w:t xml:space="preserve">transparency) and a broader investor base.</w:t>
      </w:r>
      <w:r>
        <w:br/>
      </w:r>
      <w:r>
        <w:t xml:space="preserve">The measures under option 2.1 will help banks achieving capital relief in a more efficient way</w:t>
      </w:r>
      <w:r>
        <w:t xml:space="preserve"> </w:t>
      </w:r>
      <w:r>
        <w:t xml:space="preserve">– i.e. they will allow banks to achieve the same amount of capital relief by selling less risk, or</w:t>
      </w:r>
      <w:r>
        <w:t xml:space="preserve"> </w:t>
      </w:r>
      <w:r>
        <w:t xml:space="preserve">they will allow banks to increase the capital relief for the same amount of risk transferred –</w:t>
      </w:r>
      <w:r>
        <w:t xml:space="preserve"> </w:t>
      </w:r>
      <w:r>
        <w:t xml:space="preserve">while still ensuring prudent levels of capital.</w:t>
      </w:r>
      <w:r>
        <w:br/>
      </w:r>
      <w:r>
        <w:t xml:space="preserve">The estimates are even more complicated in the context of the introduction of the output floor,</w:t>
      </w:r>
      <w:r>
        <w:t xml:space="preserve"> </w:t>
      </w:r>
      <w:r>
        <w:t xml:space="preserve">which will progressively change the incentives for banks to move out exposures from their</w:t>
      </w:r>
      <w:r>
        <w:t xml:space="preserve"> </w:t>
      </w:r>
      <w:r>
        <w:t xml:space="preserve">balance sheet (and in a way that differs individually from bank to bank).</w:t>
      </w:r>
      <w:r>
        <w:br/>
      </w:r>
      <w:r>
        <w:t xml:space="preserve">With respect to significant risk transfer, the proposed changes would address the structural</w:t>
      </w:r>
      <w:r>
        <w:t xml:space="preserve"> </w:t>
      </w:r>
      <w:r>
        <w:t xml:space="preserve">flaws of the current SRT framework. For example, a number of transactions can pass the</w:t>
      </w:r>
      <w:r>
        <w:t xml:space="preserve"> </w:t>
      </w:r>
      <w:r>
        <w:t xml:space="preserve">existing tests even though they may not necessarily transfer a sufficient amount of risk in</w:t>
      </w:r>
      <w:r>
        <w:t xml:space="preserve"> </w:t>
      </w:r>
      <w:r>
        <w:t xml:space="preserve">economic terms in all cases. This structural flaw may result in a weakening of the capital</w:t>
      </w:r>
      <w:r>
        <w:t xml:space="preserve"> </w:t>
      </w:r>
      <w:r>
        <w:t xml:space="preserve">position of the bank since the capital relief that is obtained is not justified from an economic</w:t>
      </w:r>
      <w:r>
        <w:t xml:space="preserve"> </w:t>
      </w:r>
      <w:r>
        <w:t xml:space="preserve">perspective. The replacement of the existing tests with a new test would allow to address</w:t>
      </w:r>
      <w:r>
        <w:t xml:space="preserve"> </w:t>
      </w:r>
      <w:r>
        <w:t xml:space="preserve">identified flaws and would ensure that a significant risk transfer effectively occurs, so that the</w:t>
      </w:r>
      <w:r>
        <w:t xml:space="preserve"> </w:t>
      </w:r>
      <w:r>
        <w:t xml:space="preserve">capital relief achieved by the originator through that securitisation transaction is justified. This</w:t>
      </w:r>
      <w:r>
        <w:t xml:space="preserve"> </w:t>
      </w:r>
      <w:r>
        <w:t xml:space="preserve">is not expected to result in increased number of supervisory objections to the SRT for specific</w:t>
      </w:r>
      <w:r>
        <w:t xml:space="preserve"> </w:t>
      </w:r>
      <w:r>
        <w:t xml:space="preserve">transactions; rather, the aim is to ensure that the rules that supervisors follow when assessing</w:t>
      </w:r>
      <w:r>
        <w:t xml:space="preserve"> </w:t>
      </w:r>
      <w:r>
        <w:t xml:space="preserve">the transactions before the SRT validations are clearer and more solid where possible.</w:t>
      </w:r>
      <w:r>
        <w:br/>
      </w:r>
      <w:r>
        <w:t xml:space="preserve">In addition, the efficiency of the process of the SRT supervisory assessments would be</w:t>
      </w:r>
      <w:r>
        <w:t xml:space="preserve"> </w:t>
      </w:r>
      <w:r>
        <w:t xml:space="preserve">enhanced by providing some harmonised high-level principles, allowing for a simpler and</w:t>
      </w:r>
      <w:r>
        <w:t xml:space="preserve"> </w:t>
      </w:r>
      <w:r>
        <w:t xml:space="preserve">quicker supervisory assessment process for simple transactions.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The proposed changes to the SRT framework would increase the reliability and predictability</w:t>
      </w:r>
      <w:r>
        <w:t xml:space="preserve"> </w:t>
      </w:r>
      <w:r>
        <w:t xml:space="preserve">of the SRT assessments, while ensuring the efficiency of the process, as well as the supervisory</w:t>
      </w:r>
      <w:r>
        <w:t xml:space="preserve"> </w:t>
      </w:r>
      <w:r>
        <w:t xml:space="preserve">discretion to decide on the prudent treatment of transactions. The proposed changes are</w:t>
      </w:r>
      <w:r>
        <w:t xml:space="preserve"> </w:t>
      </w:r>
      <w:r>
        <w:t xml:space="preserve">expected to result in increased market volumes and efficiencies when transferring risks from</w:t>
      </w:r>
      <w:r>
        <w:t xml:space="preserve"> </w:t>
      </w:r>
      <w:r>
        <w:t xml:space="preserve">banks’ balance sheets to existing and new investors, freeing up banks’ lending capacities. All</w:t>
      </w:r>
      <w:r>
        <w:t xml:space="preserve"> </w:t>
      </w:r>
      <w:r>
        <w:t xml:space="preserve">in all, an enhanced SRT framework would be beneficial for all stakeholders (originators,</w:t>
      </w:r>
      <w:r>
        <w:t xml:space="preserve"> </w:t>
      </w:r>
      <w:r>
        <w:t xml:space="preserve">investors and supervisors) and for both traditional and synthetic transactions.</w:t>
      </w:r>
      <w:r>
        <w:br/>
      </w:r>
      <w:r>
        <w:t xml:space="preserve">With respect to the liquidity treatment, targeted revisions to the liquidity framework would</w:t>
      </w:r>
      <w:r>
        <w:t xml:space="preserve"> </w:t>
      </w:r>
      <w:r>
        <w:t xml:space="preserve">address some inconsistencies in the current eligibility conditions. These targeted changes</w:t>
      </w:r>
      <w:r>
        <w:t xml:space="preserve"> </w:t>
      </w:r>
      <w:r>
        <w:t xml:space="preserve">would strengthen the incentives for banks to invest in publicly traded STS traditional</w:t>
      </w:r>
      <w:r>
        <w:t xml:space="preserve"> </w:t>
      </w:r>
      <w:r>
        <w:t xml:space="preserve">securitisations, which would have a positive impact on the market liquidity and volume of these</w:t>
      </w:r>
      <w:r>
        <w:t xml:space="preserve"> </w:t>
      </w:r>
      <w:r>
        <w:t xml:space="preserve">securitisations. It would thus deepen this segment of the securitisation market and diversify</w:t>
      </w:r>
      <w:r>
        <w:t xml:space="preserve"> </w:t>
      </w:r>
      <w:r>
        <w:t xml:space="preserve">banks’ liquidity buffers and risk profiles.</w:t>
      </w:r>
      <w:r>
        <w:br/>
      </w:r>
      <w:r>
        <w:t xml:space="preserve">6.2.1.2. Costs</w:t>
      </w:r>
      <w:r>
        <w:br/>
      </w:r>
      <w:r>
        <w:t xml:space="preserve">By design, making the capital requirements for securitisation more risk-sensitive will reduce</w:t>
      </w:r>
      <w:r>
        <w:t xml:space="preserve"> </w:t>
      </w:r>
      <w:r>
        <w:t xml:space="preserve">the amount of capital that banks hold against their securitisation exposures in some cases, but</w:t>
      </w:r>
      <w:r>
        <w:t xml:space="preserve"> </w:t>
      </w:r>
      <w:r>
        <w:t xml:space="preserve">the overall level of capitalisation is expected to remain prudent and proportionate to the</w:t>
      </w:r>
      <w:r>
        <w:t xml:space="preserve"> </w:t>
      </w:r>
      <w:r>
        <w:t xml:space="preserve">associated risks. Banks may incur some minor implementation costs from implementing the</w:t>
      </w:r>
      <w:r>
        <w:t xml:space="preserve"> </w:t>
      </w:r>
      <w:r>
        <w:t xml:space="preserve">proposed changes, as they would need to implement limited targeted changes to their existing</w:t>
      </w:r>
      <w:r>
        <w:t xml:space="preserve"> </w:t>
      </w:r>
      <w:r>
        <w:t xml:space="preserve">methods for capital requirements calculation. However, these implementation costs are</w:t>
      </w:r>
      <w:r>
        <w:t xml:space="preserve"> </w:t>
      </w:r>
      <w:r>
        <w:t xml:space="preserve">expected to be lower in comparison to the benefits (i.e. estimated funding cost savings</w:t>
      </w:r>
      <w:r>
        <w:t xml:space="preserve"> </w:t>
      </w:r>
      <w:r>
        <w:t xml:space="preserve">stemming from reduced capital requirements). Overall, as the measures do not propose a</w:t>
      </w:r>
      <w:r>
        <w:t xml:space="preserve"> </w:t>
      </w:r>
      <w:r>
        <w:t xml:space="preserve">fundamental overhaul of the methods that banks use for the calculation of capital, they rather</w:t>
      </w:r>
      <w:r>
        <w:t xml:space="preserve"> </w:t>
      </w:r>
      <w:r>
        <w:t xml:space="preserve">involve an adaptation of existing parameters and make the framework more risk sensitive - the</w:t>
      </w:r>
      <w:r>
        <w:t xml:space="preserve"> </w:t>
      </w:r>
      <w:r>
        <w:t xml:space="preserve">costs will be limited and are not considered as a topic of concern by the banking industry.</w:t>
      </w:r>
      <w:r>
        <w:t xml:space="preserve"> </w:t>
      </w:r>
      <w:r>
        <w:t xml:space="preserve">Changing the SRT framework may result in implementation costs for supervisors to adapt their</w:t>
      </w:r>
      <w:r>
        <w:t xml:space="preserve"> </w:t>
      </w:r>
      <w:r>
        <w:t xml:space="preserve">supervisory methodologies to the existing framework. However, the SSM, the major EU</w:t>
      </w:r>
      <w:r>
        <w:t xml:space="preserve"> </w:t>
      </w:r>
      <w:r>
        <w:t xml:space="preserve">supervisor which assesses almost all SRT transactions in the EU, already incorporates a number</w:t>
      </w:r>
      <w:r>
        <w:t xml:space="preserve"> </w:t>
      </w:r>
      <w:r>
        <w:t xml:space="preserve">of the proposed requirements in their supervisory assessments and processes, which should</w:t>
      </w:r>
      <w:r>
        <w:t xml:space="preserve"> </w:t>
      </w:r>
      <w:r>
        <w:t xml:space="preserve">significantly mitigate the implementation costs of the proposed changes. Implementation costs</w:t>
      </w:r>
      <w:r>
        <w:t xml:space="preserve"> </w:t>
      </w:r>
      <w:r>
        <w:t xml:space="preserve">may be higher for other supervisors which do not incorporate such requirements in their</w:t>
      </w:r>
      <w:r>
        <w:t xml:space="preserve"> </w:t>
      </w:r>
      <w:r>
        <w:t xml:space="preserve">practice (non-SSM or non-Euro area). On the other hand, improving efficiency of SRT</w:t>
      </w:r>
      <w:r>
        <w:t xml:space="preserve"> </w:t>
      </w:r>
      <w:r>
        <w:t xml:space="preserve">supervisory processes should lead to reduction of the ongoing supervisory costs.</w:t>
      </w:r>
      <w:r>
        <w:br/>
      </w:r>
      <w:r>
        <w:t xml:space="preserve">Making the Framework more robust would necessarily mean that some of the new SRT tests</w:t>
      </w:r>
      <w:r>
        <w:t xml:space="preserve"> </w:t>
      </w:r>
      <w:r>
        <w:t xml:space="preserve">may be stricter for some transactions. Increasing the robustness and solidity of the SRT</w:t>
      </w:r>
      <w:r>
        <w:t xml:space="preserve"> </w:t>
      </w:r>
      <w:r>
        <w:t xml:space="preserve">framework is, however, a necessary condition to accompany the proposed changes in the</w:t>
      </w:r>
      <w:r>
        <w:t xml:space="preserve"> </w:t>
      </w:r>
      <w:r>
        <w:t xml:space="preserve">capital treatment and ensure trust in the securitisation market. The proposed changes should</w:t>
      </w:r>
      <w:r>
        <w:t xml:space="preserve"> </w:t>
      </w:r>
      <w:r>
        <w:t xml:space="preserve">simplify the processes associated with these supervisory assessments, reducing the overall</w:t>
      </w:r>
      <w:r>
        <w:t xml:space="preserve"> </w:t>
      </w:r>
      <w:r>
        <w:t xml:space="preserve">administrative burden for both banks and supervisors.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6.2.1.3. Overall assessment: Effectiveness, efficiency and coherence</w:t>
      </w:r>
      <w:r>
        <w:br/>
      </w:r>
      <w:r>
        <w:t xml:space="preserve">Option 2.1 is expected to be effective in reducing undue prudential barriers for banks to issue</w:t>
      </w:r>
      <w:r>
        <w:br/>
      </w:r>
      <w:r>
        <w:t xml:space="preserve">securitisation. It is also expected to increase the risk sensitivity of the framework and economic</w:t>
      </w:r>
      <w:r>
        <w:t xml:space="preserve"> </w:t>
      </w:r>
      <w:r>
        <w:t xml:space="preserve">viability of securitisation as a risk transfer tool. By mitigating some of the key barriers to entry</w:t>
      </w:r>
      <w:r>
        <w:t xml:space="preserve"> </w:t>
      </w:r>
      <w:r>
        <w:t xml:space="preserve">for new EU banks, option 2.1 would make securitisation more accessible to a larger number of</w:t>
      </w:r>
      <w:r>
        <w:t xml:space="preserve"> </w:t>
      </w:r>
      <w:r>
        <w:t xml:space="preserve">banks across the EU.</w:t>
      </w:r>
      <w:r>
        <w:br/>
      </w:r>
      <w:r>
        <w:t xml:space="preserve">Overall, it is expected to give rise to a relatively moderate increase in securitisation issuance</w:t>
      </w:r>
      <w:r>
        <w:t xml:space="preserve"> </w:t>
      </w:r>
      <w:r>
        <w:t xml:space="preserve">and investments by banks active in the market, in particular of simple and resilient</w:t>
      </w:r>
      <w:r>
        <w:t xml:space="preserve"> </w:t>
      </w:r>
      <w:r>
        <w:t xml:space="preserve">securitisations. It is also expected to result in the entrance of new banks in the market, in</w:t>
      </w:r>
      <w:r>
        <w:t xml:space="preserve"> </w:t>
      </w:r>
      <w:r>
        <w:t xml:space="preserve">particular medium-sized banks or banks in Member States with no active issuance to date.</w:t>
      </w:r>
      <w:r>
        <w:br/>
      </w:r>
      <w:r>
        <w:t xml:space="preserve">The measures are expected to mainly increase the issuance of synthetic securitisations, but to</w:t>
      </w:r>
      <w:r>
        <w:t xml:space="preserve"> </w:t>
      </w:r>
      <w:r>
        <w:t xml:space="preserve">a lesser extent also of traditional securitisations that are placed in the market (as these will</w:t>
      </w:r>
      <w:r>
        <w:t xml:space="preserve"> </w:t>
      </w:r>
      <w:r>
        <w:t xml:space="preserve">become less capital and cost intensive), thus providing the bank originators with increased</w:t>
      </w:r>
      <w:r>
        <w:t xml:space="preserve"> </w:t>
      </w:r>
      <w:r>
        <w:t xml:space="preserve">liquidity for lending and increased lending capacity.64 They are also expected to increase the</w:t>
      </w:r>
      <w:r>
        <w:t xml:space="preserve"> </w:t>
      </w:r>
      <w:r>
        <w:t xml:space="preserve">role of banks as investors in the senior tranches of these placed securitisations. This would help</w:t>
      </w:r>
      <w:r>
        <w:t xml:space="preserve"> </w:t>
      </w:r>
      <w:r>
        <w:t xml:space="preserve">strengthen the EU banking system’s ability to provide credit to the economy and to refinance</w:t>
      </w:r>
      <w:r>
        <w:t xml:space="preserve"> </w:t>
      </w:r>
      <w:r>
        <w:t xml:space="preserve">new businesses.</w:t>
      </w:r>
      <w:r>
        <w:br/>
      </w:r>
      <w:r>
        <w:t xml:space="preserve">The measures are also expected to increase the share of securitisations in the banks’ liquidity</w:t>
      </w:r>
      <w:r>
        <w:t xml:space="preserve"> </w:t>
      </w:r>
      <w:r>
        <w:t xml:space="preserve">buffers and increase the diversification of banks’ liquidity buffers.</w:t>
      </w:r>
      <w:r>
        <w:br/>
      </w:r>
      <w:r>
        <w:t xml:space="preserve">However, the intervention itself cannot ensure significant market growth, and the active role</w:t>
      </w:r>
      <w:r>
        <w:t xml:space="preserve"> </w:t>
      </w:r>
      <w:r>
        <w:t xml:space="preserve">of market participants will be crucial as well (as noted above).</w:t>
      </w:r>
      <w:r>
        <w:br/>
      </w:r>
      <w:r>
        <w:t xml:space="preserve">Overall, measures under option 2.1 would support the development of the securitisation market</w:t>
      </w:r>
      <w:r>
        <w:t xml:space="preserve"> </w:t>
      </w:r>
      <w:r>
        <w:t xml:space="preserve">and increase the competitiveness of the banking sector. However, they are not expected to</w:t>
      </w:r>
      <w:r>
        <w:t xml:space="preserve"> </w:t>
      </w:r>
      <w:r>
        <w:t xml:space="preserve">result in an undercapitalisation of securitisation related risks or to jeopardise financial stability,</w:t>
      </w:r>
      <w:r>
        <w:t xml:space="preserve"> </w:t>
      </w:r>
      <w:r>
        <w:t xml:space="preserve">and hence should maintain prudence and soundness as regards banks’ exposures to</w:t>
      </w:r>
      <w:r>
        <w:t xml:space="preserve"> </w:t>
      </w:r>
      <w:r>
        <w:t xml:space="preserve">securitisation. The guiding principle is that prudential requirements are made more risk-</w:t>
      </w:r>
      <w:r>
        <w:t xml:space="preserve"> </w:t>
      </w:r>
      <w:r>
        <w:t xml:space="preserve">sensitive, which in turn is actually expected to support financial stability (a risk-insensitive</w:t>
      </w:r>
      <w:r>
        <w:t xml:space="preserve"> </w:t>
      </w:r>
      <w:r>
        <w:t xml:space="preserve">one-size-fits-all approach would imply that requirements are either too high or too low, relative</w:t>
      </w:r>
      <w:r>
        <w:t xml:space="preserve"> </w:t>
      </w:r>
      <w:r>
        <w:t xml:space="preserve">to the actual underlying risk). This means that capital requirements will be reduced for</w:t>
      </w:r>
      <w:r>
        <w:t xml:space="preserve"> </w:t>
      </w:r>
      <w:r>
        <w:t xml:space="preserve">transactions which are deemed less risky (i.e. with less risky securitised portfolios which have</w:t>
      </w:r>
      <w:r>
        <w:t xml:space="preserve"> </w:t>
      </w:r>
      <w:r>
        <w:t xml:space="preserve">relatively low risk weights), while capital requirements will be increased for transactions which</w:t>
      </w:r>
      <w:r>
        <w:t xml:space="preserve"> </w:t>
      </w:r>
      <w:r>
        <w:t xml:space="preserve">are deemed more risky (i.e. with more risky securitised portfolios). In addition, the SRT rules</w:t>
      </w:r>
      <w:r>
        <w:t xml:space="preserve"> </w:t>
      </w:r>
      <w:r>
        <w:t xml:space="preserve">for assessing the amounts of risk transferred would be made more thorough and robust and</w:t>
      </w:r>
      <w:r>
        <w:t xml:space="preserve"> </w:t>
      </w:r>
      <w:r>
        <w:t xml:space="preserve">liquidity buffers would be more diversified.</w:t>
      </w:r>
    </w:p>
    <w:p>
      <w:pPr>
        <w:pStyle w:val="BodyText"/>
      </w:pPr>
      <w:r>
        <w:t xml:space="preserve">64 Therefore, the effect on the banks’ lending channel from increased securitisation should not be dampened by</w:t>
      </w:r>
      <w:r>
        <w:t xml:space="preserve"> </w:t>
      </w:r>
      <w:r>
        <w:t xml:space="preserve">the fact that a large share of traditional securitisation transactions are retained on the banks’ balance sheet.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The proposed targeted changes do not represent a trade-off between the banks’ competitiveness</w:t>
      </w:r>
      <w:r>
        <w:t xml:space="preserve"> </w:t>
      </w:r>
      <w:r>
        <w:t xml:space="preserve">and financial stability, as the changes aim to maintain capital requirements at a prudent level</w:t>
      </w:r>
      <w:r>
        <w:t xml:space="preserve"> </w:t>
      </w:r>
      <w:r>
        <w:t xml:space="preserve">and concern a specific and narrow area of prudential regulation only (risk-weighted assets</w:t>
      </w:r>
      <w:r>
        <w:t xml:space="preserve"> </w:t>
      </w:r>
      <w:r>
        <w:t xml:space="preserve">corresponding to EU banks’ securitisations currently represent only 1.5% of the EU banks’</w:t>
      </w:r>
      <w:r>
        <w:t xml:space="preserve"> </w:t>
      </w:r>
      <w:r>
        <w:t xml:space="preserve">total risk-weighted assets). The proposed changes reduce the capital surcharge for</w:t>
      </w:r>
      <w:r>
        <w:t xml:space="preserve"> </w:t>
      </w:r>
      <w:r>
        <w:t xml:space="preserve">securitisations, taking into account that securitisations have suffered very low losses and</w:t>
      </w:r>
      <w:r>
        <w:t xml:space="preserve"> </w:t>
      </w:r>
      <w:r>
        <w:t xml:space="preserve">defaults in the last decades, and that a number of important risk mitigants have been introduced</w:t>
      </w:r>
      <w:r>
        <w:t xml:space="preserve"> </w:t>
      </w:r>
      <w:r>
        <w:t xml:space="preserve">in the EU regulatory and supervisory framework. The EBA’s advice has been taken on board</w:t>
      </w:r>
      <w:r>
        <w:t xml:space="preserve"> </w:t>
      </w:r>
      <w:r>
        <w:t xml:space="preserve">in designing the measures, and the concerns as regards potential undercapitalisation have been</w:t>
      </w:r>
      <w:r>
        <w:t xml:space="preserve"> </w:t>
      </w:r>
      <w:r>
        <w:t xml:space="preserve">taken into account in the design and calibration of the individual measures proposed.</w:t>
      </w:r>
      <w:r>
        <w:br/>
      </w:r>
      <w:r>
        <w:t xml:space="preserve">It should be acknowledged that financial stability risks cannot be reliably quantified, and that</w:t>
      </w:r>
      <w:r>
        <w:t xml:space="preserve"> </w:t>
      </w:r>
      <w:r>
        <w:t xml:space="preserve">there is no precise level of capital requirements below which financial stability is jeopardised</w:t>
      </w:r>
      <w:r>
        <w:t xml:space="preserve"> </w:t>
      </w:r>
      <w:r>
        <w:t xml:space="preserve">and above which financial stability is safeguarded. At the same time, all in all, making</w:t>
      </w:r>
      <w:r>
        <w:t xml:space="preserve"> </w:t>
      </w:r>
      <w:r>
        <w:t xml:space="preserve">prudential requirements more risk-sensitive should promote financial stability.</w:t>
      </w:r>
      <w:r>
        <w:t xml:space="preserve"> </w:t>
      </w:r>
      <w:r>
        <w:t xml:space="preserve">With respect to the risk weight floor, specifically, increasing the risk sensitivity of the existing</w:t>
      </w:r>
      <w:r>
        <w:t xml:space="preserve"> </w:t>
      </w:r>
      <w:r>
        <w:t xml:space="preserve">capital framework through targeted reductions to the risk weight floors has been a central</w:t>
      </w:r>
      <w:r>
        <w:t xml:space="preserve"> </w:t>
      </w:r>
      <w:r>
        <w:t xml:space="preserve">recommendation by the EBA. In their analysis, the EBA fully acknowledged the reduced model</w:t>
      </w:r>
      <w:r>
        <w:t xml:space="preserve"> </w:t>
      </w:r>
      <w:r>
        <w:t xml:space="preserve">and agency risk associated with some types of transactions (i.e. tranches retained by</w:t>
      </w:r>
      <w:r>
        <w:t xml:space="preserve"> </w:t>
      </w:r>
      <w:r>
        <w:t xml:space="preserve">originators) and proposed that the reduced risks should be recognised through lower risk weigh</w:t>
      </w:r>
      <w:r>
        <w:t xml:space="preserve"> </w:t>
      </w:r>
      <w:r>
        <w:t xml:space="preserve">floors for these types of transactions, when accompanied by a set of safeguards ensuring their</w:t>
      </w:r>
      <w:r>
        <w:t xml:space="preserve"> </w:t>
      </w:r>
      <w:r>
        <w:t xml:space="preserve">resilience. Option 2.1 goes further and introduces a new risk-sensitive formula for the</w:t>
      </w:r>
      <w:r>
        <w:t xml:space="preserve"> </w:t>
      </w:r>
      <w:r>
        <w:t xml:space="preserve">calculation of the risk weight floor, extends the scope of the reduction of the risk weight floors</w:t>
      </w:r>
      <w:r>
        <w:t xml:space="preserve"> </w:t>
      </w:r>
      <w:r>
        <w:t xml:space="preserve">to other specific types of securitisations, which also have reduced model and agency risks (such</w:t>
      </w:r>
      <w:r>
        <w:t xml:space="preserve"> </w:t>
      </w:r>
      <w:r>
        <w:t xml:space="preserve">as STS securitisations) and adjusts the safeguards to make them more workable for the existing</w:t>
      </w:r>
      <w:r>
        <w:t xml:space="preserve"> </w:t>
      </w:r>
      <w:r>
        <w:t xml:space="preserve">securitisation market.</w:t>
      </w:r>
      <w:r>
        <w:br/>
      </w:r>
      <w:r>
        <w:t xml:space="preserve">With respect to the (p) factor, the EBA has not recommended to reduce the (p) factor, as this</w:t>
      </w:r>
      <w:r>
        <w:t xml:space="preserve"> </w:t>
      </w:r>
      <w:r>
        <w:t xml:space="preserve">could lead to cliff effects (i.e. situation where small changes in the (p) factor result in large</w:t>
      </w:r>
      <w:r>
        <w:t xml:space="preserve"> </w:t>
      </w:r>
      <w:r>
        <w:t xml:space="preserve">changes in the capital requirements and steep differences between capital requirements for</w:t>
      </w:r>
      <w:r>
        <w:t xml:space="preserve"> </w:t>
      </w:r>
      <w:r>
        <w:t xml:space="preserve">different tranches) - due to the intrinsic nature and limitations of the existing formulas for the</w:t>
      </w:r>
      <w:r>
        <w:t xml:space="preserve"> </w:t>
      </w:r>
      <w:r>
        <w:t xml:space="preserve">calculation of capital; and as this could result in undercapitalisation of banks’ exposures to</w:t>
      </w:r>
      <w:r>
        <w:t xml:space="preserve"> </w:t>
      </w:r>
      <w:r>
        <w:t xml:space="preserve">mezzanine securitisation tranches in particular. To take these concerns into account, Option 2.1</w:t>
      </w:r>
      <w:r>
        <w:t xml:space="preserve"> </w:t>
      </w:r>
      <w:r>
        <w:t xml:space="preserve">limits the changes to the (p) factor to specific types of transactions only, where agency and</w:t>
      </w:r>
      <w:r>
        <w:t xml:space="preserve"> </w:t>
      </w:r>
      <w:r>
        <w:t xml:space="preserve">model risks have been reduced by means of a series of regulatory and supervisory measures,</w:t>
      </w:r>
      <w:r>
        <w:t xml:space="preserve"> </w:t>
      </w:r>
      <w:r>
        <w:t xml:space="preserve">also considering the solid credit performance of the EU originated securitisation market. Also,</w:t>
      </w:r>
      <w:r>
        <w:t xml:space="preserve"> </w:t>
      </w:r>
      <w:r>
        <w:t xml:space="preserve">as the reductions of the (p) factor would be minimal, it would limit the cliff effects (i.e. it would</w:t>
      </w:r>
      <w:r>
        <w:t xml:space="preserve"> </w:t>
      </w:r>
      <w:r>
        <w:t xml:space="preserve">limit the risk of excessive differences between the capital requirements for various tranches)</w:t>
      </w:r>
      <w:r>
        <w:t xml:space="preserve"> </w:t>
      </w:r>
      <w:r>
        <w:t xml:space="preserve">and the resulting amount of capital would still be kept at sufficiently prudent levels, including</w:t>
      </w:r>
      <w:r>
        <w:t xml:space="preserve"> </w:t>
      </w:r>
      <w:r>
        <w:t xml:space="preserve">for the mezzanine tranches.</w:t>
      </w:r>
      <w:r>
        <w:t xml:space="preserve"> </w:t>
      </w:r>
      <w:r>
        <w:t xml:space="preserve">Option 2.1 is coherent with the recent political statements, including by the European Council,</w:t>
      </w:r>
      <w:r>
        <w:t xml:space="preserve"> </w:t>
      </w:r>
      <w:r>
        <w:t xml:space="preserve">which have highlighted the need to take measures to remove issuance and investment barriers</w:t>
      </w:r>
      <w:r>
        <w:t xml:space="preserve"> </w:t>
      </w:r>
      <w:r>
        <w:t xml:space="preserve">in the EU securitisation market and which have called to look at the prudential treatment of</w:t>
      </w:r>
      <w:r>
        <w:t xml:space="preserve"> </w:t>
      </w:r>
      <w:r>
        <w:t xml:space="preserve">securitisation for banks in particular.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With respect to the aspect of consistency with international standards, it should be noted that</w:t>
      </w:r>
      <w:r>
        <w:t xml:space="preserve"> </w:t>
      </w:r>
      <w:r>
        <w:t xml:space="preserve">all potential changes to the prudential framework would result in a certain level of deviation</w:t>
      </w:r>
      <w:r>
        <w:t xml:space="preserve"> </w:t>
      </w:r>
      <w:r>
        <w:t xml:space="preserve">from the international standards. The measures under option 1 aim to limit these deviations and</w:t>
      </w:r>
      <w:r>
        <w:t xml:space="preserve"> </w:t>
      </w:r>
      <w:r>
        <w:t xml:space="preserve">maintain a high level of international consistency. Given that the materiality of the deviations</w:t>
      </w:r>
      <w:r>
        <w:t xml:space="preserve"> </w:t>
      </w:r>
      <w:r>
        <w:t xml:space="preserve">from the Basel standards would be limited, we believe the proposal under option 2.1. remains</w:t>
      </w:r>
      <w:r>
        <w:t xml:space="preserve"> </w:t>
      </w:r>
      <w:r>
        <w:t xml:space="preserve">largely consistent and coherent. The proposals have a targeted scope, aim to ensure a positive</w:t>
      </w:r>
      <w:r>
        <w:t xml:space="preserve"> </w:t>
      </w:r>
      <w:r>
        <w:t xml:space="preserve">impact on the EU securitisation market going forward, and to support the international</w:t>
      </w:r>
      <w:r>
        <w:t xml:space="preserve"> </w:t>
      </w:r>
      <w:r>
        <w:t xml:space="preserve">competitiveness of EU banks.</w:t>
      </w:r>
      <w:r>
        <w:t xml:space="preserve"> </w:t>
      </w:r>
      <w:r>
        <w:t xml:space="preserve">The proposed targeted changes, when compared to the current provisions, are expected to</w:t>
      </w:r>
      <w:r>
        <w:t xml:space="preserve"> </w:t>
      </w:r>
      <w:r>
        <w:t xml:space="preserve">reduce the capital requirements in particular for less risky, robust and resilient securitisation,</w:t>
      </w:r>
      <w:r>
        <w:t xml:space="preserve"> </w:t>
      </w:r>
      <w:r>
        <w:t xml:space="preserve">but are not expected to give rise to prudential concerns. They aim to correct the current</w:t>
      </w:r>
      <w:r>
        <w:t xml:space="preserve"> </w:t>
      </w:r>
      <w:r>
        <w:t xml:space="preserve">overcapitalisation stemming from the current framework, which is based on best-effort</w:t>
      </w:r>
      <w:r>
        <w:t xml:space="preserve"> </w:t>
      </w:r>
      <w:r>
        <w:t xml:space="preserve">calibrations rather than empirical evidence.</w:t>
      </w:r>
      <w:r>
        <w:br/>
      </w:r>
      <w:r>
        <w:t xml:space="preserve">6.2.1.4. Stakeholders’ views</w:t>
      </w:r>
      <w:r>
        <w:br/>
      </w:r>
      <w:r>
        <w:t xml:space="preserve">The targeted amendments towards a more risk-sensitive design of banks’ capital and liquidity</w:t>
      </w:r>
      <w:r>
        <w:t xml:space="preserve"> </w:t>
      </w:r>
      <w:r>
        <w:t xml:space="preserve">requirements (option 2.1) will be welcomed by banks acting as issuers and investors as this</w:t>
      </w:r>
      <w:r>
        <w:t xml:space="preserve"> </w:t>
      </w:r>
      <w:r>
        <w:t xml:space="preserve">proposal will reduce excessive conservatism in the Framework and address some of the main</w:t>
      </w:r>
      <w:r>
        <w:t xml:space="preserve"> </w:t>
      </w:r>
      <w:r>
        <w:t xml:space="preserve">undesired effects. Its targeted nature may be criticised as not being ambitious enough to make</w:t>
      </w:r>
      <w:r>
        <w:t xml:space="preserve"> </w:t>
      </w:r>
      <w:r>
        <w:t xml:space="preserve">the EU securitisation market sufficiently attractive. Banks have been calling for more</w:t>
      </w:r>
      <w:r>
        <w:t xml:space="preserve"> </w:t>
      </w:r>
      <w:r>
        <w:t xml:space="preserve">substantial long-term amendments to revive securitisation activity.</w:t>
      </w:r>
      <w:r>
        <w:br/>
      </w:r>
      <w:r>
        <w:t xml:space="preserve">In the consultation, a significant majority of financial industry representatives considered that</w:t>
      </w:r>
      <w:r>
        <w:t xml:space="preserve"> </w:t>
      </w:r>
      <w:r>
        <w:t xml:space="preserve">the current capital framework gives rise to an undue overcapitalisation of securitisation</w:t>
      </w:r>
      <w:r>
        <w:t xml:space="preserve"> </w:t>
      </w:r>
      <w:r>
        <w:t xml:space="preserve">exposures (33 respondents agree, 0 disagree, 9 have no opinion and 65 provided no answer)</w:t>
      </w:r>
      <w:r>
        <w:t xml:space="preserve"> </w:t>
      </w:r>
      <w:r>
        <w:t xml:space="preserve">and they generally called for comprehensive reductions of the capital parameters. As regards</w:t>
      </w:r>
      <w:r>
        <w:t xml:space="preserve"> </w:t>
      </w:r>
      <w:r>
        <w:t xml:space="preserve">the liquidity framework, a large majority of stakeholders (44 out of 131, 78 did not respond</w:t>
      </w:r>
      <w:r>
        <w:t xml:space="preserve"> </w:t>
      </w:r>
      <w:r>
        <w:t xml:space="preserve">and 9 had no opinion) called for amendments to the eligibility criteria applied to securitisations</w:t>
      </w:r>
      <w:r>
        <w:t xml:space="preserve"> </w:t>
      </w:r>
      <w:r>
        <w:t xml:space="preserve">eligible to the buffer for high quality liquid assets under the LCR.</w:t>
      </w:r>
      <w:r>
        <w:t xml:space="preserve"> </w:t>
      </w:r>
      <w:r>
        <w:t xml:space="preserve">With respect to the SRT rules, the respondents generally support regulatory harmonisation of</w:t>
      </w:r>
      <w:r>
        <w:t xml:space="preserve"> </w:t>
      </w:r>
      <w:r>
        <w:t xml:space="preserve">rules and supervisory convergence at the EU level. With respect to the tests applied to</w:t>
      </w:r>
      <w:r>
        <w:t xml:space="preserve"> </w:t>
      </w:r>
      <w:r>
        <w:t xml:space="preserve">securitisations, industry generally agrees with the conditions of the tests and do not see a need</w:t>
      </w:r>
      <w:r>
        <w:t xml:space="preserve"> </w:t>
      </w:r>
      <w:r>
        <w:t xml:space="preserve">to make them more robust, although they are not opposed to targeted changes (23 agree, 19</w:t>
      </w:r>
      <w:r>
        <w:t xml:space="preserve"> </w:t>
      </w:r>
      <w:r>
        <w:t xml:space="preserve">disagree, 11 have no opinion and 78 do not answer). Supervisors on the other hand believe it</w:t>
      </w:r>
      <w:r>
        <w:t xml:space="preserve"> </w:t>
      </w:r>
      <w:r>
        <w:t xml:space="preserve">is necessary to increase the robustness of the framework, in line with the EBA reports, and</w:t>
      </w:r>
      <w:r>
        <w:t xml:space="preserve"> </w:t>
      </w:r>
      <w:r>
        <w:t xml:space="preserve">support the measures proposed.</w:t>
      </w:r>
      <w:r>
        <w:br/>
      </w:r>
      <w:r>
        <w:t xml:space="preserve">As the proposed amendments increase the risk-sensitivity of the Framework, are targeted, take</w:t>
      </w:r>
      <w:r>
        <w:t xml:space="preserve"> </w:t>
      </w:r>
      <w:r>
        <w:t xml:space="preserve">into account the main prudential concerns raised by supervisors as regards the risk from banks’</w:t>
      </w:r>
      <w:r>
        <w:t xml:space="preserve"> </w:t>
      </w:r>
      <w:r>
        <w:t xml:space="preserve">exposures to securitisation, and do not constitute a major adjustment to the Basel standard,</w:t>
      </w:r>
      <w:r>
        <w:t xml:space="preserve"> </w:t>
      </w:r>
      <w:r>
        <w:t xml:space="preserve">option 2.1 should constitute a pragmatic and balanced proposal.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6.2.2. Option 2.2: Radical overhaul of the existing prudential (capital and liquidity) framework</w:t>
      </w:r>
      <w:r>
        <w:t xml:space="preserve"> </w:t>
      </w:r>
      <w:r>
        <w:t xml:space="preserve">for banks</w:t>
      </w:r>
      <w:r>
        <w:t xml:space="preserve"> </w:t>
      </w:r>
      <w:r>
        <w:t xml:space="preserve">Option 2.2 entails a radical overhaul of the existing prudential (capital and liquidity)</w:t>
      </w:r>
      <w:r>
        <w:t xml:space="preserve"> </w:t>
      </w:r>
      <w:r>
        <w:t xml:space="preserve">framework, that results in material changes to the way capital requirements are calculated and</w:t>
      </w:r>
      <w:r>
        <w:t xml:space="preserve"> </w:t>
      </w:r>
      <w:r>
        <w:t xml:space="preserve">assessed by supervisors and to the eligibility of securitisations under the liquidity framework.</w:t>
      </w:r>
      <w:r>
        <w:t xml:space="preserve"> </w:t>
      </w:r>
      <w:r>
        <w:t xml:space="preserve">It contains a set of far-reaching yet conceivable policy measures that have been debated</w:t>
      </w:r>
      <w:r>
        <w:t xml:space="preserve"> </w:t>
      </w:r>
      <w:r>
        <w:t xml:space="preserve">between different kinds of stakeholders. It aims to correct an undue bias towards</w:t>
      </w:r>
      <w:r>
        <w:t xml:space="preserve"> </w:t>
      </w:r>
      <w:r>
        <w:t xml:space="preserve">conservativeness and overcapitalisation introduced in the previous framework, which has been</w:t>
      </w:r>
      <w:r>
        <w:t xml:space="preserve"> </w:t>
      </w:r>
      <w:r>
        <w:t xml:space="preserve">detrimental to the banks’ involvement in the securitisation market.</w:t>
      </w:r>
      <w:r>
        <w:br/>
      </w:r>
      <w:r>
        <w:t xml:space="preserve">Option 2.2 considers radical changes to three aspects of the framework: the capital framework,</w:t>
      </w:r>
      <w:r>
        <w:t xml:space="preserve"> </w:t>
      </w:r>
      <w:r>
        <w:t xml:space="preserve">the SRT framework and the liquidity framework.</w:t>
      </w:r>
      <w:r>
        <w:br/>
      </w:r>
      <w:r>
        <w:t xml:space="preserve">First, this option entails a fundamental re-design of the existing capital framework (i.e. the</w:t>
      </w:r>
      <w:r>
        <w:t xml:space="preserve"> </w:t>
      </w:r>
      <w:r>
        <w:t xml:space="preserve">formulas used for the calculation of capital requirements), which would result in completely</w:t>
      </w:r>
      <w:r>
        <w:t xml:space="preserve"> </w:t>
      </w:r>
      <w:r>
        <w:t xml:space="preserve">new methods for the calculation of capital requirements across securitisation tranches. Two</w:t>
      </w:r>
      <w:r>
        <w:t xml:space="preserve"> </w:t>
      </w:r>
      <w:r>
        <w:t xml:space="preserve">alternatives that could be considered are the replacement of the current risk weight design with</w:t>
      </w:r>
      <w:r>
        <w:t xml:space="preserve"> </w:t>
      </w:r>
      <w:r>
        <w:t xml:space="preserve">an ’inverted S-curve’ function, and the introduction of a scaling parameter to scale the KA</w:t>
      </w:r>
      <w:r>
        <w:t xml:space="preserve"> </w:t>
      </w:r>
      <w:r>
        <w:t xml:space="preserve">downwards, as also analysed by the EBA.65</w:t>
      </w:r>
      <w:r>
        <w:br/>
      </w:r>
      <w:r>
        <w:t xml:space="preserve">Second, option 2.2 also removes the existing core legal requirements for the significant risk</w:t>
      </w:r>
      <w:r>
        <w:t xml:space="preserve"> </w:t>
      </w:r>
      <w:r>
        <w:t xml:space="preserve">transfer, notably the existing quantitative criteria/tests for achievement of capital relief, and the</w:t>
      </w:r>
      <w:r>
        <w:t xml:space="preserve"> </w:t>
      </w:r>
      <w:r>
        <w:t xml:space="preserve">requirements for supervisory checks and approvals. Option 2.2 effectively results in banks self-</w:t>
      </w:r>
      <w:r>
        <w:t xml:space="preserve"> </w:t>
      </w:r>
      <w:r>
        <w:t xml:space="preserve">assessing their securitisation transactions, based on high-level requirements specified in the</w:t>
      </w:r>
      <w:r>
        <w:t xml:space="preserve"> </w:t>
      </w:r>
      <w:r>
        <w:t xml:space="preserve">legal text, without the need for checks by the supervisors.</w:t>
      </w:r>
      <w:r>
        <w:br/>
      </w:r>
      <w:r>
        <w:t xml:space="preserve">Finally, option 2.2 introduces comprehensive changes to the current liquidity requirements for</w:t>
      </w:r>
      <w:r>
        <w:t xml:space="preserve"> </w:t>
      </w:r>
      <w:r>
        <w:t xml:space="preserve">banks in the LCR Delegated Act, resulting in a significant relaxation of the existing eligibility</w:t>
      </w:r>
      <w:r>
        <w:t xml:space="preserve"> </w:t>
      </w:r>
      <w:r>
        <w:t xml:space="preserve">requirements for securitisations to be included in the LCR liquidity buffers, which would</w:t>
      </w:r>
      <w:r>
        <w:t xml:space="preserve"> </w:t>
      </w:r>
      <w:r>
        <w:t xml:space="preserve">substantially extend the scope of eligible securitisations in HQLA beyond STS traditional</w:t>
      </w:r>
      <w:r>
        <w:t xml:space="preserve"> </w:t>
      </w:r>
      <w:r>
        <w:t xml:space="preserve">securitisations (such as, the extension of the eligibility to non-STS securitisations).</w:t>
      </w:r>
      <w:r>
        <w:t xml:space="preserve"> </w:t>
      </w:r>
      <w:r>
        <w:t xml:space="preserve">6.2.2.1. Benefits</w:t>
      </w:r>
      <w:r>
        <w:t xml:space="preserve"> </w:t>
      </w:r>
      <w:r>
        <w:t xml:space="preserve">As noted by the ESAs, the securitisation capital framework should ideally aim to achieve three</w:t>
      </w:r>
      <w:r>
        <w:t xml:space="preserve"> </w:t>
      </w:r>
      <w:r>
        <w:t xml:space="preserve">goals -limit cliff effects, avoid an unreasonable level of capital non-neutrality, and ensure a</w:t>
      </w:r>
      <w:r>
        <w:t xml:space="preserve"> </w:t>
      </w:r>
      <w:r>
        <w:t xml:space="preserve">maximum capitalisation of the junior (most risky) tranches. The structural limitations of the</w:t>
      </w:r>
      <w:r>
        <w:t xml:space="preserve"> </w:t>
      </w:r>
      <w:r>
        <w:t xml:space="preserve">existing securitisation capital framework however only allow to achieve two out of these three</w:t>
      </w:r>
      <w:r>
        <w:t xml:space="preserve"> </w:t>
      </w:r>
      <w:r>
        <w:t xml:space="preserve">goals and generally fails to achieve sufficient risk sensitivity. Therefore, option 2.2 provides</w:t>
      </w:r>
    </w:p>
    <w:p>
      <w:pPr>
        <w:pStyle w:val="BodyText"/>
      </w:pPr>
      <w:r>
        <w:t xml:space="preserve">65 The current risk weight function is a combination of two elements: first, the requirement for a full one-to-one</w:t>
      </w:r>
      <w:r>
        <w:t xml:space="preserve"> </w:t>
      </w:r>
      <w:r>
        <w:t xml:space="preserve">capitalisation (1250% RW) for the most risky tranches until a certain ‘cliff‘ point, and then a steep decrease of</w:t>
      </w:r>
      <w:r>
        <w:t xml:space="preserve"> </w:t>
      </w:r>
      <w:r>
        <w:t xml:space="preserve">the risk weights as a function of the (p) factor, for mezzanine and senior tranches. The inverted S-curve function</w:t>
      </w:r>
      <w:r>
        <w:t xml:space="preserve"> </w:t>
      </w:r>
      <w:r>
        <w:t xml:space="preserve">could allow to eliminate the cliff point and mitigate the cliff effects in the risk weights across all the tranches in</w:t>
      </w:r>
      <w:r>
        <w:t xml:space="preserve"> </w:t>
      </w:r>
      <w:r>
        <w:t xml:space="preserve">securitisation. Scaling KA downwards would be possible within the current halfpipe design, while it would still</w:t>
      </w:r>
      <w:r>
        <w:t xml:space="preserve"> </w:t>
      </w:r>
      <w:r>
        <w:t xml:space="preserve">create a cliff effect at the cliff point KA. Both options could possibly achieve the targets of a moderate capital</w:t>
      </w:r>
      <w:r>
        <w:t xml:space="preserve"> </w:t>
      </w:r>
      <w:r>
        <w:t xml:space="preserve">non-neutrality and still achieve high risk weights for lower tranches.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an opportunity to reassess the importance and prioritisation of the goals of the existing</w:t>
      </w:r>
      <w:r>
        <w:t xml:space="preserve"> </w:t>
      </w:r>
      <w:r>
        <w:t xml:space="preserve">framework, including the prominence of the role of the (p) factor. The redesign of the current</w:t>
      </w:r>
      <w:r>
        <w:t xml:space="preserve"> </w:t>
      </w:r>
      <w:r>
        <w:t xml:space="preserve">securitisation capital framework thus has a potential to achieve more proportionate levels of</w:t>
      </w:r>
      <w:r>
        <w:t xml:space="preserve"> </w:t>
      </w:r>
      <w:r>
        <w:t xml:space="preserve">capital non-neutrality, mitigate the cliff effects (and therefore mitigate the risks of the</w:t>
      </w:r>
      <w:r>
        <w:t xml:space="preserve"> </w:t>
      </w:r>
      <w:r>
        <w:t xml:space="preserve">undercapitalisation of mezzanine tranches) and introduce more risk sensitivity in the</w:t>
      </w:r>
      <w:r>
        <w:t xml:space="preserve"> </w:t>
      </w:r>
      <w:r>
        <w:t xml:space="preserve">calculation of capital for securitisation.</w:t>
      </w:r>
      <w:r>
        <w:br/>
      </w:r>
      <w:r>
        <w:t xml:space="preserve">With respect to the changes to the SRT framework, option 2.2 would introduce a new approach</w:t>
      </w:r>
      <w:r>
        <w:t xml:space="preserve"> </w:t>
      </w:r>
      <w:r>
        <w:t xml:space="preserve">to the way how transactions are assessed for the purpose of capital relief and would introduce</w:t>
      </w:r>
      <w:r>
        <w:t xml:space="preserve"> </w:t>
      </w:r>
      <w:r>
        <w:t xml:space="preserve">a significantly higher level of flexibility in the existing framework. Significant simplification</w:t>
      </w:r>
      <w:r>
        <w:t xml:space="preserve"> </w:t>
      </w:r>
      <w:r>
        <w:t xml:space="preserve">of the existing framework would help stimulate the issuance of securitisation, as it would</w:t>
      </w:r>
      <w:r>
        <w:t xml:space="preserve"> </w:t>
      </w:r>
      <w:r>
        <w:t xml:space="preserve">reduce the burden on both banks and supervisors. The current SRT framework is highly</w:t>
      </w:r>
      <w:r>
        <w:t xml:space="preserve"> </w:t>
      </w:r>
      <w:r>
        <w:t xml:space="preserve">comprehensive, setting out a number of specific quantitative and qualitative criteria, extending</w:t>
      </w:r>
      <w:r>
        <w:t xml:space="preserve"> </w:t>
      </w:r>
      <w:r>
        <w:t xml:space="preserve">beyond the international Basel requirements. This option would allow to make the SRT</w:t>
      </w:r>
      <w:r>
        <w:t xml:space="preserve"> </w:t>
      </w:r>
      <w:r>
        <w:t xml:space="preserve">framework more comparable with those of some other jurisdictions, where SRT requirements</w:t>
      </w:r>
      <w:r>
        <w:t xml:space="preserve"> </w:t>
      </w:r>
      <w:r>
        <w:t xml:space="preserve">are much more lenient.</w:t>
      </w:r>
      <w:r>
        <w:br/>
      </w:r>
      <w:r>
        <w:t xml:space="preserve">With respect to the LCR changes, relaxing the eligibility conditions to the liquidity buffer to</w:t>
      </w:r>
      <w:r>
        <w:t xml:space="preserve"> </w:t>
      </w:r>
      <w:r>
        <w:t xml:space="preserve">non-STS securitisations would contribute to an increased demand for non-STS securitisations</w:t>
      </w:r>
      <w:r>
        <w:t xml:space="preserve"> </w:t>
      </w:r>
      <w:r>
        <w:t xml:space="preserve">by banks to be included in their liquidity buffers, and as such could help address one of the</w:t>
      </w:r>
      <w:r>
        <w:t xml:space="preserve"> </w:t>
      </w:r>
      <w:r>
        <w:t xml:space="preserve">main issues of the current securitisation market which is the lack of investors in the senior</w:t>
      </w:r>
      <w:r>
        <w:t xml:space="preserve"> </w:t>
      </w:r>
      <w:r>
        <w:t xml:space="preserve">tranches. It would improve market liquidity and volumes and contribute to the diversification</w:t>
      </w:r>
      <w:r>
        <w:t xml:space="preserve"> </w:t>
      </w:r>
      <w:r>
        <w:t xml:space="preserve">of banks’ liquidity buffers. A number of respondents to the targeted consultation have called</w:t>
      </w:r>
      <w:r>
        <w:t xml:space="preserve"> </w:t>
      </w:r>
      <w:r>
        <w:t xml:space="preserve">for the extension of the scope of the LCR to non-STS securitisations, as considered under this</w:t>
      </w:r>
      <w:r>
        <w:t xml:space="preserve"> </w:t>
      </w:r>
      <w:r>
        <w:t xml:space="preserve">option.</w:t>
      </w:r>
      <w:r>
        <w:br/>
      </w:r>
      <w:r>
        <w:t xml:space="preserve">6.2.2.2. Costs</w:t>
      </w:r>
      <w:r>
        <w:t xml:space="preserve"> </w:t>
      </w:r>
      <w:r>
        <w:t xml:space="preserve">This option would lower the external coherence of the Securitisation Framework since it would</w:t>
      </w:r>
      <w:r>
        <w:t xml:space="preserve"> </w:t>
      </w:r>
      <w:r>
        <w:t xml:space="preserve">entail significant deviations from the existing Basel standards. The ESAs acknowledged that</w:t>
      </w:r>
      <w:r>
        <w:t xml:space="preserve"> </w:t>
      </w:r>
      <w:r>
        <w:t xml:space="preserve">one could in principle look for an alternative design of the existing framework, but that this</w:t>
      </w:r>
      <w:r>
        <w:t xml:space="preserve"> </w:t>
      </w:r>
      <w:r>
        <w:t xml:space="preserve">should be done and agreed preferably at the Basel table. All in all, a potential fundamental</w:t>
      </w:r>
      <w:r>
        <w:t xml:space="preserve"> </w:t>
      </w:r>
      <w:r>
        <w:t xml:space="preserve">redesign of the capital framework is more of a medium-term to long-term project.</w:t>
      </w:r>
      <w:r>
        <w:br/>
      </w:r>
      <w:r>
        <w:t xml:space="preserve">Loosening the SRT framework as proposed in option 2.2 could result in further divergence and</w:t>
      </w:r>
      <w:r>
        <w:t xml:space="preserve"> </w:t>
      </w:r>
      <w:r>
        <w:t xml:space="preserve">incoherence in the application of the SRT rules across banks, or even for similar transactions</w:t>
      </w:r>
      <w:r>
        <w:t xml:space="preserve"> </w:t>
      </w:r>
      <w:r>
        <w:t xml:space="preserve">of the same bank. It could lead to higher heterogeneity of SRT outcomes and could increase</w:t>
      </w:r>
      <w:r>
        <w:t xml:space="preserve"> </w:t>
      </w:r>
      <w:r>
        <w:t xml:space="preserve">uncertainty in the market. It could overall reduce the safety and soundness of the capital</w:t>
      </w:r>
      <w:r>
        <w:t xml:space="preserve"> </w:t>
      </w:r>
      <w:r>
        <w:t xml:space="preserve">positions of the banks, and hence negatively impact financial stability.</w:t>
      </w:r>
      <w:r>
        <w:br/>
      </w:r>
      <w:r>
        <w:t xml:space="preserve">Similarly, the changes to the LCR rules could impact the quality of the banks’ liquidity buffers,</w:t>
      </w:r>
      <w:r>
        <w:t xml:space="preserve"> </w:t>
      </w:r>
      <w:r>
        <w:t xml:space="preserve">as it would also include securitisation transactions not meeting the quality criteria of the STS</w:t>
      </w:r>
      <w:r>
        <w:t xml:space="preserve"> </w:t>
      </w:r>
      <w:r>
        <w:t xml:space="preserve">label. A liquidity buffer of lower quality may lead banks to face more difficulties to sell or</w:t>
      </w:r>
      <w:r>
        <w:t xml:space="preserve"> </w:t>
      </w:r>
      <w:r>
        <w:t xml:space="preserve">exchange their liquid assets. This may also oblige banks to accept significant haircuts on their</w:t>
      </w:r>
      <w:r>
        <w:t xml:space="preserve"> </w:t>
      </w:r>
      <w:r>
        <w:t xml:space="preserve">liquid assets in stressed environments. This would mitigate their capacity to refinance their</w:t>
      </w:r>
      <w:r>
        <w:t xml:space="preserve"> </w:t>
      </w:r>
      <w:r>
        <w:t xml:space="preserve">needs on capital markets.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6.2.2.3. Overall assessment: Effectiveness, efficiency and coherence</w:t>
      </w:r>
      <w:r>
        <w:t xml:space="preserve"> </w:t>
      </w:r>
      <w:r>
        <w:t xml:space="preserve">Fundamentally redesigning the risk weight formulas that underpin the capital framework for</w:t>
      </w:r>
      <w:r>
        <w:t xml:space="preserve"> </w:t>
      </w:r>
      <w:r>
        <w:t xml:space="preserve">securitisation would allow to address the limitations of the existing securitisation capital</w:t>
      </w:r>
      <w:r>
        <w:t xml:space="preserve"> </w:t>
      </w:r>
      <w:r>
        <w:t xml:space="preserve">framework. There is therefore a merit in considering these proposals, which have been analysed</w:t>
      </w:r>
      <w:r>
        <w:t xml:space="preserve"> </w:t>
      </w:r>
      <w:r>
        <w:t xml:space="preserve">by the ESAs and also debated by the stakeholders. However, the reformed framework would</w:t>
      </w:r>
      <w:r>
        <w:t xml:space="preserve"> </w:t>
      </w:r>
      <w:r>
        <w:t xml:space="preserve">diverge significantly from the Basel standards. These considerations could therefore be</w:t>
      </w:r>
      <w:r>
        <w:t xml:space="preserve"> </w:t>
      </w:r>
      <w:r>
        <w:t xml:space="preserve">developed in medium term and brought to the Basel table in due time, as also pointed out by</w:t>
      </w:r>
      <w:r>
        <w:t xml:space="preserve"> </w:t>
      </w:r>
      <w:r>
        <w:t xml:space="preserve">the ESAs.</w:t>
      </w:r>
      <w:r>
        <w:br/>
      </w:r>
      <w:r>
        <w:t xml:space="preserve">Some elements of option 2.2 (concretely changes to the SRT framework and LCR framework)</w:t>
      </w:r>
      <w:r>
        <w:t xml:space="preserve"> </w:t>
      </w:r>
      <w:r>
        <w:t xml:space="preserve">would however make the framework less robust and could lead to non-prudent outcomes. They</w:t>
      </w:r>
      <w:r>
        <w:t xml:space="preserve"> </w:t>
      </w:r>
      <w:r>
        <w:t xml:space="preserve">could therefore jeopardise the sound capital and liquidity positions of banks and could pose</w:t>
      </w:r>
      <w:r>
        <w:t xml:space="preserve"> </w:t>
      </w:r>
      <w:r>
        <w:t xml:space="preserve">risks for the financial stability.</w:t>
      </w:r>
      <w:r>
        <w:br/>
      </w:r>
      <w:r>
        <w:t xml:space="preserve">In sum, the overall combined impact of measures under the option 2.2 on the reduction of</w:t>
      </w:r>
      <w:r>
        <w:t xml:space="preserve"> </w:t>
      </w:r>
      <w:r>
        <w:t xml:space="preserve">prudential barriers, increase in securitisation issuance and increase in banks’ competitiveness</w:t>
      </w:r>
      <w:r>
        <w:t xml:space="preserve"> </w:t>
      </w:r>
      <w:r>
        <w:t xml:space="preserve">is expected to be potentially more significant than under option 2.1. However, the potential</w:t>
      </w:r>
      <w:r>
        <w:t xml:space="preserve"> </w:t>
      </w:r>
      <w:r>
        <w:t xml:space="preserve">impact on financial stability is also expected to be more significant. Option 2.2. is also expected</w:t>
      </w:r>
      <w:r>
        <w:t xml:space="preserve"> </w:t>
      </w:r>
      <w:r>
        <w:t xml:space="preserve">to lead to major deviations from international Basel requirements.</w:t>
      </w:r>
      <w:r>
        <w:br/>
      </w:r>
      <w:r>
        <w:t xml:space="preserve">6.2.2.4. Stakeholders’ views</w:t>
      </w:r>
      <w:r>
        <w:t xml:space="preserve"> </w:t>
      </w:r>
      <w:r>
        <w:t xml:space="preserve">A number of respondents in the consultation (20 out of 131 agree, 4 disagree, 23 had no opinion</w:t>
      </w:r>
      <w:r>
        <w:t xml:space="preserve"> </w:t>
      </w:r>
      <w:r>
        <w:t xml:space="preserve">and 84 did not answer) considered that a fundamental redesign of the capital framework merits</w:t>
      </w:r>
      <w:r>
        <w:t xml:space="preserve"> </w:t>
      </w:r>
      <w:r>
        <w:t xml:space="preserve">further consideration, as it has a potential to achieve more proportionate levels of capitalisation</w:t>
      </w:r>
      <w:r>
        <w:t xml:space="preserve"> </w:t>
      </w:r>
      <w:r>
        <w:t xml:space="preserve">and increase the risk sensitivity. However, they generally consider that such proposals require</w:t>
      </w:r>
      <w:r>
        <w:t xml:space="preserve"> </w:t>
      </w:r>
      <w:r>
        <w:t xml:space="preserve">further analysis and should be considered in a longer-term perspective, preferably at</w:t>
      </w:r>
      <w:r>
        <w:t xml:space="preserve"> </w:t>
      </w:r>
      <w:r>
        <w:t xml:space="preserve">international level. Banks would also support the possibility to further diversify their liquidity</w:t>
      </w:r>
      <w:r>
        <w:t xml:space="preserve"> </w:t>
      </w:r>
      <w:r>
        <w:t xml:space="preserve">buffer and appreciate the burden reduction linked to the removal of supervisory checks in terms</w:t>
      </w:r>
      <w:r>
        <w:t xml:space="preserve"> </w:t>
      </w:r>
      <w:r>
        <w:t xml:space="preserve">of risk transfer.</w:t>
      </w:r>
      <w:r>
        <w:t xml:space="preserve"> </w:t>
      </w:r>
      <w:r>
        <w:t xml:space="preserve">Supervisors support investigating alternative designs of the risk weight formulas, albeit they</w:t>
      </w:r>
      <w:r>
        <w:t xml:space="preserve"> </w:t>
      </w:r>
      <w:r>
        <w:t xml:space="preserve">prefer to do it at international level. Supervisors would also disagree with the removal of core</w:t>
      </w:r>
      <w:r>
        <w:t xml:space="preserve"> </w:t>
      </w:r>
      <w:r>
        <w:t xml:space="preserve">supervisory checks for SRTs and with measures that would negatively impact the quality of</w:t>
      </w:r>
      <w:r>
        <w:t xml:space="preserve"> </w:t>
      </w:r>
      <w:r>
        <w:t xml:space="preserve">the banks’ liquidity buffers and the capital position of banks.</w:t>
      </w:r>
      <w:r>
        <w:t xml:space="preserve"> </w:t>
      </w:r>
      <w:r>
        <w:t xml:space="preserve">6.2.2.5. Summary</w:t>
      </w:r>
      <w:r>
        <w:t xml:space="preserve"> </w:t>
      </w:r>
      <w:r>
        <w:t xml:space="preserve">Comparative presentation of the impacts of option 2.1 and option 2.2</w:t>
      </w:r>
    </w:p>
    <w:p>
      <w:pPr>
        <w:pStyle w:val="BodyText"/>
      </w:pPr>
      <w:r>
        <w:t xml:space="preserve">Option 2.1</w:t>
      </w:r>
      <w:r>
        <w:t xml:space="preserve"> </w:t>
      </w:r>
      <w:r>
        <w:t xml:space="preserve">Targeted</w:t>
      </w:r>
      <w:r>
        <w:t xml:space="preserve"> </w:t>
      </w:r>
      <w:r>
        <w:t xml:space="preserve">prudential</w:t>
      </w:r>
      <w:r>
        <w:t xml:space="preserve"> </w:t>
      </w:r>
      <w:r>
        <w:t xml:space="preserve">changes</w:t>
      </w:r>
      <w:r>
        <w:t xml:space="preserve"> </w:t>
      </w:r>
      <w:r>
        <w:t xml:space="preserve">Option 2.2</w:t>
      </w:r>
      <w:r>
        <w:t xml:space="preserve"> </w:t>
      </w:r>
      <w:r>
        <w:t xml:space="preserve">Overhaul of</w:t>
      </w:r>
      <w:r>
        <w:t xml:space="preserve"> </w:t>
      </w:r>
      <w:r>
        <w:t xml:space="preserve">existing</w:t>
      </w:r>
      <w:r>
        <w:t xml:space="preserve"> </w:t>
      </w:r>
      <w:r>
        <w:t xml:space="preserve">Framework</w:t>
      </w:r>
      <w:r>
        <w:t xml:space="preserve"> </w:t>
      </w:r>
      <w:r>
        <w:t xml:space="preserve">Effectiveness: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Reduction of undue prudential barriers</w:t>
      </w:r>
      <w:r>
        <w:br/>
      </w:r>
      <w:r>
        <w:t xml:space="preserve">+</w:t>
      </w:r>
      <w:r>
        <w:br/>
      </w:r>
      <w:r>
        <w:t xml:space="preserve">++</w:t>
      </w:r>
      <w:r>
        <w:br/>
      </w:r>
      <w:r>
        <w:t xml:space="preserve">Increased risk sensitivity of the capital framework</w:t>
      </w:r>
      <w:r>
        <w:br/>
      </w:r>
      <w:r>
        <w:t xml:space="preserve">+</w:t>
      </w:r>
      <w:r>
        <w:br/>
      </w:r>
      <w:r>
        <w:t xml:space="preserve">++</w:t>
      </w:r>
      <w:r>
        <w:br/>
      </w:r>
      <w:r>
        <w:t xml:space="preserve">Impact on the securitisation issuance and</w:t>
      </w:r>
      <w:r>
        <w:t xml:space="preserve"> </w:t>
      </w:r>
      <w:r>
        <w:t xml:space="preserve">investments in securitisation by banks</w:t>
      </w:r>
      <w:r>
        <w:br/>
      </w:r>
      <w:r>
        <w:t xml:space="preserve">+</w:t>
      </w:r>
      <w:r>
        <w:br/>
      </w:r>
      <w:r>
        <w:t xml:space="preserve">++</w:t>
      </w:r>
      <w:r>
        <w:br/>
      </w:r>
      <w:r>
        <w:t xml:space="preserve">Increased share of securitisations in the banks’</w:t>
      </w:r>
      <w:r>
        <w:t xml:space="preserve"> </w:t>
      </w:r>
      <w:r>
        <w:t xml:space="preserve">liquidity buffers, increased diversification in the</w:t>
      </w:r>
      <w:r>
        <w:t xml:space="preserve"> </w:t>
      </w:r>
      <w:r>
        <w:t xml:space="preserve">liquidity buffers</w:t>
      </w:r>
      <w:r>
        <w:br/>
      </w:r>
      <w:r>
        <w:t xml:space="preserve">+</w:t>
      </w:r>
      <w:r>
        <w:br/>
      </w:r>
      <w:r>
        <w:t xml:space="preserve">++</w:t>
      </w:r>
      <w:r>
        <w:br/>
      </w:r>
      <w:r>
        <w:t xml:space="preserve">Prudential risks, in terms of safety and soundness of</w:t>
      </w:r>
      <w:r>
        <w:t xml:space="preserve"> </w:t>
      </w:r>
      <w:r>
        <w:t xml:space="preserve">the capital positions of banks and the quality of the</w:t>
      </w:r>
      <w:r>
        <w:t xml:space="preserve"> </w:t>
      </w:r>
      <w:r>
        <w:t xml:space="preserve">banks’ liquidity buffers</w:t>
      </w:r>
      <w:r>
        <w:br/>
      </w:r>
      <w:r>
        <w:t xml:space="preserve">0/-</w:t>
      </w:r>
      <w:r>
        <w:br/>
      </w:r>
      <w:r>
        <w:t xml:space="preserve">–</w:t>
      </w:r>
      <w:r>
        <w:br/>
      </w:r>
      <w:r>
        <w:t xml:space="preserve">Potential negative impacts on financial stability</w:t>
      </w:r>
      <w:r>
        <w:br/>
      </w:r>
      <w:r>
        <w:t xml:space="preserve">0</w:t>
      </w:r>
      <w:r>
        <w:br/>
      </w:r>
      <w:r>
        <w:t xml:space="preserve">–</w:t>
      </w:r>
      <w:r>
        <w:br/>
      </w:r>
      <w:r>
        <w:t xml:space="preserve">Efficiency: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Coherence (Deviations from international Basel</w:t>
      </w:r>
      <w:r>
        <w:t xml:space="preserve"> </w:t>
      </w:r>
      <w:r>
        <w:t xml:space="preserve">requirements):</w:t>
      </w:r>
      <w:r>
        <w:t xml:space="preserve"> </w:t>
      </w:r>
      <w:r>
        <w:t xml:space="preserve">0/-</w:t>
      </w:r>
      <w:r>
        <w:br/>
      </w:r>
      <w:r>
        <w:t xml:space="preserve">–</w:t>
      </w:r>
      <w:r>
        <w:t xml:space="preserve"> </w:t>
      </w:r>
      <w:r>
        <w:t xml:space="preserve">Legend: +++ = Very positive ++ = Positive + = Slightly positive +/- = Mixed effect</w:t>
      </w:r>
      <w:r>
        <w:br/>
      </w:r>
      <w:r>
        <w:t xml:space="preserve">0 = no effect - = Slightly negative – = Negative — = very negative</w:t>
      </w:r>
    </w:p>
    <w:p>
      <w:pPr>
        <w:pStyle w:val="BodyText"/>
      </w:pPr>
      <w:r>
        <w:t xml:space="preserve">Impacts on stakeholders’ groups</w:t>
      </w:r>
    </w:p>
    <w:p>
      <w:pPr>
        <w:pStyle w:val="BodyText"/>
      </w:pPr>
      <w:r>
        <w:t xml:space="preserve">Banks as issuers</w:t>
      </w:r>
      <w:r>
        <w:br/>
      </w:r>
      <w:r>
        <w:t xml:space="preserve">Banks as investors</w:t>
      </w:r>
      <w:r>
        <w:br/>
      </w:r>
      <w:r>
        <w:t xml:space="preserve">Supervisory authorities</w:t>
      </w:r>
      <w:r>
        <w:br/>
      </w:r>
      <w:r>
        <w:t xml:space="preserve">Option</w:t>
      </w:r>
      <w:r>
        <w:t xml:space="preserve"> </w:t>
      </w:r>
      <w:r>
        <w:t xml:space="preserve">2.1.</w:t>
      </w:r>
      <w:r>
        <w:br/>
      </w:r>
      <w:r>
        <w:t xml:space="preserve">Summary: +</w:t>
      </w:r>
    </w:p>
    <w:p>
      <w:pPr>
        <w:numPr>
          <w:ilvl w:val="0"/>
          <w:numId w:val="1002"/>
        </w:numPr>
      </w:pPr>
      <w:r>
        <w:t xml:space="preserve">(removal of main</w:t>
      </w:r>
      <w:r>
        <w:t xml:space="preserve"> </w:t>
      </w:r>
      <w:r>
        <w:t xml:space="preserve">prudential barriers</w:t>
      </w:r>
      <w:r>
        <w:t xml:space="preserve"> </w:t>
      </w:r>
      <w:r>
        <w:t xml:space="preserve">and increased risk</w:t>
      </w:r>
      <w:r>
        <w:t xml:space="preserve"> </w:t>
      </w:r>
      <w:r>
        <w:t xml:space="preserve">sensitivity is</w:t>
      </w:r>
      <w:r>
        <w:t xml:space="preserve"> </w:t>
      </w:r>
      <w:r>
        <w:t xml:space="preserve">expected to boost</w:t>
      </w:r>
      <w:r>
        <w:t xml:space="preserve"> </w:t>
      </w:r>
      <w:r>
        <w:t xml:space="preserve">issuance of both</w:t>
      </w:r>
      <w:r>
        <w:t xml:space="preserve"> </w:t>
      </w:r>
      <w:r>
        <w:t xml:space="preserve">synthetic and</w:t>
      </w:r>
      <w:r>
        <w:t xml:space="preserve"> </w:t>
      </w:r>
      <w:r>
        <w:t xml:space="preserve">traditional</w:t>
      </w:r>
      <w:r>
        <w:t xml:space="preserve"> </w:t>
      </w:r>
      <w:r>
        <w:t xml:space="preserve">securitisations)</w:t>
      </w:r>
      <w:r>
        <w:br/>
      </w:r>
      <w:r>
        <w:t xml:space="preserve">Summary: +</w:t>
      </w:r>
    </w:p>
    <w:p>
      <w:pPr>
        <w:numPr>
          <w:ilvl w:val="0"/>
          <w:numId w:val="1002"/>
        </w:numPr>
      </w:pPr>
      <w:r>
        <w:t xml:space="preserve">(removal of main</w:t>
      </w:r>
      <w:r>
        <w:t xml:space="preserve"> </w:t>
      </w:r>
      <w:r>
        <w:t xml:space="preserve">barriers in prudential and</w:t>
      </w:r>
      <w:r>
        <w:t xml:space="preserve"> </w:t>
      </w:r>
      <w:r>
        <w:t xml:space="preserve">liquidity framework is</w:t>
      </w:r>
      <w:r>
        <w:t xml:space="preserve"> </w:t>
      </w:r>
      <w:r>
        <w:t xml:space="preserve">expected to increase</w:t>
      </w:r>
      <w:r>
        <w:t xml:space="preserve"> </w:t>
      </w:r>
      <w:r>
        <w:t xml:space="preserve">banks investments in</w:t>
      </w:r>
      <w:r>
        <w:t xml:space="preserve"> </w:t>
      </w:r>
      <w:r>
        <w:t xml:space="preserve">senior tranches of STS</w:t>
      </w:r>
      <w:r>
        <w:t xml:space="preserve"> </w:t>
      </w:r>
      <w:r>
        <w:t xml:space="preserve">securitisations)</w:t>
      </w:r>
      <w:r>
        <w:br/>
      </w:r>
      <w:r>
        <w:t xml:space="preserve">Summary: +</w:t>
      </w:r>
    </w:p>
    <w:p>
      <w:pPr>
        <w:numPr>
          <w:ilvl w:val="0"/>
          <w:numId w:val="1002"/>
        </w:numPr>
      </w:pPr>
      <w:r>
        <w:t xml:space="preserve">(support for increased</w:t>
      </w:r>
      <w:r>
        <w:t xml:space="preserve"> </w:t>
      </w:r>
      <w:r>
        <w:t xml:space="preserve">robustness of the SRT</w:t>
      </w:r>
      <w:r>
        <w:t xml:space="preserve"> </w:t>
      </w:r>
      <w:r>
        <w:t xml:space="preserve">framework)</w:t>
      </w:r>
    </w:p>
    <w:p>
      <w:pPr>
        <w:numPr>
          <w:ilvl w:val="0"/>
          <w:numId w:val="1002"/>
        </w:numPr>
      </w:pPr>
      <w:r>
        <w:t xml:space="preserve">(support for increased</w:t>
      </w:r>
      <w:r>
        <w:t xml:space="preserve"> </w:t>
      </w:r>
      <w:r>
        <w:t xml:space="preserve">efficiency of SRT processes)</w:t>
      </w:r>
    </w:p>
    <w:p>
      <w:pPr>
        <w:numPr>
          <w:ilvl w:val="0"/>
          <w:numId w:val="1002"/>
        </w:numPr>
      </w:pPr>
      <w:r>
        <w:t xml:space="preserve">(overall a balanced</w:t>
      </w:r>
      <w:r>
        <w:t xml:space="preserve"> </w:t>
      </w:r>
      <w:r>
        <w:t xml:space="preserve">proposal, while some</w:t>
      </w:r>
      <w:r>
        <w:t xml:space="preserve"> </w:t>
      </w:r>
      <w:r>
        <w:t xml:space="preserve">supervisors may disapprove</w:t>
      </w:r>
      <w:r>
        <w:t xml:space="preserve"> </w:t>
      </w:r>
      <w:r>
        <w:t xml:space="preserve">some specific elements)</w:t>
      </w:r>
      <w:r>
        <w:br/>
      </w:r>
      <w:r>
        <w:t xml:space="preserve">Option</w:t>
      </w:r>
      <w:r>
        <w:t xml:space="preserve"> </w:t>
      </w:r>
      <w:r>
        <w:t xml:space="preserve">2.2.</w:t>
      </w:r>
      <w:r>
        <w:br/>
      </w:r>
      <w:r>
        <w:t xml:space="preserve">Summary: ++</w:t>
      </w:r>
    </w:p>
    <w:p>
      <w:pPr>
        <w:pStyle w:val="FirstParagraph"/>
      </w:pPr>
      <w:r>
        <w:t xml:space="preserve">++ (boost to issuance</w:t>
      </w:r>
      <w:r>
        <w:t xml:space="preserve"> </w:t>
      </w:r>
      <w:r>
        <w:t xml:space="preserve">as a result of</w:t>
      </w:r>
      <w:r>
        <w:t xml:space="preserve"> </w:t>
      </w:r>
      <w:r>
        <w:t xml:space="preserve">increased risk</w:t>
      </w:r>
      <w:r>
        <w:t xml:space="preserve"> </w:t>
      </w:r>
      <w:r>
        <w:t xml:space="preserve">sensitivity of the</w:t>
      </w:r>
      <w:r>
        <w:t xml:space="preserve"> </w:t>
      </w:r>
      <w:r>
        <w:t xml:space="preserve">framework and</w:t>
      </w:r>
      <w:r>
        <w:t xml:space="preserve"> </w:t>
      </w:r>
      <w:r>
        <w:t xml:space="preserve">significant</w:t>
      </w:r>
      <w:r>
        <w:t xml:space="preserve"> </w:t>
      </w:r>
      <w:r>
        <w:t xml:space="preserve">simplification of</w:t>
      </w:r>
      <w:r>
        <w:t xml:space="preserve"> </w:t>
      </w:r>
      <w:r>
        <w:t xml:space="preserve">SRT framework)</w:t>
      </w:r>
      <w:r>
        <w:t xml:space="preserve"> </w:t>
      </w:r>
      <w:r>
        <w:t xml:space="preserve">Summary: ++</w:t>
      </w:r>
    </w:p>
    <w:p>
      <w:pPr>
        <w:pStyle w:val="BodyText"/>
      </w:pPr>
      <w:r>
        <w:t xml:space="preserve">++ (significant relaxation</w:t>
      </w:r>
      <w:r>
        <w:t xml:space="preserve"> </w:t>
      </w:r>
      <w:r>
        <w:t xml:space="preserve">of liquidity requirements</w:t>
      </w:r>
      <w:r>
        <w:t xml:space="preserve"> </w:t>
      </w:r>
      <w:r>
        <w:t xml:space="preserve">is expected to boost</w:t>
      </w:r>
      <w:r>
        <w:t xml:space="preserve"> </w:t>
      </w:r>
      <w:r>
        <w:t xml:space="preserve">banks’ investments in</w:t>
      </w:r>
      <w:r>
        <w:br/>
      </w:r>
      <w:r>
        <w:t xml:space="preserve">STS and non-STS</w:t>
      </w:r>
      <w:r>
        <w:t xml:space="preserve"> </w:t>
      </w:r>
      <w:r>
        <w:t xml:space="preserve">securitisations)</w:t>
      </w:r>
      <w:r>
        <w:t xml:space="preserve"> </w:t>
      </w:r>
      <w:r>
        <w:t xml:space="preserve">Summary: –</w:t>
      </w:r>
    </w:p>
    <w:p>
      <w:pPr>
        <w:pStyle w:val="Compact"/>
        <w:numPr>
          <w:ilvl w:val="0"/>
          <w:numId w:val="1003"/>
        </w:numPr>
      </w:pPr>
      <w:r>
        <w:t xml:space="preserve">(supervisory concerns with</w:t>
      </w:r>
      <w:r>
        <w:t xml:space="preserve"> </w:t>
      </w:r>
      <w:r>
        <w:t xml:space="preserve">removal of core supervisory</w:t>
      </w:r>
      <w:r>
        <w:t xml:space="preserve"> </w:t>
      </w:r>
      <w:r>
        <w:t xml:space="preserve">checks and significant</w:t>
      </w:r>
      <w:r>
        <w:t xml:space="preserve"> </w:t>
      </w:r>
      <w:r>
        <w:t xml:space="preserve">relaxation of criteria in the</w:t>
      </w:r>
      <w:r>
        <w:t xml:space="preserve"> </w:t>
      </w:r>
      <w:r>
        <w:t xml:space="preserve">liquidity framework)</w:t>
      </w:r>
    </w:p>
    <w:p>
      <w:pPr>
        <w:pStyle w:val="Compact"/>
        <w:numPr>
          <w:ilvl w:val="0"/>
          <w:numId w:val="1003"/>
        </w:numPr>
      </w:pPr>
      <w:r>
        <w:t xml:space="preserve">(concerns over significant</w:t>
      </w:r>
      <w:r>
        <w:t xml:space="preserve"> </w:t>
      </w:r>
      <w:r>
        <w:t xml:space="preserve">deviations from Basel</w:t>
      </w:r>
      <w:r>
        <w:t xml:space="preserve"> </w:t>
      </w:r>
      <w:r>
        <w:t xml:space="preserve">standards)</w:t>
      </w:r>
    </w:p>
    <w:p>
      <w:pPr>
        <w:pStyle w:val="FirstParagraph"/>
      </w:pPr>
      <w:r>
        <w:t xml:space="preserve">63</w:t>
      </w:r>
      <w:r>
        <w:t xml:space="preserve"> </w:t>
      </w:r>
      <w:r>
        <w:t xml:space="preserve">Legend: +++ = Very positive ++ = Positive + = Slightly positive +/- = Mixed effect</w:t>
      </w:r>
      <w:r>
        <w:br/>
      </w:r>
      <w:r>
        <w:t xml:space="preserve">0 = no effect - = Slightly negative – = Negative — = very negative</w:t>
      </w:r>
      <w:r>
        <w:t xml:space="preserve"> </w:t>
      </w:r>
      <w:r>
        <w:t xml:space="preserve">Note: the summary provided in the table on ‘impacts on stakeholders’ groups’ is the net result of the</w:t>
      </w:r>
      <w:r>
        <w:t xml:space="preserve"> </w:t>
      </w:r>
      <w:r>
        <w:t xml:space="preserve">pluses and minuses in each cell</w:t>
      </w:r>
      <w:r>
        <w:t xml:space="preserve"> </w:t>
      </w:r>
      <w:r>
        <w:t xml:space="preserve">6.3. Measures to remove undue prudential costs for insurers</w:t>
      </w:r>
      <w:r>
        <w:t xml:space="preserve"> </w:t>
      </w:r>
      <w:r>
        <w:t xml:space="preserve">The three options (Options 3.1, 3.2, and 3.3) considered share similarities, as they all involve</w:t>
      </w:r>
      <w:r>
        <w:t xml:space="preserve"> </w:t>
      </w:r>
      <w:r>
        <w:t xml:space="preserve">revising existing risk factors to calculate capital requirements. As a result, it can be challenging</w:t>
      </w:r>
      <w:r>
        <w:t xml:space="preserve"> </w:t>
      </w:r>
      <w:r>
        <w:t xml:space="preserve">for an external reader to grasp the differences and nuances between the options by examining</w:t>
      </w:r>
      <w:r>
        <w:t xml:space="preserve"> </w:t>
      </w:r>
      <w:r>
        <w:t xml:space="preserve">each one in isolation. Therefore, we have chosen to present a simultaneous assessment and</w:t>
      </w:r>
      <w:r>
        <w:t xml:space="preserve"> </w:t>
      </w:r>
      <w:r>
        <w:t xml:space="preserve">comparison of the options. This approach allows us to highlight how each option contributes</w:t>
      </w:r>
      <w:r>
        <w:t xml:space="preserve"> </w:t>
      </w:r>
      <w:r>
        <w:t xml:space="preserve">to specific costs and benefits while clearly distinguishing and quantifying the extent of these</w:t>
      </w:r>
      <w:r>
        <w:t xml:space="preserve"> </w:t>
      </w:r>
      <w:r>
        <w:t xml:space="preserve">effects. We also avoid extensive repetitions and redundant content. Although the structure is</w:t>
      </w:r>
      <w:r>
        <w:t xml:space="preserve"> </w:t>
      </w:r>
      <w:r>
        <w:t xml:space="preserve">distinct, the dimensions assessed remain consistent with the previous sections.</w:t>
      </w:r>
      <w:r>
        <w:t xml:space="preserve"> </w:t>
      </w:r>
      <w:r>
        <w:t xml:space="preserve">6.3.1. Comparative impacts of Options 1, 2 and 3</w:t>
      </w:r>
      <w:r>
        <w:t xml:space="preserve"> </w:t>
      </w:r>
      <w:r>
        <w:t xml:space="preserve">Option 3.1: Removing prudential barriers to investments in all non-STS securitisations;</w:t>
      </w:r>
      <w:r>
        <w:br/>
      </w:r>
      <w:r>
        <w:t xml:space="preserve">Option 3.2: Improving risk sensitivity and removing prudential barriers to investments in the</w:t>
      </w:r>
      <w:r>
        <w:t xml:space="preserve"> </w:t>
      </w:r>
      <w:r>
        <w:t xml:space="preserve">safest tranches of non-STS securitisations;</w:t>
      </w:r>
      <w:r>
        <w:br/>
      </w:r>
      <w:r>
        <w:t xml:space="preserve">Option 3.3: Overhauling the prudential treatment of securitisations in order to make all</w:t>
      </w:r>
      <w:r>
        <w:t xml:space="preserve"> </w:t>
      </w:r>
      <w:r>
        <w:t xml:space="preserve">securitisation investments relatively more ‘attractive’ than under current rules.</w:t>
      </w:r>
      <w:r>
        <w:t xml:space="preserve"> </w:t>
      </w:r>
      <w:r>
        <w:t xml:space="preserve">All three options considered imply a reduction in the amount of capital that insurers are</w:t>
      </w:r>
      <w:r>
        <w:t xml:space="preserve"> </w:t>
      </w:r>
      <w:r>
        <w:t xml:space="preserve">required to hold when investing in a securitisation. This would make it less costly (capital cost)</w:t>
      </w:r>
      <w:r>
        <w:t xml:space="preserve"> </w:t>
      </w:r>
      <w:r>
        <w:t xml:space="preserve">for insurers to invest in securitisation, thus removing the existing undue prudential</w:t>
      </w:r>
      <w:r>
        <w:t xml:space="preserve"> </w:t>
      </w:r>
      <w:r>
        <w:t xml:space="preserve">disincentives for insurers to invest in the EU securitisation market. The options mainly differ</w:t>
      </w:r>
      <w:r>
        <w:t xml:space="preserve"> </w:t>
      </w:r>
      <w:r>
        <w:t xml:space="preserve">in terms of (1) the type of securitisations that would benefit from lowering of capital charges,</w:t>
      </w:r>
      <w:r>
        <w:t xml:space="preserve"> </w:t>
      </w:r>
      <w:r>
        <w:t xml:space="preserve">(2) the extent of capital relief provided and (3) whether this implies a fundamental change to</w:t>
      </w:r>
      <w:r>
        <w:t xml:space="preserve"> </w:t>
      </w:r>
      <w:r>
        <w:t xml:space="preserve">the way of assessing risks of securitisation positions. The net overall effect of these options</w:t>
      </w:r>
      <w:r>
        <w:t xml:space="preserve"> </w:t>
      </w:r>
      <w:r>
        <w:t xml:space="preserve">varies mainly by degree. Still, one needs to also consider the robustness of the underlying</w:t>
      </w:r>
      <w:r>
        <w:t xml:space="preserve"> </w:t>
      </w:r>
      <w:r>
        <w:t xml:space="preserve">technical rationale for changing the rules when assessing each option. The comparative features</w:t>
      </w:r>
      <w:r>
        <w:t xml:space="preserve"> </w:t>
      </w:r>
      <w:r>
        <w:t xml:space="preserve">of the three options are described in the below table.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Eligible</w:t>
      </w:r>
      <w:r>
        <w:t xml:space="preserve"> </w:t>
      </w:r>
      <w:r>
        <w:t xml:space="preserve">securitisations</w:t>
      </w:r>
      <w:r>
        <w:t xml:space="preserve"> </w:t>
      </w:r>
      <w:r>
        <w:t xml:space="preserve">All non-STS</w:t>
      </w:r>
      <w:r>
        <w:t xml:space="preserve"> </w:t>
      </w:r>
      <w:r>
        <w:t xml:space="preserve">securitisations</w:t>
      </w:r>
      <w:r>
        <w:t xml:space="preserve"> </w:t>
      </w:r>
      <w:r>
        <w:t xml:space="preserve">Only senior non-STS</w:t>
      </w:r>
      <w:r>
        <w:t xml:space="preserve"> </w:t>
      </w:r>
      <w:r>
        <w:t xml:space="preserve">securitisations</w:t>
      </w:r>
      <w:r>
        <w:t xml:space="preserve"> </w:t>
      </w:r>
      <w:r>
        <w:t xml:space="preserve">All securitisations (both</w:t>
      </w:r>
      <w:r>
        <w:t xml:space="preserve"> </w:t>
      </w:r>
      <w:r>
        <w:t xml:space="preserve">STS and non-STS)</w:t>
      </w:r>
      <w:r>
        <w:t xml:space="preserve"> </w:t>
      </w:r>
      <w:r>
        <w:t xml:space="preserve">Extent of capital</w:t>
      </w:r>
      <w:r>
        <w:t xml:space="preserve"> </w:t>
      </w:r>
      <w:r>
        <w:t xml:space="preserve">relief</w:t>
      </w:r>
      <w:r>
        <w:t xml:space="preserve"> </w:t>
      </w:r>
      <w:r>
        <w:t xml:space="preserve">Simple (moderate)</w:t>
      </w:r>
      <w:r>
        <w:t xml:space="preserve"> </w:t>
      </w:r>
      <w:r>
        <w:t xml:space="preserve">lowering of capital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More significant</w:t>
      </w:r>
      <w:r>
        <w:t xml:space="preserve"> </w:t>
      </w:r>
      <w:r>
        <w:t xml:space="preserve">lowering of capital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Highest lowering of</w:t>
      </w:r>
      <w:r>
        <w:t xml:space="preserve"> </w:t>
      </w:r>
      <w:r>
        <w:t xml:space="preserve">capital requirements</w:t>
      </w:r>
      <w:r>
        <w:t xml:space="preserve"> </w:t>
      </w:r>
      <w:r>
        <w:t xml:space="preserve">Fundamental</w:t>
      </w:r>
      <w:r>
        <w:t xml:space="preserve"> </w:t>
      </w:r>
      <w:r>
        <w:t xml:space="preserve">change to the way</w:t>
      </w:r>
      <w:r>
        <w:t xml:space="preserve"> </w:t>
      </w:r>
      <w:r>
        <w:t xml:space="preserve">of assessing risks</w:t>
      </w:r>
      <w:r>
        <w:t xml:space="preserve"> </w:t>
      </w:r>
      <w:r>
        <w:t xml:space="preserve">No - capital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would continue to</w:t>
      </w:r>
      <w:r>
        <w:t xml:space="preserve"> </w:t>
      </w:r>
      <w:r>
        <w:t xml:space="preserve">No - capital</w:t>
      </w:r>
      <w:r>
        <w:t xml:space="preserve"> </w:t>
      </w:r>
      <w:r>
        <w:t xml:space="preserve">requirements would</w:t>
      </w:r>
      <w:r>
        <w:t xml:space="preserve"> </w:t>
      </w:r>
      <w:r>
        <w:t xml:space="preserve">continue to reflect</w:t>
      </w:r>
      <w:r>
        <w:t xml:space="preserve"> </w:t>
      </w:r>
      <w:r>
        <w:t xml:space="preserve">market volatility risk</w:t>
      </w:r>
      <w:r>
        <w:t xml:space="preserve"> </w:t>
      </w:r>
      <w:r>
        <w:t xml:space="preserve">Yes – capital</w:t>
      </w:r>
      <w:r>
        <w:t xml:space="preserve"> </w:t>
      </w:r>
      <w:r>
        <w:t xml:space="preserve">requirements would</w:t>
      </w:r>
      <w:r>
        <w:t xml:space="preserve"> </w:t>
      </w:r>
      <w:r>
        <w:t xml:space="preserve">only reflect</w:t>
      </w:r>
      <w:r>
        <w:t xml:space="preserve"> </w:t>
      </w:r>
      <w:r>
        <w:t xml:space="preserve">counterparty default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of securitisation</w:t>
      </w:r>
      <w:r>
        <w:t xml:space="preserve"> </w:t>
      </w:r>
      <w:r>
        <w:t xml:space="preserve">positions?</w:t>
      </w:r>
      <w:r>
        <w:t xml:space="preserve"> </w:t>
      </w:r>
      <w:r>
        <w:t xml:space="preserve">reflect market</w:t>
      </w:r>
      <w:r>
        <w:t xml:space="preserve"> </w:t>
      </w:r>
      <w:r>
        <w:t xml:space="preserve">volatility risk</w:t>
      </w:r>
      <w:r>
        <w:t xml:space="preserve"> </w:t>
      </w:r>
      <w:r>
        <w:t xml:space="preserve">risk, and no longer</w:t>
      </w:r>
      <w:r>
        <w:t xml:space="preserve"> </w:t>
      </w:r>
      <w:r>
        <w:t xml:space="preserve">market volatility</w:t>
      </w:r>
      <w:r>
        <w:t xml:space="preserve"> </w:t>
      </w:r>
      <w:r>
        <w:t xml:space="preserve">The impact on stakeholders depends on how insurers will use the capital relief. This section</w:t>
      </w:r>
      <w:r>
        <w:t xml:space="preserve"> </w:t>
      </w:r>
      <w:r>
        <w:t xml:space="preserve">includes a summary table, but the topic is further discussed in Annex XI, Section A. Impacts</w:t>
      </w:r>
      <w:r>
        <w:t xml:space="preserve"> </w:t>
      </w:r>
      <w:r>
        <w:t xml:space="preserve">on stakeholder groups following the implementation of the respective policy options.</w:t>
      </w:r>
    </w:p>
    <w:p>
      <w:pPr>
        <w:pStyle w:val="BodyText"/>
      </w:pPr>
      <w:r>
        <w:t xml:space="preserve">Issuers</w:t>
      </w:r>
      <w:r>
        <w:t xml:space="preserve"> </w:t>
      </w:r>
      <w:r>
        <w:t xml:space="preserve">of</w:t>
      </w:r>
      <w:r>
        <w:t xml:space="preserve"> </w:t>
      </w:r>
      <w:r>
        <w:t xml:space="preserve">securitisations</w:t>
      </w:r>
      <w:r>
        <w:t xml:space="preserve"> </w:t>
      </w:r>
      <w:r>
        <w:t xml:space="preserve">Insurers</w:t>
      </w:r>
      <w:r>
        <w:t xml:space="preserve"> </w:t>
      </w:r>
      <w:r>
        <w:t xml:space="preserve">Policyholders</w:t>
      </w:r>
      <w:r>
        <w:t xml:space="preserve"> </w:t>
      </w:r>
      <w:r>
        <w:t xml:space="preserve">Supervisory</w:t>
      </w:r>
      <w:r>
        <w:t xml:space="preserve"> </w:t>
      </w:r>
      <w:r>
        <w:t xml:space="preserve">authorities</w:t>
      </w:r>
      <w:r>
        <w:t xml:space="preserve"> </w:t>
      </w:r>
      <w:r>
        <w:t xml:space="preserve">Option</w:t>
      </w:r>
      <w:r>
        <w:t xml:space="preserve"> </w:t>
      </w:r>
      <w:r>
        <w:t xml:space="preserve">3.1.</w:t>
      </w:r>
      <w:r>
        <w:t xml:space="preserve"> </w:t>
      </w:r>
      <w:r>
        <w:t xml:space="preserve">Summary:</w:t>
      </w:r>
      <w:r>
        <w:t xml:space="preserve"> </w:t>
      </w:r>
      <w:r>
        <w:t xml:space="preserve">+</w:t>
      </w:r>
      <w:r>
        <w:t xml:space="preserve"> </w:t>
      </w:r>
      <w:r>
        <w:t xml:space="preserve">(If</w:t>
      </w:r>
      <w:r>
        <w:t xml:space="preserve"> </w:t>
      </w:r>
      <w:r>
        <w:t xml:space="preserve">insurers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capital relief to invest</w:t>
      </w:r>
      <w:r>
        <w:t xml:space="preserve"> </w:t>
      </w:r>
      <w:r>
        <w:t xml:space="preserve">in</w:t>
      </w:r>
      <w:r>
        <w:t xml:space="preserve"> </w:t>
      </w:r>
      <w:r>
        <w:t xml:space="preserve">more</w:t>
      </w:r>
      <w:r>
        <w:t xml:space="preserve"> </w:t>
      </w:r>
      <w:r>
        <w:t xml:space="preserve">securitisations,</w:t>
      </w:r>
      <w:r>
        <w:t xml:space="preserve"> </w:t>
      </w:r>
      <w:r>
        <w:t xml:space="preserve">this</w:t>
      </w:r>
      <w:r>
        <w:t xml:space="preserve"> </w:t>
      </w:r>
      <w:r>
        <w:t xml:space="preserve">would increase the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more</w:t>
      </w:r>
      <w:r>
        <w:t xml:space="preserve"> </w:t>
      </w:r>
      <w:r>
        <w:t xml:space="preserve">issuances)</w:t>
      </w:r>
      <w:r>
        <w:t xml:space="preserve"> </w:t>
      </w:r>
      <w:r>
        <w:t xml:space="preserve">Summary: ++</w:t>
      </w:r>
      <w:r>
        <w:t xml:space="preserve"> </w:t>
      </w:r>
      <w:r>
        <w:t xml:space="preserve">++</w:t>
      </w:r>
      <w:r>
        <w:t xml:space="preserve"> </w:t>
      </w:r>
      <w:r>
        <w:t xml:space="preserve">(Several</w:t>
      </w:r>
      <w:r>
        <w:t xml:space="preserve"> </w:t>
      </w:r>
      <w:r>
        <w:t xml:space="preserve">billion euro of</w:t>
      </w:r>
      <w:r>
        <w:t xml:space="preserve"> </w:t>
      </w:r>
      <w:r>
        <w:t xml:space="preserve">capital relief)</w:t>
      </w:r>
      <w:r>
        <w:t xml:space="preserve"> </w:t>
      </w:r>
      <w:r>
        <w:t xml:space="preserve">Summary: 0</w:t>
      </w:r>
      <w:r>
        <w:t xml:space="preserve"> </w:t>
      </w:r>
      <w:r>
        <w:t xml:space="preserve">+</w:t>
      </w:r>
      <w:r>
        <w:t xml:space="preserve"> </w:t>
      </w:r>
      <w:r>
        <w:t xml:space="preserve">(potential</w:t>
      </w:r>
      <w:r>
        <w:t xml:space="preserve"> </w:t>
      </w:r>
      <w:r>
        <w:t xml:space="preserve">higher</w:t>
      </w:r>
      <w:r>
        <w:t xml:space="preserve"> </w:t>
      </w:r>
      <w:r>
        <w:t xml:space="preserve">expected</w:t>
      </w:r>
      <w:r>
        <w:t xml:space="preserve"> </w:t>
      </w:r>
      <w:r>
        <w:t xml:space="preserve">return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savings)</w:t>
      </w:r>
      <w:r>
        <w:t xml:space="preserve"> </w:t>
      </w:r>
      <w:r>
        <w:t xml:space="preserve">- more risk taking</w:t>
      </w:r>
      <w:r>
        <w:t xml:space="preserve"> </w:t>
      </w:r>
      <w:r>
        <w:t xml:space="preserve">means</w:t>
      </w:r>
      <w:r>
        <w:t xml:space="preserve"> </w:t>
      </w:r>
      <w:r>
        <w:t xml:space="preserve">higher</w:t>
      </w:r>
      <w:r>
        <w:t xml:space="preserve"> </w:t>
      </w:r>
      <w:r>
        <w:t xml:space="preserve">likelihood that the</w:t>
      </w:r>
      <w:r>
        <w:t xml:space="preserve"> </w:t>
      </w:r>
      <w:r>
        <w:t xml:space="preserve">insurer fails</w:t>
      </w:r>
      <w:r>
        <w:t xml:space="preserve"> </w:t>
      </w:r>
      <w:r>
        <w:t xml:space="preserve">Summary: –</w:t>
      </w:r>
      <w:r>
        <w:t xml:space="preserve"> </w:t>
      </w:r>
      <w:r>
        <w:t xml:space="preserve">– (lower level of</w:t>
      </w:r>
      <w:r>
        <w:t xml:space="preserve"> </w:t>
      </w:r>
      <w:r>
        <w:t xml:space="preserve">prudence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Framework</w:t>
      </w:r>
      <w:r>
        <w:t xml:space="preserve"> </w:t>
      </w:r>
      <w:r>
        <w:t xml:space="preserve">and</w:t>
      </w:r>
      <w:r>
        <w:t xml:space="preserve"> </w:t>
      </w:r>
      <w:r>
        <w:t xml:space="preserve">lower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intervene timely to</w:t>
      </w:r>
      <w:r>
        <w:t xml:space="preserve"> </w:t>
      </w:r>
      <w:r>
        <w:t xml:space="preserve">avoid insolvencies)</w:t>
      </w:r>
      <w:r>
        <w:t xml:space="preserve"> </w:t>
      </w:r>
      <w:r>
        <w:t xml:space="preserve">Option</w:t>
      </w:r>
      <w:r>
        <w:t xml:space="preserve"> </w:t>
      </w:r>
      <w:r>
        <w:t xml:space="preserve">3.2.</w:t>
      </w:r>
      <w:r>
        <w:t xml:space="preserve"> </w:t>
      </w:r>
      <w:r>
        <w:t xml:space="preserve">Summary:</w:t>
      </w:r>
      <w:r>
        <w:t xml:space="preserve"> </w:t>
      </w:r>
      <w:r>
        <w:t xml:space="preserve">+</w:t>
      </w:r>
      <w:r>
        <w:t xml:space="preserve"> </w:t>
      </w:r>
      <w:r>
        <w:t xml:space="preserve">(If</w:t>
      </w:r>
      <w:r>
        <w:t xml:space="preserve"> </w:t>
      </w:r>
      <w:r>
        <w:t xml:space="preserve">insurers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capital relief to invest</w:t>
      </w:r>
      <w:r>
        <w:t xml:space="preserve"> </w:t>
      </w:r>
      <w:r>
        <w:t xml:space="preserve">in</w:t>
      </w:r>
      <w:r>
        <w:t xml:space="preserve"> </w:t>
      </w:r>
      <w:r>
        <w:t xml:space="preserve">more</w:t>
      </w:r>
      <w:r>
        <w:t xml:space="preserve"> </w:t>
      </w:r>
      <w:r>
        <w:t xml:space="preserve">securitisations,</w:t>
      </w:r>
      <w:r>
        <w:t xml:space="preserve"> </w:t>
      </w:r>
      <w:r>
        <w:t xml:space="preserve">this</w:t>
      </w:r>
      <w:r>
        <w:t xml:space="preserve"> </w:t>
      </w:r>
      <w:r>
        <w:t xml:space="preserve">would increase the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more</w:t>
      </w:r>
      <w:r>
        <w:t xml:space="preserve"> </w:t>
      </w:r>
      <w:r>
        <w:t xml:space="preserve">issuances)</w:t>
      </w:r>
      <w:r>
        <w:t xml:space="preserve"> </w:t>
      </w:r>
      <w:r>
        <w:t xml:space="preserve">Summary: ++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(Several</w:t>
      </w:r>
      <w:r>
        <w:t xml:space="preserve"> </w:t>
      </w:r>
      <w:r>
        <w:t xml:space="preserve">billion euro of</w:t>
      </w:r>
      <w:r>
        <w:t xml:space="preserve"> </w:t>
      </w:r>
      <w:r>
        <w:t xml:space="preserve">capital relief).</w:t>
      </w:r>
      <w:r>
        <w:t xml:space="preserve"> </w:t>
      </w:r>
      <w:r>
        <w:t xml:space="preserve">Would be all</w:t>
      </w:r>
      <w:r>
        <w:t xml:space="preserve"> </w:t>
      </w:r>
      <w:r>
        <w:t xml:space="preserve">the</w:t>
      </w:r>
      <w:r>
        <w:t xml:space="preserve"> </w:t>
      </w:r>
      <w:r>
        <w:t xml:space="preserve">more</w:t>
      </w:r>
      <w:r>
        <w:t xml:space="preserve"> </w:t>
      </w:r>
      <w:r>
        <w:t xml:space="preserve">beneficial</w:t>
      </w:r>
      <w:r>
        <w:t xml:space="preserve"> </w:t>
      </w:r>
      <w:r>
        <w:t xml:space="preserve">if</w:t>
      </w:r>
      <w:r>
        <w:t xml:space="preserve"> </w:t>
      </w:r>
      <w:r>
        <w:t xml:space="preserve">insurers invest</w:t>
      </w:r>
      <w:r>
        <w:t xml:space="preserve"> </w:t>
      </w:r>
      <w:r>
        <w:t xml:space="preserve">in the senior</w:t>
      </w:r>
      <w:r>
        <w:t xml:space="preserve"> </w:t>
      </w:r>
      <w:r>
        <w:t xml:space="preserve">tranches</w:t>
      </w:r>
      <w:r>
        <w:t xml:space="preserve"> </w:t>
      </w:r>
      <w:r>
        <w:t xml:space="preserve">of</w:t>
      </w:r>
      <w:r>
        <w:t xml:space="preserve"> </w:t>
      </w:r>
      <w:r>
        <w:t xml:space="preserve">non-STS</w:t>
      </w:r>
      <w:r>
        <w:t xml:space="preserve"> </w:t>
      </w:r>
      <w:r>
        <w:t xml:space="preserve">Summary: +/-</w:t>
      </w:r>
      <w:r>
        <w:t xml:space="preserve"> </w:t>
      </w:r>
      <w:r>
        <w:t xml:space="preserve">+</w:t>
      </w:r>
      <w:r>
        <w:t xml:space="preserve"> </w:t>
      </w:r>
      <w:r>
        <w:t xml:space="preserve">(Potential</w:t>
      </w:r>
      <w:r>
        <w:t xml:space="preserve"> </w:t>
      </w:r>
      <w:r>
        <w:t xml:space="preserve">higher</w:t>
      </w:r>
      <w:r>
        <w:t xml:space="preserve"> </w:t>
      </w:r>
      <w:r>
        <w:t xml:space="preserve">expected</w:t>
      </w:r>
      <w:r>
        <w:t xml:space="preserve"> </w:t>
      </w:r>
      <w:r>
        <w:t xml:space="preserve">return on savings)</w:t>
      </w:r>
      <w:r>
        <w:t xml:space="preserve"> </w:t>
      </w:r>
      <w:r>
        <w:t xml:space="preserve">++ (Removal of</w:t>
      </w:r>
      <w:r>
        <w:t xml:space="preserve"> </w:t>
      </w:r>
      <w:r>
        <w:t xml:space="preserve">incentives</w:t>
      </w:r>
      <w:r>
        <w:t xml:space="preserve"> </w:t>
      </w:r>
      <w:r>
        <w:t xml:space="preserve">for</w:t>
      </w:r>
      <w:r>
        <w:t xml:space="preserve"> </w:t>
      </w:r>
      <w:r>
        <w:t xml:space="preserve">undue risk taking</w:t>
      </w:r>
      <w:r>
        <w:t xml:space="preserve"> </w:t>
      </w:r>
      <w:r>
        <w:t xml:space="preserve">in</w:t>
      </w:r>
      <w:r>
        <w:t xml:space="preserve"> </w:t>
      </w:r>
      <w:r>
        <w:t xml:space="preserve">riskiest</w:t>
      </w:r>
      <w:r>
        <w:t xml:space="preserve"> </w:t>
      </w:r>
      <w:r>
        <w:t xml:space="preserve">tranches)</w:t>
      </w:r>
      <w:r>
        <w:t xml:space="preserve"> </w:t>
      </w:r>
      <w:r>
        <w:t xml:space="preserve">- (lower level of</w:t>
      </w:r>
      <w:r>
        <w:t xml:space="preserve"> </w:t>
      </w:r>
      <w:r>
        <w:t xml:space="preserve">prudence</w:t>
      </w:r>
      <w:r>
        <w:t xml:space="preserve"> </w:t>
      </w:r>
      <w:r>
        <w:t xml:space="preserve">of</w:t>
      </w:r>
      <w:r>
        <w:t xml:space="preserve"> </w:t>
      </w:r>
      <w:r>
        <w:t xml:space="preserve">Solvency II)</w:t>
      </w:r>
      <w:r>
        <w:t xml:space="preserve"> </w:t>
      </w:r>
      <w:r>
        <w:t xml:space="preserve">Summary: -</w:t>
      </w:r>
      <w:r>
        <w:t xml:space="preserve"> </w:t>
      </w:r>
      <w:r>
        <w:t xml:space="preserve">- (lower level of</w:t>
      </w:r>
      <w:r>
        <w:t xml:space="preserve"> </w:t>
      </w:r>
      <w:r>
        <w:t xml:space="preserve">prudence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Framework</w:t>
      </w:r>
      <w:r>
        <w:t xml:space="preserve"> </w:t>
      </w:r>
      <w:r>
        <w:t xml:space="preserve">and</w:t>
      </w:r>
      <w:r>
        <w:t xml:space="preserve"> </w:t>
      </w:r>
      <w:r>
        <w:t xml:space="preserve">less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intervene timely to</w:t>
      </w:r>
      <w:r>
        <w:t xml:space="preserve"> </w:t>
      </w:r>
      <w:r>
        <w:t xml:space="preserve">avoid insolvencies)</w:t>
      </w:r>
      <w:r>
        <w:t xml:space="preserve"> </w:t>
      </w:r>
      <w:r>
        <w:t xml:space="preserve">Option</w:t>
      </w:r>
      <w:r>
        <w:t xml:space="preserve"> </w:t>
      </w:r>
      <w:r>
        <w:t xml:space="preserve">3.3.</w:t>
      </w:r>
      <w:r>
        <w:t xml:space="preserve"> </w:t>
      </w:r>
      <w:r>
        <w:t xml:space="preserve">Summary:</w:t>
      </w:r>
      <w:r>
        <w:t xml:space="preserve"> </w:t>
      </w:r>
      <w:r>
        <w:t xml:space="preserve">+</w:t>
      </w:r>
      <w:r>
        <w:t xml:space="preserve"> </w:t>
      </w:r>
      <w:r>
        <w:t xml:space="preserve">(If</w:t>
      </w:r>
      <w:r>
        <w:t xml:space="preserve"> </w:t>
      </w:r>
      <w:r>
        <w:t xml:space="preserve">insurers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capital relief to invest</w:t>
      </w:r>
      <w:r>
        <w:t xml:space="preserve"> </w:t>
      </w:r>
      <w:r>
        <w:t xml:space="preserve">in</w:t>
      </w:r>
      <w:r>
        <w:t xml:space="preserve"> </w:t>
      </w:r>
      <w:r>
        <w:t xml:space="preserve">more</w:t>
      </w:r>
      <w:r>
        <w:t xml:space="preserve"> </w:t>
      </w:r>
      <w:r>
        <w:t xml:space="preserve">securitisations,</w:t>
      </w:r>
      <w:r>
        <w:t xml:space="preserve"> </w:t>
      </w:r>
      <w:r>
        <w:t xml:space="preserve">this</w:t>
      </w:r>
      <w:r>
        <w:t xml:space="preserve"> </w:t>
      </w:r>
      <w:r>
        <w:t xml:space="preserve">would increase the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more</w:t>
      </w:r>
      <w:r>
        <w:t xml:space="preserve"> </w:t>
      </w:r>
      <w:r>
        <w:t xml:space="preserve">issuances)</w:t>
      </w:r>
      <w:r>
        <w:t xml:space="preserve"> </w:t>
      </w:r>
      <w:r>
        <w:t xml:space="preserve">Summary: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(most</w:t>
      </w:r>
      <w:r>
        <w:t xml:space="preserve"> </w:t>
      </w:r>
      <w:r>
        <w:t xml:space="preserve">significant</w:t>
      </w:r>
      <w:r>
        <w:t xml:space="preserve"> </w:t>
      </w:r>
      <w:r>
        <w:t xml:space="preserve">capital relief)</w:t>
      </w:r>
      <w:r>
        <w:t xml:space="preserve"> </w:t>
      </w:r>
      <w:r>
        <w:t xml:space="preserve">Summary: -</w:t>
      </w:r>
      <w:r>
        <w:t xml:space="preserve"> </w:t>
      </w:r>
      <w:r>
        <w:t xml:space="preserve">++</w:t>
      </w:r>
      <w:r>
        <w:t xml:space="preserve"> </w:t>
      </w:r>
      <w:r>
        <w:t xml:space="preserve">(Potential</w:t>
      </w:r>
      <w:r>
        <w:t xml:space="preserve"> </w:t>
      </w:r>
      <w:r>
        <w:t xml:space="preserve">Higher</w:t>
      </w:r>
      <w:r>
        <w:t xml:space="preserve"> </w:t>
      </w:r>
      <w:r>
        <w:t xml:space="preserve">expected</w:t>
      </w:r>
      <w:r>
        <w:t xml:space="preserve"> </w:t>
      </w:r>
      <w:r>
        <w:t xml:space="preserve">return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savings)</w:t>
      </w:r>
      <w:r>
        <w:t xml:space="preserve"> </w:t>
      </w:r>
      <w:r>
        <w:t xml:space="preserve">—</w:t>
      </w:r>
      <w:r>
        <w:t xml:space="preserve"> </w:t>
      </w:r>
      <w:r>
        <w:t xml:space="preserve">(significant</w:t>
      </w:r>
      <w:r>
        <w:t xml:space="preserve"> </w:t>
      </w:r>
      <w:r>
        <w:t xml:space="preserve">deterioration</w:t>
      </w:r>
      <w:r>
        <w:t xml:space="preserve"> </w:t>
      </w:r>
      <w:r>
        <w:t xml:space="preserve">of</w:t>
      </w:r>
      <w:r>
        <w:t xml:space="preserve"> </w:t>
      </w:r>
      <w:r>
        <w:t xml:space="preserve">level prudence can</w:t>
      </w:r>
      <w:r>
        <w:t xml:space="preserve"> </w:t>
      </w:r>
      <w:r>
        <w:t xml:space="preserve">pose material risks</w:t>
      </w:r>
      <w:r>
        <w:t xml:space="preserve"> </w:t>
      </w:r>
      <w:r>
        <w:t xml:space="preserve">to</w:t>
      </w:r>
      <w:r>
        <w:t xml:space="preserve"> </w:t>
      </w:r>
      <w:r>
        <w:t xml:space="preserve">policyholder</w:t>
      </w:r>
      <w:r>
        <w:t xml:space="preserve"> </w:t>
      </w:r>
      <w:r>
        <w:t xml:space="preserve">protection)</w:t>
      </w:r>
      <w:r>
        <w:t xml:space="preserve"> </w:t>
      </w:r>
      <w:r>
        <w:t xml:space="preserve">Summary: —</w:t>
      </w:r>
      <w:r>
        <w:t xml:space="preserve"> </w:t>
      </w:r>
      <w:r>
        <w:t xml:space="preserve">—</w:t>
      </w:r>
      <w:r>
        <w:t xml:space="preserve"> </w:t>
      </w:r>
      <w:r>
        <w:t xml:space="preserve">(inconsistent</w:t>
      </w:r>
      <w:r>
        <w:t xml:space="preserve"> </w:t>
      </w:r>
      <w:r>
        <w:t xml:space="preserve">prudential</w:t>
      </w:r>
      <w:r>
        <w:t xml:space="preserve"> </w:t>
      </w:r>
      <w:r>
        <w:t xml:space="preserve">framework, making</w:t>
      </w:r>
      <w:r>
        <w:t xml:space="preserve"> </w:t>
      </w:r>
      <w:r>
        <w:t xml:space="preserve">supervisors’ ability</w:t>
      </w:r>
      <w:r>
        <w:t xml:space="preserve"> </w:t>
      </w:r>
      <w:r>
        <w:t xml:space="preserve">to exercise their</w:t>
      </w:r>
      <w:r>
        <w:t xml:space="preserve"> </w:t>
      </w:r>
      <w:r>
        <w:t xml:space="preserve">prerogative</w:t>
      </w:r>
      <w:r>
        <w:t xml:space="preserve"> </w:t>
      </w:r>
      <w:r>
        <w:t xml:space="preserve">much</w:t>
      </w:r>
      <w:r>
        <w:t xml:space="preserve"> </w:t>
      </w:r>
      <w:r>
        <w:t xml:space="preserve">more complex)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Legend: +++ = Very positive ++ = Positive + = Slightly positive +/- =Mixed effect</w:t>
      </w:r>
      <w:r>
        <w:br/>
      </w:r>
      <w:r>
        <w:t xml:space="preserve">0 = no effect - = Slightly negative – = Negative — = very negative</w:t>
      </w:r>
      <w:r>
        <w:t xml:space="preserve"> </w:t>
      </w:r>
      <w:r>
        <w:t xml:space="preserve">NB: the summary aims at ‘netting’ the pluses and minuses of the different sub-aspects</w:t>
      </w:r>
      <w:r>
        <w:t xml:space="preserve"> </w:t>
      </w:r>
      <w:r>
        <w:t xml:space="preserve">considered.</w:t>
      </w:r>
    </w:p>
    <w:p>
      <w:pPr>
        <w:pStyle w:val="BodyText"/>
      </w:pPr>
      <w:r>
        <w:t xml:space="preserve">6.3.2. Comparative benefits and costs of the three options</w:t>
      </w:r>
      <w:r>
        <w:t xml:space="preserve"> </w:t>
      </w:r>
      <w:r>
        <w:t xml:space="preserve">6.3.2.1. Benefits</w:t>
      </w:r>
      <w:r>
        <w:br/>
      </w:r>
      <w:r>
        <w:t xml:space="preserve">As explained above, all options have in common a reduction of capital requirements so that it</w:t>
      </w:r>
      <w:r>
        <w:t xml:space="preserve"> </w:t>
      </w:r>
      <w:r>
        <w:t xml:space="preserve">is less costly for insurers to invest in securitisations – hence removing undue prudential</w:t>
      </w:r>
      <w:r>
        <w:t xml:space="preserve"> </w:t>
      </w:r>
      <w:r>
        <w:t xml:space="preserve">obstacles to investments in securitisations in line with the second specific objective. For this</w:t>
      </w:r>
      <w:r>
        <w:t xml:space="preserve"> </w:t>
      </w:r>
      <w:r>
        <w:t xml:space="preserve">reason, they would all contribute to the general objective of this impact assessment (reviving a</w:t>
      </w:r>
      <w:r>
        <w:t xml:space="preserve"> </w:t>
      </w:r>
      <w:r>
        <w:t xml:space="preserve">safer securitisation market).</w:t>
      </w:r>
      <w:r>
        <w:br/>
      </w:r>
      <w:r>
        <w:t xml:space="preserve">The below table provides a very rough estimate of the potential total capital relief (before</w:t>
      </w:r>
      <w:r>
        <w:t xml:space="preserve"> </w:t>
      </w:r>
      <w:r>
        <w:t xml:space="preserve">assuming any change in their investment behaviours). This would represent the additional</w:t>
      </w:r>
      <w:r>
        <w:t xml:space="preserve"> </w:t>
      </w:r>
      <w:r>
        <w:t xml:space="preserve">capital available for insurers to make new investments (possibly in securitisation). Please note</w:t>
      </w:r>
      <w:r>
        <w:t xml:space="preserve"> </w:t>
      </w:r>
      <w:r>
        <w:t xml:space="preserve">that these Commission calculations are based on a number of simplifying assumptions66, which</w:t>
      </w:r>
      <w:r>
        <w:t xml:space="preserve"> </w:t>
      </w:r>
      <w:r>
        <w:t xml:space="preserve">are necessary as the reporting data submitted by insurers to their supervisors (and centralised</w:t>
      </w:r>
      <w:r>
        <w:t xml:space="preserve"> </w:t>
      </w:r>
      <w:r>
        <w:t xml:space="preserve">by EIOPA) is not sufficiently granular.</w:t>
      </w:r>
    </w:p>
    <w:p>
      <w:pPr>
        <w:pStyle w:val="BodyText"/>
      </w:pPr>
      <w:r>
        <w:t xml:space="preserve">Option 3.1</w:t>
      </w:r>
      <w:r>
        <w:t xml:space="preserve"> </w:t>
      </w:r>
      <w:r>
        <w:t xml:space="preserve">Option 3.2</w:t>
      </w:r>
      <w:r>
        <w:t xml:space="preserve"> </w:t>
      </w:r>
      <w:r>
        <w:t xml:space="preserve">Option 3.3</w:t>
      </w:r>
      <w:r>
        <w:t xml:space="preserve"> </w:t>
      </w:r>
      <w:r>
        <w:t xml:space="preserve">Comparison of scope of</w:t>
      </w:r>
      <w:r>
        <w:t xml:space="preserve"> </w:t>
      </w:r>
      <w:r>
        <w:t xml:space="preserve">eligible investments</w:t>
      </w:r>
      <w:r>
        <w:t xml:space="preserve"> </w:t>
      </w:r>
      <w:r>
        <w:t xml:space="preserve">Intermediate</w:t>
      </w:r>
      <w:r>
        <w:t xml:space="preserve"> </w:t>
      </w:r>
      <w:r>
        <w:t xml:space="preserve">(all non-STS)</w:t>
      </w:r>
      <w:r>
        <w:t xml:space="preserve"> </w:t>
      </w:r>
      <w:r>
        <w:t xml:space="preserve">Narrowest</w:t>
      </w:r>
      <w:r>
        <w:t xml:space="preserve"> </w:t>
      </w:r>
      <w:r>
        <w:t xml:space="preserve">(only senior non-STS)</w:t>
      </w:r>
      <w:r>
        <w:t xml:space="preserve"> </w:t>
      </w:r>
      <w:r>
        <w:t xml:space="preserve">Largest</w:t>
      </w:r>
      <w:r>
        <w:t xml:space="preserve"> </w:t>
      </w:r>
      <w:r>
        <w:t xml:space="preserve">(all securitisations)</w:t>
      </w:r>
      <w:r>
        <w:t xml:space="preserve"> </w:t>
      </w:r>
      <w:r>
        <w:t xml:space="preserve">Total impact in terms of</w:t>
      </w:r>
      <w:r>
        <w:t xml:space="preserve"> </w:t>
      </w:r>
      <w:r>
        <w:t xml:space="preserve">capital relief</w:t>
      </w:r>
      <w:r>
        <w:t xml:space="preserve"> </w:t>
      </w:r>
      <w:r>
        <w:t xml:space="preserve">EUR 4.1 bn</w:t>
      </w:r>
      <w:r>
        <w:t xml:space="preserve"> </w:t>
      </w:r>
      <w:r>
        <w:t xml:space="preserve">EUR 5.9 bn</w:t>
      </w:r>
      <w:r>
        <w:t xml:space="preserve"> </w:t>
      </w:r>
      <w:r>
        <w:t xml:space="preserve">EUR 7.1 bn</w:t>
      </w:r>
      <w:r>
        <w:t xml:space="preserve"> </w:t>
      </w:r>
      <w:r>
        <w:t xml:space="preserve">However, each of the three options have a differentiated additional benefit:</w:t>
      </w:r>
      <w:r>
        <w:br/>
      </w:r>
      <w:r>
        <w:t xml:space="preserve">-</w:t>
      </w:r>
      <w:r>
        <w:t xml:space="preserve"> </w:t>
      </w:r>
      <w:r>
        <w:t xml:space="preserve">Option 3.1: simplicity</w:t>
      </w:r>
      <w:r>
        <w:br/>
      </w:r>
      <w:r>
        <w:t xml:space="preserve">-</w:t>
      </w:r>
      <w:r>
        <w:t xml:space="preserve"> </w:t>
      </w:r>
      <w:r>
        <w:t xml:space="preserve">Option 3.2: removal of undue incentives for excessive risk taking</w:t>
      </w:r>
      <w:r>
        <w:br/>
      </w:r>
      <w:r>
        <w:t xml:space="preserve">-</w:t>
      </w:r>
      <w:r>
        <w:t xml:space="preserve"> </w:t>
      </w:r>
      <w:r>
        <w:t xml:space="preserve">Option 3.3: preservation of Solvency II’s ability to be conducive of standardisation</w:t>
      </w:r>
      <w:r>
        <w:t xml:space="preserve"> </w:t>
      </w:r>
      <w:r>
        <w:t xml:space="preserve">around the STS label.</w:t>
      </w:r>
      <w:r>
        <w:t xml:space="preserve"> </w:t>
      </w:r>
      <w:r>
        <w:t xml:space="preserve">Option 3.1 has the merits of being the simplest to implement. It merely requires changing the</w:t>
      </w:r>
      <w:r>
        <w:t xml:space="preserve"> </w:t>
      </w:r>
      <w:r>
        <w:t xml:space="preserve">actual risk factors applicable to non-STS securitisation. Its implementation boils down to</w:t>
      </w:r>
      <w:r>
        <w:t xml:space="preserve"> </w:t>
      </w:r>
      <w:r>
        <w:t xml:space="preserve">changing seven numbers (factors) set out in Article 178(8) of the SII DA. Although options 3.2</w:t>
      </w:r>
      <w:r>
        <w:t xml:space="preserve"> </w:t>
      </w:r>
      <w:r>
        <w:t xml:space="preserve">and 3.3 are not overly complex either, they require some additional adjustments to information</w:t>
      </w:r>
      <w:r>
        <w:t xml:space="preserve"> </w:t>
      </w:r>
      <w:r>
        <w:t xml:space="preserve">systems.</w:t>
      </w:r>
    </w:p>
    <w:p>
      <w:pPr>
        <w:pStyle w:val="BodyText"/>
      </w:pPr>
      <w:r>
        <w:t xml:space="preserve">66 For instance, same allocation of ratings and durations between STS and non-STS securitisations, similar relative</w:t>
      </w:r>
      <w:r>
        <w:t xml:space="preserve"> </w:t>
      </w:r>
      <w:r>
        <w:t xml:space="preserve">shares of senior and non-senior tranches for non-STS as in STS, assumption that ratings BBB and lower are non-</w:t>
      </w:r>
      <w:r>
        <w:t xml:space="preserve"> </w:t>
      </w:r>
      <w:r>
        <w:t xml:space="preserve">senior, etc.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Option 3.2 brings the additional benefit of making SII more ‘risk sensitive’ while avoiding</w:t>
      </w:r>
      <w:r>
        <w:t xml:space="preserve"> </w:t>
      </w:r>
      <w:r>
        <w:t xml:space="preserve">undue incentives for excessive risk taking. As the capital requirements on non-senior non-STS</w:t>
      </w:r>
      <w:r>
        <w:t xml:space="preserve"> </w:t>
      </w:r>
      <w:r>
        <w:t xml:space="preserve">would remain much higher than those applicable to senior non-STS tranches, the enhanced risk</w:t>
      </w:r>
      <w:r>
        <w:t xml:space="preserve"> </w:t>
      </w:r>
      <w:r>
        <w:t xml:space="preserve">sensitivity would also remove undue incentives for risk taking by insurance companies. As</w:t>
      </w:r>
      <w:r>
        <w:t xml:space="preserve"> </w:t>
      </w:r>
      <w:r>
        <w:t xml:space="preserve">such, option 3.2 is the most successful in achieving the second specific objective of this impact</w:t>
      </w:r>
      <w:r>
        <w:t xml:space="preserve"> </w:t>
      </w:r>
      <w:r>
        <w:t xml:space="preserve">assessment, namely “enhancing the prudential framework to better account for actual risks and</w:t>
      </w:r>
      <w:r>
        <w:t xml:space="preserve"> </w:t>
      </w:r>
      <w:r>
        <w:t xml:space="preserve">remove unnecessary prudential costs (…) for insurers when (…) investing in securitisations.”</w:t>
      </w:r>
      <w:r>
        <w:t xml:space="preserve"> </w:t>
      </w:r>
      <w:r>
        <w:t xml:space="preserve">While EIOPA did not express specific comments on Option 3.2, it is our assumption that</w:t>
      </w:r>
      <w:r>
        <w:t xml:space="preserve"> </w:t>
      </w:r>
      <w:r>
        <w:t xml:space="preserve">EIOPA would not challenge the technical rationale underlying such Option, as EIOPA does</w:t>
      </w:r>
      <w:r>
        <w:t xml:space="preserve"> </w:t>
      </w:r>
      <w:r>
        <w:t xml:space="preserve">not deny that senior tranches bear less risks than non-senior ones.</w:t>
      </w:r>
      <w:r>
        <w:t xml:space="preserve"> </w:t>
      </w:r>
      <w:r>
        <w:t xml:space="preserve">Option 3.3 is the only option which would result in capital relief for both STS and non-STS</w:t>
      </w:r>
      <w:r>
        <w:t xml:space="preserve"> </w:t>
      </w:r>
      <w:r>
        <w:t xml:space="preserve">securitisations. It would therefore ensure that Solvency II remains conducive to greater</w:t>
      </w:r>
      <w:r>
        <w:t xml:space="preserve"> </w:t>
      </w:r>
      <w:r>
        <w:t xml:space="preserve">standardisation around the STS label. By contrast, options 3.1 and 3.2 only focus on improving</w:t>
      </w:r>
      <w:r>
        <w:t xml:space="preserve"> </w:t>
      </w:r>
      <w:r>
        <w:t xml:space="preserve">incentives for non-STS securitisation, which might reduce the relative attractiveness of STS</w:t>
      </w:r>
      <w:r>
        <w:t xml:space="preserve"> </w:t>
      </w:r>
      <w:r>
        <w:t xml:space="preserve">ones.</w:t>
      </w:r>
      <w:r>
        <w:br/>
      </w:r>
      <w:r>
        <w:t xml:space="preserve">6.3.2.2. Costs</w:t>
      </w:r>
      <w:r>
        <w:t xml:space="preserve"> </w:t>
      </w:r>
      <w:r>
        <w:t xml:space="preserve">All three options would generate limited administrative and compliance costs which would</w:t>
      </w:r>
      <w:r>
        <w:t xml:space="preserve"> </w:t>
      </w:r>
      <w:r>
        <w:t xml:space="preserve">therefore not be the main guiding factor when deciding on the preferred option. The reader can</w:t>
      </w:r>
      <w:r>
        <w:t xml:space="preserve"> </w:t>
      </w:r>
      <w:r>
        <w:t xml:space="preserve">find more detailed information in Annex III and Annex XI, Section B. We can expect the costs</w:t>
      </w:r>
      <w:r>
        <w:t xml:space="preserve"> </w:t>
      </w:r>
      <w:r>
        <w:t xml:space="preserve">to be even lower than under banking rules, as changes to Solvency II under all three options</w:t>
      </w:r>
      <w:r>
        <w:t xml:space="preserve"> </w:t>
      </w:r>
      <w:r>
        <w:t xml:space="preserve">would concern a limited number of values for one single parameter (whereas in the banking</w:t>
      </w:r>
      <w:r>
        <w:t xml:space="preserve"> </w:t>
      </w:r>
      <w:r>
        <w:t xml:space="preserve">rules, several provisions and parameters are affected), and we do not envisage e.g. any</w:t>
      </w:r>
      <w:r>
        <w:t xml:space="preserve"> </w:t>
      </w:r>
      <w:r>
        <w:t xml:space="preserve">meaningful change in IT systems.</w:t>
      </w:r>
      <w:r>
        <w:br/>
      </w:r>
      <w:r>
        <w:t xml:space="preserve">None of the three options would differentiate between different types of non-STS</w:t>
      </w:r>
      <w:r>
        <w:t xml:space="preserve"> </w:t>
      </w:r>
      <w:r>
        <w:t xml:space="preserve">securitisations and would apply the same capital requirements regardless of the underlying</w:t>
      </w:r>
      <w:r>
        <w:t xml:space="preserve"> </w:t>
      </w:r>
      <w:r>
        <w:t xml:space="preserve">asset. This may result in underestimating or overestimating the risks underlying certain forms</w:t>
      </w:r>
      <w:r>
        <w:t xml:space="preserve"> </w:t>
      </w:r>
      <w:r>
        <w:t xml:space="preserve">of non-STS securitisations. In particular, the non-STS category can prove to be very diverse,</w:t>
      </w:r>
      <w:r>
        <w:t xml:space="preserve"> </w:t>
      </w:r>
      <w:r>
        <w:t xml:space="preserve">comprising some very stable and very liquid categories, as well as some other, more complex</w:t>
      </w:r>
      <w:r>
        <w:t xml:space="preserve"> </w:t>
      </w:r>
      <w:r>
        <w:t xml:space="preserve">types of securitisations. Against this background, a general lowering of capital requirements</w:t>
      </w:r>
      <w:r>
        <w:t xml:space="preserve"> </w:t>
      </w:r>
      <w:r>
        <w:t xml:space="preserve">for all non-STS securitisations would result in a deterioration of policyholder protection where</w:t>
      </w:r>
      <w:r>
        <w:t xml:space="preserve"> </w:t>
      </w:r>
      <w:r>
        <w:t xml:space="preserve">a specific insurer would materially increase its investments in the more complex/opaque</w:t>
      </w:r>
      <w:r>
        <w:t xml:space="preserve"> </w:t>
      </w:r>
      <w:r>
        <w:t xml:space="preserve">segments of non-STS securitisations.</w:t>
      </w:r>
      <w:r>
        <w:br/>
      </w:r>
      <w:r>
        <w:t xml:space="preserve">The risk is however more contained in option 3.2, which only reduces capital requirements on</w:t>
      </w:r>
      <w:r>
        <w:t xml:space="preserve"> </w:t>
      </w:r>
      <w:r>
        <w:t xml:space="preserve">the most senior tranches (i.e. those less risky and with higher credit rating). The risk of any of</w:t>
      </w:r>
      <w:r>
        <w:t xml:space="preserve"> </w:t>
      </w:r>
      <w:r>
        <w:t xml:space="preserve">the three options is also dependent on insurers’ behaviours and the level of additional</w:t>
      </w:r>
      <w:r>
        <w:t xml:space="preserve"> </w:t>
      </w:r>
      <w:r>
        <w:t xml:space="preserve">investment risk taken by insurers. If behaviours do not change significantly (i.e. the overall</w:t>
      </w:r>
      <w:r>
        <w:t xml:space="preserve"> </w:t>
      </w:r>
      <w:r>
        <w:t xml:space="preserve">share of investments in insurers’ investment portfolio increases in a moderate manner), the risk</w:t>
      </w:r>
      <w:r>
        <w:t xml:space="preserve"> </w:t>
      </w:r>
      <w:r>
        <w:t xml:space="preserve">discussed would remain moderate (though still higher under option 3.3 than under the two other</w:t>
      </w:r>
      <w:r>
        <w:t xml:space="preserve"> </w:t>
      </w:r>
      <w:r>
        <w:t xml:space="preserve">options). However, options 3.1 and 3.3 have specific downsides which are not applicable to</w:t>
      </w:r>
      <w:r>
        <w:t xml:space="preserve"> </w:t>
      </w:r>
      <w:r>
        <w:t xml:space="preserve">option 3.2:</w:t>
      </w:r>
    </w:p>
    <w:bookmarkStart w:id="9" w:name="section"/>
    <w:p>
      <w:pPr>
        <w:pStyle w:val="Heading2"/>
      </w:pPr>
      <w:r>
        <w:t xml:space="preserve">67</w:t>
      </w:r>
    </w:p>
    <w:bookmarkEnd w:id="9"/>
    <w:bookmarkStart w:id="10" w:name="X2ce9a08ab3e30fd18c03e13cb0d35bb6f67c5ee"/>
    <w:p>
      <w:pPr>
        <w:pStyle w:val="Heading2"/>
      </w:pPr>
      <w:r>
        <w:t xml:space="preserve">Specific downside of options 3.1 and 3.3: remaining incentives for ‘excessive’ risk taking</w:t>
      </w:r>
    </w:p>
    <w:p>
      <w:pPr>
        <w:pStyle w:val="FirstParagraph"/>
      </w:pPr>
      <w:r>
        <w:t xml:space="preserve">Specific downside of options 3.1 and 3.2: reducing the relative attractiveness of STS</w:t>
      </w:r>
      <w:r>
        <w:t xml:space="preserve"> </w:t>
      </w:r>
      <w:r>
        <w:t xml:space="preserve">securitisation</w:t>
      </w:r>
      <w:r>
        <w:t xml:space="preserve"> </w:t>
      </w:r>
      <w:r>
        <w:t xml:space="preserve">-</w:t>
      </w:r>
      <w:r>
        <w:t xml:space="preserve"> </w:t>
      </w:r>
      <w:r>
        <w:t xml:space="preserve">Specific downside of option 3.3: lack of robust technical basis and significant incoherence</w:t>
      </w:r>
      <w:r>
        <w:t xml:space="preserve"> </w:t>
      </w:r>
      <w:r>
        <w:t xml:space="preserve">introduced within Solvency II which can harm policyholder protection and financial</w:t>
      </w:r>
      <w:r>
        <w:t xml:space="preserve"> </w:t>
      </w:r>
      <w:r>
        <w:t xml:space="preserve">stability.</w:t>
      </w:r>
      <w:r>
        <w:t xml:space="preserve"> </w:t>
      </w:r>
      <w:r>
        <w:t xml:space="preserve">Neither option 3.1 nor option 3.3 would differentiate senior from non-senior capital</w:t>
      </w:r>
      <w:r>
        <w:t xml:space="preserve"> </w:t>
      </w:r>
      <w:r>
        <w:t xml:space="preserve">requirements (no improvement to risk sensitivity). This means that all else equal, insurers could</w:t>
      </w:r>
      <w:r>
        <w:t xml:space="preserve"> </w:t>
      </w:r>
      <w:r>
        <w:t xml:space="preserve">still be unduly incentivised to invest in the most junior tranches of securitisations as they would</w:t>
      </w:r>
      <w:r>
        <w:t xml:space="preserve"> </w:t>
      </w:r>
      <w:r>
        <w:t xml:space="preserve">be subject to the same requirements as the more senior tranches while offering prospects of</w:t>
      </w:r>
      <w:r>
        <w:t xml:space="preserve"> </w:t>
      </w:r>
      <w:r>
        <w:t xml:space="preserve">higher returns (but also higher risks). This lack of risk sensitivity would be incoherent with</w:t>
      </w:r>
      <w:r>
        <w:t xml:space="preserve"> </w:t>
      </w:r>
      <w:r>
        <w:t xml:space="preserve">banking rules.</w:t>
      </w:r>
      <w:r>
        <w:t xml:space="preserve"> </w:t>
      </w:r>
      <w:r>
        <w:t xml:space="preserve">Options 3.1 and 3.2, by only focusing on non-STS securitisation, would reduce the ‘prudential</w:t>
      </w:r>
      <w:r>
        <w:t xml:space="preserve"> </w:t>
      </w:r>
      <w:r>
        <w:t xml:space="preserve">attractiveness’ of STS securitisation. However, Option 3.2 implies improving risk sensitivity.</w:t>
      </w:r>
      <w:r>
        <w:t xml:space="preserve"> </w:t>
      </w:r>
      <w:r>
        <w:t xml:space="preserve">As such, it is not expected to ‘dilute’ the STS label, but simply to ensure that the level of capital</w:t>
      </w:r>
      <w:r>
        <w:t xml:space="preserve"> </w:t>
      </w:r>
      <w:r>
        <w:t xml:space="preserve">requirements on non-STS securitisation is more commensurate to its risk, including by</w:t>
      </w:r>
      <w:r>
        <w:t xml:space="preserve"> </w:t>
      </w:r>
      <w:r>
        <w:t xml:space="preserve">comparison with the risks of STS securitisation.</w:t>
      </w:r>
      <w:r>
        <w:br/>
      </w:r>
      <w:r>
        <w:t xml:space="preserve">Option 3.3, which is not backed by any advice or assessment made by EIOPA, would be an</w:t>
      </w:r>
      <w:r>
        <w:t xml:space="preserve"> </w:t>
      </w:r>
      <w:r>
        <w:t xml:space="preserve">overhaul to the current approach of calculating capital requirements:</w:t>
      </w:r>
      <w:r>
        <w:t xml:space="preserve"> </w:t>
      </w:r>
      <w:r>
        <w:t xml:space="preserve">-</w:t>
      </w:r>
      <w:r>
        <w:t xml:space="preserve"> </w:t>
      </w:r>
      <w:r>
        <w:t xml:space="preserve">Under current rules, securitisation investments are treated in the same manner as</w:t>
      </w:r>
      <w:r>
        <w:t xml:space="preserve"> </w:t>
      </w:r>
      <w:r>
        <w:t xml:space="preserve">government bonds, corporate bonds, loans and covered bonds. More concretely, SII</w:t>
      </w:r>
      <w:r>
        <w:t xml:space="preserve"> </w:t>
      </w:r>
      <w:r>
        <w:t xml:space="preserve">requires insurers to set aside capital to cover the risk of loss in value of their investments</w:t>
      </w:r>
      <w:r>
        <w:t xml:space="preserve"> </w:t>
      </w:r>
      <w:r>
        <w:t xml:space="preserve">(‘spread risk’).</w:t>
      </w:r>
      <w:r>
        <w:br/>
      </w:r>
      <w:r>
        <w:t xml:space="preserve">-</w:t>
      </w:r>
      <w:r>
        <w:t xml:space="preserve"> </w:t>
      </w:r>
      <w:r>
        <w:t xml:space="preserve">With option 3.3, securitisation investments would no longer be treated like other bonds and</w:t>
      </w:r>
      <w:r>
        <w:t xml:space="preserve"> </w:t>
      </w:r>
      <w:r>
        <w:t xml:space="preserve">loans. Their risk would be assessed by looking exclusively at the risk of default67. Such a</w:t>
      </w:r>
      <w:r>
        <w:t xml:space="preserve"> </w:t>
      </w:r>
      <w:r>
        <w:t xml:space="preserve">significant change requires either robust technical basis or sufficient evidence.</w:t>
      </w:r>
      <w:r>
        <w:br/>
      </w:r>
      <w:r>
        <w:t xml:space="preserve">From a technical standpoint, the choice to focus on default risk can only be justified if insurers</w:t>
      </w:r>
      <w:r>
        <w:t xml:space="preserve"> </w:t>
      </w:r>
      <w:r>
        <w:t xml:space="preserve">stick to their investments until their maturity (if this is the case, then insurers are not exposed</w:t>
      </w:r>
      <w:r>
        <w:t xml:space="preserve"> </w:t>
      </w:r>
      <w:r>
        <w:t xml:space="preserve">to the risk of losses stemming from the early sale of their investments at a depreciated price).</w:t>
      </w:r>
      <w:r>
        <w:t xml:space="preserve"> </w:t>
      </w:r>
      <w:r>
        <w:t xml:space="preserve">However, while insurers have a long-term business – in particular in life insurance – a general</w:t>
      </w:r>
      <w:r>
        <w:t xml:space="preserve"> </w:t>
      </w:r>
      <w:r>
        <w:t xml:space="preserve">assumption of holding to maturity conditions is highly challengeable. In fact, only a very</w:t>
      </w:r>
      <w:r>
        <w:t xml:space="preserve"> </w:t>
      </w:r>
      <w:r>
        <w:t xml:space="preserve">limited share of insurers’ assets is intended to be held to maturity, as evidenced in their</w:t>
      </w:r>
      <w:r>
        <w:t xml:space="preserve"> </w:t>
      </w:r>
      <w:r>
        <w:t xml:space="preserve">accounting and financial disclosures68.</w:t>
      </w:r>
      <w:r>
        <w:br/>
      </w:r>
      <w:r>
        <w:t xml:space="preserve">In addition, a preferential capital treatment cannot only be justified by a mere ‘intention’ to</w:t>
      </w:r>
      <w:r>
        <w:t xml:space="preserve"> </w:t>
      </w:r>
      <w:r>
        <w:t xml:space="preserve">hold an asset to maturity. In terms of policyholder protection, what matters is whether insurers</w:t>
      </w:r>
      <w:r>
        <w:t xml:space="preserve"> </w:t>
      </w:r>
      <w:r>
        <w:t xml:space="preserve">can avoid forced selling of their assets when they are facing stressed market conditions.</w:t>
      </w:r>
      <w:r>
        <w:t xml:space="preserve"> </w:t>
      </w:r>
      <w:r>
        <w:t xml:space="preserve">However, the cuts in capital requirements stemming from option 3.3 would not be conditional</w:t>
      </w:r>
    </w:p>
    <w:p>
      <w:pPr>
        <w:pStyle w:val="BodyText"/>
      </w:pPr>
      <w:r>
        <w:t xml:space="preserve">67 One can argue that this implies reducing the scope of the assessment, as the risk of default is only one of the</w:t>
      </w:r>
      <w:r>
        <w:t xml:space="preserve"> </w:t>
      </w:r>
      <w:r>
        <w:t xml:space="preserve">drivers of ‘spread risk’ (i.e. risk of volatility in the value of the investment).</w:t>
      </w:r>
      <w:r>
        <w:t xml:space="preserve"> </w:t>
      </w:r>
      <w:r>
        <w:t xml:space="preserve">68 Assets that are held to maturity are reflected in insurers’ disclosures as assets ‘valued at amortised cost’.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to such demonstration. Therefore, option 3.3 does not comply with the current level of prudence</w:t>
      </w:r>
      <w:r>
        <w:t xml:space="preserve"> </w:t>
      </w:r>
      <w:r>
        <w:t xml:space="preserve">of the SII framework69.</w:t>
      </w:r>
      <w:r>
        <w:t xml:space="preserve"> </w:t>
      </w:r>
      <w:r>
        <w:t xml:space="preserve">Thirdly, option 3.3 would affect policyholder protection the most, by introducing significant</w:t>
      </w:r>
      <w:r>
        <w:t xml:space="preserve"> </w:t>
      </w:r>
      <w:r>
        <w:t xml:space="preserve">internal inconsistency within SII, as securitisation would no longer be treated like other similar</w:t>
      </w:r>
      <w:r>
        <w:t xml:space="preserve"> </w:t>
      </w:r>
      <w:r>
        <w:t xml:space="preserve">fixed income securities (government bonds, corporate bonds, covered bonds)70. It would also</w:t>
      </w:r>
      <w:r>
        <w:t xml:space="preserve"> </w:t>
      </w:r>
      <w:r>
        <w:t xml:space="preserve">create significant incoherence with banking rules71. option 3.3 would therefore bring additional</w:t>
      </w:r>
      <w:r>
        <w:t xml:space="preserve"> </w:t>
      </w:r>
      <w:r>
        <w:t xml:space="preserve">risks to policyholder protection in comparison with options 3.1 and 3.2, by misrepresenting the</w:t>
      </w:r>
      <w:r>
        <w:t xml:space="preserve"> </w:t>
      </w:r>
      <w:r>
        <w:t xml:space="preserve">actual level of risks to which insurers are exposed on their investments.</w:t>
      </w:r>
      <w:r>
        <w:br/>
      </w:r>
      <w:r>
        <w:t xml:space="preserve">6.3.3. Overall assessment: Effectiveness, efficiency and coherence</w:t>
      </w:r>
      <w:r>
        <w:t xml:space="preserve"> </w:t>
      </w:r>
      <w:r>
        <w:t xml:space="preserve">6.3.3.1. Effectiveness</w:t>
      </w:r>
      <w:r>
        <w:t xml:space="preserve"> </w:t>
      </w:r>
      <w:r>
        <w:t xml:space="preserve">Option 3.1 is effective in reducing undue prudential disincentives to investments in non-STS</w:t>
      </w:r>
      <w:r>
        <w:t xml:space="preserve"> </w:t>
      </w:r>
      <w:r>
        <w:t xml:space="preserve">securitisations.</w:t>
      </w:r>
      <w:r>
        <w:br/>
      </w:r>
      <w:r>
        <w:t xml:space="preserve">Option 3.2 is effective in reducing undue prudential disincentives to investments in senior non-</w:t>
      </w:r>
      <w:r>
        <w:t xml:space="preserve"> </w:t>
      </w:r>
      <w:r>
        <w:t xml:space="preserve">STS securitisations. It also avoids providing ‘wrong’ incentives of risk taking due to the</w:t>
      </w:r>
      <w:r>
        <w:t xml:space="preserve"> </w:t>
      </w:r>
      <w:r>
        <w:t xml:space="preserve">enhanced risk sensitivity. The capital relief insurers obtain through option 3.2 is higher than</w:t>
      </w:r>
      <w:r>
        <w:t xml:space="preserve"> </w:t>
      </w:r>
      <w:r>
        <w:t xml:space="preserve">under option 3.1, which implies more effectiveness in unleashing their investment capacity.</w:t>
      </w:r>
      <w:r>
        <w:br/>
      </w:r>
      <w:r>
        <w:t xml:space="preserve">Option 3.3 is effective in reducing undue prudential disincentives to investments in</w:t>
      </w:r>
      <w:r>
        <w:t xml:space="preserve"> </w:t>
      </w:r>
      <w:r>
        <w:t xml:space="preserve">securitisations – both STS and non-STS. Because it also concerns STS securitisation, the</w:t>
      </w:r>
      <w:r>
        <w:t xml:space="preserve"> </w:t>
      </w:r>
      <w:r>
        <w:t xml:space="preserve">effectiveness is higher than under options 3.1 and 3.2.</w:t>
      </w:r>
      <w:r>
        <w:t xml:space="preserve"> </w:t>
      </w:r>
      <w:r>
        <w:t xml:space="preserve">For all three options, it is unclear whether the released capital would result in more investment</w:t>
      </w:r>
      <w:r>
        <w:t xml:space="preserve"> </w:t>
      </w:r>
      <w:r>
        <w:t xml:space="preserve">in securitisations. The capital relief could instead be used in an opportunistic manner by</w:t>
      </w:r>
      <w:r>
        <w:t xml:space="preserve"> </w:t>
      </w:r>
      <w:r>
        <w:t xml:space="preserve">insurers for higher dividend distributions or share buybacks. The risk is higher for option 3.3.</w:t>
      </w:r>
      <w:r>
        <w:t xml:space="preserve"> </w:t>
      </w:r>
      <w:r>
        <w:t xml:space="preserve">in view of the higher extent of capital relief.</w:t>
      </w:r>
    </w:p>
    <w:p>
      <w:pPr>
        <w:pStyle w:val="BodyText"/>
      </w:pPr>
      <w:r>
        <w:t xml:space="preserve">69 On the other hand, introducing safeguards in the context of Option 3 would remove one of the main ‘benefits’</w:t>
      </w:r>
      <w:r>
        <w:t xml:space="preserve"> </w:t>
      </w:r>
      <w:r>
        <w:t xml:space="preserve">of such option, namely its simplicity.</w:t>
      </w:r>
      <w:r>
        <w:t xml:space="preserve"> </w:t>
      </w:r>
      <w:r>
        <w:t xml:space="preserve">70 In fact, this inconsistency would result in capital charges for securitisations that are even lower than those of</w:t>
      </w:r>
      <w:r>
        <w:t xml:space="preserve"> </w:t>
      </w:r>
      <w:r>
        <w:t xml:space="preserve">the underlying assets. This would breach the ‘non-neutrality’ principle as capital requirements on securitisation</w:t>
      </w:r>
      <w:r>
        <w:t xml:space="preserve"> </w:t>
      </w:r>
      <w:r>
        <w:t xml:space="preserve">would no longer reflect the additional risks that such investments entail, namely agency and model risks.</w:t>
      </w:r>
      <w:r>
        <w:t xml:space="preserve"> </w:t>
      </w:r>
      <w:r>
        <w:t xml:space="preserve">71 One has to acknowledge that banking rules also apply default risk to some securitised assets – those which are</w:t>
      </w:r>
      <w:r>
        <w:t xml:space="preserve"> </w:t>
      </w:r>
      <w:r>
        <w:t xml:space="preserve">part of the so-called ‘banking book’, i.e. assets held to maturity. Against this background, Option 3.3 could be</w:t>
      </w:r>
      <w:r>
        <w:t xml:space="preserve"> </w:t>
      </w:r>
      <w:r>
        <w:t xml:space="preserve">seen as improving coherence with banking rules (to the extent that insurers’ investments are held to maturity,</w:t>
      </w:r>
      <w:r>
        <w:t xml:space="preserve"> </w:t>
      </w:r>
      <w:r>
        <w:t xml:space="preserve">which is not substantiated as discussed above). However, Option 3.3 would not reflect the many sophisticated</w:t>
      </w:r>
      <w:r>
        <w:t xml:space="preserve"> </w:t>
      </w:r>
      <w:r>
        <w:t xml:space="preserve">parameters and methods underlying these banking capital requirements. Attempting such level of sophistication</w:t>
      </w:r>
      <w:r>
        <w:t xml:space="preserve"> </w:t>
      </w:r>
      <w:r>
        <w:t xml:space="preserve">would require extensive work, all the more that the risk metrics and applicable ‘confidence levels’ underlying</w:t>
      </w:r>
      <w:r>
        <w:t xml:space="preserve"> </w:t>
      </w:r>
      <w:r>
        <w:t xml:space="preserve">capital requirements in the two frameworks is different. Such sophistication would also generate extensive</w:t>
      </w:r>
      <w:r>
        <w:t xml:space="preserve"> </w:t>
      </w:r>
      <w:r>
        <w:t xml:space="preserve">complexity that is not commensurate to the importance of this asset class in insurers’ portfolios. Therefore, while</w:t>
      </w:r>
      <w:r>
        <w:t xml:space="preserve"> </w:t>
      </w:r>
      <w:r>
        <w:t xml:space="preserve">under Option 3.3 insurers and banks would be expected to measure the very same risks when investing in</w:t>
      </w:r>
      <w:r>
        <w:t xml:space="preserve"> </w:t>
      </w:r>
      <w:r>
        <w:t xml:space="preserve">securitisation, the risk measurement would in practice materially differ (due to the much simpler approach of</w:t>
      </w:r>
      <w:r>
        <w:t xml:space="preserve"> </w:t>
      </w:r>
      <w:r>
        <w:t xml:space="preserve">Option 3.3 when comparing with banking rules). In other words, Option 3.3 does not effectively improve</w:t>
      </w:r>
      <w:r>
        <w:t xml:space="preserve"> </w:t>
      </w:r>
      <w:r>
        <w:t xml:space="preserve">coherence with banking rules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6.3.3.2. Efficiency</w:t>
      </w:r>
      <w:r>
        <w:t xml:space="preserve"> </w:t>
      </w:r>
      <w:r>
        <w:t xml:space="preserve">Option 3.1 would entail very limited compliance costs for insurers due to the simplicity of the</w:t>
      </w:r>
      <w:r>
        <w:t xml:space="preserve"> </w:t>
      </w:r>
      <w:r>
        <w:t xml:space="preserve">amendments. Such costs are negligible in view of the level of reduction in capital costs.</w:t>
      </w:r>
      <w:r>
        <w:t xml:space="preserve"> </w:t>
      </w:r>
      <w:r>
        <w:t xml:space="preserve">However, it would not improve the risk sensitivity of the Framework nor policyholder</w:t>
      </w:r>
      <w:r>
        <w:t xml:space="preserve"> </w:t>
      </w:r>
      <w:r>
        <w:t xml:space="preserve">protection. In addition, it could generate financial stability risks if the lowering of capital</w:t>
      </w:r>
      <w:r>
        <w:t xml:space="preserve"> </w:t>
      </w:r>
      <w:r>
        <w:t xml:space="preserve">requirements results in a significant increase in investments in the most junior tranches of non-</w:t>
      </w:r>
      <w:r>
        <w:t xml:space="preserve"> </w:t>
      </w:r>
      <w:r>
        <w:t xml:space="preserve">STS securitisation. By improving the ‘prudential attractiveness’ of non-STS securitisation</w:t>
      </w:r>
      <w:r>
        <w:t xml:space="preserve"> </w:t>
      </w:r>
      <w:r>
        <w:t xml:space="preserve">investments and reducing the discrepancy between non-STS and STS capital requirements, the</w:t>
      </w:r>
      <w:r>
        <w:t xml:space="preserve"> </w:t>
      </w:r>
      <w:r>
        <w:t xml:space="preserve">review might the reduce relative attractiveness of STS securitisations and would not be</w:t>
      </w:r>
      <w:r>
        <w:t xml:space="preserve"> </w:t>
      </w:r>
      <w:r>
        <w:t xml:space="preserve">conducive to greater standardisation around that label. Option 3.1 could actually result in less</w:t>
      </w:r>
      <w:r>
        <w:t xml:space="preserve"> </w:t>
      </w:r>
      <w:r>
        <w:t xml:space="preserve">investments in STS securitisation by insurance companies (which are already quite low as</w:t>
      </w:r>
      <w:r>
        <w:t xml:space="preserve"> </w:t>
      </w:r>
      <w:r>
        <w:t xml:space="preserve">shown in the Evaluation).</w:t>
      </w:r>
      <w:r>
        <w:br/>
      </w:r>
      <w:r>
        <w:t xml:space="preserve">Option 3.2 would entail some limited compliance and administrative costs that are negligible</w:t>
      </w:r>
      <w:r>
        <w:t xml:space="preserve"> </w:t>
      </w:r>
      <w:r>
        <w:t xml:space="preserve">in view of the reduced capital costs, though slightly higher than in option 3.1. In addition,</w:t>
      </w:r>
      <w:r>
        <w:t xml:space="preserve"> </w:t>
      </w:r>
      <w:r>
        <w:t xml:space="preserve">option 3.2 avoids the ‘wrong’ incentives for excessive risk-taking identified in option 3.1.</w:t>
      </w:r>
      <w:r>
        <w:t xml:space="preserve"> </w:t>
      </w:r>
      <w:r>
        <w:t xml:space="preserve">Option 3.2 can also be framed so that it does not hinder the objective of the initial initiative of</w:t>
      </w:r>
      <w:r>
        <w:t xml:space="preserve"> </w:t>
      </w:r>
      <w:r>
        <w:t xml:space="preserve">enhanced standardisation, for instance by ensuring that capital requirements on any non-STS</w:t>
      </w:r>
      <w:r>
        <w:t xml:space="preserve"> </w:t>
      </w:r>
      <w:r>
        <w:t xml:space="preserve">securitisation remain higher than those on STS securitisations (including for non-senior</w:t>
      </w:r>
      <w:r>
        <w:t xml:space="preserve"> </w:t>
      </w:r>
      <w:r>
        <w:t xml:space="preserve">tranches). In other words, under option 3.2, all tranches of STS securitisations would remain</w:t>
      </w:r>
      <w:r>
        <w:t xml:space="preserve"> </w:t>
      </w:r>
      <w:r>
        <w:t xml:space="preserve">prudentially more attractive than non-STS securitisations72. For all these reasons, option 3.2</w:t>
      </w:r>
      <w:r>
        <w:t xml:space="preserve"> </w:t>
      </w:r>
      <w:r>
        <w:t xml:space="preserve">would overall be more efficient than option 3.1.</w:t>
      </w:r>
      <w:r>
        <w:br/>
      </w:r>
      <w:r>
        <w:t xml:space="preserve">Option 3.3 would entail some limited compliance and administrative costs that are negligible</w:t>
      </w:r>
      <w:r>
        <w:t xml:space="preserve"> </w:t>
      </w:r>
      <w:r>
        <w:t xml:space="preserve">in view of the reduced capital costs (cost levels being between those in options 3.1 and 3.2).</w:t>
      </w:r>
      <w:r>
        <w:t xml:space="preserve"> </w:t>
      </w:r>
      <w:r>
        <w:t xml:space="preserve">Option 3.3 does not hinder the objective of the initial initiative of enhanced standardisation as</w:t>
      </w:r>
      <w:r>
        <w:t xml:space="preserve"> </w:t>
      </w:r>
      <w:r>
        <w:t xml:space="preserve">capital requirements on STS securitisations would also be reduced. However, the technical</w:t>
      </w:r>
      <w:r>
        <w:t xml:space="preserve"> </w:t>
      </w:r>
      <w:r>
        <w:t xml:space="preserve">justifications supporting this approach are limited and not backed by any EIOPA assessment</w:t>
      </w:r>
      <w:r>
        <w:t xml:space="preserve"> </w:t>
      </w:r>
      <w:r>
        <w:t xml:space="preserve">or advice. The lack of safeguards (requirements or criteria) allowing for such preferential</w:t>
      </w:r>
      <w:r>
        <w:t xml:space="preserve"> </w:t>
      </w:r>
      <w:r>
        <w:t xml:space="preserve">treatments poses risks to policyholder protection that are materially higher than under options</w:t>
      </w:r>
      <w:r>
        <w:t xml:space="preserve"> </w:t>
      </w:r>
      <w:r>
        <w:t xml:space="preserve">3.1 and 3.2 (though the extent of such higher risks would depend on whether insurers materially</w:t>
      </w:r>
      <w:r>
        <w:t xml:space="preserve"> </w:t>
      </w:r>
      <w:r>
        <w:t xml:space="preserve">increase their investments in securitisations following the implementation of this option).</w:t>
      </w:r>
      <w:r>
        <w:t xml:space="preserve"> </w:t>
      </w:r>
      <w:r>
        <w:t xml:space="preserve">Indeed, the SII framework would no longer measure the risk posed by securitisation in a similar</w:t>
      </w:r>
      <w:r>
        <w:t xml:space="preserve"> </w:t>
      </w:r>
      <w:r>
        <w:t xml:space="preserve">manner as for other fixed income securities with similar features. For all these reasons, option</w:t>
      </w:r>
      <w:r>
        <w:t xml:space="preserve"> </w:t>
      </w:r>
      <w:r>
        <w:t xml:space="preserve">3.3 would be less efficient than options 3.1 and 3.2 in achieving the second specific objective</w:t>
      </w:r>
      <w:r>
        <w:t xml:space="preserve"> </w:t>
      </w:r>
      <w:r>
        <w:t xml:space="preserve">in view of the associated risks. This is due to the limited technical justifications and the absence</w:t>
      </w:r>
      <w:r>
        <w:t xml:space="preserve"> </w:t>
      </w:r>
      <w:r>
        <w:t xml:space="preserve">of qualitative safeguards. Additionally, it presents significantly higher risks to policyholder</w:t>
      </w:r>
    </w:p>
    <w:p>
      <w:pPr>
        <w:pStyle w:val="BodyText"/>
      </w:pPr>
      <w:r>
        <w:t xml:space="preserve">72 Indeed, capital requirements on non-STS securitisations would be calibrated such that they remain higher those</w:t>
      </w:r>
      <w:r>
        <w:t xml:space="preserve"> </w:t>
      </w:r>
      <w:r>
        <w:t xml:space="preserve">on STS securitisations. With Option 3.2, the ‘ranking’ of capital requirements from the lowest to the highest would</w:t>
      </w:r>
      <w:r>
        <w:t xml:space="preserve"> </w:t>
      </w:r>
      <w:r>
        <w:t xml:space="preserve">be as follows:</w:t>
      </w:r>
      <w:r>
        <w:t xml:space="preserve"> </w:t>
      </w:r>
      <w:r>
        <w:t xml:space="preserve"></w:t>
      </w:r>
      <w:r>
        <w:t xml:space="preserve"> </w:t>
      </w:r>
      <w:r>
        <w:t xml:space="preserve">Lowest capital requirements: senior STS</w:t>
      </w:r>
      <w:r>
        <w:t xml:space="preserve"> </w:t>
      </w:r>
      <w:r>
        <w:t xml:space="preserve"></w:t>
      </w:r>
      <w:r>
        <w:t xml:space="preserve"> </w:t>
      </w:r>
      <w:r>
        <w:t xml:space="preserve">Second lowest capital requirements: non-senior STS</w:t>
      </w:r>
      <w:r>
        <w:t xml:space="preserve"> </w:t>
      </w:r>
      <w:r>
        <w:t xml:space="preserve"></w:t>
      </w:r>
      <w:r>
        <w:t xml:space="preserve"> </w:t>
      </w:r>
      <w:r>
        <w:t xml:space="preserve">Third lowest capital requirement: senior non-STS</w:t>
      </w:r>
      <w:r>
        <w:t xml:space="preserve"> </w:t>
      </w:r>
      <w:r>
        <w:t xml:space="preserve"></w:t>
      </w:r>
      <w:r>
        <w:t xml:space="preserve"> </w:t>
      </w:r>
      <w:r>
        <w:t xml:space="preserve">Highest capital requirements: non-senior non-STS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protection, as the SII framework would no longer assess the risks associated with corporate</w:t>
      </w:r>
      <w:r>
        <w:t xml:space="preserve"> </w:t>
      </w:r>
      <w:r>
        <w:t xml:space="preserve">bonds and securitisation in a comparable way, despite their similar features73.</w:t>
      </w:r>
      <w:r>
        <w:br/>
      </w:r>
      <w:r>
        <w:t xml:space="preserve">6.3.3.3. Coherence</w:t>
      </w:r>
      <w:r>
        <w:t xml:space="preserve"> </w:t>
      </w:r>
      <w:r>
        <w:t xml:space="preserve">Option 3.1 neither improves nor deteriorates the internal coherence of SII.</w:t>
      </w:r>
      <w:r>
        <w:t xml:space="preserve"> </w:t>
      </w:r>
      <w:r>
        <w:t xml:space="preserve">Option 3.2 improves the internal coherence of SII by treating in a ‘comparable’ manner STS</w:t>
      </w:r>
      <w:r>
        <w:t xml:space="preserve"> </w:t>
      </w:r>
      <w:r>
        <w:t xml:space="preserve">and non-STS securitisations (both of them having differentiated capital requirements for senior</w:t>
      </w:r>
      <w:r>
        <w:t xml:space="preserve"> </w:t>
      </w:r>
      <w:r>
        <w:t xml:space="preserve">and non-senior tranches).</w:t>
      </w:r>
      <w:r>
        <w:t xml:space="preserve"> </w:t>
      </w:r>
      <w:r>
        <w:t xml:space="preserve">Option 3.3 would result in an incoherent SII framework by considering different risks for asset</w:t>
      </w:r>
      <w:r>
        <w:t xml:space="preserve"> </w:t>
      </w:r>
      <w:r>
        <w:t xml:space="preserve">classes with similar characteristics (spread risk for bonds, default risk for securitisation).</w:t>
      </w:r>
      <w:r>
        <w:br/>
      </w:r>
      <w:r>
        <w:t xml:space="preserve">6.3.4. Stakeholders’ views</w:t>
      </w:r>
      <w:r>
        <w:t xml:space="preserve"> </w:t>
      </w:r>
      <w:r>
        <w:t xml:space="preserve">There is a general support from industry stakeholders to decrease capital requirements for</w:t>
      </w:r>
      <w:r>
        <w:t xml:space="preserve"> </w:t>
      </w:r>
      <w:r>
        <w:t xml:space="preserve">securitisation. Stakeholders do not address concerns regarding the potential complexity of non-</w:t>
      </w:r>
      <w:r>
        <w:t xml:space="preserve"> </w:t>
      </w:r>
      <w:r>
        <w:t xml:space="preserve">STS products and argue that historical risks of default remain low. However, as explained</w:t>
      </w:r>
      <w:r>
        <w:t xml:space="preserve"> </w:t>
      </w:r>
      <w:r>
        <w:t xml:space="preserve">previously, options 3.1 and 3.2 would still include securitisation in the scope of market</w:t>
      </w:r>
      <w:r>
        <w:t xml:space="preserve"> </w:t>
      </w:r>
      <w:r>
        <w:t xml:space="preserve">volatility risk (volatility in credit spreads), not default risk.</w:t>
      </w:r>
      <w:r>
        <w:br/>
      </w:r>
      <w:r>
        <w:t xml:space="preserve">Historical risks of default do not necessarily imply low volatility over a one-year horizon.</w:t>
      </w:r>
      <w:r>
        <w:t xml:space="preserve"> </w:t>
      </w:r>
      <w:r>
        <w:t xml:space="preserve">Market volatility not only depends on the probability of default but also the cost of a potential</w:t>
      </w:r>
      <w:r>
        <w:t xml:space="preserve"> </w:t>
      </w:r>
      <w:r>
        <w:t xml:space="preserve">increase in risk of the investment (e.g. cost of a rating downgrade). It also depends on the</w:t>
      </w:r>
      <w:r>
        <w:t xml:space="preserve"> </w:t>
      </w:r>
      <w:r>
        <w:t xml:space="preserve">specific context of securitisation, including the type and quality of the assets in the securitised</w:t>
      </w:r>
      <w:r>
        <w:t xml:space="preserve"> </w:t>
      </w:r>
      <w:r>
        <w:t xml:space="preserve">pool, as well as the transparency of the asset (lower transparency can result in more significant</w:t>
      </w:r>
      <w:r>
        <w:t xml:space="preserve"> </w:t>
      </w:r>
      <w:r>
        <w:t xml:space="preserve">‘irrational’ market movements).</w:t>
      </w:r>
      <w:r>
        <w:br/>
      </w:r>
      <w:r>
        <w:t xml:space="preserve">In fact, it is the understanding of the Commission services that irrespective of the technical or</w:t>
      </w:r>
      <w:r>
        <w:t xml:space="preserve"> </w:t>
      </w:r>
      <w:r>
        <w:t xml:space="preserve">conceptual rationale supporting changes to insurance rules, the industry would be supportive</w:t>
      </w:r>
      <w:r>
        <w:t xml:space="preserve"> </w:t>
      </w:r>
      <w:r>
        <w:t xml:space="preserve">of the most significant decrease in capital charges applied to the widest scope of securitisations</w:t>
      </w:r>
      <w:r>
        <w:t xml:space="preserve"> </w:t>
      </w:r>
      <w:r>
        <w:t xml:space="preserve">(i.e. both STS and non-STS) hence favouring option 3.3. However, the main objective of these</w:t>
      </w:r>
      <w:r>
        <w:t xml:space="preserve"> </w:t>
      </w:r>
      <w:r>
        <w:t xml:space="preserve">respondents is not to align insurance rules with banking rules (which would imply adopting a</w:t>
      </w:r>
      <w:r>
        <w:t xml:space="preserve"> </w:t>
      </w:r>
      <w:r>
        <w:t xml:space="preserve">very sophisticated set of parameters), but to achieve significant cuts in capital requirements.</w:t>
      </w:r>
      <w:r>
        <w:t xml:space="preserve"> </w:t>
      </w:r>
      <w:r>
        <w:t xml:space="preserve">Preferences between option 3.1 and 3.2 would depend on the investment strategy of each</w:t>
      </w:r>
      <w:r>
        <w:t xml:space="preserve"> </w:t>
      </w:r>
      <w:r>
        <w:t xml:space="preserve">individual insurer: companies investing heavily in non-senior tranches would likely favour</w:t>
      </w:r>
      <w:r>
        <w:t xml:space="preserve"> </w:t>
      </w:r>
      <w:r>
        <w:t xml:space="preserve">option 3.1 rather than option 3.2 (since the latter does not bring any changes to non-senior non-</w:t>
      </w:r>
      <w:r>
        <w:t xml:space="preserve"> </w:t>
      </w:r>
      <w:r>
        <w:t xml:space="preserve">STS investments) whereas others would favour option 3.2 (which results in a more significant</w:t>
      </w:r>
      <w:r>
        <w:t xml:space="preserve"> </w:t>
      </w:r>
      <w:r>
        <w:t xml:space="preserve">cut in risk factors than option 3.1.</w:t>
      </w:r>
    </w:p>
    <w:p>
      <w:pPr>
        <w:pStyle w:val="BodyText"/>
      </w:pPr>
      <w:r>
        <w:t xml:space="preserve">73 One has to acknowledge that securitisation brings significant diversification benefits in comparison with an</w:t>
      </w:r>
      <w:r>
        <w:t xml:space="preserve"> </w:t>
      </w:r>
      <w:r>
        <w:t xml:space="preserve">exposure to a single bond or loan. Conversely, it may also bring specific agency and modelling risks. In any case,</w:t>
      </w:r>
      <w:r>
        <w:t xml:space="preserve"> </w:t>
      </w:r>
      <w:r>
        <w:t xml:space="preserve">such features do not justify why the measurement of risk (spread risk vs. default risk) should differ between</w:t>
      </w:r>
      <w:r>
        <w:t xml:space="preserve"> </w:t>
      </w:r>
      <w:r>
        <w:t xml:space="preserve">corporate or covered bonds and securitisations.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By contrast, the insurance supervisory community, in particular EIOPA, generally does not</w:t>
      </w:r>
      <w:r>
        <w:t xml:space="preserve"> </w:t>
      </w:r>
      <w:r>
        <w:t xml:space="preserve">support a decrease in capital requirements for securitisation. EIOPA claims that its current</w:t>
      </w:r>
      <w:r>
        <w:t xml:space="preserve"> </w:t>
      </w:r>
      <w:r>
        <w:t xml:space="preserve">calibration (which remains the basis for currently applicable rules) remains appropriate. EIOPA</w:t>
      </w:r>
      <w:r>
        <w:t xml:space="preserve"> </w:t>
      </w:r>
      <w:r>
        <w:t xml:space="preserve">does not challenge the principle of improving risk sensitivity by differentiating capital</w:t>
      </w:r>
      <w:r>
        <w:t xml:space="preserve"> </w:t>
      </w:r>
      <w:r>
        <w:t xml:space="preserve">requirements between senior and non-senior tranches of non-STS securitisations (as in option</w:t>
      </w:r>
      <w:r>
        <w:t xml:space="preserve"> </w:t>
      </w:r>
      <w:r>
        <w:t xml:space="preserve">3.2). The supervisory community, in particular EIOPA, would strongly oppose option 3.3</w:t>
      </w:r>
      <w:r>
        <w:t xml:space="preserve"> </w:t>
      </w:r>
      <w:r>
        <w:t xml:space="preserve">(reclassification of securitisation in the scope of default risk) in view of the lack of technical</w:t>
      </w:r>
      <w:r>
        <w:t xml:space="preserve"> </w:t>
      </w:r>
      <w:r>
        <w:t xml:space="preserve">robustness of this option, the absence of strict criteria for demonstrating a ‘hold-to-maturity’</w:t>
      </w:r>
      <w:r>
        <w:t xml:space="preserve"> </w:t>
      </w:r>
      <w:r>
        <w:t xml:space="preserve">investment behaviour, including under stressed conditions, and the internal incoherence of</w:t>
      </w:r>
      <w:r>
        <w:t xml:space="preserve"> </w:t>
      </w:r>
      <w:r>
        <w:t xml:space="preserve">prudential rules which this option would entail. Finally, EIOPA doubts that targeted lowering</w:t>
      </w:r>
      <w:r>
        <w:t xml:space="preserve"> </w:t>
      </w:r>
      <w:r>
        <w:t xml:space="preserve">of capital requirements would have any impacts on investment behaviours, arguing that</w:t>
      </w:r>
      <w:r>
        <w:t xml:space="preserve"> </w:t>
      </w:r>
      <w:r>
        <w:t xml:space="preserve">securitised assets do not have the features that fit the insurance business model, which often</w:t>
      </w:r>
      <w:r>
        <w:t xml:space="preserve"> </w:t>
      </w:r>
      <w:r>
        <w:t xml:space="preserve">requires strict matching of assets and liabilities. The complexity of the product also makes it</w:t>
      </w:r>
      <w:r>
        <w:t xml:space="preserve"> </w:t>
      </w:r>
      <w:r>
        <w:t xml:space="preserve">less attractive compared to other products which necessitate less intensive due diligence. This</w:t>
      </w:r>
      <w:r>
        <w:t xml:space="preserve"> </w:t>
      </w:r>
      <w:r>
        <w:t xml:space="preserve">line of thought applies to all three options.</w:t>
      </w:r>
      <w:r>
        <w:t xml:space="preserve"> </w:t>
      </w:r>
      <w:r>
        <w:t xml:space="preserve">As part of the consultation processes, stakeholders were invited to provide feedback on the</w:t>
      </w:r>
      <w:r>
        <w:t xml:space="preserve"> </w:t>
      </w:r>
      <w:r>
        <w:t xml:space="preserve">impact of any decrease in capital requirements on levels of investments. However, no</w:t>
      </w:r>
      <w:r>
        <w:t xml:space="preserve"> </w:t>
      </w:r>
      <w:r>
        <w:t xml:space="preserve">meaningful feedback was received, highlighting the difficulty for stakeholders to provide</w:t>
      </w:r>
      <w:r>
        <w:t xml:space="preserve"> </w:t>
      </w:r>
      <w:r>
        <w:t xml:space="preserve">clarity or ‘commit’ to potential changes in investment behaviours stemming from changes in</w:t>
      </w:r>
      <w:r>
        <w:t xml:space="preserve"> </w:t>
      </w:r>
      <w:r>
        <w:t xml:space="preserve">prudential rules.</w:t>
      </w:r>
      <w:r>
        <w:t xml:space="preserve"> </w:t>
      </w:r>
      <w:r>
        <w:t xml:space="preserve">Summary – impact on financial stability: Option 3.2 lowers capital requirements for the</w:t>
      </w:r>
      <w:r>
        <w:t xml:space="preserve"> </w:t>
      </w:r>
      <w:r>
        <w:t xml:space="preserve">highest quality tranches of non-STS securitisations. Out of all the options considered for</w:t>
      </w:r>
      <w:r>
        <w:t xml:space="preserve"> </w:t>
      </w:r>
      <w:r>
        <w:t xml:space="preserve">insurance, this is the most beneficial for financial stability since it incentivises insurers to</w:t>
      </w:r>
      <w:r>
        <w:t xml:space="preserve"> </w:t>
      </w:r>
      <w:r>
        <w:t xml:space="preserve">invest in the safest part of the non-STS market. The other options can be considered to</w:t>
      </w:r>
      <w:r>
        <w:t xml:space="preserve"> </w:t>
      </w:r>
      <w:r>
        <w:t xml:space="preserve">provide a relatively lower level of protection of financial stability. Option 3.1 (moderately</w:t>
      </w:r>
      <w:r>
        <w:t xml:space="preserve"> </w:t>
      </w:r>
      <w:r>
        <w:t xml:space="preserve">reducing all non-STS capital requirements) brings comparatively more risks to financial</w:t>
      </w:r>
      <w:r>
        <w:t xml:space="preserve"> </w:t>
      </w:r>
      <w:r>
        <w:t xml:space="preserve">stability, as it benefits also the lower quality tranches. Among the options considered, Option</w:t>
      </w:r>
      <w:r>
        <w:t xml:space="preserve"> </w:t>
      </w:r>
      <w:r>
        <w:t xml:space="preserve">3.3 is the least conducive to tackling financial stability risks adequately, as risks would not</w:t>
      </w:r>
      <w:r>
        <w:t xml:space="preserve"> </w:t>
      </w:r>
      <w:r>
        <w:t xml:space="preserve">be assessed consistently with other asset classes, and the envisaged revised capital</w:t>
      </w:r>
      <w:r>
        <w:t xml:space="preserve"> </w:t>
      </w:r>
      <w:r>
        <w:t xml:space="preserve">requirement would underestimate the actual risks of securitisation. Finally, in view of</w:t>
      </w:r>
      <w:r>
        <w:t xml:space="preserve"> </w:t>
      </w:r>
      <w:r>
        <w:t xml:space="preserve">currently low levels, even if investments in securitisation were to multiply by five,</w:t>
      </w:r>
      <w:r>
        <w:t xml:space="preserve"> </w:t>
      </w:r>
      <w:r>
        <w:t xml:space="preserve">securitisation would still represent a niche asset class within insurers’ portfolio. Financial</w:t>
      </w:r>
      <w:r>
        <w:t xml:space="preserve"> </w:t>
      </w:r>
      <w:r>
        <w:t xml:space="preserve">stability risks are therefore contained.</w:t>
      </w:r>
      <w:r>
        <w:t xml:space="preserve"> </w:t>
      </w:r>
      <w:r>
        <w:t xml:space="preserve">6.3.5. Summary comparison and choice of preferred option</w:t>
      </w:r>
    </w:p>
    <w:p>
      <w:pPr>
        <w:pStyle w:val="BodyText"/>
      </w:pPr>
      <w:r>
        <w:t xml:space="preserve">Option 3.1</w:t>
      </w:r>
      <w:r>
        <w:t xml:space="preserve"> </w:t>
      </w:r>
      <w:r>
        <w:t xml:space="preserve">Option 3.2</w:t>
      </w:r>
      <w:r>
        <w:t xml:space="preserve"> </w:t>
      </w:r>
      <w:r>
        <w:t xml:space="preserve">Option 3.3</w:t>
      </w:r>
      <w:r>
        <w:t xml:space="preserve"> </w:t>
      </w:r>
      <w:r>
        <w:t xml:space="preserve">Removal of prudential disincentives</w:t>
      </w:r>
      <w:r>
        <w:t xml:space="preserve"> </w:t>
      </w:r>
      <w:r>
        <w:t xml:space="preserve">+</w:t>
      </w:r>
      <w:r>
        <w:t xml:space="preserve"> </w:t>
      </w:r>
      <w:r>
        <w:t xml:space="preserve">Capital</w:t>
      </w:r>
      <w:r>
        <w:t xml:space="preserve"> </w:t>
      </w:r>
      <w:r>
        <w:t xml:space="preserve">relief:</w:t>
      </w:r>
      <w:r>
        <w:t xml:space="preserve"> </w:t>
      </w:r>
      <w:r>
        <w:t xml:space="preserve">EUR 4.1 billion</w:t>
      </w:r>
      <w:r>
        <w:t xml:space="preserve"> </w:t>
      </w:r>
      <w:r>
        <w:t xml:space="preserve">+</w:t>
      </w:r>
      <w:r>
        <w:t xml:space="preserve"> </w:t>
      </w:r>
      <w:r>
        <w:t xml:space="preserve">Capital relief:</w:t>
      </w:r>
      <w:r>
        <w:t xml:space="preserve"> </w:t>
      </w:r>
      <w:r>
        <w:t xml:space="preserve">EUR 5.9 bn</w:t>
      </w:r>
      <w:r>
        <w:t xml:space="preserve"> </w:t>
      </w:r>
      <w:r>
        <w:t xml:space="preserve">++</w:t>
      </w:r>
      <w:r>
        <w:t xml:space="preserve"> </w:t>
      </w:r>
      <w:r>
        <w:t xml:space="preserve">Capital relief:</w:t>
      </w:r>
      <w:r>
        <w:t xml:space="preserve"> </w:t>
      </w:r>
      <w:r>
        <w:t xml:space="preserve">EUR 7.1 bn</w:t>
      </w:r>
      <w:r>
        <w:t xml:space="preserve"> </w:t>
      </w:r>
      <w:r>
        <w:t xml:space="preserve">Removal of incentives for excessive</w:t>
      </w:r>
      <w:r>
        <w:t xml:space="preserve"> </w:t>
      </w:r>
      <w:r>
        <w:t xml:space="preserve">risk taking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–</w:t>
      </w:r>
      <w:r>
        <w:t xml:space="preserve"> </w:t>
      </w:r>
      <w:r>
        <w:t xml:space="preserve">Associated implementation costs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Improvements to internal coherence of</w:t>
      </w:r>
      <w:r>
        <w:t xml:space="preserve"> </w:t>
      </w:r>
      <w:r>
        <w:t xml:space="preserve">Solvency II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–</w:t>
      </w:r>
      <w:r>
        <w:t xml:space="preserve"> </w:t>
      </w:r>
      <w:r>
        <w:t xml:space="preserve">Legend:</w:t>
      </w:r>
      <w:r>
        <w:t xml:space="preserve"> </w:t>
      </w:r>
      <w:r>
        <w:t xml:space="preserve">+++ = Very positive ++ = Positive + = Slightly positive +/- =Mixed effect</w:t>
      </w:r>
    </w:p>
    <w:p>
      <w:pPr>
        <w:pStyle w:val="BodyText"/>
      </w:pPr>
      <w:r>
        <w:t xml:space="preserve">0 = no effect - = Slightly negative – = Negative</w:t>
      </w:r>
      <w:r>
        <w:br/>
      </w:r>
      <w:r>
        <w:t xml:space="preserve">— = very negative</w:t>
      </w:r>
      <w:r>
        <w:t xml:space="preserve"> </w:t>
      </w:r>
      <w:r>
        <w:t xml:space="preserve">6.4 Social, environmental and fundamental rights impact</w:t>
      </w:r>
      <w:r>
        <w:t xml:space="preserve"> </w:t>
      </w:r>
      <w:r>
        <w:t xml:space="preserve">The assessment of the various policy options primarily focuses on their economic and</w:t>
      </w:r>
      <w:r>
        <w:t xml:space="preserve"> </w:t>
      </w:r>
      <w:r>
        <w:t xml:space="preserve">regulatory impacts, with no direct impacts on social, environmental, and fundamental rights</w:t>
      </w:r>
      <w:r>
        <w:t xml:space="preserve"> </w:t>
      </w:r>
      <w:r>
        <w:t xml:space="preserve">issues. For a more detailed analysis, please see Section 7.2.</w:t>
      </w:r>
      <w:r>
        <w:t xml:space="preserve"> </w:t>
      </w:r>
      <w:r>
        <w:t xml:space="preserve">7.</w:t>
      </w:r>
      <w:r>
        <w:t xml:space="preserve"> </w:t>
      </w:r>
      <w:r>
        <w:t xml:space="preserve">COMPARISON AND PREFERRED COMBINATION OF POLICY OPTIONS</w:t>
      </w:r>
      <w:r>
        <w:t xml:space="preserve"> </w:t>
      </w:r>
      <w:r>
        <w:t xml:space="preserve">In the Table below we present a comprehensive comparison of the policy options, as they relate</w:t>
      </w:r>
      <w:r>
        <w:t xml:space="preserve"> </w:t>
      </w:r>
      <w:r>
        <w:t xml:space="preserve">to the three problems identified in the Impact Assessment. This analysis assesses each policy</w:t>
      </w:r>
      <w:r>
        <w:t xml:space="preserve"> </w:t>
      </w:r>
      <w:r>
        <w:t xml:space="preserve">option across three key criteria: effectiveness, efficiency, and coherence. Based on the analysis</w:t>
      </w:r>
      <w:r>
        <w:t xml:space="preserve"> </w:t>
      </w:r>
      <w:r>
        <w:t xml:space="preserve">presented, we conclude that the following combination of policy options is the most effective,</w:t>
      </w:r>
      <w:r>
        <w:t xml:space="preserve"> </w:t>
      </w:r>
      <w:r>
        <w:t xml:space="preserve">efficient and coherent: option 1.1, option 2.1 and option 3.2.</w:t>
      </w:r>
      <w:r>
        <w:t xml:space="preserve"> </w:t>
      </w:r>
      <w:r>
        <w:t xml:space="preserve">Summary comparison of all policy options</w:t>
      </w:r>
    </w:p>
    <w:p>
      <w:pPr>
        <w:pStyle w:val="BodyText"/>
      </w:pPr>
      <w:r>
        <w:t xml:space="preserve">Effectiveness</w:t>
      </w:r>
      <w:r>
        <w:br/>
      </w:r>
      <w:r>
        <w:t xml:space="preserve">Efficiency</w:t>
      </w:r>
      <w:r>
        <w:br/>
      </w:r>
      <w:r>
        <w:t xml:space="preserve">Coherence</w:t>
      </w:r>
      <w:r>
        <w:br/>
      </w:r>
      <w:r>
        <w:t xml:space="preserve">Measures to reduce high operational costs</w:t>
      </w:r>
      <w:r>
        <w:t xml:space="preserve"> </w:t>
      </w:r>
      <w:r>
        <w:t xml:space="preserve">Option 1.1. Targeted measures</w:t>
      </w:r>
      <w:r>
        <w:t xml:space="preserve"> </w:t>
      </w:r>
      <w:r>
        <w:t xml:space="preserve">to reduce high operational</w:t>
      </w:r>
      <w:r>
        <w:t xml:space="preserve"> </w:t>
      </w:r>
      <w:r>
        <w:t xml:space="preserve">costs</w:t>
      </w:r>
      <w:r>
        <w:t xml:space="preserve"> </w:t>
      </w:r>
      <w:r>
        <w:t xml:space="preserve">Positive</w:t>
      </w:r>
      <w:r>
        <w:t xml:space="preserve"> </w:t>
      </w:r>
      <w:r>
        <w:t xml:space="preserve">Limited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for issuers and</w:t>
      </w:r>
      <w:r>
        <w:t xml:space="preserve"> </w:t>
      </w:r>
      <w:r>
        <w:t xml:space="preserve">investors</w:t>
      </w:r>
      <w:r>
        <w:t xml:space="preserve"> </w:t>
      </w:r>
      <w:r>
        <w:t xml:space="preserve">Limited impact</w:t>
      </w:r>
      <w:r>
        <w:t xml:space="preserve"> </w:t>
      </w:r>
      <w:r>
        <w:t xml:space="preserve">Option</w:t>
      </w:r>
      <w:r>
        <w:t xml:space="preserve"> </w:t>
      </w:r>
      <w:r>
        <w:t xml:space="preserve">1.2.</w:t>
      </w:r>
      <w:r>
        <w:t xml:space="preserve"> </w:t>
      </w:r>
      <w:r>
        <w:t xml:space="preserve">Significant</w:t>
      </w:r>
      <w:r>
        <w:t xml:space="preserve"> </w:t>
      </w:r>
      <w:r>
        <w:t xml:space="preserve">measures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high</w:t>
      </w:r>
      <w:r>
        <w:t xml:space="preserve"> </w:t>
      </w:r>
      <w:r>
        <w:t xml:space="preserve">operational costs</w:t>
      </w:r>
      <w:r>
        <w:t xml:space="preserve"> </w:t>
      </w:r>
      <w:r>
        <w:t xml:space="preserve">Slightly positive</w:t>
      </w:r>
      <w:r>
        <w:t xml:space="preserve"> </w:t>
      </w:r>
      <w:r>
        <w:t xml:space="preserve">Limited</w:t>
      </w:r>
      <w:r>
        <w:t xml:space="preserve"> </w:t>
      </w:r>
      <w:r>
        <w:t xml:space="preserve">adjustments costs</w:t>
      </w:r>
      <w:r>
        <w:t xml:space="preserve"> </w:t>
      </w:r>
      <w:r>
        <w:t xml:space="preserve">for issuers and</w:t>
      </w:r>
      <w:r>
        <w:t xml:space="preserve"> </w:t>
      </w:r>
      <w:r>
        <w:t xml:space="preserve">investors</w:t>
      </w:r>
      <w:r>
        <w:t xml:space="preserve"> </w:t>
      </w:r>
      <w:r>
        <w:t xml:space="preserve">Slightly</w:t>
      </w:r>
      <w:r>
        <w:t xml:space="preserve"> </w:t>
      </w:r>
      <w:r>
        <w:t xml:space="preserve">negative</w:t>
      </w:r>
      <w:r>
        <w:t xml:space="preserve"> </w:t>
      </w:r>
      <w:r>
        <w:t xml:space="preserve">Measures to reduce undue prudential barriers for banks</w:t>
      </w:r>
      <w:r>
        <w:br/>
      </w:r>
      <w:r>
        <w:t xml:space="preserve">Option 2.1. Targeted changes</w:t>
      </w:r>
      <w:r>
        <w:t xml:space="preserve"> </w:t>
      </w:r>
      <w:r>
        <w:t xml:space="preserve">to existing prudential (capital</w:t>
      </w:r>
      <w:r>
        <w:t xml:space="preserve"> </w:t>
      </w:r>
      <w:r>
        <w:t xml:space="preserve">and liquidity) framework for</w:t>
      </w:r>
      <w:r>
        <w:t xml:space="preserve"> </w:t>
      </w:r>
      <w:r>
        <w:t xml:space="preserve">banks</w:t>
      </w:r>
      <w:r>
        <w:t xml:space="preserve"> </w:t>
      </w:r>
      <w:r>
        <w:t xml:space="preserve">Slightly positive</w:t>
      </w:r>
      <w:r>
        <w:t xml:space="preserve"> </w:t>
      </w:r>
      <w:r>
        <w:t xml:space="preserve">Slightly positive</w:t>
      </w:r>
      <w:r>
        <w:t xml:space="preserve"> </w:t>
      </w:r>
      <w:r>
        <w:t xml:space="preserve">Limited impact</w:t>
      </w:r>
      <w:r>
        <w:t xml:space="preserve"> </w:t>
      </w:r>
      <w:r>
        <w:t xml:space="preserve">Option 2.2. Radical overhaul</w:t>
      </w:r>
      <w:r>
        <w:t xml:space="preserve"> </w:t>
      </w:r>
      <w:r>
        <w:t xml:space="preserve">of the existing</w:t>
      </w:r>
      <w:r>
        <w:t xml:space="preserve"> </w:t>
      </w:r>
      <w:r>
        <w:t xml:space="preserve">prudential</w:t>
      </w:r>
      <w:r>
        <w:t xml:space="preserve"> </w:t>
      </w:r>
      <w:r>
        <w:t xml:space="preserve">(capital</w:t>
      </w:r>
      <w:r>
        <w:t xml:space="preserve"> </w:t>
      </w:r>
      <w:r>
        <w:t xml:space="preserve">and</w:t>
      </w:r>
      <w:r>
        <w:t xml:space="preserve"> </w:t>
      </w:r>
      <w:r>
        <w:t xml:space="preserve">liquidity)</w:t>
      </w:r>
      <w:r>
        <w:t xml:space="preserve"> </w:t>
      </w:r>
      <w:r>
        <w:t xml:space="preserve">framework for banks</w:t>
      </w:r>
      <w:r>
        <w:t xml:space="preserve"> </w:t>
      </w:r>
      <w:r>
        <w:t xml:space="preserve">Slightly positive</w:t>
      </w:r>
      <w:r>
        <w:t xml:space="preserve"> </w:t>
      </w:r>
      <w:r>
        <w:t xml:space="preserve">Slightly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Measures to remove undue prudential costs for insurers</w:t>
      </w:r>
      <w:r>
        <w:t xml:space="preserve"> </w:t>
      </w:r>
      <w:r>
        <w:t xml:space="preserve">Option</w:t>
      </w:r>
      <w:r>
        <w:t xml:space="preserve"> </w:t>
      </w:r>
      <w:r>
        <w:t xml:space="preserve">3.1.</w:t>
      </w:r>
      <w:r>
        <w:t xml:space="preserve"> </w:t>
      </w:r>
      <w:r>
        <w:t xml:space="preserve">Removing</w:t>
      </w:r>
      <w:r>
        <w:t xml:space="preserve"> </w:t>
      </w:r>
      <w:r>
        <w:t xml:space="preserve">prudential</w:t>
      </w:r>
      <w:r>
        <w:t xml:space="preserve"> </w:t>
      </w:r>
      <w:r>
        <w:t xml:space="preserve">barriers</w:t>
      </w:r>
      <w:r>
        <w:t xml:space="preserve"> </w:t>
      </w:r>
      <w:r>
        <w:t xml:space="preserve">to</w:t>
      </w:r>
      <w:r>
        <w:t xml:space="preserve"> </w:t>
      </w:r>
      <w:r>
        <w:t xml:space="preserve">investments in all non-STS</w:t>
      </w:r>
      <w:r>
        <w:t xml:space="preserve"> </w:t>
      </w:r>
      <w:r>
        <w:t xml:space="preserve">securitisations</w:t>
      </w:r>
      <w:r>
        <w:t xml:space="preserve"> </w:t>
      </w:r>
      <w:r>
        <w:t xml:space="preserve">Limited impact</w:t>
      </w:r>
      <w:r>
        <w:t xml:space="preserve"> </w:t>
      </w:r>
      <w:r>
        <w:t xml:space="preserve">Limited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costs,</w:t>
      </w:r>
      <w:r>
        <w:t xml:space="preserve"> </w:t>
      </w:r>
      <w:r>
        <w:t xml:space="preserve">some</w:t>
      </w:r>
      <w:r>
        <w:t xml:space="preserve"> </w:t>
      </w:r>
      <w:r>
        <w:t xml:space="preserve">additional risks to</w:t>
      </w:r>
      <w:r>
        <w:t xml:space="preserve"> </w:t>
      </w:r>
      <w:r>
        <w:t xml:space="preserve">policyholder</w:t>
      </w:r>
      <w:r>
        <w:t xml:space="preserve"> </w:t>
      </w:r>
      <w:r>
        <w:t xml:space="preserve">protection</w:t>
      </w:r>
      <w:r>
        <w:t xml:space="preserve"> </w:t>
      </w:r>
      <w:r>
        <w:t xml:space="preserve">Limited impact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Option 3.2. Improving risk</w:t>
      </w:r>
      <w:r>
        <w:t xml:space="preserve"> </w:t>
      </w:r>
      <w:r>
        <w:t xml:space="preserve">sensitivity</w:t>
      </w:r>
      <w:r>
        <w:t xml:space="preserve"> </w:t>
      </w:r>
      <w:r>
        <w:t xml:space="preserve">and</w:t>
      </w:r>
      <w:r>
        <w:t xml:space="preserve"> </w:t>
      </w:r>
      <w:r>
        <w:t xml:space="preserve">removing</w:t>
      </w:r>
      <w:r>
        <w:t xml:space="preserve"> </w:t>
      </w:r>
      <w:r>
        <w:t xml:space="preserve">prudential</w:t>
      </w:r>
      <w:r>
        <w:t xml:space="preserve"> </w:t>
      </w:r>
      <w:r>
        <w:t xml:space="preserve">barriers</w:t>
      </w:r>
      <w:r>
        <w:t xml:space="preserve"> </w:t>
      </w:r>
      <w:r>
        <w:t xml:space="preserve">to</w:t>
      </w:r>
      <w:r>
        <w:t xml:space="preserve"> </w:t>
      </w:r>
      <w:r>
        <w:t xml:space="preserve">investments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safest</w:t>
      </w:r>
      <w:r>
        <w:t xml:space="preserve"> </w:t>
      </w:r>
      <w:r>
        <w:t xml:space="preserve">tranches</w:t>
      </w:r>
      <w:r>
        <w:t xml:space="preserve"> </w:t>
      </w:r>
      <w:r>
        <w:t xml:space="preserve">of</w:t>
      </w:r>
      <w:r>
        <w:t xml:space="preserve"> </w:t>
      </w:r>
      <w:r>
        <w:t xml:space="preserve">non-STS</w:t>
      </w:r>
      <w:r>
        <w:t xml:space="preserve"> </w:t>
      </w:r>
      <w:r>
        <w:t xml:space="preserve">securitisation</w:t>
      </w:r>
      <w:r>
        <w:t xml:space="preserve"> </w:t>
      </w:r>
      <w:r>
        <w:t xml:space="preserve">Slightly positive</w:t>
      </w:r>
      <w:r>
        <w:t xml:space="preserve"> </w:t>
      </w:r>
      <w:r>
        <w:t xml:space="preserve">Limited costs</w:t>
      </w:r>
      <w:r>
        <w:t xml:space="preserve"> </w:t>
      </w:r>
      <w:r>
        <w:t xml:space="preserve">Positive</w:t>
      </w:r>
      <w:r>
        <w:t xml:space="preserve"> </w:t>
      </w:r>
      <w:r>
        <w:t xml:space="preserve">Option 3.3. Overhauling the</w:t>
      </w:r>
      <w:r>
        <w:t xml:space="preserve"> </w:t>
      </w:r>
      <w:r>
        <w:t xml:space="preserve">prudential</w:t>
      </w:r>
      <w:r>
        <w:t xml:space="preserve"> </w:t>
      </w:r>
      <w:r>
        <w:t xml:space="preserve">treatment</w:t>
      </w:r>
      <w:r>
        <w:t xml:space="preserve"> </w:t>
      </w:r>
      <w:r>
        <w:t xml:space="preserve">of</w:t>
      </w:r>
      <w:r>
        <w:t xml:space="preserve"> </w:t>
      </w:r>
      <w:r>
        <w:t xml:space="preserve">securitisation in order to make</w:t>
      </w:r>
      <w:r>
        <w:t xml:space="preserve"> </w:t>
      </w:r>
      <w:r>
        <w:t xml:space="preserve">all securitisation investments</w:t>
      </w:r>
      <w:r>
        <w:t xml:space="preserve"> </w:t>
      </w:r>
      <w:r>
        <w:t xml:space="preserve">relatively</w:t>
      </w:r>
      <w:r>
        <w:t xml:space="preserve"> </w:t>
      </w:r>
      <w:r>
        <w:t xml:space="preserve">more</w:t>
      </w:r>
      <w:r>
        <w:t xml:space="preserve"> </w:t>
      </w:r>
      <w:r>
        <w:t xml:space="preserve">‘attractive’</w:t>
      </w:r>
      <w:r>
        <w:t xml:space="preserve"> </w:t>
      </w:r>
      <w:r>
        <w:t xml:space="preserve">than under current rules</w:t>
      </w:r>
      <w:r>
        <w:t xml:space="preserve"> </w:t>
      </w:r>
      <w:r>
        <w:t xml:space="preserve">Positive</w:t>
      </w:r>
      <w:r>
        <w:t xml:space="preserve"> </w:t>
      </w:r>
      <w:r>
        <w:t xml:space="preserve">Limited</w:t>
      </w:r>
      <w:r>
        <w:t xml:space="preserve"> </w:t>
      </w:r>
      <w:r>
        <w:t xml:space="preserve">costs,</w:t>
      </w:r>
      <w:r>
        <w:t xml:space="preserve"> </w:t>
      </w:r>
      <w:r>
        <w:t xml:space="preserve">material</w:t>
      </w:r>
      <w:r>
        <w:t xml:space="preserve"> </w:t>
      </w:r>
      <w:r>
        <w:t xml:space="preserve">additional risks to</w:t>
      </w:r>
      <w:r>
        <w:t xml:space="preserve"> </w:t>
      </w:r>
      <w:r>
        <w:t xml:space="preserve">policyholder</w:t>
      </w:r>
      <w:r>
        <w:t xml:space="preserve"> </w:t>
      </w:r>
      <w:r>
        <w:t xml:space="preserve">protection</w:t>
      </w:r>
      <w:r>
        <w:t xml:space="preserve"> </w:t>
      </w:r>
      <w:r>
        <w:t xml:space="preserve">and</w:t>
      </w:r>
      <w:r>
        <w:t xml:space="preserve"> </w:t>
      </w:r>
      <w:r>
        <w:t xml:space="preserve">financial stability</w:t>
      </w:r>
      <w:r>
        <w:t xml:space="preserve"> </w:t>
      </w:r>
      <w:r>
        <w:t xml:space="preserve">Negative</w:t>
      </w:r>
      <w:r>
        <w:t xml:space="preserve"> </w:t>
      </w:r>
      <w:r>
        <w:t xml:space="preserve">To address Problem 1 (high operational costs for issuers and investors), option 1.1 presents the</w:t>
      </w:r>
      <w:r>
        <w:t xml:space="preserve"> </w:t>
      </w:r>
      <w:r>
        <w:t xml:space="preserve">most balanced outcome between reducing undue operational due diligence and disclosure costs</w:t>
      </w:r>
      <w:r>
        <w:t xml:space="preserve"> </w:t>
      </w:r>
      <w:r>
        <w:t xml:space="preserve">while maintaining high levels of market transparency, investor protection and supervisory</w:t>
      </w:r>
      <w:r>
        <w:t xml:space="preserve"> </w:t>
      </w:r>
      <w:r>
        <w:t xml:space="preserve">oversight. Option 1.2 has the potential to achieve higher burden reduction, but it also brings</w:t>
      </w:r>
      <w:r>
        <w:t xml:space="preserve"> </w:t>
      </w:r>
      <w:r>
        <w:t xml:space="preserve">higher risks for market integrity. Addressing the risks associated with option 1.2 would make</w:t>
      </w:r>
      <w:r>
        <w:t xml:space="preserve"> </w:t>
      </w:r>
      <w:r>
        <w:t xml:space="preserve">the application of that option much more challenging from a technical perspective and to a</w:t>
      </w:r>
      <w:r>
        <w:t xml:space="preserve"> </w:t>
      </w:r>
      <w:r>
        <w:t xml:space="preserve">large extent nullify the potential benefit it could bring. For example, ensuring that option 1.2</w:t>
      </w:r>
      <w:r>
        <w:t xml:space="preserve"> </w:t>
      </w:r>
      <w:r>
        <w:t xml:space="preserve">does not sacrifice market transparency, and thereby the ability of investors to conduct proper</w:t>
      </w:r>
      <w:r>
        <w:t xml:space="preserve"> </w:t>
      </w:r>
      <w:r>
        <w:t xml:space="preserve">risk analysis, would require supervisors to conduct thorough checks on the amount and quality</w:t>
      </w:r>
      <w:r>
        <w:t xml:space="preserve"> </w:t>
      </w:r>
      <w:r>
        <w:t xml:space="preserve">of information that each originator discloses upon issuance – these checks are automated by</w:t>
      </w:r>
      <w:r>
        <w:t xml:space="preserve"> </w:t>
      </w:r>
      <w:r>
        <w:t xml:space="preserve">the securitisation repositories under option 1.1.</w:t>
      </w:r>
      <w:r>
        <w:t xml:space="preserve"> </w:t>
      </w:r>
      <w:r>
        <w:t xml:space="preserve">When it comes to Problem 2 (undue prudential barriers for banks), option 2.1 is the preferred</w:t>
      </w:r>
      <w:r>
        <w:t xml:space="preserve"> </w:t>
      </w:r>
      <w:r>
        <w:t xml:space="preserve">option, as it addresses miscalibrations in the capital requirements for banks in a more efficient</w:t>
      </w:r>
      <w:r>
        <w:t xml:space="preserve"> </w:t>
      </w:r>
      <w:r>
        <w:t xml:space="preserve">and targeted way, only for robust and resilient transactions for which risks have been reduced.</w:t>
      </w:r>
      <w:r>
        <w:t xml:space="preserve"> </w:t>
      </w:r>
      <w:r>
        <w:t xml:space="preserve">The expected impact and outcome of the policy proposals under option 2.1 is more predictable,</w:t>
      </w:r>
      <w:r>
        <w:t xml:space="preserve"> </w:t>
      </w:r>
      <w:r>
        <w:t xml:space="preserve">and the calibration of the proposal is relatively more straightforward and less complex. It would</w:t>
      </w:r>
      <w:r>
        <w:t xml:space="preserve"> </w:t>
      </w:r>
      <w:r>
        <w:t xml:space="preserve">allow to stimulate banks’ participation in the securitisation market without resulting in</w:t>
      </w:r>
      <w:r>
        <w:t xml:space="preserve"> </w:t>
      </w:r>
      <w:r>
        <w:t xml:space="preserve">significant regulatory deviations from international standards and without jeopardising</w:t>
      </w:r>
      <w:r>
        <w:t xml:space="preserve"> </w:t>
      </w:r>
      <w:r>
        <w:t xml:space="preserve">financial stability. On the other hand, option 2.2 would likely reduce the safety and soundness</w:t>
      </w:r>
      <w:r>
        <w:t xml:space="preserve"> </w:t>
      </w:r>
      <w:r>
        <w:t xml:space="preserve">of the capital positions of banks and negatively impact the quality of banks’ liquidity buffers.</w:t>
      </w:r>
      <w:r>
        <w:br/>
      </w:r>
      <w:r>
        <w:t xml:space="preserve">Under Problem 3 (undue prudential costs for insurers), option 3.2 is the most effective in</w:t>
      </w:r>
      <w:r>
        <w:t xml:space="preserve"> </w:t>
      </w:r>
      <w:r>
        <w:t xml:space="preserve">removing undue prudential disincentives while avoiding undue deterioration of policyholder</w:t>
      </w:r>
      <w:r>
        <w:t xml:space="preserve"> </w:t>
      </w:r>
      <w:r>
        <w:t xml:space="preserve">protection. It would remove undue prudential obstacles to investments in non-STS</w:t>
      </w:r>
      <w:r>
        <w:t xml:space="preserve"> </w:t>
      </w:r>
      <w:r>
        <w:t xml:space="preserve">securitisations by addressing the current very conservative prudential treatment, while</w:t>
      </w:r>
      <w:r>
        <w:t xml:space="preserve"> </w:t>
      </w:r>
      <w:r>
        <w:t xml:space="preserve">removing undue incentives for insurers to invest in the riskiest tranches.</w:t>
      </w:r>
      <w:r>
        <w:br/>
      </w:r>
      <w:r>
        <w:t xml:space="preserve">All three preferred options are complementary, target different aspects of the Securitisation</w:t>
      </w:r>
      <w:r>
        <w:t xml:space="preserve"> </w:t>
      </w:r>
      <w:r>
        <w:t xml:space="preserve">Framework and different players on the securitisation market, hence altogether provide a</w:t>
      </w:r>
      <w:r>
        <w:t xml:space="preserve"> </w:t>
      </w:r>
      <w:r>
        <w:t xml:space="preserve">comprehensive solution to the core problems identified. The three preferred options are also</w:t>
      </w:r>
      <w:r>
        <w:t xml:space="preserve"> </w:t>
      </w:r>
      <w:r>
        <w:t xml:space="preserve">mutually reinforcing; for example, changes in the prudential treatment of securitisation would</w:t>
      </w:r>
      <w:r>
        <w:t xml:space="preserve"> </w:t>
      </w:r>
      <w:r>
        <w:t xml:space="preserve">have a much less pronounced effect on securitisation issuance if implemented on a standalone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basis and if not accompanied with the adjustments to the disclosure and due diligence</w:t>
      </w:r>
      <w:r>
        <w:t xml:space="preserve"> </w:t>
      </w:r>
      <w:r>
        <w:t xml:space="preserve">framework.</w:t>
      </w:r>
      <w:r>
        <w:t xml:space="preserve"> </w:t>
      </w:r>
      <w:r>
        <w:t xml:space="preserve">Solving Problem 1 reinforces the impacts of the measures to address Problems 2 and 3. Solving</w:t>
      </w:r>
      <w:r>
        <w:t xml:space="preserve"> </w:t>
      </w:r>
      <w:r>
        <w:t xml:space="preserve">Problem 3 reinforces the response to Problem 2, to the extent that lack of issuance is driven by</w:t>
      </w:r>
      <w:r>
        <w:t xml:space="preserve"> </w:t>
      </w:r>
      <w:r>
        <w:t xml:space="preserve">insufficient investor demand. The reverse is also true – having more supply would reinforce</w:t>
      </w:r>
      <w:r>
        <w:t xml:space="preserve"> </w:t>
      </w:r>
      <w:r>
        <w:t xml:space="preserve">the impact of solving Problem 3 to the extent that insufficient supply affects investor demand.</w:t>
      </w:r>
      <w:r>
        <w:t xml:space="preserve"> </w:t>
      </w:r>
      <w:r>
        <w:t xml:space="preserve">Despite their complementarity, the effectiveness of the options to address one problem does</w:t>
      </w:r>
      <w:r>
        <w:t xml:space="preserve"> </w:t>
      </w:r>
      <w:r>
        <w:t xml:space="preserve">not depend on which option is chosen to address another problem. For example, the</w:t>
      </w:r>
      <w:r>
        <w:t xml:space="preserve"> </w:t>
      </w:r>
      <w:r>
        <w:t xml:space="preserve">effectiveness of the measures to lower operational costs does not depend on which option is</w:t>
      </w:r>
      <w:r>
        <w:t xml:space="preserve"> </w:t>
      </w:r>
      <w:r>
        <w:t xml:space="preserve">chosen to address the undue prudential barriers/costs for banks and insurers.</w:t>
      </w:r>
      <w:r>
        <w:t xml:space="preserve"> </w:t>
      </w:r>
      <w:r>
        <w:t xml:space="preserve">Against this background, the assessment concludes that there is no better combination of policy</w:t>
      </w:r>
      <w:r>
        <w:t xml:space="preserve"> </w:t>
      </w:r>
      <w:r>
        <w:t xml:space="preserve">options to meet the stated objectives. Moreover, as explained above, none of the preferred</w:t>
      </w:r>
      <w:r>
        <w:t xml:space="preserve"> </w:t>
      </w:r>
      <w:r>
        <w:t xml:space="preserve">policy options are expected to put financial stability at risk. Therefore, their combination also</w:t>
      </w:r>
      <w:r>
        <w:t xml:space="preserve"> </w:t>
      </w:r>
      <w:r>
        <w:t xml:space="preserve">does not.</w:t>
      </w:r>
      <w:r>
        <w:br/>
      </w:r>
      <w:r>
        <w:t xml:space="preserve">7.1. Impact of the preferred policy options on the general objective</w:t>
      </w:r>
      <w:r>
        <w:t xml:space="preserve"> </w:t>
      </w:r>
      <w:r>
        <w:t xml:space="preserve">Options 1.1, 2.1, and 3.2 present a compelling opportunity for the EU to revitalise its</w:t>
      </w:r>
      <w:r>
        <w:t xml:space="preserve"> </w:t>
      </w:r>
      <w:r>
        <w:t xml:space="preserve">securitisation market, to allow securitisation to play a role in the development of the SIU and</w:t>
      </w:r>
      <w:r>
        <w:t xml:space="preserve"> </w:t>
      </w:r>
      <w:r>
        <w:t xml:space="preserve">to reduce burden and compliance costs for issuers and investors. By addressing the high</w:t>
      </w:r>
      <w:r>
        <w:t xml:space="preserve"> </w:t>
      </w:r>
      <w:r>
        <w:t xml:space="preserve">operational costs and undue prudential disincentives that have deterred banks and insurers from</w:t>
      </w:r>
      <w:r>
        <w:t xml:space="preserve"> </w:t>
      </w:r>
      <w:r>
        <w:t xml:space="preserve">participating in the EU securitisation market, these options will contribute to the Commission’s</w:t>
      </w:r>
      <w:r>
        <w:t xml:space="preserve"> </w:t>
      </w:r>
      <w:r>
        <w:t xml:space="preserve">effort to reduce the regulatory burden on market participants and stimulate the use of</w:t>
      </w:r>
      <w:r>
        <w:t xml:space="preserve"> </w:t>
      </w:r>
      <w:r>
        <w:t xml:space="preserve">securitisation. The pace of growth of the market would, however, depend also on factors</w:t>
      </w:r>
      <w:r>
        <w:t xml:space="preserve"> </w:t>
      </w:r>
      <w:r>
        <w:t xml:space="preserve">outside the regulatory securitisation framework. At the same time, the presented options will</w:t>
      </w:r>
      <w:r>
        <w:t xml:space="preserve"> </w:t>
      </w:r>
      <w:r>
        <w:t xml:space="preserve">continue to safeguard financial stability and provide an adequate level of investor and consumer</w:t>
      </w:r>
      <w:r>
        <w:t xml:space="preserve"> </w:t>
      </w:r>
      <w:r>
        <w:t xml:space="preserve">protection.</w:t>
      </w:r>
      <w:r>
        <w:t xml:space="preserve"> </w:t>
      </w:r>
      <w:r>
        <w:t xml:space="preserve">Together, this package of options will directly contribute to the broader effort to establish a</w:t>
      </w:r>
      <w:r>
        <w:t xml:space="preserve"> </w:t>
      </w:r>
      <w:r>
        <w:t xml:space="preserve">Savings and Investment Union. A safe and vibrant securitisation market will provide EU</w:t>
      </w:r>
      <w:r>
        <w:t xml:space="preserve"> </w:t>
      </w:r>
      <w:r>
        <w:t xml:space="preserve">households and businesses with access to the necessary funds to grow and be more competitive,</w:t>
      </w:r>
      <w:r>
        <w:t xml:space="preserve"> </w:t>
      </w:r>
      <w:r>
        <w:t xml:space="preserve">creating new opportunities and driving economic prosperity. Moreover, by increasing the</w:t>
      </w:r>
      <w:r>
        <w:t xml:space="preserve"> </w:t>
      </w:r>
      <w:r>
        <w:t xml:space="preserve">availability of financing, securitisation can contribute to funding the EU’s strategic priorities,</w:t>
      </w:r>
      <w:r>
        <w:t xml:space="preserve"> </w:t>
      </w:r>
      <w:r>
        <w:t xml:space="preserve">and its fungible nature means that it can be adapted to fund a wide range of priorities, making</w:t>
      </w:r>
      <w:r>
        <w:t xml:space="preserve"> </w:t>
      </w:r>
      <w:r>
        <w:t xml:space="preserve">it an important tool for financing EU’s future growth and development.</w:t>
      </w:r>
      <w:r>
        <w:t xml:space="preserve"> </w:t>
      </w:r>
      <w:r>
        <w:t xml:space="preserve">While the proposed options are expected to drive market development, it is equally important</w:t>
      </w:r>
      <w:r>
        <w:t xml:space="preserve"> </w:t>
      </w:r>
      <w:r>
        <w:t xml:space="preserve">to recognise that market participants also have a role to play in fostering a more robust and</w:t>
      </w:r>
      <w:r>
        <w:t xml:space="preserve"> </w:t>
      </w:r>
      <w:r>
        <w:t xml:space="preserve">dynamic securitisation market. Various external factors, such as the state of monetary policy</w:t>
      </w:r>
      <w:r>
        <w:t xml:space="preserve"> </w:t>
      </w:r>
      <w:r>
        <w:t xml:space="preserve">and the availability of alternative funding sources, will also have an important impact on how</w:t>
      </w:r>
      <w:r>
        <w:t xml:space="preserve"> </w:t>
      </w:r>
      <w:r>
        <w:t xml:space="preserve">the securitisation market develops going forward.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7.2. Social, environmental and fundamental rights impact</w:t>
      </w:r>
      <w:r>
        <w:t xml:space="preserve"> </w:t>
      </w:r>
      <w:r>
        <w:t xml:space="preserve">The assessment of the various policy options primarily focuses on their economic and</w:t>
      </w:r>
      <w:r>
        <w:t xml:space="preserve"> </w:t>
      </w:r>
      <w:r>
        <w:t xml:space="preserve">regulatory impacts, with no direct impacts on social, environmental, and fundamental rights</w:t>
      </w:r>
      <w:r>
        <w:t xml:space="preserve"> </w:t>
      </w:r>
      <w:r>
        <w:t xml:space="preserve">issues. However, for all the options assessed indirect effects can be considered in each of these</w:t>
      </w:r>
      <w:r>
        <w:t xml:space="preserve"> </w:t>
      </w:r>
      <w:r>
        <w:t xml:space="preserve">areas: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By enhancing credit availability and facilitating more efficient risk transfer, the proposed</w:t>
      </w:r>
      <w:r>
        <w:t xml:space="preserve"> </w:t>
      </w:r>
      <w:r>
        <w:t xml:space="preserve">measures can indirectly boost economic activity. This can lead to increased lending to</w:t>
      </w:r>
      <w:r>
        <w:t xml:space="preserve"> </w:t>
      </w:r>
      <w:r>
        <w:t xml:space="preserve">businesses, including SMEs, thereby potentially supporting job creation and economic growth.</w:t>
      </w:r>
      <w:r>
        <w:t xml:space="preserve"> </w:t>
      </w:r>
      <w:r>
        <w:t xml:space="preserve">Improved efficiency in the banking sector may lower borrowing costs and enable banks to</w:t>
      </w:r>
      <w:r>
        <w:t xml:space="preserve"> </w:t>
      </w:r>
      <w:r>
        <w:t xml:space="preserve">extend credit to a broader segment of the population. This could enhance access to financial</w:t>
      </w:r>
      <w:r>
        <w:t xml:space="preserve"> </w:t>
      </w:r>
      <w:r>
        <w:t xml:space="preserve">services, promoting social inclusion and helping individuals who are typically underserved by</w:t>
      </w:r>
      <w:r>
        <w:t xml:space="preserve"> </w:t>
      </w:r>
      <w:r>
        <w:t xml:space="preserve">traditional financial systems.</w:t>
      </w:r>
      <w:r>
        <w:br/>
      </w:r>
      <w:r>
        <w:t xml:space="preserve">Environmental Impacts</w:t>
      </w:r>
      <w:r>
        <w:t xml:space="preserve"> </w:t>
      </w:r>
      <w:r>
        <w:t xml:space="preserve">While the proposed measures do not explicitly target environmental outcomes, a more efficient</w:t>
      </w:r>
      <w:r>
        <w:t xml:space="preserve"> </w:t>
      </w:r>
      <w:r>
        <w:t xml:space="preserve">securitisation market could support green investment initiatives by making capital more</w:t>
      </w:r>
      <w:r>
        <w:t xml:space="preserve"> </w:t>
      </w:r>
      <w:r>
        <w:t xml:space="preserve">accessible for environmentally friendly projects. This could, in turn, help banks to finance</w:t>
      </w:r>
      <w:r>
        <w:t xml:space="preserve"> </w:t>
      </w:r>
      <w:r>
        <w:t xml:space="preserve">sustainable projects, contributing indirectly to positive environmental outcomes. If banks</w:t>
      </w:r>
      <w:r>
        <w:t xml:space="preserve"> </w:t>
      </w:r>
      <w:r>
        <w:t xml:space="preserve">decide to prioritise investments in sustainable assets or projects, the improved liquidity and</w:t>
      </w:r>
      <w:r>
        <w:t xml:space="preserve"> </w:t>
      </w:r>
      <w:r>
        <w:t xml:space="preserve">credit capacity enabled by measures envisaged under this initiative could facilitate increased</w:t>
      </w:r>
      <w:r>
        <w:t xml:space="preserve"> </w:t>
      </w:r>
      <w:r>
        <w:t xml:space="preserve">funding for sustainability. It should be noted that the current framework already provides for</w:t>
      </w:r>
      <w:r>
        <w:t xml:space="preserve"> </w:t>
      </w:r>
      <w:r>
        <w:t xml:space="preserve">voluntary disclosure on the principal adverse impacts of the assets financed by the underlying</w:t>
      </w:r>
      <w:r>
        <w:t xml:space="preserve"> </w:t>
      </w:r>
      <w:r>
        <w:t xml:space="preserve">exposures on sustainability factors for STS securitisation. Moreover, as outlined in detail in the</w:t>
      </w:r>
      <w:r>
        <w:t xml:space="preserve"> </w:t>
      </w:r>
      <w:r>
        <w:t xml:space="preserve">evaluation (see Annex V), the EUGBS Regulation provides for a dedicated framework for</w:t>
      </w:r>
      <w:r>
        <w:t xml:space="preserve"> </w:t>
      </w:r>
      <w:r>
        <w:t xml:space="preserve">green securitisation. The review is not foreseeing any changes in this respect. No negative</w:t>
      </w:r>
      <w:r>
        <w:t xml:space="preserve"> </w:t>
      </w:r>
      <w:r>
        <w:t xml:space="preserve">environmental implications have been identified for any of the policy options. The initiative</w:t>
      </w:r>
      <w:r>
        <w:t xml:space="preserve"> </w:t>
      </w:r>
      <w:r>
        <w:t xml:space="preserve">aligns with the UN Sustainability Development Goal 8.2, which involves achieving higher</w:t>
      </w:r>
      <w:r>
        <w:t xml:space="preserve"> </w:t>
      </w:r>
      <w:r>
        <w:t xml:space="preserve">levels of economic productivity through diversification, technological upgrading, and</w:t>
      </w:r>
      <w:r>
        <w:t xml:space="preserve"> </w:t>
      </w:r>
      <w:r>
        <w:t xml:space="preserve">innovation.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There are no direct impacts on fundamental rights. The simplification and efficiency measures</w:t>
      </w:r>
      <w:r>
        <w:t xml:space="preserve"> </w:t>
      </w:r>
      <w:r>
        <w:t xml:space="preserve">do not directly address issues relating to personal data or privacy. Nonetheless, changes to</w:t>
      </w:r>
      <w:r>
        <w:t xml:space="preserve"> </w:t>
      </w:r>
      <w:r>
        <w:t xml:space="preserve">disclosure and reporting standards must comply with existing data protection laws to ensure</w:t>
      </w:r>
      <w:r>
        <w:t xml:space="preserve"> </w:t>
      </w:r>
      <w:r>
        <w:t xml:space="preserve">the security and privacy of any personal data involved in the securitisation process.</w:t>
      </w:r>
      <w:r>
        <w:t xml:space="preserve"> </w:t>
      </w:r>
      <w:r>
        <w:t xml:space="preserve">The preferred combination of options is highlighted as the preferred option due to its</w:t>
      </w:r>
      <w:r>
        <w:t xml:space="preserve"> </w:t>
      </w:r>
      <w:r>
        <w:t xml:space="preserve">effectiveness in reducing high operational costs and removing undue prudential barriers, while</w:t>
      </w:r>
      <w:r>
        <w:t xml:space="preserve"> </w:t>
      </w:r>
      <w:r>
        <w:t xml:space="preserve">avoiding undue deterioration of protection and avoiding incentives for excessive risk-taking.</w:t>
      </w:r>
      <w:r>
        <w:t xml:space="preserve"> </w:t>
      </w:r>
      <w:r>
        <w:t xml:space="preserve">This option aims to balance the need for economic stimulus with maintaining robust standards,</w:t>
      </w:r>
      <w:r>
        <w:t xml:space="preserve"> </w:t>
      </w:r>
      <w:r>
        <w:t xml:space="preserve">thus minimising negative societal impacts. Overall, while the proposed measures mainly focus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on financial regulation, there are potential indirect benefits that can arise, impacting social,</w:t>
      </w:r>
      <w:r>
        <w:t xml:space="preserve"> </w:t>
      </w:r>
      <w:r>
        <w:t xml:space="preserve">environmental, and fundamental rights in supportive and sustainable ways. Ensuring a stable</w:t>
      </w:r>
      <w:r>
        <w:t xml:space="preserve"> </w:t>
      </w:r>
      <w:r>
        <w:t xml:space="preserve">securitisation market contributes indirectly to the protection of fundamental economic rights</w:t>
      </w:r>
      <w:r>
        <w:t xml:space="preserve"> </w:t>
      </w:r>
      <w:r>
        <w:t xml:space="preserve">by promoting financial stability through risk diversification.</w:t>
      </w:r>
      <w:r>
        <w:br/>
      </w:r>
      <w:r>
        <w:t xml:space="preserve">7.3. REFIT (simplification and improved efficiency)</w:t>
      </w:r>
      <w:r>
        <w:t xml:space="preserve"> </w:t>
      </w:r>
      <w:r>
        <w:t xml:space="preserve">The presented policy options propose series of simplifications and refinements to enhance</w:t>
      </w:r>
      <w:r>
        <w:t xml:space="preserve"> </w:t>
      </w:r>
      <w:r>
        <w:t xml:space="preserve">efficiency within the securitisation market. Through targeted adjustments and strategic</w:t>
      </w:r>
      <w:r>
        <w:t xml:space="preserve"> </w:t>
      </w:r>
      <w:r>
        <w:t xml:space="preserve">simplification, these measures are positioned to bolster the market’s capacity, attract a broader</w:t>
      </w:r>
      <w:r>
        <w:t xml:space="preserve"> </w:t>
      </w:r>
      <w:r>
        <w:t xml:space="preserve">base of investors, and encourage economic growth—while maintaining a resilient and</w:t>
      </w:r>
      <w:r>
        <w:t xml:space="preserve"> </w:t>
      </w:r>
      <w:r>
        <w:t xml:space="preserve">transparent financial ecosystem. The changes are expected to boost the competitiveness and</w:t>
      </w:r>
      <w:r>
        <w:t xml:space="preserve"> </w:t>
      </w:r>
      <w:r>
        <w:t xml:space="preserve">sustainability of the EU Securitisation Framework, driving growth for all stakeholders</w:t>
      </w:r>
      <w:r>
        <w:t xml:space="preserve"> </w:t>
      </w:r>
      <w:r>
        <w:t xml:space="preserve">involved.</w:t>
      </w:r>
      <w:r>
        <w:t xml:space="preserve"> </w:t>
      </w:r>
      <w:r>
        <w:t xml:space="preserve">By reducing compliance overhead for issuers and aligning regulatory measures with actual</w:t>
      </w:r>
      <w:r>
        <w:t xml:space="preserve"> </w:t>
      </w:r>
      <w:r>
        <w:t xml:space="preserve">market practices, the reform seeks to invigorate market participation, transparency, and risk</w:t>
      </w:r>
      <w:r>
        <w:t xml:space="preserve"> </w:t>
      </w:r>
      <w:r>
        <w:t xml:space="preserve">management. Ultimately, these changes address unnecessary prudential and operational costs,</w:t>
      </w:r>
      <w:r>
        <w:t xml:space="preserve"> </w:t>
      </w:r>
      <w:r>
        <w:t xml:space="preserve">strengthening the market structure and its resilience for future growth.</w:t>
      </w:r>
      <w:r>
        <w:br/>
      </w:r>
      <w:r>
        <w:t xml:space="preserve">The preferred option embeds a significant simplification of due diligence duties for businesses</w:t>
      </w:r>
      <w:r>
        <w:t xml:space="preserve"> </w:t>
      </w:r>
      <w:r>
        <w:t xml:space="preserve">and a more efficient transparency framework. This would involve a streamlining of the</w:t>
      </w:r>
      <w:r>
        <w:t xml:space="preserve"> </w:t>
      </w:r>
      <w:r>
        <w:t xml:space="preserve">processes companies need to follow to ensure compliance. By reducing these obligations,</w:t>
      </w:r>
      <w:r>
        <w:t xml:space="preserve"> </w:t>
      </w:r>
      <w:r>
        <w:t xml:space="preserve">businesses will face lower compliance costs, enabling more resources to be allocated to core</w:t>
      </w:r>
      <w:r>
        <w:t xml:space="preserve"> </w:t>
      </w:r>
      <w:r>
        <w:t xml:space="preserve">business activities.</w:t>
      </w:r>
      <w:r>
        <w:br/>
      </w:r>
      <w:r>
        <w:t xml:space="preserve">Implementation costs are expected to be offset by long-term operational savings. While issuers</w:t>
      </w:r>
      <w:r>
        <w:t xml:space="preserve"> </w:t>
      </w:r>
      <w:r>
        <w:t xml:space="preserve">may encounter some one-off costs to adapt to the revised reporting type under Article 7 SECR,</w:t>
      </w:r>
      <w:r>
        <w:t xml:space="preserve"> </w:t>
      </w:r>
      <w:r>
        <w:t xml:space="preserve">the recurrent reduction in administrative burdens should outweigh these initial expenditures.</w:t>
      </w:r>
      <w:r>
        <w:t xml:space="preserve"> </w:t>
      </w:r>
      <w:r>
        <w:t xml:space="preserve">By mandating that both public and private securitisation transactions report to repositories, the</w:t>
      </w:r>
      <w:r>
        <w:t xml:space="preserve"> </w:t>
      </w:r>
      <w:r>
        <w:t xml:space="preserve">preferred option enhances market transparency.</w:t>
      </w:r>
      <w:r>
        <w:t xml:space="preserve"> </w:t>
      </w:r>
      <w:r>
        <w:t xml:space="preserve">7.4. Application of the ‘one in, one out’ approach</w:t>
      </w:r>
      <w:r>
        <w:t xml:space="preserve"> </w:t>
      </w:r>
      <w:r>
        <w:t xml:space="preserve">The operational costs linked to the due diligence and transparency obligations under the SECR</w:t>
      </w:r>
      <w:r>
        <w:t xml:space="preserve"> </w:t>
      </w:r>
      <w:r>
        <w:t xml:space="preserve">can be categorised as administrative costs relevant for the “one in, one out” offsetting:</w:t>
      </w:r>
      <w:r>
        <w:br/>
      </w:r>
      <w:r>
        <w:t xml:space="preserve"> The preferred option would lead to an estimated saving of total recurring administrative</w:t>
      </w:r>
      <w:r>
        <w:t xml:space="preserve"> </w:t>
      </w:r>
      <w:r>
        <w:t xml:space="preserve">costs in the approximate magnitude of EUR 310 million per year.</w:t>
      </w:r>
      <w:r>
        <w:br/>
      </w:r>
      <w:r>
        <w:t xml:space="preserve"> Meanwhile, it is expected that the preferred option will entail moderate one-off</w:t>
      </w:r>
      <w:r>
        <w:t xml:space="preserve"> </w:t>
      </w:r>
      <w:r>
        <w:t xml:space="preserve">administrative costs for the implementation of amended reporting templates estimated to</w:t>
      </w:r>
      <w:r>
        <w:t xml:space="preserve"> </w:t>
      </w:r>
      <w:r>
        <w:t xml:space="preserve">EUR 33 million subject to one in, one out considerations as the preferred approach intends</w:t>
      </w:r>
      <w:r>
        <w:t xml:space="preserve"> </w:t>
      </w:r>
      <w:r>
        <w:t xml:space="preserve">lightening the existing due diligence and transparency requirements.</w:t>
      </w:r>
      <w:r>
        <w:br/>
      </w:r>
      <w:r>
        <w:t xml:space="preserve">Further detail is available in Annex III.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7.5. Impact on SMEs</w:t>
      </w:r>
      <w:r>
        <w:br/>
      </w:r>
      <w:r>
        <w:t xml:space="preserve">The preferred options would have mostly indirect, but positive, impacts on SMEs. Although</w:t>
      </w:r>
      <w:r>
        <w:t xml:space="preserve"> </w:t>
      </w:r>
      <w:r>
        <w:t xml:space="preserve">SMEs are generally not directly involved in the EU securitisation market as issuers or investors,</w:t>
      </w:r>
      <w:r>
        <w:t xml:space="preserve"> </w:t>
      </w:r>
      <w:r>
        <w:t xml:space="preserve">the initiative would increase banks’ lending capacity and improve SMEs’ access to cheaper and</w:t>
      </w:r>
      <w:r>
        <w:t xml:space="preserve"> </w:t>
      </w:r>
      <w:r>
        <w:t xml:space="preserve">more diversified funding sources. Measures to simplify regulations and lower operational costs</w:t>
      </w:r>
      <w:r>
        <w:t xml:space="preserve"> </w:t>
      </w:r>
      <w:r>
        <w:t xml:space="preserve">could encourage broader securitisation, including of SME loans, and promote competition</w:t>
      </w:r>
      <w:r>
        <w:t xml:space="preserve"> </w:t>
      </w:r>
      <w:r>
        <w:t xml:space="preserve">through the entry of new lenders. The increased risk sensitivity of the banks’ capital framework</w:t>
      </w:r>
      <w:r>
        <w:t xml:space="preserve"> </w:t>
      </w:r>
      <w:r>
        <w:t xml:space="preserve">would allow to achieve a more favourable capital treatment of SME loans (for example, the</w:t>
      </w:r>
      <w:r>
        <w:t xml:space="preserve"> </w:t>
      </w:r>
      <w:r>
        <w:t xml:space="preserve">introduction of the risk sensitive risk weight floor for the senior tranches would allow to reflect</w:t>
      </w:r>
      <w:r>
        <w:t xml:space="preserve"> </w:t>
      </w:r>
      <w:r>
        <w:t xml:space="preserve">the SME supporting factor in the securitisation capital treatment, which is not possible under</w:t>
      </w:r>
      <w:r>
        <w:t xml:space="preserve"> </w:t>
      </w:r>
      <w:r>
        <w:t xml:space="preserve">the current framework). This could encourage the securitisations of the SME loans. While a</w:t>
      </w:r>
      <w:r>
        <w:t xml:space="preserve"> </w:t>
      </w:r>
      <w:r>
        <w:t xml:space="preserve">limited number of stakeholders cited concerns regarding SME over-reliance on bank-based</w:t>
      </w:r>
      <w:r>
        <w:t xml:space="preserve"> </w:t>
      </w:r>
      <w:r>
        <w:t xml:space="preserve">funding, the initiative is generally seen as supportive of SME financing, with no significant</w:t>
      </w:r>
      <w:r>
        <w:t xml:space="preserve"> </w:t>
      </w:r>
      <w:r>
        <w:t xml:space="preserve">negative impacts identified.</w:t>
      </w:r>
      <w:r>
        <w:t xml:space="preserve"> </w:t>
      </w:r>
      <w:r>
        <w:t xml:space="preserve">Further detail is available in Annex VIII.</w:t>
      </w:r>
      <w:r>
        <w:t xml:space="preserve"> </w:t>
      </w:r>
      <w:r>
        <w:t xml:space="preserve">7.6. Impact on EU Competitiveness</w:t>
      </w:r>
      <w:r>
        <w:t xml:space="preserve"> </w:t>
      </w:r>
      <w:r>
        <w:t xml:space="preserve">The preferred option would strengthen EU competitiveness by reducing capital and compliance</w:t>
      </w:r>
      <w:r>
        <w:t xml:space="preserve"> </w:t>
      </w:r>
      <w:r>
        <w:t xml:space="preserve">costs for securitisation market participants, thereby improving cost efficiency and aligning the</w:t>
      </w:r>
      <w:r>
        <w:t xml:space="preserve"> </w:t>
      </w:r>
      <w:r>
        <w:t xml:space="preserve">EU framework more closely with international standards. This will help level the playing field</w:t>
      </w:r>
      <w:r>
        <w:t xml:space="preserve"> </w:t>
      </w:r>
      <w:r>
        <w:t xml:space="preserve">for EU issuers and investors, who currently face higher operational burdens compared to non-</w:t>
      </w:r>
      <w:r>
        <w:t xml:space="preserve"> </w:t>
      </w:r>
      <w:r>
        <w:t xml:space="preserve">EU counterparts. By simplifying due diligence and transparency, and making prudential</w:t>
      </w:r>
      <w:r>
        <w:t xml:space="preserve"> </w:t>
      </w:r>
      <w:r>
        <w:t xml:space="preserve">requirements more risk-sensitive, the initiative enhances the attractiveness of EU securitisation</w:t>
      </w:r>
      <w:r>
        <w:t xml:space="preserve"> </w:t>
      </w:r>
      <w:r>
        <w:t xml:space="preserve">products both domestically and globally. Increased securitisation activity can also free up</w:t>
      </w:r>
      <w:r>
        <w:t xml:space="preserve"> </w:t>
      </w:r>
      <w:r>
        <w:t xml:space="preserve">lending capacity for banks and credit institutions, supporting greater access to finance for EU</w:t>
      </w:r>
      <w:r>
        <w:t xml:space="preserve"> </w:t>
      </w:r>
      <w:r>
        <w:t xml:space="preserve">businesses, including SMEs. This is particularly relevant for advancing the EU’s strategic goals</w:t>
      </w:r>
      <w:r>
        <w:t xml:space="preserve"> </w:t>
      </w:r>
      <w:r>
        <w:t xml:space="preserve">in green and digital innovation, where improved financing channels are critical to maintaining</w:t>
      </w:r>
      <w:r>
        <w:t xml:space="preserve"> </w:t>
      </w:r>
      <w:r>
        <w:t xml:space="preserve">global competitiveness.</w:t>
      </w:r>
      <w:r>
        <w:t xml:space="preserve"> </w:t>
      </w:r>
      <w:r>
        <w:t xml:space="preserve">Further detail is available in Annex VII.</w:t>
      </w:r>
      <w:r>
        <w:br/>
      </w:r>
      <w:r>
        <w:t xml:space="preserve">8.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Commission shall carry out an evaluation of this package of proposed amendments, four</w:t>
      </w:r>
      <w:r>
        <w:t xml:space="preserve"> </w:t>
      </w:r>
      <w:r>
        <w:t xml:space="preserve">years after its entry into application and present a report on the main findings to the European</w:t>
      </w:r>
      <w:r>
        <w:t xml:space="preserve"> </w:t>
      </w:r>
      <w:r>
        <w:t xml:space="preserve">Parliament, the Council and the European Economic and Social Committee. The evaluation</w:t>
      </w:r>
      <w:r>
        <w:t xml:space="preserve"> </w:t>
      </w:r>
      <w:r>
        <w:t xml:space="preserve">shall be conducted according to the Commission’s Better Regulation Guidelines. The</w:t>
      </w:r>
      <w:r>
        <w:t xml:space="preserve"> </w:t>
      </w:r>
      <w:r>
        <w:t xml:space="preserve">evaluation will be based on a list of specific and measurable indicators that are relevant to the</w:t>
      </w:r>
      <w:r>
        <w:t xml:space="preserve"> </w:t>
      </w:r>
      <w:r>
        <w:t xml:space="preserve">objective of the reform, as presented in the following table. To prepare the evaluation report,</w:t>
      </w:r>
      <w:r>
        <w:t xml:space="preserve"> </w:t>
      </w:r>
      <w:r>
        <w:t xml:space="preserve">the Commission will mandate Member States, the ESAs and the ECB/SSM to collect data to</w:t>
      </w:r>
      <w:r>
        <w:t xml:space="preserve"> </w:t>
      </w:r>
      <w:r>
        <w:t xml:space="preserve">calculate the indicators included in the table and report on them to the Commission.</w:t>
      </w:r>
      <w:r>
        <w:br/>
      </w:r>
      <w:r>
        <w:t xml:space="preserve">Objective</w:t>
      </w:r>
      <w:r>
        <w:t xml:space="preserve"> </w:t>
      </w:r>
      <w:r>
        <w:t xml:space="preserve">Indicator</w:t>
      </w:r>
      <w:r>
        <w:t xml:space="preserve"> </w:t>
      </w:r>
      <w:r>
        <w:t xml:space="preserve">Source of information</w:t>
      </w:r>
      <w:r>
        <w:t xml:space="preserve"> </w:t>
      </w:r>
      <w:r>
        <w:t xml:space="preserve">Reducing</w:t>
      </w:r>
      <w:r>
        <w:t xml:space="preserve"> </w:t>
      </w:r>
      <w:r>
        <w:t xml:space="preserve">undue</w:t>
      </w:r>
      <w:r>
        <w:t xml:space="preserve"> </w:t>
      </w:r>
      <w:r>
        <w:t xml:space="preserve">The Commission shall assess the overall situation</w:t>
      </w:r>
      <w:r>
        <w:t xml:space="preserve"> </w:t>
      </w:r>
      <w:r>
        <w:t xml:space="preserve">and dynamics of the EU securitisation market and</w:t>
      </w:r>
      <w:r>
        <w:t xml:space="preserve"> </w:t>
      </w:r>
      <w:r>
        <w:t xml:space="preserve">EBA,</w:t>
      </w:r>
      <w:r>
        <w:t xml:space="preserve"> </w:t>
      </w:r>
      <w:r>
        <w:t xml:space="preserve">ESMA,</w:t>
      </w:r>
      <w:r>
        <w:t xml:space="preserve"> </w:t>
      </w:r>
      <w:r>
        <w:t xml:space="preserve">ECB/SSM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prudential</w:t>
      </w:r>
      <w:r>
        <w:t xml:space="preserve"> </w:t>
      </w:r>
      <w:r>
        <w:t xml:space="preserve">barriers</w:t>
      </w:r>
      <w:r>
        <w:t xml:space="preserve"> </w:t>
      </w:r>
      <w:r>
        <w:t xml:space="preserve">for</w:t>
      </w:r>
      <w:r>
        <w:t xml:space="preserve"> </w:t>
      </w:r>
      <w:r>
        <w:t xml:space="preserve">banks</w:t>
      </w:r>
      <w:r>
        <w:t xml:space="preserve"> </w:t>
      </w:r>
      <w:r>
        <w:t xml:space="preserve">the appropriateness and effectiveness of the EU</w:t>
      </w:r>
      <w:r>
        <w:t xml:space="preserve"> </w:t>
      </w:r>
      <w:r>
        <w:t xml:space="preserve">prudential securitisation framework (differentiating</w:t>
      </w:r>
      <w:r>
        <w:t xml:space="preserve"> </w:t>
      </w:r>
      <w:r>
        <w:t xml:space="preserve">between different types of securitisations, including</w:t>
      </w:r>
      <w:r>
        <w:t xml:space="preserve"> </w:t>
      </w:r>
      <w:r>
        <w:t xml:space="preserve">synthetic and traditional securitisations, between</w:t>
      </w:r>
      <w:r>
        <w:t xml:space="preserve"> </w:t>
      </w:r>
      <w:r>
        <w:t xml:space="preserve">originators and investors, and between STS and</w:t>
      </w:r>
      <w:r>
        <w:t xml:space="preserve"> </w:t>
      </w:r>
      <w:r>
        <w:t xml:space="preserve">non-STS transactions). It will also assess the</w:t>
      </w:r>
      <w:r>
        <w:t xml:space="preserve"> </w:t>
      </w:r>
      <w:r>
        <w:t xml:space="preserve">increase in the number of banks involved in</w:t>
      </w:r>
      <w:r>
        <w:t xml:space="preserve"> </w:t>
      </w:r>
      <w:r>
        <w:t xml:space="preserve">securitisation, the increase in the volume of</w:t>
      </w:r>
      <w:r>
        <w:t xml:space="preserve"> </w:t>
      </w:r>
      <w:r>
        <w:t xml:space="preserve">traditional securitisations placed with external</w:t>
      </w:r>
      <w:r>
        <w:t xml:space="preserve"> </w:t>
      </w:r>
      <w:r>
        <w:t xml:space="preserve">investors (i.e. not retained) and the increase of the</w:t>
      </w:r>
      <w:r>
        <w:t xml:space="preserve"> </w:t>
      </w:r>
      <w:r>
        <w:t xml:space="preserve">volume of securitisation positions in the banks’</w:t>
      </w:r>
      <w:r>
        <w:t xml:space="preserve"> </w:t>
      </w:r>
      <w:r>
        <w:t xml:space="preserve">liquidity buffers.</w:t>
      </w:r>
      <w:r>
        <w:t xml:space="preserve"> </w:t>
      </w:r>
      <w:r>
        <w:t xml:space="preserve">As part of the review, the Commission shall also</w:t>
      </w:r>
      <w:r>
        <w:t xml:space="preserve"> </w:t>
      </w:r>
      <w:r>
        <w:t xml:space="preserve">assess the impact of the amendments on financial</w:t>
      </w:r>
      <w:r>
        <w:t xml:space="preserve"> </w:t>
      </w:r>
      <w:r>
        <w:t xml:space="preserve">stability. It shall also consider whether a more</w:t>
      </w:r>
      <w:r>
        <w:t xml:space="preserve"> </w:t>
      </w:r>
      <w:r>
        <w:t xml:space="preserve">fundamental change to the risk-weight formulas and</w:t>
      </w:r>
      <w:r>
        <w:t xml:space="preserve"> </w:t>
      </w:r>
      <w:r>
        <w:t xml:space="preserve">functions would allow to achieve more risk</w:t>
      </w:r>
      <w:r>
        <w:t xml:space="preserve"> </w:t>
      </w:r>
      <w:r>
        <w:t xml:space="preserve">sensitivity and address structural limitations of the</w:t>
      </w:r>
      <w:r>
        <w:t xml:space="preserve"> </w:t>
      </w:r>
      <w:r>
        <w:t xml:space="preserve">current framework.</w:t>
      </w:r>
      <w:r>
        <w:t xml:space="preserve"> </w:t>
      </w:r>
      <w:r>
        <w:t xml:space="preserve">Reducing</w:t>
      </w:r>
      <w:r>
        <w:t xml:space="preserve"> </w:t>
      </w:r>
      <w:r>
        <w:t xml:space="preserve">operational</w:t>
      </w:r>
      <w:r>
        <w:t xml:space="preserve"> </w:t>
      </w:r>
      <w:r>
        <w:t xml:space="preserve">costs to issue</w:t>
      </w:r>
      <w:r>
        <w:t xml:space="preserve"> </w:t>
      </w:r>
      <w:r>
        <w:t xml:space="preserve">and invest in</w:t>
      </w:r>
      <w:r>
        <w:t xml:space="preserve"> </w:t>
      </w:r>
      <w:r>
        <w:t xml:space="preserve">securitisation</w:t>
      </w:r>
      <w:r>
        <w:t xml:space="preserve"> </w:t>
      </w:r>
      <w:r>
        <w:t xml:space="preserve">in the EU</w:t>
      </w:r>
      <w:r>
        <w:t xml:space="preserve"> </w:t>
      </w:r>
      <w:r>
        <w:t xml:space="preserve">Monitoring the cost of conducting due diligence to</w:t>
      </w:r>
      <w:r>
        <w:t xml:space="preserve"> </w:t>
      </w:r>
      <w:r>
        <w:t xml:space="preserve">invest in securitisation transactions.</w:t>
      </w:r>
      <w:r>
        <w:t xml:space="preserve"> </w:t>
      </w:r>
      <w:r>
        <w:t xml:space="preserve">Monitoring issuance cost stemming from the</w:t>
      </w:r>
      <w:r>
        <w:t xml:space="preserve"> </w:t>
      </w:r>
      <w:r>
        <w:t xml:space="preserve">disclosure requirements.</w:t>
      </w:r>
      <w:r>
        <w:br/>
      </w:r>
      <w:r>
        <w:t xml:space="preserve">Tracking the number of securitisation issuers and</w:t>
      </w:r>
      <w:r>
        <w:t xml:space="preserve"> </w:t>
      </w:r>
      <w:r>
        <w:t xml:space="preserve">investors</w:t>
      </w:r>
      <w:r>
        <w:br/>
      </w:r>
      <w:r>
        <w:t xml:space="preserve">Surveys</w:t>
      </w:r>
      <w:r>
        <w:t xml:space="preserve"> </w:t>
      </w:r>
      <w:r>
        <w:t xml:space="preserve">among</w:t>
      </w:r>
      <w:r>
        <w:t xml:space="preserve"> </w:t>
      </w:r>
      <w:r>
        <w:t xml:space="preserve">market practitioners</w:t>
      </w:r>
      <w:r>
        <w:t xml:space="preserve"> </w:t>
      </w:r>
      <w:r>
        <w:t xml:space="preserve">Reducing</w:t>
      </w:r>
      <w:r>
        <w:t xml:space="preserve"> </w:t>
      </w:r>
      <w:r>
        <w:t xml:space="preserve">undue</w:t>
      </w:r>
      <w:r>
        <w:t xml:space="preserve"> </w:t>
      </w:r>
      <w:r>
        <w:t xml:space="preserve">prudential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insurers</w:t>
      </w:r>
    </w:p>
    <w:p>
      <w:pPr>
        <w:pStyle w:val="BodyText"/>
      </w:pPr>
      <w:r>
        <w:t xml:space="preserve">Increase in the total reported amounts of</w:t>
      </w:r>
      <w:r>
        <w:t xml:space="preserve"> </w:t>
      </w:r>
      <w:r>
        <w:t xml:space="preserve">investments in securitisations by insurers would</w:t>
      </w:r>
      <w:r>
        <w:t xml:space="preserve"> </w:t>
      </w:r>
      <w:r>
        <w:t xml:space="preserve">demonstrate the positive effect of the reforms on</w:t>
      </w:r>
      <w:r>
        <w:t xml:space="preserve"> </w:t>
      </w:r>
      <w:r>
        <w:t xml:space="preserve">insurers’ decisions to ramp up their investments in</w:t>
      </w:r>
      <w:r>
        <w:t xml:space="preserve"> </w:t>
      </w:r>
      <w:r>
        <w:t xml:space="preserve">securitisation.</w:t>
      </w:r>
      <w:r>
        <w:t xml:space="preserve"> </w:t>
      </w:r>
      <w:r>
        <w:t xml:space="preserve">EIOPA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ANNEX I: PROCEDURAL INFORMATION (STILL UNDER DEVELOPMENT)</w:t>
      </w:r>
      <w:r>
        <w:t xml:space="preserve"> </w:t>
      </w:r>
      <w:r>
        <w:t xml:space="preserve">1 - Lead DG, Decide Planning/CWP references</w:t>
      </w:r>
      <w:r>
        <w:t xml:space="preserve"> </w:t>
      </w:r>
      <w:r>
        <w:t xml:space="preserve">This Impact Assessment Report was prepared by Directorate A “General Affairs”, and</w:t>
      </w:r>
      <w:r>
        <w:t xml:space="preserve"> </w:t>
      </w:r>
      <w:r>
        <w:t xml:space="preserve">Directorate D “Banking, Insurance &amp; Financial Crime”, of the Directorate-General for</w:t>
      </w:r>
      <w:r>
        <w:t xml:space="preserve"> </w:t>
      </w:r>
      <w:r>
        <w:t xml:space="preserve">Financial Stability, Financial Services and Capital Markets Union (DG FISMA).</w:t>
      </w:r>
      <w:r>
        <w:br/>
      </w:r>
      <w:r>
        <w:t xml:space="preserve">The Decide Planning references are: PLAN/2024/1808; PLAN/2024/1929; PLAN/2024/2001.</w:t>
      </w:r>
      <w:r>
        <w:t xml:space="preserve"> </w:t>
      </w:r>
      <w:r>
        <w:t xml:space="preserve">The initiative was included in the Commission Work Programme 2025.</w:t>
      </w:r>
      <w:r>
        <w:br/>
      </w:r>
      <w:r>
        <w:t xml:space="preserve">2 - Organisation and timing</w:t>
      </w:r>
      <w:r>
        <w:t xml:space="preserve"> </w:t>
      </w:r>
      <w:r>
        <w:t xml:space="preserve">The first ISSG took place on 23 January 2025 with the attendance of the following Directorates-</w:t>
      </w:r>
      <w:r>
        <w:t xml:space="preserve"> </w:t>
      </w:r>
      <w:r>
        <w:t xml:space="preserve">General (DGs) of the European Commission: Economic and Financial Affairs, Internal Market,</w:t>
      </w:r>
      <w:r>
        <w:t xml:space="preserve"> </w:t>
      </w:r>
      <w:r>
        <w:t xml:space="preserve">Industry, Entrepreneurship and SMEs; Budget; Education, Youth, Sport and Culture; Reform</w:t>
      </w:r>
      <w:r>
        <w:t xml:space="preserve"> </w:t>
      </w:r>
      <w:r>
        <w:t xml:space="preserve">and Investment Task Force; Regional and Urban Policy; Research and Innovation; Justice and</w:t>
      </w:r>
      <w:r>
        <w:t xml:space="preserve"> </w:t>
      </w:r>
      <w:r>
        <w:t xml:space="preserve">Consumers; Trade; Competition; Employment, Social Affairs and Inclusion; Taxation and</w:t>
      </w:r>
      <w:r>
        <w:t xml:space="preserve"> </w:t>
      </w:r>
      <w:r>
        <w:t xml:space="preserve">Customs Union; Trade and Economic Security; Environment; Taxation and Customs Union;</w:t>
      </w:r>
      <w:r>
        <w:t xml:space="preserve"> </w:t>
      </w:r>
      <w:r>
        <w:t xml:space="preserve">Eurostat; Joint Research Centre; Secretariat General; Energy; and Financial Stability, Financial</w:t>
      </w:r>
      <w:r>
        <w:t xml:space="preserve"> </w:t>
      </w:r>
      <w:r>
        <w:t xml:space="preserve">Services and Capital Markets Union. The second ISSG meeting took place on 21 February</w:t>
      </w:r>
      <w:r>
        <w:t xml:space="preserve"> </w:t>
      </w:r>
      <w:r>
        <w:t xml:space="preserve">2025.</w:t>
      </w:r>
      <w:r>
        <w:br/>
      </w:r>
      <w:r>
        <w:t xml:space="preserve">DG FISMA has considered the comments made by DGs in the final version of the impact</w:t>
      </w:r>
      <w:r>
        <w:t xml:space="preserve"> </w:t>
      </w:r>
      <w:r>
        <w:t xml:space="preserve">assessment. In particular, DG FISMA has provided more clarity about the seriousness of the</w:t>
      </w:r>
      <w:r>
        <w:t xml:space="preserve"> </w:t>
      </w:r>
      <w:r>
        <w:t xml:space="preserve">problems, the impacts of the various options, as well as further evidencing the various claims</w:t>
      </w:r>
      <w:r>
        <w:t xml:space="preserve"> </w:t>
      </w:r>
      <w:r>
        <w:t xml:space="preserve">and statements made throughout the text. DG FISMA provided bilateral feedback on certain</w:t>
      </w:r>
      <w:r>
        <w:t xml:space="preserve"> </w:t>
      </w:r>
      <w:r>
        <w:t xml:space="preserve">comments to provide additional background, explanation and reassurance to colleagues,</w:t>
      </w:r>
      <w:r>
        <w:t xml:space="preserve"> </w:t>
      </w:r>
      <w:r>
        <w:t xml:space="preserve">particularly on comments and issues that fell outside the remit of the current initiative. The</w:t>
      </w:r>
      <w:r>
        <w:t xml:space="preserve"> </w:t>
      </w:r>
      <w:r>
        <w:t xml:space="preserve">analysis of impacts and the preferred option takes account of the views and input of different</w:t>
      </w:r>
      <w:r>
        <w:t xml:space="preserve"> </w:t>
      </w:r>
      <w:r>
        <w:t xml:space="preserve">DGs.</w:t>
      </w:r>
      <w:r>
        <w:br/>
      </w:r>
      <w:r>
        <w:t xml:space="preserve">3 - Consultation of the RSB</w:t>
      </w:r>
      <w:r>
        <w:br/>
      </w:r>
      <w:r>
        <w:t xml:space="preserve">An upstream meeting was held with the Regulatory Scrutiny Board (RSB) on 25 November</w:t>
      </w:r>
      <w:r>
        <w:t xml:space="preserve"> </w:t>
      </w:r>
      <w:r>
        <w:t xml:space="preserve">2024.</w:t>
      </w:r>
      <w:r>
        <w:br/>
      </w:r>
      <w:r>
        <w:t xml:space="preserve">The draft report was sent to the RSB on 12 March 2025 and the hearing took place on 9 April</w:t>
      </w:r>
      <w:r>
        <w:t xml:space="preserve"> </w:t>
      </w:r>
      <w:r>
        <w:t xml:space="preserve">2025. The RSB issued a positive opinion with reservations on 11 April 202574. The principal</w:t>
      </w:r>
      <w:r>
        <w:t xml:space="preserve"> </w:t>
      </w:r>
      <w:r>
        <w:t xml:space="preserve">reservations (which have been addressed in this final version of the report) were the following:</w:t>
      </w:r>
      <w:r>
        <w:br/>
      </w:r>
      <w:r>
        <w:t xml:space="preserve">(1) The report does not sufficiently substantiate the problem and its drivers. It does not</w:t>
      </w:r>
      <w:r>
        <w:t xml:space="preserve"> </w:t>
      </w:r>
      <w:r>
        <w:t xml:space="preserve">clearly identify the evidence driving the conclusion that over-restrictive prudential, due</w:t>
      </w:r>
    </w:p>
    <w:p>
      <w:pPr>
        <w:pStyle w:val="BodyText"/>
      </w:pPr>
      <w:r>
        <w:t xml:space="preserve">74 That Opinion has been published and is available at [OP PLEASE INSERT LINK TO THE RSB OPINION].</w:t>
      </w:r>
      <w:r>
        <w:t xml:space="preserve"> </w:t>
      </w:r>
      <w:r>
        <w:t xml:space="preserve">In addition to the principal reservations cited here, numerous detailed changes were requested which have also</w:t>
      </w:r>
      <w:r>
        <w:t xml:space="preserve"> </w:t>
      </w:r>
      <w:r>
        <w:t xml:space="preserve">been implemented in this final version.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diligence and transparency requirements act as a barrier to the development of the</w:t>
      </w:r>
      <w:r>
        <w:t xml:space="preserve"> </w:t>
      </w:r>
      <w:r>
        <w:t xml:space="preserve">market.</w:t>
      </w:r>
      <w:r>
        <w:t xml:space="preserve"> </w:t>
      </w:r>
      <w:r>
        <w:t xml:space="preserve">(2) The report does not adequately define the key elements for each of the assessed</w:t>
      </w:r>
      <w:r>
        <w:t xml:space="preserve"> </w:t>
      </w:r>
      <w:r>
        <w:t xml:space="preserve">options. It is unclear what is supposed to change in the prudential framework and due</w:t>
      </w:r>
      <w:r>
        <w:t xml:space="preserve"> </w:t>
      </w:r>
      <w:r>
        <w:t xml:space="preserve">diligence and transparency rules. The report does not therefore clearly bring out the</w:t>
      </w:r>
      <w:r>
        <w:t xml:space="preserve"> </w:t>
      </w:r>
      <w:r>
        <w:t xml:space="preserve">choices and trade-offs made when developing the options.</w:t>
      </w:r>
      <w:r>
        <w:t xml:space="preserve"> </w:t>
      </w:r>
      <w:r>
        <w:t xml:space="preserve">(3) The report does not adequately assess and compare the combined impacts of the</w:t>
      </w:r>
      <w:r>
        <w:t xml:space="preserve"> </w:t>
      </w:r>
      <w:r>
        <w:t xml:space="preserve">options in terms of how they could affect the stability of the financial system. The report</w:t>
      </w:r>
      <w:r>
        <w:t xml:space="preserve"> </w:t>
      </w:r>
      <w:r>
        <w:t xml:space="preserve">is also not sufficiently clear on whether the different options presented imply different</w:t>
      </w:r>
      <w:r>
        <w:t xml:space="preserve"> </w:t>
      </w:r>
      <w:r>
        <w:t xml:space="preserve">risk levels for the financial system.</w:t>
      </w:r>
      <w:r>
        <w:t xml:space="preserve"> </w:t>
      </w:r>
      <w:r>
        <w:t xml:space="preserve"> Reports were introduced in Annex 2 of two further consultation events held subsequent</w:t>
      </w:r>
      <w:r>
        <w:t xml:space="preserve"> </w:t>
      </w:r>
      <w:r>
        <w:t xml:space="preserve">to the submission of the draft report to the RSB – the closure of the Call for Evidence</w:t>
      </w:r>
      <w:r>
        <w:t xml:space="preserve"> </w:t>
      </w:r>
      <w:r>
        <w:t xml:space="preserve">(stakeholders), and the Commission Expert Group on Banking Payments and Insurance</w:t>
      </w:r>
      <w:r>
        <w:t xml:space="preserve"> </w:t>
      </w:r>
      <w:r>
        <w:t xml:space="preserve">(Member States).</w:t>
      </w:r>
      <w:r>
        <w:br/>
      </w:r>
      <w:r>
        <w:t xml:space="preserve">Issue identified by the Board</w:t>
      </w:r>
      <w:r>
        <w:br/>
      </w:r>
      <w:r>
        <w:t xml:space="preserve">Action taken</w:t>
      </w:r>
      <w:r>
        <w:br/>
      </w:r>
      <w:r>
        <w:t xml:space="preserve">The report does not sufficiently substantiate the</w:t>
      </w:r>
      <w:r>
        <w:t xml:space="preserve"> </w:t>
      </w:r>
      <w:r>
        <w:t xml:space="preserve">problem and its drivers. It does not clearly</w:t>
      </w:r>
      <w:r>
        <w:t xml:space="preserve"> </w:t>
      </w:r>
      <w:r>
        <w:t xml:space="preserve">identify the evidence driving the conclusion that</w:t>
      </w:r>
      <w:r>
        <w:t xml:space="preserve"> </w:t>
      </w:r>
      <w:r>
        <w:t xml:space="preserve">over-restrictive prudential, due diligence and</w:t>
      </w:r>
      <w:r>
        <w:t xml:space="preserve"> </w:t>
      </w:r>
      <w:r>
        <w:t xml:space="preserve">transparency requirements act as a barrier to the</w:t>
      </w:r>
      <w:r>
        <w:t xml:space="preserve"> </w:t>
      </w:r>
      <w:r>
        <w:t xml:space="preserve">development of the market.</w:t>
      </w:r>
    </w:p>
    <w:p>
      <w:pPr>
        <w:pStyle w:val="BodyText"/>
      </w:pPr>
      <w:r>
        <w:t xml:space="preserve">Additional evidence with regard to the</w:t>
      </w:r>
      <w:r>
        <w:t xml:space="preserve"> </w:t>
      </w:r>
      <w:r>
        <w:t xml:space="preserve">role of external factors has been added in</w:t>
      </w:r>
      <w:r>
        <w:t xml:space="preserve"> </w:t>
      </w:r>
      <w:r>
        <w:t xml:space="preserve">section 2.1. Explanation was added in</w:t>
      </w:r>
      <w:r>
        <w:t xml:space="preserve"> </w:t>
      </w:r>
      <w:r>
        <w:t xml:space="preserve">section 2.1.2. to demonstrate why the</w:t>
      </w:r>
      <w:r>
        <w:t xml:space="preserve"> </w:t>
      </w:r>
      <w:r>
        <w:t xml:space="preserve">current disclosure and due diligence</w:t>
      </w:r>
      <w:r>
        <w:t xml:space="preserve"> </w:t>
      </w:r>
      <w:r>
        <w:t xml:space="preserve">requirements</w:t>
      </w:r>
      <w:r>
        <w:t xml:space="preserve"> </w:t>
      </w:r>
      <w:r>
        <w:t xml:space="preserve">go</w:t>
      </w:r>
      <w:r>
        <w:t xml:space="preserve"> </w:t>
      </w:r>
      <w:r>
        <w:t xml:space="preserve">beyond</w:t>
      </w:r>
      <w:r>
        <w:t xml:space="preserve"> </w:t>
      </w:r>
      <w:r>
        <w:t xml:space="preserve">what</w:t>
      </w:r>
      <w:r>
        <w:t xml:space="preserve"> </w:t>
      </w:r>
      <w:r>
        <w:t xml:space="preserve">is</w:t>
      </w:r>
      <w:r>
        <w:t xml:space="preserve"> </w:t>
      </w:r>
      <w:r>
        <w:t xml:space="preserve">necessary,</w:t>
      </w:r>
      <w:r>
        <w:t xml:space="preserve"> </w:t>
      </w:r>
      <w:r>
        <w:t xml:space="preserve">thus</w:t>
      </w:r>
      <w:r>
        <w:t xml:space="preserve"> </w:t>
      </w:r>
      <w:r>
        <w:t xml:space="preserve">hindering</w:t>
      </w:r>
      <w:r>
        <w:t xml:space="preserve"> </w:t>
      </w:r>
      <w:r>
        <w:t xml:space="preserve">market</w:t>
      </w:r>
      <w:r>
        <w:t xml:space="preserve"> </w:t>
      </w:r>
      <w:r>
        <w:t xml:space="preserve">development. In addition, explanation</w:t>
      </w:r>
      <w:r>
        <w:t xml:space="preserve"> </w:t>
      </w:r>
      <w:r>
        <w:t xml:space="preserve">has been added to further substantiate the</w:t>
      </w:r>
      <w:r>
        <w:t xml:space="preserve"> </w:t>
      </w:r>
      <w:r>
        <w:t xml:space="preserve">problem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prudential</w:t>
      </w:r>
      <w:r>
        <w:t xml:space="preserve"> </w:t>
      </w:r>
      <w:r>
        <w:t xml:space="preserve">treatment of banks. In addition, key</w:t>
      </w:r>
      <w:r>
        <w:t xml:space="preserve"> </w:t>
      </w:r>
      <w:r>
        <w:t xml:space="preserve">findings from the Evaluation were</w:t>
      </w:r>
      <w:r>
        <w:t xml:space="preserve"> </w:t>
      </w:r>
      <w:r>
        <w:t xml:space="preserve">highlighted in the text of the Impact</w:t>
      </w:r>
      <w:r>
        <w:t xml:space="preserve"> </w:t>
      </w:r>
      <w:r>
        <w:t xml:space="preserve">Assessment to better illustrate all three</w:t>
      </w:r>
      <w:r>
        <w:t xml:space="preserve"> </w:t>
      </w:r>
      <w:r>
        <w:t xml:space="preserve">identified problems and their drivers (see</w:t>
      </w:r>
      <w:r>
        <w:t xml:space="preserve"> </w:t>
      </w:r>
      <w:r>
        <w:t xml:space="preserve">sections 2.1.2, 2.1.3., and 2.1.4.).</w:t>
      </w:r>
      <w:r>
        <w:t xml:space="preserve"> </w:t>
      </w:r>
      <w:r>
        <w:t xml:space="preserve">Stakeholders’</w:t>
      </w:r>
      <w:r>
        <w:t xml:space="preserve"> </w:t>
      </w:r>
      <w:r>
        <w:t xml:space="preserve">feedback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amended to more systematically outline</w:t>
      </w:r>
      <w:r>
        <w:t xml:space="preserve"> </w:t>
      </w:r>
      <w:r>
        <w:t xml:space="preserve">the views of different stakeholder groups.</w:t>
      </w:r>
    </w:p>
    <w:p>
      <w:pPr>
        <w:pStyle w:val="BodyText"/>
      </w:pPr>
      <w:r>
        <w:t xml:space="preserve">The report does not adequately define the key</w:t>
      </w:r>
      <w:r>
        <w:t xml:space="preserve"> </w:t>
      </w:r>
      <w:r>
        <w:t xml:space="preserve">elements for each of the assessed options. It is</w:t>
      </w:r>
      <w:r>
        <w:t xml:space="preserve"> </w:t>
      </w:r>
      <w:r>
        <w:t xml:space="preserve">unclear what is supposed to change in the</w:t>
      </w:r>
      <w:r>
        <w:t xml:space="preserve"> </w:t>
      </w:r>
      <w:r>
        <w:t xml:space="preserve">prudential framework and due diligence and</w:t>
      </w:r>
      <w:r>
        <w:t xml:space="preserve"> </w:t>
      </w:r>
      <w:r>
        <w:t xml:space="preserve">transparency rules. The report does not therefore</w:t>
      </w:r>
      <w:r>
        <w:t xml:space="preserve"> </w:t>
      </w:r>
      <w:r>
        <w:t xml:space="preserve">clearly bring out the choices and trade-offs made</w:t>
      </w:r>
      <w:r>
        <w:t xml:space="preserve"> </w:t>
      </w:r>
      <w:r>
        <w:t xml:space="preserve">when developing the options.</w:t>
      </w:r>
      <w:r>
        <w:t xml:space="preserve"> </w:t>
      </w:r>
      <w:r>
        <w:t xml:space="preserve">Further detail has been added to explain</w:t>
      </w:r>
      <w:r>
        <w:t xml:space="preserve"> </w:t>
      </w:r>
      <w:r>
        <w:t xml:space="preserve">the changes that the different options</w:t>
      </w:r>
      <w:r>
        <w:t xml:space="preserve"> </w:t>
      </w:r>
      <w:r>
        <w:t xml:space="preserve">entail for transparency, due diligence and</w:t>
      </w:r>
      <w:r>
        <w:t xml:space="preserve"> </w:t>
      </w:r>
      <w:r>
        <w:t xml:space="preserve">prudential requirements (see sections</w:t>
      </w:r>
      <w:r>
        <w:t xml:space="preserve"> </w:t>
      </w:r>
      <w:r>
        <w:t xml:space="preserve">5.2.1,</w:t>
      </w:r>
      <w:r>
        <w:t xml:space="preserve"> </w:t>
      </w:r>
      <w:r>
        <w:t xml:space="preserve">5.2.2,</w:t>
      </w:r>
      <w:r>
        <w:t xml:space="preserve"> </w:t>
      </w:r>
      <w:r>
        <w:t xml:space="preserve">and</w:t>
      </w:r>
      <w:r>
        <w:t xml:space="preserve"> </w:t>
      </w:r>
      <w:r>
        <w:t xml:space="preserve">5.2.3).</w:t>
      </w:r>
      <w:r>
        <w:t xml:space="preserve"> </w:t>
      </w:r>
      <w:r>
        <w:t xml:space="preserve">Such</w:t>
      </w:r>
      <w:r>
        <w:t xml:space="preserve"> </w:t>
      </w:r>
      <w:r>
        <w:t xml:space="preserve">clarifications aim to clearly bring out the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choices and trade-offs made when</w:t>
      </w:r>
      <w:r>
        <w:t xml:space="preserve"> </w:t>
      </w:r>
      <w:r>
        <w:t xml:space="preserve">developing the options.</w:t>
      </w:r>
      <w:r>
        <w:t xml:space="preserve"> </w:t>
      </w:r>
      <w:r>
        <w:t xml:space="preserve">The report does not adequately assess and</w:t>
      </w:r>
      <w:r>
        <w:t xml:space="preserve"> </w:t>
      </w:r>
      <w:r>
        <w:t xml:space="preserve">compare the combined impacts of the options in</w:t>
      </w:r>
      <w:r>
        <w:t xml:space="preserve"> </w:t>
      </w:r>
      <w:r>
        <w:t xml:space="preserve">terms of how they could affect the stability of the</w:t>
      </w:r>
      <w:r>
        <w:t xml:space="preserve"> </w:t>
      </w:r>
      <w:r>
        <w:t xml:space="preserve">financial system. The report is also not</w:t>
      </w:r>
      <w:r>
        <w:t xml:space="preserve"> </w:t>
      </w:r>
      <w:r>
        <w:t xml:space="preserve">sufficiently clear on whether the different options</w:t>
      </w:r>
      <w:r>
        <w:t xml:space="preserve"> </w:t>
      </w:r>
      <w:r>
        <w:t xml:space="preserve">presented imply different risk levels for the</w:t>
      </w:r>
      <w:r>
        <w:t xml:space="preserve"> </w:t>
      </w:r>
      <w:r>
        <w:t xml:space="preserve">financial system.</w:t>
      </w:r>
      <w:r>
        <w:t xml:space="preserve"> </w:t>
      </w:r>
      <w:r>
        <w:t xml:space="preserve">In general, additional detail has been</w:t>
      </w:r>
      <w:r>
        <w:t xml:space="preserve"> </w:t>
      </w:r>
      <w:r>
        <w:t xml:space="preserve">added to explain that none of the</w:t>
      </w:r>
      <w:r>
        <w:t xml:space="preserve"> </w:t>
      </w:r>
      <w:r>
        <w:t xml:space="preserve">presented options are expected to</w:t>
      </w:r>
      <w:r>
        <w:t xml:space="preserve"> </w:t>
      </w:r>
      <w:r>
        <w:t xml:space="preserve">endanger</w:t>
      </w:r>
      <w:r>
        <w:t xml:space="preserve"> </w:t>
      </w:r>
      <w:r>
        <w:t xml:space="preserve">financial</w:t>
      </w:r>
      <w:r>
        <w:t xml:space="preserve"> </w:t>
      </w:r>
      <w:r>
        <w:t xml:space="preserve">stability,</w:t>
      </w:r>
      <w:r>
        <w:t xml:space="preserve"> </w:t>
      </w:r>
      <w:r>
        <w:t xml:space="preserve">and</w:t>
      </w:r>
      <w:r>
        <w:t xml:space="preserve"> </w:t>
      </w:r>
      <w:r>
        <w:t xml:space="preserve">therefore neither does their combination</w:t>
      </w:r>
      <w:r>
        <w:t xml:space="preserve"> </w:t>
      </w:r>
      <w:r>
        <w:t xml:space="preserve">(see section 6).</w:t>
      </w:r>
      <w:r>
        <w:t xml:space="preserve"> </w:t>
      </w:r>
      <w:r>
        <w:t xml:space="preserve">The section on the prudential treatment</w:t>
      </w:r>
      <w:r>
        <w:t xml:space="preserve"> </w:t>
      </w:r>
      <w:r>
        <w:t xml:space="preserve">of banks has been amended to provide</w:t>
      </w:r>
      <w:r>
        <w:t xml:space="preserve"> </w:t>
      </w:r>
      <w:r>
        <w:t xml:space="preserve">further details on the content of the</w:t>
      </w:r>
      <w:r>
        <w:t xml:space="preserve"> </w:t>
      </w:r>
      <w:r>
        <w:t xml:space="preserve">proposed measures, on the expected</w:t>
      </w:r>
      <w:r>
        <w:t xml:space="preserve"> </w:t>
      </w:r>
      <w:r>
        <w:t xml:space="preserve">impact of the stability of the financial</w:t>
      </w:r>
      <w:r>
        <w:t xml:space="preserve"> </w:t>
      </w:r>
      <w:r>
        <w:t xml:space="preserve">system and on the costs related with the</w:t>
      </w:r>
      <w:r>
        <w:t xml:space="preserve"> </w:t>
      </w:r>
      <w:r>
        <w:t xml:space="preserve">implementation of the proposals.</w:t>
      </w:r>
    </w:p>
    <w:p>
      <w:pPr>
        <w:pStyle w:val="BodyText"/>
      </w:pPr>
      <w:r>
        <w:t xml:space="preserve">4 - Evidence, sources and quality</w:t>
      </w:r>
      <w:r>
        <w:t xml:space="preserve"> </w:t>
      </w:r>
      <w:r>
        <w:t xml:space="preserve">The impact assessment drew on a broad range of information sources such as the results of</w:t>
      </w:r>
      <w:r>
        <w:t xml:space="preserve"> </w:t>
      </w:r>
      <w:r>
        <w:t xml:space="preserve">consultations with stakeholders, reports from the ESAs, and additional desk research by the</w:t>
      </w:r>
      <w:r>
        <w:t xml:space="preserve"> </w:t>
      </w:r>
      <w:r>
        <w:t xml:space="preserve">Commission services. Some of the specific sources of data used in the preparation of this</w:t>
      </w:r>
      <w:r>
        <w:t xml:space="preserve"> </w:t>
      </w:r>
      <w:r>
        <w:t xml:space="preserve">impact assessment include the following:</w:t>
      </w:r>
      <w:r>
        <w:br/>
      </w:r>
      <w:r>
        <w:t xml:space="preserve"> Evidence supplied in the context of various consultations by the Commission as</w:t>
      </w:r>
      <w:r>
        <w:t xml:space="preserve"> </w:t>
      </w:r>
      <w:r>
        <w:t xml:space="preserve">described in Annex II;</w:t>
      </w:r>
      <w:r>
        <w:br/>
      </w:r>
      <w:r>
        <w:t xml:space="preserve"> EIOPA data extracted from quantitative reporting templates submitted by insurance and</w:t>
      </w:r>
      <w:r>
        <w:t xml:space="preserve"> </w:t>
      </w:r>
      <w:r>
        <w:t xml:space="preserve">reinsurance undertakings;</w:t>
      </w:r>
      <w:r>
        <w:t xml:space="preserve"> </w:t>
      </w:r>
      <w:r>
        <w:t xml:space="preserve"> ECB Governing Council Statement of 7 March 2024;75</w:t>
      </w:r>
      <w:r>
        <w:t xml:space="preserve"> </w:t>
      </w:r>
      <w:r>
        <w:t xml:space="preserve"> Eurogroup Statement of 11 March 2024;76</w:t>
      </w:r>
      <w:r>
        <w:t xml:space="preserve"> </w:t>
      </w:r>
      <w:r>
        <w:t xml:space="preserve"> European Council conclusions of April77, June 2024;78</w:t>
      </w:r>
      <w:r>
        <w:t xml:space="preserve"> </w:t>
      </w:r>
      <w:r>
        <w:t xml:space="preserve"> “Much more than a market”, report by Enrico Letta, 17 April 2024;79</w:t>
      </w:r>
      <w:r>
        <w:t xml:space="preserve"> </w:t>
      </w:r>
      <w:r>
        <w:t xml:space="preserve"> “The future of European competitiveness,” report by Mario Draghi, 9 September</w:t>
      </w:r>
      <w:r>
        <w:t xml:space="preserve"> </w:t>
      </w:r>
      <w:r>
        <w:t xml:space="preserve">2024;80</w:t>
      </w:r>
      <w:r>
        <w:t xml:space="preserve"> </w:t>
      </w:r>
      <w:r>
        <w:t xml:space="preserve"> EBA working papers and staff working documents;</w:t>
      </w:r>
      <w:r>
        <w:t xml:space="preserve"> </w:t>
      </w:r>
      <w:r>
        <w:t xml:space="preserve"> Publicly available studies, reports, position papers and other relevant documents drawn</w:t>
      </w:r>
      <w:r>
        <w:t xml:space="preserve"> </w:t>
      </w:r>
      <w:r>
        <w:t xml:space="preserve">up by private and public stakeholders.</w:t>
      </w:r>
    </w:p>
    <w:p>
      <w:pPr>
        <w:pStyle w:val="BodyText"/>
      </w:pPr>
      <w:r>
        <w:t xml:space="preserve">75 https://www.ecb.europa.eu/press/pr/date/2024/html/ecb.pr240307~76c2ab2747.en.html</w:t>
      </w:r>
      <w:r>
        <w:t xml:space="preserve"> </w:t>
      </w:r>
      <w:r>
        <w:t xml:space="preserve">76 Eurogroup statement of 11 March 2024,</w:t>
      </w:r>
      <w:r>
        <w:t xml:space="preserve"> </w:t>
      </w:r>
      <w:r>
        <w:t xml:space="preserve">77 https://www.consilium.europa.eu/media/m5jlwe0p/euco-conclusions-20240417-18-en.pdf</w:t>
      </w:r>
      <w:r>
        <w:t xml:space="preserve"> </w:t>
      </w:r>
      <w:r>
        <w:t xml:space="preserve">78 European Council conclusions of June 2024</w:t>
      </w:r>
      <w:r>
        <w:t xml:space="preserve"> </w:t>
      </w:r>
      <w:r>
        <w:t xml:space="preserve">79 https://www.consilium.europa.eu/media/ny3j24sm/much-more-than-a-market-report-by-enrico-letta.pdf</w:t>
      </w:r>
      <w:r>
        <w:t xml:space="preserve"> </w:t>
      </w:r>
      <w:r>
        <w:t xml:space="preserve">80 https://commission.europa.eu/document/download/97e481fd-2dc3-412d-be4c-f152a8232961_en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ANNEX II: STAKEHOLDERS’ CONSULTATION (SYNOPSIS REPORT)</w:t>
      </w:r>
      <w:r>
        <w:t xml:space="preserve"> </w:t>
      </w:r>
      <w:r>
        <w:t xml:space="preserve">In order to ensure that the Commission’s proposal adequately takes into account the views of</w:t>
      </w:r>
      <w:r>
        <w:t xml:space="preserve"> </w:t>
      </w:r>
      <w:r>
        <w:t xml:space="preserve">all interested stakeholders, the consultation strategy supporting this initiative was built on the</w:t>
      </w:r>
      <w:r>
        <w:t xml:space="preserve"> </w:t>
      </w:r>
      <w:r>
        <w:t xml:space="preserve">following components:</w:t>
      </w:r>
      <w:r>
        <w:br/>
      </w:r>
      <w:r>
        <w:t xml:space="preserve">• A targeted (but nevertheless public and open) consultation, with detailed questions</w:t>
      </w:r>
      <w:r>
        <w:t xml:space="preserve"> </w:t>
      </w:r>
      <w:r>
        <w:t xml:space="preserve">aimed specifically towards market participants with expertise in the European</w:t>
      </w:r>
      <w:r>
        <w:t xml:space="preserve"> </w:t>
      </w:r>
      <w:r>
        <w:t xml:space="preserve">securitisation market, open from 9 October 2024 to 4 December 2024;81</w:t>
      </w:r>
      <w:r>
        <w:t xml:space="preserve"> </w:t>
      </w:r>
      <w:r>
        <w:t xml:space="preserve">• Numerous ad hoc bilateral contacts with various stakeholders, either on their initiative</w:t>
      </w:r>
      <w:r>
        <w:t xml:space="preserve"> </w:t>
      </w:r>
      <w:r>
        <w:t xml:space="preserve">or that of the Commission.</w:t>
      </w:r>
      <w:r>
        <w:br/>
      </w:r>
      <w:r>
        <w:t xml:space="preserve">• Consultation of stakeholders in a dedicated day-long in-person Securitisation</w:t>
      </w:r>
      <w:r>
        <w:t xml:space="preserve"> </w:t>
      </w:r>
      <w:r>
        <w:t xml:space="preserve">workshop, held on Commission premises in Brussels on 3 July 2024;</w:t>
      </w:r>
      <w:r>
        <w:t xml:space="preserve"> </w:t>
      </w:r>
      <w:r>
        <w:t xml:space="preserve">• Input from the European Supervisory Authorities within the framework of the Joint</w:t>
      </w:r>
      <w:r>
        <w:t xml:space="preserve"> </w:t>
      </w:r>
      <w:r>
        <w:t xml:space="preserve">Committee Securitisation Committee and of the European Systemic Risk Board;</w:t>
      </w:r>
      <w:r>
        <w:br/>
      </w:r>
      <w:r>
        <w:t xml:space="preserve">• Consultation of Member States’ experts through (the Financial Services Committee</w:t>
      </w:r>
      <w:r>
        <w:t xml:space="preserve"> </w:t>
      </w:r>
      <w:r>
        <w:t xml:space="preserve">and Eurogroup Working Group +)</w:t>
      </w:r>
      <w:r>
        <w:t xml:space="preserve"> </w:t>
      </w:r>
      <w:r>
        <w:t xml:space="preserve"> Call for Evidence published on 19 February 2025 and running until 26 March 2025.</w:t>
      </w:r>
      <w:r>
        <w:t xml:space="preserve"> </w:t>
      </w:r>
      <w:r>
        <w:t xml:space="preserve">1 - Targeted CONSULTATION</w:t>
      </w:r>
      <w:r>
        <w:t xml:space="preserve"> </w:t>
      </w:r>
      <w:r>
        <w:t xml:space="preserve">Given the technical nature of the initiative, a decision was taken to conduct a targeted public</w:t>
      </w:r>
      <w:r>
        <w:t xml:space="preserve"> </w:t>
      </w:r>
      <w:r>
        <w:t xml:space="preserve">consultation to obtain stakeholder views on the functioning of the EU securitisation framework.</w:t>
      </w:r>
      <w:r>
        <w:t xml:space="preserve"> </w:t>
      </w:r>
      <w:r>
        <w:t xml:space="preserve">The 8-week feedback period ran from 9 October 2024 to 4 December 2024. The consultation,</w:t>
      </w:r>
      <w:r>
        <w:t xml:space="preserve"> </w:t>
      </w:r>
      <w:r>
        <w:t xml:space="preserve">which was conducted online via the EUSurvey platform, received 133 responses from a variety</w:t>
      </w:r>
      <w:r>
        <w:t xml:space="preserve"> </w:t>
      </w:r>
      <w:r>
        <w:t xml:space="preserve">of stakeholders. 131 replies were submitted via the online form, and 2 were sent by email to a</w:t>
      </w:r>
      <w:r>
        <w:t xml:space="preserve"> </w:t>
      </w:r>
      <w:r>
        <w:t xml:space="preserve">dedicated functional email inbox, managed by DG FISMA. Please note that unless specifically</w:t>
      </w:r>
      <w:r>
        <w:t xml:space="preserve"> </w:t>
      </w:r>
      <w:r>
        <w:t xml:space="preserve">mentioned in the summary of the online consultation, the two email respondents were not</w:t>
      </w:r>
      <w:r>
        <w:t xml:space="preserve"> </w:t>
      </w:r>
      <w:r>
        <w:t xml:space="preserve">considered in the statistical analysis of answers.</w:t>
      </w:r>
      <w:r>
        <w:br/>
      </w:r>
      <w:r>
        <w:t xml:space="preserve">Most respondents were stakeholders from the European Economic Area (107), in addition to</w:t>
      </w:r>
      <w:r>
        <w:t xml:space="preserve"> </w:t>
      </w:r>
      <w:r>
        <w:t xml:space="preserve">the US (13), UK (10) and Switzerland (2), Australia (1). Please note that unless specifically</w:t>
      </w:r>
      <w:r>
        <w:t xml:space="preserve"> </w:t>
      </w:r>
      <w:r>
        <w:t xml:space="preserve">specified in the summary of the online consultation, those who did not provide a view were not</w:t>
      </w:r>
      <w:r>
        <w:t xml:space="preserve"> </w:t>
      </w:r>
      <w:r>
        <w:t xml:space="preserve">considered in the analysis of answers. Responses received were from a variety of stakeholders</w:t>
      </w:r>
      <w:r>
        <w:t xml:space="preserve"> </w:t>
      </w:r>
      <w:r>
        <w:t xml:space="preserve">representing individual companies, business associations, public authorities, consumer</w:t>
      </w:r>
      <w:r>
        <w:t xml:space="preserve"> </w:t>
      </w:r>
      <w:r>
        <w:t xml:space="preserve">organisations, EU citizens, NGOs, trade unions and academic/research institutions.</w:t>
      </w:r>
      <w:r>
        <w:br/>
      </w:r>
      <w:r>
        <w:t xml:space="preserve">Below is a summary of the views expressed in the targeted consultation with regard to the</w:t>
      </w:r>
      <w:r>
        <w:t xml:space="preserve"> </w:t>
      </w:r>
      <w:r>
        <w:t xml:space="preserve">experience with the framework so far and to further action to improve the framework and</w:t>
      </w:r>
      <w:r>
        <w:t xml:space="preserve"> </w:t>
      </w:r>
      <w:r>
        <w:t xml:space="preserve">develop the EU securitisation market. The summary is presented thematically by issue area.</w:t>
      </w:r>
      <w:r>
        <w:t xml:space="preserve"> </w:t>
      </w:r>
      <w:r>
        <w:t xml:space="preserve">Any opinions expressed reflect the views of the respondents and do not reflect the position of</w:t>
      </w:r>
      <w:r>
        <w:t xml:space="preserve"> </w:t>
      </w:r>
      <w:r>
        <w:t xml:space="preserve">the European Commission.</w:t>
      </w:r>
      <w:r>
        <w:br/>
      </w:r>
      <w:r>
        <w:t xml:space="preserve">1.1. Non-prudential issues</w:t>
      </w:r>
    </w:p>
    <w:p>
      <w:pPr>
        <w:pStyle w:val="BodyText"/>
      </w:pPr>
      <w:r>
        <w:t xml:space="preserve">81 https://finance.ec.europa.eu/regulation-and-supervision/consultations-0/targeted-consultation-functioning-eu-</w:t>
      </w:r>
      <w:r>
        <w:t xml:space="preserve"> </w:t>
      </w:r>
      <w:r>
        <w:t xml:space="preserve">securitisation-framework-2024_en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1.1.2. Effectiveness of the securitisation framework</w:t>
      </w:r>
      <w:r>
        <w:t xml:space="preserve"> </w:t>
      </w:r>
      <w:r>
        <w:t xml:space="preserve">The following chart presents the replies to the question: “Do you agree that the securitisation</w:t>
      </w:r>
      <w:r>
        <w:t xml:space="preserve"> </w:t>
      </w:r>
      <w:r>
        <w:t xml:space="preserve">framework (…) has been successful in, or has contributed to, achieving the following</w:t>
      </w:r>
      <w:r>
        <w:t xml:space="preserve"> </w:t>
      </w:r>
      <w:r>
        <w:t xml:space="preserve">objectives. For clearer presentation, respondents that did not answer the question have been</w:t>
      </w:r>
      <w:r>
        <w:t xml:space="preserve"> </w:t>
      </w:r>
      <w:r>
        <w:t xml:space="preserve">omitted from the graph.</w:t>
      </w:r>
      <w:r>
        <w:t xml:space="preserve"> </w:t>
      </w:r>
      <w:r>
        <w:t xml:space="preserve">1.1.3. Impact on SMEs</w:t>
      </w:r>
      <w:r>
        <w:t xml:space="preserve"> </w:t>
      </w:r>
      <w:r>
        <w:t xml:space="preserve">The majority of respondents identified SMEs as having only limited access to securitisation.</w:t>
      </w:r>
      <w:r>
        <w:t xml:space="preserve"> </w:t>
      </w:r>
      <w:r>
        <w:t xml:space="preserve">More than one third of the respondents (51 out of 131, 72 gave no answer or provided no</w:t>
      </w:r>
      <w:r>
        <w:t xml:space="preserve"> </w:t>
      </w:r>
      <w:r>
        <w:t xml:space="preserve">opinion) reported having come across impediments to securitise SME loans or invest in SME</w:t>
      </w:r>
      <w:r>
        <w:t xml:space="preserve"> </w:t>
      </w:r>
      <w:r>
        <w:t xml:space="preserve">securitisation (8 had not, 72 gave no answer or didn’t know). They highlighted regulatory</w:t>
      </w:r>
      <w:r>
        <w:t xml:space="preserve"> </w:t>
      </w:r>
      <w:r>
        <w:t xml:space="preserve">complexity, high costs, and lack of data quality as major impediments to securitising SME</w:t>
      </w:r>
      <w:r>
        <w:t xml:space="preserve"> </w:t>
      </w:r>
      <w:r>
        <w:t xml:space="preserve">loans. Insufficient reliable financial data hinders risk evaluation and investor interest –</w:t>
      </w:r>
      <w:r>
        <w:t xml:space="preserve"> </w:t>
      </w:r>
      <w:r>
        <w:t xml:space="preserve">relatedly, stringent due diligence requirements are burdensome and complicated, particularly</w:t>
      </w:r>
      <w:r>
        <w:t xml:space="preserve"> </w:t>
      </w:r>
      <w:r>
        <w:t xml:space="preserve">with limited SME information. Unfavourable prudential treatment of securitised loans,</w:t>
      </w:r>
      <w:r>
        <w:t xml:space="preserve"> </w:t>
      </w:r>
      <w:r>
        <w:t xml:space="preserve">including higher capital requirements under the Basel III framework, are highlighted as</w:t>
      </w:r>
      <w:r>
        <w:t xml:space="preserve"> </w:t>
      </w:r>
      <w:r>
        <w:t xml:space="preserve">discouraging investments in SME securitisation. As such, the existing regulatory framework</w:t>
      </w:r>
      <w:r>
        <w:t xml:space="preserve"> </w:t>
      </w:r>
      <w:r>
        <w:t xml:space="preserve">struggles to offer attractive access to financing options for SMEs via securitisation.</w:t>
      </w:r>
      <w:r>
        <w:t xml:space="preserve"> </w:t>
      </w:r>
      <w:r>
        <w:t xml:space="preserve">Some respondents from the industry see the potential for securitisation to facilitate SMEs’</w:t>
      </w:r>
      <w:r>
        <w:t xml:space="preserve"> </w:t>
      </w:r>
      <w:r>
        <w:t xml:space="preserve">access to capital markets by providing them with a wider range of financing options and</w:t>
      </w:r>
      <w:r>
        <w:t xml:space="preserve"> </w:t>
      </w:r>
      <w:r>
        <w:t xml:space="preserve">increasing their access to credit. In order for securitisation to support access to finance for</w:t>
      </w:r>
      <w:r>
        <w:t xml:space="preserve"> </w:t>
      </w:r>
      <w:r>
        <w:t xml:space="preserve">SMEs, many respondent banks and banking associations stated that the regulatory framework</w:t>
      </w:r>
      <w:r>
        <w:t xml:space="preserve"> </w:t>
      </w:r>
      <w:r>
        <w:t xml:space="preserve">for securitisation should be simplified and made more proportionate to make it more effective.</w:t>
      </w:r>
      <w:r>
        <w:br/>
      </w:r>
      <w:r>
        <w:t xml:space="preserve">In particular, transparency and investor due diligence requirements should be more</w:t>
      </w:r>
      <w:r>
        <w:t xml:space="preserve"> </w:t>
      </w:r>
      <w:r>
        <w:t xml:space="preserve">proportionate and therefore less burdensome, and transparency and disclosure requirements</w:t>
      </w:r>
      <w:r>
        <w:t xml:space="preserve"> </w:t>
      </w:r>
      <w:r>
        <w:t xml:space="preserve">should be improved.</w:t>
      </w:r>
      <w:r>
        <w:t xml:space="preserve"> </w:t>
      </w:r>
      <w:r>
        <w:t xml:space="preserve">On the other hand, consumer organisations point out that it is unrealistic that securitisation</w:t>
      </w:r>
      <w:r>
        <w:t xml:space="preserve"> </w:t>
      </w:r>
      <w:r>
        <w:t xml:space="preserve">would contribute to SME financing. Consumer organisations also caution that promoting</w:t>
      </w:r>
      <w:r>
        <w:t xml:space="preserve"> </w:t>
      </w:r>
      <w:r>
        <w:t xml:space="preserve">securitisation could entrench the dependence on bank financing and potentially disrupt covered</w:t>
      </w:r>
      <w:r>
        <w:t xml:space="preserve"> </w:t>
      </w:r>
      <w:r>
        <w:t xml:space="preserve">bond markets. They suggest that instead of simplifying the securitisation framework, the EU</w:t>
      </w:r>
      <w:r>
        <w:t xml:space="preserve"> </w:t>
      </w:r>
      <w:r>
        <w:t xml:space="preserve">should expand existing programs, such as those offered by the EIF and EIB.</w:t>
      </w:r>
      <w:r>
        <w:br/>
      </w:r>
      <w:r>
        <w:t xml:space="preserve">1.1.4. Scope of application of the Securitisation Regulation (SECR)</w:t>
      </w:r>
      <w:r>
        <w:t xml:space="preserve"> </w:t>
      </w:r>
      <w:r>
        <w:t xml:space="preserve">Opinions were mixed amongst respondents on whether clarification was needed on the</w:t>
      </w:r>
      <w:r>
        <w:t xml:space="preserve"> </w:t>
      </w:r>
      <w:r>
        <w:t xml:space="preserve">jurisdictional scope of the SECR, to establish a clearer and more consistent framework for</w:t>
      </w:r>
      <w:r>
        <w:t xml:space="preserve"> </w:t>
      </w:r>
      <w:r>
        <w:t xml:space="preserve">supervising and regulating securitisations that involve non-EU entities. On the question of the</w:t>
      </w:r>
      <w:r>
        <w:t xml:space="preserve"> </w:t>
      </w:r>
      <w:r>
        <w:t xml:space="preserve">need to clarify the SECR’s jurisdictional scope, 28 out of 131 respondents agreed, 32 disagreed,</w:t>
      </w:r>
      <w:r>
        <w:t xml:space="preserve"> </w:t>
      </w:r>
      <w:r>
        <w:t xml:space="preserve">24 had no opinion and 47 did not respond. Many recommend the recent UK reforms, as striking</w:t>
      </w:r>
      <w:r>
        <w:t xml:space="preserve"> </w:t>
      </w:r>
      <w:r>
        <w:t xml:space="preserve">the right balance between ensuring regulatory consistency and avoiding unnecessary burdens,</w:t>
      </w:r>
      <w:r>
        <w:t xml:space="preserve"> </w:t>
      </w:r>
      <w:r>
        <w:t xml:space="preserve">by allowing investors to collect the information and data they need without being forced to</w:t>
      </w:r>
      <w:r>
        <w:t xml:space="preserve"> </w:t>
      </w:r>
      <w:r>
        <w:t xml:space="preserve">comply with prescriptive requirements.</w:t>
      </w:r>
      <w:r>
        <w:t xml:space="preserve"> </w:t>
      </w:r>
      <w:r>
        <w:t xml:space="preserve">In contrast, other banks and trade associations argue that the scope of application is well</w:t>
      </w:r>
      <w:r>
        <w:t xml:space="preserve"> </w:t>
      </w:r>
      <w:r>
        <w:t xml:space="preserve">understood and settled satisfactorily. They suggest that any changes should focus on revising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the ESMA template for third-country securitisation to ensure that institutional investors can</w:t>
      </w:r>
      <w:r>
        <w:t xml:space="preserve"> </w:t>
      </w:r>
      <w:r>
        <w:t xml:space="preserve">obtain appropriate disclosure. Some also suggest that the EU should clarify the allocation of</w:t>
      </w:r>
      <w:r>
        <w:t xml:space="preserve"> </w:t>
      </w:r>
      <w:r>
        <w:t xml:space="preserve">supervisory competence between national authorities.</w:t>
      </w:r>
      <w:r>
        <w:br/>
      </w:r>
      <w:r>
        <w:t xml:space="preserve">On changing the definition of securitisation, opponents cited uncertainty and regulatory</w:t>
      </w:r>
      <w:r>
        <w:t xml:space="preserve"> </w:t>
      </w:r>
      <w:r>
        <w:t xml:space="preserve">complexity that might stem from such a move, and that the existing market definition was well-</w:t>
      </w:r>
      <w:r>
        <w:t xml:space="preserve"> </w:t>
      </w:r>
      <w:r>
        <w:t xml:space="preserve">understood. A few suggest harmonising it with the US definition of</w:t>
      </w:r>
      <w:r>
        <w:t xml:space="preserve"> </w:t>
      </w:r>
      <w:r>
        <w:t xml:space="preserve">“asset-backed security”,</w:t>
      </w:r>
      <w:r>
        <w:t xml:space="preserve"> </w:t>
      </w:r>
      <w:r>
        <w:t xml:space="preserve">which many EU market participants are also familiar with. Broadening the scope is</w:t>
      </w:r>
      <w:r>
        <w:t xml:space="preserve"> </w:t>
      </w:r>
      <w:r>
        <w:t xml:space="preserve">recommended by some who believe the current definition does not capture transactions that</w:t>
      </w:r>
      <w:r>
        <w:t xml:space="preserve"> </w:t>
      </w:r>
      <w:r>
        <w:t xml:space="preserve">are structured so as to fall outside the SECR’s technical scope but fulfil the same economic</w:t>
      </w:r>
      <w:r>
        <w:t xml:space="preserve"> </w:t>
      </w:r>
      <w:r>
        <w:t xml:space="preserve">purpose. Conversely, respondents in favour of narrowing the definition claim its current</w:t>
      </w:r>
      <w:r>
        <w:t xml:space="preserve"> </w:t>
      </w:r>
      <w:r>
        <w:t xml:space="preserve">breadth and vagueness have made market participants reluctant to participate in transactions</w:t>
      </w:r>
      <w:r>
        <w:t xml:space="preserve"> </w:t>
      </w:r>
      <w:r>
        <w:t xml:space="preserve">that fall within a regulatory”</w:t>
      </w:r>
      <w:r>
        <w:t xml:space="preserve">grey area”.</w:t>
      </w:r>
      <w:r>
        <w:t xml:space="preserve"> </w:t>
      </w:r>
      <w:r>
        <w:t xml:space="preserve">Approximately half of those responding to this section advocated for the definition of a sponsor</w:t>
      </w:r>
      <w:r>
        <w:t xml:space="preserve"> </w:t>
      </w:r>
      <w:r>
        <w:t xml:space="preserve">to be expanded to include alternative investment fund managers (AIFMs) established in the</w:t>
      </w:r>
      <w:r>
        <w:t xml:space="preserve"> </w:t>
      </w:r>
      <w:r>
        <w:t xml:space="preserve">EU. The other half opposed considered that AIFMs are not set up to retain a 5% share in a</w:t>
      </w:r>
      <w:r>
        <w:t xml:space="preserve"> </w:t>
      </w:r>
      <w:r>
        <w:t xml:space="preserve">securitisation transaction and such risk retention practices could give rise to possible conflicts</w:t>
      </w:r>
      <w:r>
        <w:t xml:space="preserve"> </w:t>
      </w:r>
      <w:r>
        <w:t xml:space="preserve">of interest.</w:t>
      </w:r>
      <w:r>
        <w:br/>
      </w:r>
      <w:r>
        <w:t xml:space="preserve">1.1.5. Due diligence requirements</w:t>
      </w:r>
      <w:r>
        <w:br/>
      </w:r>
      <w:r>
        <w:t xml:space="preserve">Most respondents (84 out of 131) believe that the due diligence requirements set forth in the</w:t>
      </w:r>
      <w:r>
        <w:t xml:space="preserve"> </w:t>
      </w:r>
      <w:r>
        <w:t xml:space="preserve">SECR should be reformed to be more principle-based, proportionate, and less burdensome.</w:t>
      </w:r>
      <w:r>
        <w:t xml:space="preserve"> </w:t>
      </w:r>
      <w:r>
        <w:t xml:space="preserve">This sentiment stems from the notion that the current requirements are disproportionate to the</w:t>
      </w:r>
      <w:r>
        <w:t xml:space="preserve"> </w:t>
      </w:r>
      <w:r>
        <w:t xml:space="preserve">risks associated with securitisations. They suggest that less stringent due diligence</w:t>
      </w:r>
      <w:r>
        <w:t xml:space="preserve"> </w:t>
      </w:r>
      <w:r>
        <w:t xml:space="preserve">requirements should be applied to well-rated senior tranches. Should the Commission consider</w:t>
      </w:r>
      <w:r>
        <w:t xml:space="preserve"> </w:t>
      </w:r>
      <w:r>
        <w:t xml:space="preserve">making due diligence requirements more risk-sensitive, respondents emphasize that such an</w:t>
      </w:r>
      <w:r>
        <w:t xml:space="preserve"> </w:t>
      </w:r>
      <w:r>
        <w:t xml:space="preserve">approach should not result in overly prescriptive requirements, as relevant factors will vary on</w:t>
      </w:r>
      <w:r>
        <w:t xml:space="preserve"> </w:t>
      </w:r>
      <w:r>
        <w:t xml:space="preserve">a case-by-case basis.</w:t>
      </w:r>
      <w:r>
        <w:t xml:space="preserve"> </w:t>
      </w:r>
      <w:r>
        <w:t xml:space="preserve">Most market participants propose the removal of verification requirements for investors that</w:t>
      </w:r>
      <w:r>
        <w:t xml:space="preserve"> </w:t>
      </w:r>
      <w:r>
        <w:t xml:space="preserve">are already checked by supervisors, including compliance with the STS (Simple, Transparent,</w:t>
      </w:r>
      <w:r>
        <w:t xml:space="preserve"> </w:t>
      </w:r>
      <w:r>
        <w:t xml:space="preserve">and Standardised) criteria. However, supervisors are hesitant to abolish these requirements,</w:t>
      </w:r>
      <w:r>
        <w:t xml:space="preserve"> </w:t>
      </w:r>
      <w:r>
        <w:t xml:space="preserve">particularly the need for investors to verify that the originator adheres to the disclosure</w:t>
      </w:r>
      <w:r>
        <w:t xml:space="preserve"> </w:t>
      </w:r>
      <w:r>
        <w:t xml:space="preserve">requirements under SECR.</w:t>
      </w:r>
      <w:r>
        <w:t xml:space="preserve"> </w:t>
      </w:r>
      <w:r>
        <w:t xml:space="preserve">Some respondents even advocate for the complete elimination of due diligence requirements</w:t>
      </w:r>
      <w:r>
        <w:t xml:space="preserve"> </w:t>
      </w:r>
      <w:r>
        <w:t xml:space="preserve">for securitisations, opting to rely solely on sector-specific legislations as is the case for other</w:t>
      </w:r>
      <w:r>
        <w:t xml:space="preserve"> </w:t>
      </w:r>
      <w:r>
        <w:t xml:space="preserve">investments. The consensus among respondents is that the current due diligence requirements</w:t>
      </w:r>
      <w:r>
        <w:t xml:space="preserve"> </w:t>
      </w:r>
      <w:r>
        <w:t xml:space="preserve">discourage investment in the secondary market and repeat securitisations. Regarding</w:t>
      </w:r>
      <w:r>
        <w:t xml:space="preserve"> </w:t>
      </w:r>
      <w:r>
        <w:t xml:space="preserve">delegation of due diligence, stakeholders have different interpretations about the applicable</w:t>
      </w:r>
      <w:r>
        <w:t xml:space="preserve"> </w:t>
      </w:r>
      <w:r>
        <w:t xml:space="preserve">sanctions for non-compliance with Article 5.</w:t>
      </w:r>
      <w:r>
        <w:t xml:space="preserve"> </w:t>
      </w:r>
      <w:r>
        <w:t xml:space="preserve">1.1.6. Transparency requirements</w:t>
      </w:r>
      <w:r>
        <w:br/>
      </w:r>
      <w:r>
        <w:t xml:space="preserve">The majority of respondents (56 out of 131, 57 did not respond and 4 had no opinion) find that</w:t>
      </w:r>
      <w:r>
        <w:t xml:space="preserve"> </w:t>
      </w:r>
      <w:r>
        <w:t xml:space="preserve">disclosure when issuing a securitisation is significantly more costly than disclosure for other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instruments with similar risk characteristics due to the complexity, level of detail and vast scope</w:t>
      </w:r>
      <w:r>
        <w:t xml:space="preserve"> </w:t>
      </w:r>
      <w:r>
        <w:t xml:space="preserve">of the disclosure requirements.</w:t>
      </w:r>
      <w:r>
        <w:t xml:space="preserve"> </w:t>
      </w:r>
      <w:r>
        <w:t xml:space="preserve">To lower compliance costs while still ensuring a high level of transparency, the majority of</w:t>
      </w:r>
      <w:r>
        <w:t xml:space="preserve"> </w:t>
      </w:r>
      <w:r>
        <w:t xml:space="preserve">respondents opted for streamlining the current disclosure templates for public securitisations</w:t>
      </w:r>
      <w:r>
        <w:t xml:space="preserve"> </w:t>
      </w:r>
      <w:r>
        <w:t xml:space="preserve">and introducing a simplified template for private securitisations. However, many industry</w:t>
      </w:r>
      <w:r>
        <w:t xml:space="preserve"> </w:t>
      </w:r>
      <w:r>
        <w:t xml:space="preserve">respondents advise against requiring private securitisations to report to securitisation</w:t>
      </w:r>
      <w:r>
        <w:t xml:space="preserve"> </w:t>
      </w:r>
      <w:r>
        <w:t xml:space="preserve">repositories due to the associated increase in compliance costs. To further reduce compliance</w:t>
      </w:r>
      <w:r>
        <w:t xml:space="preserve"> </w:t>
      </w:r>
      <w:r>
        <w:t xml:space="preserve">costs, stakeholders are in favour of cautiously moving away from the current requirement for</w:t>
      </w:r>
      <w:r>
        <w:t xml:space="preserve"> </w:t>
      </w:r>
      <w:r>
        <w:t xml:space="preserve">loan-level disclosure for all securitisations.</w:t>
      </w:r>
      <w:r>
        <w:t xml:space="preserve"> </w:t>
      </w:r>
      <w:r>
        <w:t xml:space="preserve">1.1.7. Supervision</w:t>
      </w:r>
      <w:r>
        <w:t xml:space="preserve"> </w:t>
      </w:r>
      <w:r>
        <w:t xml:space="preserve">The responses (56 out of 131, 67 did not respond and 8 had no opinion) highlight widespread</w:t>
      </w:r>
      <w:r>
        <w:t xml:space="preserve"> </w:t>
      </w:r>
      <w:r>
        <w:t xml:space="preserve">challenges in the EU’s securitisation supervision framework. Key issues include inconsistent</w:t>
      </w:r>
      <w:r>
        <w:t xml:space="preserve"> </w:t>
      </w:r>
      <w:r>
        <w:t xml:space="preserve">supervisory practices among National Competent Authorities (NCAs), leading to divergent</w:t>
      </w:r>
      <w:r>
        <w:t xml:space="preserve"> </w:t>
      </w:r>
      <w:r>
        <w:t xml:space="preserve">interpretations of rules, overlapping reporting requirements, and application of criteria for</w:t>
      </w:r>
      <w:r>
        <w:t xml:space="preserve"> </w:t>
      </w:r>
      <w:r>
        <w:t xml:space="preserve">Significant Risk Transfer (SRT) and STS securitisations. Concerns also stem from the treatment</w:t>
      </w:r>
      <w:r>
        <w:t xml:space="preserve"> </w:t>
      </w:r>
      <w:r>
        <w:t xml:space="preserve">of non-binding recommendations, such as the EBA’s 2020 SRT report, being applied as de facto</w:t>
      </w:r>
      <w:r>
        <w:t xml:space="preserve"> </w:t>
      </w:r>
      <w:r>
        <w:t xml:space="preserve">mandatory requirements, exacerbating regulatory uncertainty. Harmonisation is further</w:t>
      </w:r>
      <w:r>
        <w:t xml:space="preserve"> </w:t>
      </w:r>
      <w:r>
        <w:t xml:space="preserve">hindered by differences in collateral eligibility assessments.</w:t>
      </w:r>
      <w:r>
        <w:br/>
      </w:r>
      <w:r>
        <w:t xml:space="preserve">Stakeholders propose enhanced coordination between European and national supervisors. The</w:t>
      </w:r>
      <w:r>
        <w:t xml:space="preserve"> </w:t>
      </w:r>
      <w:r>
        <w:t xml:space="preserve">majority of the respondents that replied to the supervision related questions suggest setting up</w:t>
      </w:r>
      <w:r>
        <w:t xml:space="preserve"> </w:t>
      </w:r>
      <w:r>
        <w:t xml:space="preserve">supervisory hubs, to a lesser extent they support the idea of having one national authority as</w:t>
      </w:r>
      <w:r>
        <w:t xml:space="preserve"> </w:t>
      </w:r>
      <w:r>
        <w:t xml:space="preserve">lead coordinator in the case of one issuance involving multiple supervisors or a single</w:t>
      </w:r>
      <w:r>
        <w:t xml:space="preserve"> </w:t>
      </w:r>
      <w:r>
        <w:t xml:space="preserve">supervisor.</w:t>
      </w:r>
      <w:r>
        <w:t xml:space="preserve"> </w:t>
      </w:r>
      <w:r>
        <w:t xml:space="preserve">On the added value of Third-party verifiers (TPVs) in the STS market, the vast majority of</w:t>
      </w:r>
      <w:r>
        <w:t xml:space="preserve"> </w:t>
      </w:r>
      <w:r>
        <w:t xml:space="preserve">respondents (55 out of 131, 67 did not respond and 9 had no opinion) highlight their</w:t>
      </w:r>
      <w:r>
        <w:t xml:space="preserve"> </w:t>
      </w:r>
      <w:r>
        <w:t xml:space="preserve">importance. Only 43 of the 131 survey participants responded on whether TPVs should be</w:t>
      </w:r>
      <w:r>
        <w:t xml:space="preserve"> </w:t>
      </w:r>
      <w:r>
        <w:t xml:space="preserve">supervised: the majority of these (28 replies), including some public authorities, a suggest that</w:t>
      </w:r>
      <w:r>
        <w:t xml:space="preserve"> </w:t>
      </w:r>
      <w:r>
        <w:t xml:space="preserve">supervision of TPVs is necessary to ensure the integrity of the STS standard and to promote</w:t>
      </w:r>
      <w:r>
        <w:t xml:space="preserve"> </w:t>
      </w:r>
      <w:r>
        <w:t xml:space="preserve">investor confidence. However, to provide more meaningful input, most respondents highlight</w:t>
      </w:r>
      <w:r>
        <w:t xml:space="preserve"> </w:t>
      </w:r>
      <w:r>
        <w:t xml:space="preserve">that more information is needed to accurately estimate the potential costs and benefits of</w:t>
      </w:r>
      <w:r>
        <w:t xml:space="preserve"> </w:t>
      </w:r>
      <w:r>
        <w:t xml:space="preserve">supervision.</w:t>
      </w:r>
      <w:r>
        <w:t xml:space="preserve"> </w:t>
      </w:r>
      <w:r>
        <w:t xml:space="preserve">1.1.8. STS standard</w:t>
      </w:r>
      <w:r>
        <w:t xml:space="preserve"> </w:t>
      </w:r>
      <w:r>
        <w:t xml:space="preserve">Most respondents (65 out of 131, 46 did not respond and 7 had no opinion) think that the current</w:t>
      </w:r>
      <w:r>
        <w:t xml:space="preserve"> </w:t>
      </w:r>
      <w:r>
        <w:t xml:space="preserve">STS label does not have the potential to significantly scale up the market. This sentiment is</w:t>
      </w:r>
      <w:r>
        <w:t xml:space="preserve"> </w:t>
      </w:r>
      <w:r>
        <w:t xml:space="preserve">shared by many stakeholders, who argue that to achieve success with STS, the criteria must be</w:t>
      </w:r>
      <w:r>
        <w:t xml:space="preserve"> </w:t>
      </w:r>
      <w:r>
        <w:t xml:space="preserve">simplified, and the prudential framework should be reformed.</w:t>
      </w:r>
      <w:r>
        <w:t xml:space="preserve"> </w:t>
      </w:r>
      <w:r>
        <w:t xml:space="preserve">Critics of the current STS criteria point to two main issues: i) homogeneity criteria, which they</w:t>
      </w:r>
      <w:r>
        <w:t xml:space="preserve"> </w:t>
      </w:r>
      <w:r>
        <w:t xml:space="preserve">believe are a significant obstacle for certain transactions, such as infrastructure financing</w:t>
      </w:r>
      <w:r>
        <w:t xml:space="preserve"> </w:t>
      </w:r>
      <w:r>
        <w:t xml:space="preserve">transactions and SME portfolios, and ii) the list of eligible collateral arrangements for on-</w:t>
      </w:r>
      <w:r>
        <w:t xml:space="preserve"> </w:t>
      </w:r>
      <w:r>
        <w:t xml:space="preserve">balance-sheet STS securitisations. Furthermore, smaller banks face additional challenges in</w:t>
      </w:r>
      <w:r>
        <w:t xml:space="preserve"> </w:t>
      </w:r>
      <w:r>
        <w:t xml:space="preserve">meeting these criteria due to their limited portfolios, making it even more difficult for them to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participate in the market. Many respondents highlighted the complexity of the STS regime in</w:t>
      </w:r>
      <w:r>
        <w:t xml:space="preserve"> </w:t>
      </w:r>
      <w:r>
        <w:t xml:space="preserve">general.</w:t>
      </w:r>
      <w:r>
        <w:t xml:space="preserve"> </w:t>
      </w:r>
      <w:r>
        <w:t xml:space="preserve">In addition to addressing the STS criteria, many respondents also emphasize the need for</w:t>
      </w:r>
      <w:r>
        <w:t xml:space="preserve"> </w:t>
      </w:r>
      <w:r>
        <w:t xml:space="preserve">reforms in the non-STS market. They argue that relying on a targeted approach to specific</w:t>
      </w:r>
      <w:r>
        <w:t xml:space="preserve"> </w:t>
      </w:r>
      <w:r>
        <w:t xml:space="preserve">segments of the market will not be sufficient to attract the necessary investment. This is because</w:t>
      </w:r>
      <w:r>
        <w:t xml:space="preserve"> </w:t>
      </w:r>
      <w:r>
        <w:t xml:space="preserve">such an approach will not provide investors with the critical mass required to invest in the</w:t>
      </w:r>
      <w:r>
        <w:t xml:space="preserve"> </w:t>
      </w:r>
      <w:r>
        <w:t xml:space="preserve">market.</w:t>
      </w:r>
      <w:r>
        <w:br/>
      </w:r>
      <w:r>
        <w:t xml:space="preserve">1.1.9. Securitisation Platform</w:t>
      </w:r>
      <w:r>
        <w:t xml:space="preserve"> </w:t>
      </w:r>
      <w:r>
        <w:t xml:space="preserve">41 out of 131 respondents agree that a securitisation platform or platforms could increase the</w:t>
      </w:r>
      <w:r>
        <w:t xml:space="preserve"> </w:t>
      </w:r>
      <w:r>
        <w:t xml:space="preserve">use and attractiveness of securitisation in the EU (18 disagreed, 51 did not respond and 21 had</w:t>
      </w:r>
      <w:r>
        <w:t xml:space="preserve"> </w:t>
      </w:r>
      <w:r>
        <w:t xml:space="preserve">no opinion). Those in agreement viewed the objective of the securitisation platform as to</w:t>
      </w:r>
      <w:r>
        <w:t xml:space="preserve"> </w:t>
      </w:r>
      <w:r>
        <w:t xml:space="preserve">facilitate standardisation, lower issuance cost and funding cost for the economy, promote better</w:t>
      </w:r>
      <w:r>
        <w:t xml:space="preserve"> </w:t>
      </w:r>
      <w:r>
        <w:t xml:space="preserve">integration of cross border securitisation, and enhance transparency and due diligence.</w:t>
      </w:r>
      <w:r>
        <w:br/>
      </w:r>
      <w:r>
        <w:t xml:space="preserve">22 respondents agreed that a securitisation platform should target a specific asset class, like</w:t>
      </w:r>
      <w:r>
        <w:t xml:space="preserve"> </w:t>
      </w:r>
      <w:r>
        <w:t xml:space="preserve">green loans (6 respondents), mortgages (6 respondents), or SME loans (6 respondents). 12 did</w:t>
      </w:r>
      <w:r>
        <w:t xml:space="preserve"> </w:t>
      </w:r>
      <w:r>
        <w:t xml:space="preserve">not agree that a future platform should target a specific asset class, (74 did not respond, 23 had</w:t>
      </w:r>
      <w:r>
        <w:t xml:space="preserve"> </w:t>
      </w:r>
      <w:r>
        <w:t xml:space="preserve">no opinion). 21 respondents disagree that guarantees are necessary for such platform to</w:t>
      </w:r>
      <w:r>
        <w:t xml:space="preserve"> </w:t>
      </w:r>
      <w:r>
        <w:t xml:space="preserve">function, while 18 agreed to the necessity of guarantees (67 did not answer, 25 had no opinion).</w:t>
      </w:r>
      <w:r>
        <w:t xml:space="preserve"> </w:t>
      </w:r>
      <w:r>
        <w:t xml:space="preserve">The majority of respondents favourable to a guarantee would opt for a public guarantee</w:t>
      </w:r>
      <w:r>
        <w:t xml:space="preserve"> </w:t>
      </w:r>
      <w:r>
        <w:t xml:space="preserve">provided by the EU or dedicated EU agency (like EIB or EIF). Due to potential systemic risks</w:t>
      </w:r>
      <w:r>
        <w:t xml:space="preserve"> </w:t>
      </w:r>
      <w:r>
        <w:t xml:space="preserve">respondents do not believe that a private guarantee to a pan-European platform would be</w:t>
      </w:r>
      <w:r>
        <w:t xml:space="preserve"> </w:t>
      </w:r>
      <w:r>
        <w:t xml:space="preserve">appropriate.</w:t>
      </w:r>
      <w:r>
        <w:br/>
      </w:r>
      <w:r>
        <w:t xml:space="preserve">Respondents identified several challenges associated with the introduction of such a platform,</w:t>
      </w:r>
      <w:r>
        <w:t xml:space="preserve"> </w:t>
      </w:r>
      <w:r>
        <w:t xml:space="preserve">like fragmented legal framework (differences in insolvency laws, contract law, and</w:t>
      </w:r>
      <w:r>
        <w:t xml:space="preserve"> </w:t>
      </w:r>
      <w:r>
        <w:t xml:space="preserve">securitisation practices across EU Member States), lack of standardisation in loan contracts,</w:t>
      </w:r>
      <w:r>
        <w:t xml:space="preserve"> </w:t>
      </w:r>
      <w:r>
        <w:t xml:space="preserve">securitisation structures, and eligibility criteria across jurisdictions complicates asset pooling</w:t>
      </w:r>
      <w:r>
        <w:t xml:space="preserve"> </w:t>
      </w:r>
      <w:r>
        <w:t xml:space="preserve">and investor confidence. Competition with existing instruments like covered bonds could also</w:t>
      </w:r>
      <w:r>
        <w:t xml:space="preserve"> </w:t>
      </w:r>
      <w:r>
        <w:t xml:space="preserve">potentially limit the platform’s utility. The high development and upkeep costs, as well as costs</w:t>
      </w:r>
      <w:r>
        <w:t xml:space="preserve"> </w:t>
      </w:r>
      <w:r>
        <w:t xml:space="preserve">related to pricing and valuation disparities for assets from different jurisdictions, were also</w:t>
      </w:r>
      <w:r>
        <w:t xml:space="preserve"> </w:t>
      </w:r>
      <w:r>
        <w:t xml:space="preserve">cited as a challenge. Lastly, concerns about the political will to implement a unified system and</w:t>
      </w:r>
      <w:r>
        <w:t xml:space="preserve"> </w:t>
      </w:r>
      <w:r>
        <w:t xml:space="preserve">debates about risk-sharing among Member States would also have to be addressed.</w:t>
      </w:r>
      <w:r>
        <w:t xml:space="preserve"> </w:t>
      </w:r>
      <w:r>
        <w:t xml:space="preserve">At the same time, nearly all the respondents agree that creation of securitisation platform is not</w:t>
      </w:r>
      <w:r>
        <w:t xml:space="preserve"> </w:t>
      </w:r>
      <w:r>
        <w:t xml:space="preserve">the main issue in the market, and it should be addressed at a later stage, following</w:t>
      </w:r>
      <w:r>
        <w:t xml:space="preserve"> </w:t>
      </w:r>
      <w:r>
        <w:t xml:space="preserve">comprehensive feasibility studies and consultations. Quite a few suggested to focus on</w:t>
      </w:r>
      <w:r>
        <w:t xml:space="preserve"> </w:t>
      </w:r>
      <w:r>
        <w:t xml:space="preserve">improving existing schemes, such as EIB/EIF securitisation programmes.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1.2. Prudential and liquidity risk treatment of securitisation for banks</w:t>
      </w:r>
      <w:r>
        <w:br/>
      </w:r>
      <w:r>
        <w:t xml:space="preserve">1.2.1. General comments</w:t>
      </w:r>
      <w:r>
        <w:t xml:space="preserve"> </w:t>
      </w:r>
      <w:r>
        <w:t xml:space="preserve">A substantial majority of financial industry representatives consider that the current capital</w:t>
      </w:r>
      <w:r>
        <w:t xml:space="preserve"> </w:t>
      </w:r>
      <w:r>
        <w:t xml:space="preserve">framework based on non-neutrality of capital requirements82 leads to undue overcapitalisation</w:t>
      </w:r>
      <w:r>
        <w:t xml:space="preserve"> </w:t>
      </w:r>
      <w:r>
        <w:t xml:space="preserve">of the securitisation exposures (33 respondents agree, 0 disagree, 9 have no opinion and 65</w:t>
      </w:r>
      <w:r>
        <w:t xml:space="preserve"> </w:t>
      </w:r>
      <w:r>
        <w:t xml:space="preserve">provided no answer), and consider that reducing such non-neutrality would stimulate banks’</w:t>
      </w:r>
      <w:r>
        <w:t xml:space="preserve"> </w:t>
      </w:r>
      <w:r>
        <w:t xml:space="preserve">involvement in the securitisation market, while at the same time keeping the capitalisation of</w:t>
      </w:r>
      <w:r>
        <w:t xml:space="preserve"> </w:t>
      </w:r>
      <w:r>
        <w:t xml:space="preserve">securitisations at a sufficiently prudent level (36 agree, 0 disagree, 8 no opinion, 63 did not</w:t>
      </w:r>
      <w:r>
        <w:t xml:space="preserve"> </w:t>
      </w:r>
      <w:r>
        <w:t xml:space="preserve">answer).</w:t>
      </w:r>
      <w:r>
        <w:br/>
      </w:r>
      <w:r>
        <w:t xml:space="preserve">The level of capital non-neutrality is considered disproportionately high relative to the current</w:t>
      </w:r>
      <w:r>
        <w:t xml:space="preserve"> </w:t>
      </w:r>
      <w:r>
        <w:t xml:space="preserve">lower levels of agency and model risks embedded in securitisations, which have been</w:t>
      </w:r>
      <w:r>
        <w:t xml:space="preserve"> </w:t>
      </w:r>
      <w:r>
        <w:t xml:space="preserve">significantly reduced following the financial crisis, by means of several supervisory and</w:t>
      </w:r>
      <w:r>
        <w:t xml:space="preserve"> </w:t>
      </w:r>
      <w:r>
        <w:t xml:space="preserve">regulatory initiatives.</w:t>
      </w:r>
      <w:r>
        <w:br/>
      </w:r>
      <w:r>
        <w:t xml:space="preserve">To reduce the non-neutrality, the respondents call for comprehensive reductions of two main</w:t>
      </w:r>
      <w:r>
        <w:t xml:space="preserve"> </w:t>
      </w:r>
      <w:r>
        <w:t xml:space="preserve">capital parameters (the (p) factor being the main parameter driving the non-neutrality of</w:t>
      </w:r>
      <w:r>
        <w:t xml:space="preserve"> </w:t>
      </w:r>
      <w:r>
        <w:t xml:space="preserve">securitisation capital, and the risk weight floors setting out the minimum capital levels for the</w:t>
      </w:r>
      <w:r>
        <w:t xml:space="preserve"> </w:t>
      </w:r>
      <w:r>
        <w:t xml:space="preserve">senior tranches) - arguing the capital reductions should be applied on a non-discriminatory</w:t>
      </w:r>
      <w:r>
        <w:t xml:space="preserve"> </w:t>
      </w:r>
      <w:r>
        <w:t xml:space="preserve">basis to all types of banks i.e. originators, sponsors and investors, all capital approaches and all</w:t>
      </w:r>
      <w:r>
        <w:t xml:space="preserve"> </w:t>
      </w:r>
      <w:r>
        <w:t xml:space="preserve">types of securitisations (STS and non-STS). With respect to the public authorities, they raised</w:t>
      </w:r>
      <w:r>
        <w:t xml:space="preserve"> </w:t>
      </w:r>
      <w:r>
        <w:t xml:space="preserve">concerns with the reductions of the (p) factor in particular against the high risk of</w:t>
      </w:r>
      <w:r>
        <w:t xml:space="preserve"> </w:t>
      </w:r>
      <w:r>
        <w:t xml:space="preserve">undercapitalisation of some (in particular mezzanine) tranches.</w:t>
      </w:r>
      <w:r>
        <w:t xml:space="preserve"> </w:t>
      </w:r>
      <w:r>
        <w:t xml:space="preserve">A number of respondents (20 out of 131 agree, 4 disagree, 23 had no opinion and 84 did not</w:t>
      </w:r>
      <w:r>
        <w:t xml:space="preserve"> </w:t>
      </w:r>
      <w:r>
        <w:t xml:space="preserve">answer) consider that an alternative design, involving a fundamental redesign of the capital</w:t>
      </w:r>
      <w:r>
        <w:t xml:space="preserve"> </w:t>
      </w:r>
      <w:r>
        <w:t xml:space="preserve">framework merits further consideration as it has a potential to achieve more proportionate</w:t>
      </w:r>
      <w:r>
        <w:t xml:space="preserve"> </w:t>
      </w:r>
      <w:r>
        <w:t xml:space="preserve">levels of capitalisation. However, they generally consider that such proposals require further</w:t>
      </w:r>
      <w:r>
        <w:t xml:space="preserve"> </w:t>
      </w:r>
      <w:r>
        <w:t xml:space="preserve">analysis and should be considered in the long-term, preferably at international (Basel) level.</w:t>
      </w:r>
      <w:r>
        <w:br/>
      </w:r>
      <w:r>
        <w:t xml:space="preserve">1.2.2 (P) factor</w:t>
      </w:r>
      <w:r>
        <w:t xml:space="preserve"> </w:t>
      </w:r>
      <w:r>
        <w:t xml:space="preserve">Supervisors have been cautious as regard the reduction of the (p) factor (out of 9 supervisors,</w:t>
      </w:r>
      <w:r>
        <w:t xml:space="preserve"> </w:t>
      </w:r>
      <w:r>
        <w:t xml:space="preserve">2 supervisors consider that the current levels of the (p) factor adequately address structural</w:t>
      </w:r>
      <w:r>
        <w:t xml:space="preserve"> </w:t>
      </w:r>
      <w:r>
        <w:t xml:space="preserve">risks of securitisation, 1 is against, 1 has no opinion and 5 did not answers). In their qualitative</w:t>
      </w:r>
      <w:r>
        <w:t xml:space="preserve"> </w:t>
      </w:r>
      <w:r>
        <w:t xml:space="preserve">responses, they argue that reducing the (p) factor risks undercapitalisation of mezzanine (and</w:t>
      </w:r>
      <w:r>
        <w:t xml:space="preserve"> </w:t>
      </w:r>
      <w:r>
        <w:t xml:space="preserve">potentially senior) tranches and will not have any relevant effect on freeing capital and on</w:t>
      </w:r>
      <w:r>
        <w:t xml:space="preserve"> </w:t>
      </w:r>
      <w:r>
        <w:t xml:space="preserve">securitisation issuance. Supervisors acknowledge the limitations of any unilateral reductions</w:t>
      </w:r>
      <w:r>
        <w:t xml:space="preserve"> </w:t>
      </w:r>
      <w:r>
        <w:t xml:space="preserve">of the (p) factor and agree with the existence of limitations embedded in the current regulatory</w:t>
      </w:r>
      <w:r>
        <w:t xml:space="preserve"> </w:t>
      </w:r>
      <w:r>
        <w:t xml:space="preserve">framework. They support investigating the alternative designs of the risk weight functions, at</w:t>
      </w:r>
      <w:r>
        <w:t xml:space="preserve"> </w:t>
      </w:r>
      <w:r>
        <w:t xml:space="preserve">an international level.</w:t>
      </w:r>
    </w:p>
    <w:p>
      <w:pPr>
        <w:pStyle w:val="BodyText"/>
      </w:pPr>
      <w:r>
        <w:t xml:space="preserve">82 Capital non-neutrality is a core pillar of the Securitisation Framework, requiring that the capital for</w:t>
      </w:r>
      <w:r>
        <w:t xml:space="preserve"> </w:t>
      </w:r>
      <w:r>
        <w:t xml:space="preserve">securitisation has to be higher than capital for loans before securitisation.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1.2.3 Risk weight floors</w:t>
      </w:r>
      <w:r>
        <w:t xml:space="preserve"> </w:t>
      </w:r>
      <w:r>
        <w:t xml:space="preserve">A significant majority of active respondents (yes 42, no 7, no opinion 7, no answer 75) call for</w:t>
      </w:r>
      <w:r>
        <w:t xml:space="preserve"> </w:t>
      </w:r>
      <w:r>
        <w:t xml:space="preserve">a comprehensive reduction of the risk weight (RW) floors, beyond those proposed by the EBA.</w:t>
      </w:r>
      <w:r>
        <w:t xml:space="preserve"> </w:t>
      </w:r>
      <w:r>
        <w:t xml:space="preserve">Most respondents favour reduction of the risk weight floor for banks in all roles in</w:t>
      </w:r>
      <w:r>
        <w:t xml:space="preserve"> </w:t>
      </w:r>
      <w:r>
        <w:t xml:space="preserve">securitisation, while a minority advocate for a more restrictive treatment of investors due to</w:t>
      </w:r>
      <w:r>
        <w:t xml:space="preserve"> </w:t>
      </w:r>
      <w:r>
        <w:t xml:space="preserve">their having less information on the transaction. Similarly, a number of respondents view that</w:t>
      </w:r>
      <w:r>
        <w:t xml:space="preserve"> </w:t>
      </w:r>
      <w:r>
        <w:t xml:space="preserve">a reduction of the risk weight floor only for STS transactions would be insufficient to revive</w:t>
      </w:r>
      <w:r>
        <w:t xml:space="preserve"> </w:t>
      </w:r>
      <w:r>
        <w:t xml:space="preserve">the European securitisation market. Respondents however generally agree with distinct STS</w:t>
      </w:r>
      <w:r>
        <w:t xml:space="preserve"> </w:t>
      </w:r>
      <w:r>
        <w:t xml:space="preserve">and non-STS risk weight floors.</w:t>
      </w:r>
      <w:r>
        <w:br/>
      </w:r>
      <w:r>
        <w:t xml:space="preserve">A large majority of active respondents do not consider that safeguards proposed by EBA to</w:t>
      </w:r>
      <w:r>
        <w:t xml:space="preserve"> </w:t>
      </w:r>
      <w:r>
        <w:t xml:space="preserve">accompany the reduction of the risk weight floors and to ensure the resilience of the</w:t>
      </w:r>
      <w:r>
        <w:t xml:space="preserve"> </w:t>
      </w:r>
      <w:r>
        <w:t xml:space="preserve">transactions are proportionate or adequate (36 do not agree, 4 agree, 11 have no opinion, 80</w:t>
      </w:r>
      <w:r>
        <w:t xml:space="preserve"> </w:t>
      </w:r>
      <w:r>
        <w:t xml:space="preserve">did not answer).</w:t>
      </w:r>
      <w:r>
        <w:br/>
      </w:r>
      <w:r>
        <w:t xml:space="preserve">A large group of respondents argue for a risk sensitive approach to setting the risk weight</w:t>
      </w:r>
      <w:r>
        <w:t xml:space="preserve"> </w:t>
      </w:r>
      <w:r>
        <w:t xml:space="preserve">floors, so that it is proportional to the risk of the underlying portfolio. Supervisors are more</w:t>
      </w:r>
      <w:r>
        <w:t xml:space="preserve"> </w:t>
      </w:r>
      <w:r>
        <w:t xml:space="preserve">reluctant to change the floors without sufficient analysis and do not support a deviation from</w:t>
      </w:r>
      <w:r>
        <w:t xml:space="preserve"> </w:t>
      </w:r>
      <w:r>
        <w:t xml:space="preserve">Basel.</w:t>
      </w:r>
      <w:r>
        <w:br/>
      </w:r>
      <w:r>
        <w:t xml:space="preserve">1.2.4. Framework for significant risk transfer (SRT)</w:t>
      </w:r>
      <w:r>
        <w:t xml:space="preserve"> </w:t>
      </w:r>
      <w:r>
        <w:t xml:space="preserve">With respect to the Significant Risk Transfer rules, the respondents generally support</w:t>
      </w:r>
      <w:r>
        <w:t xml:space="preserve"> </w:t>
      </w:r>
      <w:r>
        <w:t xml:space="preserve">regulatory harmonisation of rules and supervisory convergence at the EU level. With respect</w:t>
      </w:r>
      <w:r>
        <w:t xml:space="preserve"> </w:t>
      </w:r>
      <w:r>
        <w:t xml:space="preserve">to the tests applied to securitisations, industry generally agree with the conditions of the tests</w:t>
      </w:r>
      <w:r>
        <w:t xml:space="preserve"> </w:t>
      </w:r>
      <w:r>
        <w:t xml:space="preserve">and do not see a need to make them more robust, although they are not opposed to it (23 agree,</w:t>
      </w:r>
      <w:r>
        <w:t xml:space="preserve"> </w:t>
      </w:r>
      <w:r>
        <w:t xml:space="preserve">19 disagree, 11 have no opinion and 78 do not answer). Public authorities on the other hand</w:t>
      </w:r>
      <w:r>
        <w:t xml:space="preserve"> </w:t>
      </w:r>
      <w:r>
        <w:t xml:space="preserve">see necessity to increase the robustness of the framework, in line with the EBA reports.</w:t>
      </w:r>
    </w:p>
    <w:p>
      <w:pPr>
        <w:pStyle w:val="BodyText"/>
      </w:pPr>
      <w:r>
        <w:t xml:space="preserve">With respect to the process of the SRT supervisory assessments, the financial industry and</w:t>
      </w:r>
      <w:r>
        <w:t xml:space="preserve"> </w:t>
      </w:r>
      <w:r>
        <w:t xml:space="preserve">several public authorities noted that the SRT process suffers from a lack of supervisory</w:t>
      </w:r>
      <w:r>
        <w:t xml:space="preserve"> </w:t>
      </w:r>
      <w:r>
        <w:t xml:space="preserve">convergence and regulatory clarity, which makes both its timings and outcomes unpredictable.</w:t>
      </w:r>
      <w:r>
        <w:br/>
      </w:r>
      <w:r>
        <w:t xml:space="preserve">1.2.5. Liquidity treatment in the LCR</w:t>
      </w:r>
      <w:r>
        <w:t xml:space="preserve"> </w:t>
      </w:r>
      <w:r>
        <w:t xml:space="preserve">On liquidity risk requirements for banks, a large majority of stakeholders (44 out of 131, 78</w:t>
      </w:r>
      <w:r>
        <w:t xml:space="preserve"> </w:t>
      </w:r>
      <w:r>
        <w:t xml:space="preserve">didn’t respond and 9 had no opinion) call for amendments to the eligibility criteria and haircut</w:t>
      </w:r>
      <w:r>
        <w:t xml:space="preserve"> </w:t>
      </w:r>
      <w:r>
        <w:t xml:space="preserve">levels applied to securitisations eligible to the buffer for high quality liquid assets under the</w:t>
      </w:r>
      <w:r>
        <w:t xml:space="preserve"> </w:t>
      </w:r>
      <w:r>
        <w:t xml:space="preserve">LCR. Some of these changes are aligned with the recommendations received from the ESAs</w:t>
      </w:r>
      <w:r>
        <w:t xml:space="preserve"> </w:t>
      </w:r>
      <w:r>
        <w:t xml:space="preserve">and compatible with the Basel framework. A couple of respondents consider there is not</w:t>
      </w:r>
      <w:r>
        <w:t xml:space="preserve"> </w:t>
      </w:r>
      <w:r>
        <w:t xml:space="preserve">enough track record and data on the liquidity of securitisations under stress to significantly</w:t>
      </w:r>
      <w:r>
        <w:t xml:space="preserve"> </w:t>
      </w:r>
      <w:r>
        <w:t xml:space="preserve">relax their eligibility to the liquidity buffer.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1.3. The prudential treatment of securitisation for insurers</w:t>
      </w:r>
      <w:r>
        <w:br/>
      </w:r>
      <w:r>
        <w:t xml:space="preserve">1.3.1. Interest in and obstacles for securitisation investment</w:t>
      </w:r>
      <w:r>
        <w:t xml:space="preserve"> </w:t>
      </w:r>
      <w:r>
        <w:t xml:space="preserve">The majority of financial institutions and trade associations (47 respondents – among whom</w:t>
      </w:r>
      <w:r>
        <w:t xml:space="preserve"> </w:t>
      </w:r>
      <w:r>
        <w:t xml:space="preserve">16 insurers – out of 131, 67 stakeholders did not reply and 14 had no opinion) agreed that there</w:t>
      </w:r>
      <w:r>
        <w:t xml:space="preserve"> </w:t>
      </w:r>
      <w:r>
        <w:t xml:space="preserve">exists a strong interest from (re)insurance undertakings to increase their investments in</w:t>
      </w:r>
      <w:r>
        <w:t xml:space="preserve"> </w:t>
      </w:r>
      <w:r>
        <w:t xml:space="preserve">securitisation. However, respondents stressed the necessity of suitable risk-return profiles,</w:t>
      </w:r>
      <w:r>
        <w:t xml:space="preserve"> </w:t>
      </w:r>
      <w:r>
        <w:t xml:space="preserve">appropriate risk-based capital requirements in Solvency II and reduced due diligence</w:t>
      </w:r>
      <w:r>
        <w:t xml:space="preserve"> </w:t>
      </w:r>
      <w:r>
        <w:t xml:space="preserve">requirements. Some stakeholders expressed concern that improvements may not lead to a short-</w:t>
      </w:r>
      <w:r>
        <w:t xml:space="preserve"> </w:t>
      </w:r>
      <w:r>
        <w:t xml:space="preserve">term increase in securitisation for (re)insurers (7 respondents). In contrast, public authorities (3</w:t>
      </w:r>
      <w:r>
        <w:t xml:space="preserve"> </w:t>
      </w:r>
      <w:r>
        <w:t xml:space="preserve">respondents) generally have no interest in such increase in securitisation investment.</w:t>
      </w:r>
    </w:p>
    <w:p>
      <w:pPr>
        <w:pStyle w:val="BodyText"/>
      </w:pPr>
      <w:r>
        <w:t xml:space="preserve">Financial institutions expressed divergent views on which securitisation segments are of</w:t>
      </w:r>
      <w:r>
        <w:t xml:space="preserve"> </w:t>
      </w:r>
      <w:r>
        <w:t xml:space="preserve">interest for (re)insurers: CRE debt, CLO, RMBS, CMBS, true sale and synthetic structures.</w:t>
      </w:r>
      <w:r>
        <w:t xml:space="preserve"> </w:t>
      </w:r>
      <w:r>
        <w:t xml:space="preserve">Notably, some financial institutions showed a preference for senior tranches. In contrast, others</w:t>
      </w:r>
      <w:r>
        <w:t xml:space="preserve"> </w:t>
      </w:r>
      <w:r>
        <w:t xml:space="preserve">indicated that the seniority of the tranche and the distinction between true sale and synthetic</w:t>
      </w:r>
      <w:r>
        <w:t xml:space="preserve"> </w:t>
      </w:r>
      <w:r>
        <w:t xml:space="preserve">are not decisive factors, provided the associated risks and returns align with their investment</w:t>
      </w:r>
      <w:r>
        <w:t xml:space="preserve"> </w:t>
      </w:r>
      <w:r>
        <w:t xml:space="preserve">objectives. Some trade associations added that (re)insurers typically exhibit a broad appetite</w:t>
      </w:r>
      <w:r>
        <w:t xml:space="preserve"> </w:t>
      </w:r>
      <w:r>
        <w:t xml:space="preserve">for investments across various securitisation segments, provided the investment delivers an</w:t>
      </w:r>
      <w:r>
        <w:t xml:space="preserve"> </w:t>
      </w:r>
      <w:r>
        <w:t xml:space="preserve">appropriate risk-return profile. Their investment decisions are predominantly influenced by key</w:t>
      </w:r>
      <w:r>
        <w:t xml:space="preserve"> </w:t>
      </w:r>
      <w:r>
        <w:t xml:space="preserve">factors such as yield, credit risk, and liquidity, rather than the specific structure of the</w:t>
      </w:r>
      <w:r>
        <w:t xml:space="preserve"> </w:t>
      </w:r>
      <w:r>
        <w:t xml:space="preserve">securitisation vehicle (whether a true sale or synthetic structure). Consequently, the seniority</w:t>
      </w:r>
      <w:r>
        <w:t xml:space="preserve"> </w:t>
      </w:r>
      <w:r>
        <w:t xml:space="preserve">of the tranche—whether senior, mezzanine, or junior—does not pose a constraint for</w:t>
      </w:r>
      <w:r>
        <w:t xml:space="preserve"> </w:t>
      </w:r>
      <w:r>
        <w:t xml:space="preserve">(re)insurers, as long as the associated risks and returns are in line with their investment</w:t>
      </w:r>
      <w:r>
        <w:t xml:space="preserve"> </w:t>
      </w:r>
      <w:r>
        <w:t xml:space="preserve">objectives.</w:t>
      </w:r>
    </w:p>
    <w:p>
      <w:pPr>
        <w:pStyle w:val="BodyText"/>
      </w:pPr>
      <w:r>
        <w:t xml:space="preserve">The majority of the financial institutions, trade associations and public authorities, including</w:t>
      </w:r>
      <w:r>
        <w:t xml:space="preserve"> </w:t>
      </w:r>
      <w:r>
        <w:t xml:space="preserve">insurers identified significant obstacles to increase securitisation investments (53 respondents</w:t>
      </w:r>
      <w:r>
        <w:t xml:space="preserve"> </w:t>
      </w:r>
      <w:r>
        <w:t xml:space="preserve">– among whom 19 insurers – out of 131, 14 had no opinion and 64 did not reply). These include,</w:t>
      </w:r>
      <w:r>
        <w:t xml:space="preserve"> </w:t>
      </w:r>
      <w:r>
        <w:t xml:space="preserve">but are not limited to, ‘disproportionate’ capital requirements imposed on securitisations</w:t>
      </w:r>
      <w:r>
        <w:t xml:space="preserve"> </w:t>
      </w:r>
      <w:r>
        <w:t xml:space="preserve">compared to other financial instruments with similar credit risk and asset quality, and that the</w:t>
      </w:r>
      <w:r>
        <w:t xml:space="preserve"> </w:t>
      </w:r>
      <w:r>
        <w:t xml:space="preserve">European securitisation market is too small and illiquid.</w:t>
      </w:r>
    </w:p>
    <w:p>
      <w:pPr>
        <w:pStyle w:val="BodyText"/>
      </w:pPr>
      <w:r>
        <w:t xml:space="preserve">Stakeholders were split on whether internal models disincentivise securitisation investments</w:t>
      </w:r>
      <w:r>
        <w:t xml:space="preserve"> </w:t>
      </w:r>
      <w:r>
        <w:t xml:space="preserve">under Solvency II (29 yes, 9 no, 20 ‘don’t know’, 73 did not reply). A minority of respondents,</w:t>
      </w:r>
      <w:r>
        <w:t xml:space="preserve"> </w:t>
      </w:r>
      <w:r>
        <w:t xml:space="preserve">amongst whom all public authorities, and a minority of financial institutions, believed that</w:t>
      </w:r>
      <w:r>
        <w:t xml:space="preserve"> </w:t>
      </w:r>
      <w:r>
        <w:t xml:space="preserve">internal models do not have a disincentivising effect. Conversely, the majority of respondents</w:t>
      </w:r>
      <w:r>
        <w:t xml:space="preserve"> </w:t>
      </w:r>
      <w:r>
        <w:t xml:space="preserve">(financial institutions and trade associations) concluded that internal models do indeed</w:t>
      </w:r>
      <w:r>
        <w:t xml:space="preserve"> </w:t>
      </w:r>
      <w:r>
        <w:t xml:space="preserve">disincentivise securitisation investments under Solvency II. They pointed out that such models</w:t>
      </w:r>
      <w:r>
        <w:t xml:space="preserve"> </w:t>
      </w:r>
      <w:r>
        <w:t xml:space="preserve">are subject to the same non-prudential impediments as (re)insurers using the standard formula.</w:t>
      </w:r>
      <w:r>
        <w:t xml:space="preserve"> </w:t>
      </w:r>
      <w:r>
        <w:t xml:space="preserve">Stakeholders noted that supervisory attitudes can vary amongst jurisdictions and costs to</w:t>
      </w:r>
      <w:r>
        <w:t xml:space="preserve"> </w:t>
      </w:r>
      <w:r>
        <w:t xml:space="preserve">maintain an internal model are high. They also add that (re)insurers using internal models may</w:t>
      </w:r>
      <w:r>
        <w:t xml:space="preserve"> </w:t>
      </w:r>
      <w:r>
        <w:t xml:space="preserve">struggle to accurately capture the complexities of underlying securitisation, which can lead to</w:t>
      </w:r>
      <w:r>
        <w:t xml:space="preserve"> </w:t>
      </w:r>
      <w:r>
        <w:t xml:space="preserve">overly conservative assumptions and, subsequently, higher capital charges. In addition, they</w:t>
      </w:r>
      <w:r>
        <w:t xml:space="preserve"> </w:t>
      </w:r>
      <w:r>
        <w:t xml:space="preserve">identify possible model-building miscalibration on the asset side due to the use of historical</w:t>
      </w:r>
      <w:r>
        <w:t xml:space="preserve"> </w:t>
      </w:r>
      <w:r>
        <w:t xml:space="preserve">post financial crisis data.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1.3.2. Senior STS securitisations</w:t>
      </w:r>
      <w:r>
        <w:t xml:space="preserve"> </w:t>
      </w:r>
      <w:r>
        <w:t xml:space="preserve">–The majority of stakeholders (40 respondents out of 131, 70 either did not reply or had no</w:t>
      </w:r>
      <w:r>
        <w:t xml:space="preserve"> </w:t>
      </w:r>
      <w:r>
        <w:t xml:space="preserve">opinion), mainly financial institutions and trade associations, including insurers, indicated that</w:t>
      </w:r>
      <w:r>
        <w:t xml:space="preserve"> </w:t>
      </w:r>
      <w:r>
        <w:t xml:space="preserve">the Solvency II standard formula capital requirements for spread risk is disproportionate and</w:t>
      </w:r>
      <w:r>
        <w:t xml:space="preserve"> </w:t>
      </w:r>
      <w:r>
        <w:t xml:space="preserve">not commensurate with the risk of senior STS securitisation. One respondent suggests that the</w:t>
      </w:r>
      <w:r>
        <w:t xml:space="preserve"> </w:t>
      </w:r>
      <w:r>
        <w:t xml:space="preserve">enhanced transparency of STS securitisation, combined with the presence of credit mechanisms</w:t>
      </w:r>
      <w:r>
        <w:t xml:space="preserve"> </w:t>
      </w:r>
      <w:r>
        <w:t xml:space="preserve">such as guarantees or credit reserves, enables more accurate risk assessment, which should</w:t>
      </w:r>
      <w:r>
        <w:t xml:space="preserve"> </w:t>
      </w:r>
      <w:r>
        <w:t xml:space="preserve">result in lower capital requirements. Whilst one public authority supports the view that the</w:t>
      </w:r>
      <w:r>
        <w:t xml:space="preserve"> </w:t>
      </w:r>
      <w:r>
        <w:t xml:space="preserve">capital requirements are punitive, a majority of public authorities expressed a differing opinion,</w:t>
      </w:r>
      <w:r>
        <w:t xml:space="preserve"> </w:t>
      </w:r>
      <w:r>
        <w:t xml:space="preserve">stating that there is no evidence to suggest that the calibration method for senior STS</w:t>
      </w:r>
      <w:r>
        <w:t xml:space="preserve"> </w:t>
      </w:r>
      <w:r>
        <w:t xml:space="preserve">securitisations is inappropriate.</w:t>
      </w:r>
      <w:r>
        <w:br/>
      </w:r>
      <w:r>
        <w:t xml:space="preserve">Stakeholders present two main views on the ‘appropriate’ calibration of capital requirements</w:t>
      </w:r>
      <w:r>
        <w:t xml:space="preserve"> </w:t>
      </w:r>
      <w:r>
        <w:t xml:space="preserve">for senior STS. First, respondents argued that Solvency II’s emphasis on market risk volatility</w:t>
      </w:r>
      <w:r>
        <w:t xml:space="preserve"> </w:t>
      </w:r>
      <w:r>
        <w:t xml:space="preserve">creates a burden that discourages investments in securitisations. According to these</w:t>
      </w:r>
      <w:r>
        <w:t xml:space="preserve"> </w:t>
      </w:r>
      <w:r>
        <w:t xml:space="preserve">stakeholders, as (re) insurers typically adopt a hold-to-maturity approach, they suggested that</w:t>
      </w:r>
      <w:r>
        <w:t xml:space="preserve"> </w:t>
      </w:r>
      <w:r>
        <w:t xml:space="preserve">capital calculations should be based on default risk, including recovery levels, and not spread</w:t>
      </w:r>
      <w:r>
        <w:t xml:space="preserve"> </w:t>
      </w:r>
      <w:r>
        <w:t xml:space="preserve">risk. Second, respondents argued that risk charges for senior STS are disproportionally high,</w:t>
      </w:r>
      <w:r>
        <w:t xml:space="preserve"> </w:t>
      </w:r>
      <w:r>
        <w:t xml:space="preserve">both in absolute terms and relative to equally rated bonds. To address this, a minority of</w:t>
      </w:r>
      <w:r>
        <w:t xml:space="preserve"> </w:t>
      </w:r>
      <w:r>
        <w:t xml:space="preserve">respondents proposed aligning STS bonds with capital charges for other collateralised</w:t>
      </w:r>
      <w:r>
        <w:t xml:space="preserve"> </w:t>
      </w:r>
      <w:r>
        <w:t xml:space="preserve">instruments (such as covered bonds) following Perraudin and Qiu (2022)83 (6 respondents).</w:t>
      </w:r>
      <w:r>
        <w:t xml:space="preserve"> </w:t>
      </w:r>
      <w:r>
        <w:t xml:space="preserve">These authors suggest a 1.3 ratio for senior STS ratio to covered bonds.</w:t>
      </w:r>
    </w:p>
    <w:p>
      <w:pPr>
        <w:pStyle w:val="BodyText"/>
      </w:pPr>
      <w:r>
        <w:t xml:space="preserve">Only two financial institutions commented on the assessment of internal models and their</w:t>
      </w:r>
      <w:r>
        <w:t xml:space="preserve"> </w:t>
      </w:r>
      <w:r>
        <w:t xml:space="preserve">impact on securitisation investments. Both argued that (re)insurers using internal models can</w:t>
      </w:r>
      <w:r>
        <w:t xml:space="preserve"> </w:t>
      </w:r>
      <w:r>
        <w:t xml:space="preserve">adjust capital requirements in accordance with their own risk assessment, enabling more</w:t>
      </w:r>
      <w:r>
        <w:t xml:space="preserve"> </w:t>
      </w:r>
      <w:r>
        <w:t xml:space="preserve">flexible management of both capital and due diligence requirements. This flexibility highlights</w:t>
      </w:r>
      <w:r>
        <w:t xml:space="preserve"> </w:t>
      </w:r>
      <w:r>
        <w:t xml:space="preserve">the disparity between (re)insurers using the standard formula and those using internal models.</w:t>
      </w:r>
      <w:r>
        <w:t xml:space="preserve"> </w:t>
      </w:r>
      <w:r>
        <w:t xml:space="preserve">Notably, these financial stakeholders pointed out that the standard formula’s capital</w:t>
      </w:r>
      <w:r>
        <w:t xml:space="preserve"> </w:t>
      </w:r>
      <w:r>
        <w:t xml:space="preserve">requirements are less adaptable and fail to fully capture the risk reduction benefits associated</w:t>
      </w:r>
      <w:r>
        <w:t xml:space="preserve"> </w:t>
      </w:r>
      <w:r>
        <w:t xml:space="preserve">with STS securitisations.</w:t>
      </w:r>
      <w:r>
        <w:t xml:space="preserve"> </w:t>
      </w:r>
      <w:r>
        <w:t xml:space="preserve">1.3.3. Non-senior STS securitisations</w:t>
      </w:r>
      <w:r>
        <w:t xml:space="preserve"> </w:t>
      </w:r>
      <w:r>
        <w:t xml:space="preserve">Again, the majority of stakeholders (39 out of 63 respondents – among whom 12 insurers – out</w:t>
      </w:r>
      <w:r>
        <w:t xml:space="preserve"> </w:t>
      </w:r>
      <w:r>
        <w:t xml:space="preserve">of 131, 68 either did not reply), including all financial institutions and trade associations,</w:t>
      </w:r>
      <w:r>
        <w:t xml:space="preserve"> </w:t>
      </w:r>
      <w:r>
        <w:t xml:space="preserve">indicated that the Solvency II standard formula capital requirements for spread risk is</w:t>
      </w:r>
      <w:r>
        <w:t xml:space="preserve"> </w:t>
      </w:r>
      <w:r>
        <w:t xml:space="preserve">disproportionate and not commensurate with the risk of non-senior STS securitisation. The</w:t>
      </w:r>
      <w:r>
        <w:t xml:space="preserve"> </w:t>
      </w:r>
      <w:r>
        <w:t xml:space="preserve">same public authority as in section 1.3.2. supports the view that capital requirements are</w:t>
      </w:r>
      <w:r>
        <w:t xml:space="preserve"> </w:t>
      </w:r>
      <w:r>
        <w:t xml:space="preserve">punitive, whilst a majority of public authorities stated that there is no evidence to suggest that</w:t>
      </w:r>
      <w:r>
        <w:t xml:space="preserve"> </w:t>
      </w:r>
      <w:r>
        <w:t xml:space="preserve">the calibration method for non-senior STS securitisations is inappropriate.</w:t>
      </w:r>
    </w:p>
    <w:p>
      <w:pPr>
        <w:pStyle w:val="BodyText"/>
      </w:pPr>
      <w:r>
        <w:t xml:space="preserve">Respondents acknowledged that non-senior tranches do have a higher risk of default than senior</w:t>
      </w:r>
      <w:r>
        <w:t xml:space="preserve"> </w:t>
      </w:r>
      <w:r>
        <w:t xml:space="preserve">tranches. Nevertheless, these securitisations are often covered by credit mechanisms, such as</w:t>
      </w:r>
    </w:p>
    <w:p>
      <w:pPr>
        <w:pStyle w:val="BodyText"/>
      </w:pPr>
      <w:r>
        <w:t xml:space="preserve">83</w:t>
      </w:r>
      <w:r>
        <w:br/>
      </w:r>
      <w:r>
        <w:t xml:space="preserve">ABS and Covered Bond Risk and Solvency II Capital Charges, Perraudin and Qui (2022)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first loss tranches or credit reserves. Furthermore, stakeholders highlighted that investors in</w:t>
      </w:r>
      <w:r>
        <w:t xml:space="preserve"> </w:t>
      </w:r>
      <w:r>
        <w:t xml:space="preserve">STS securitisations often have better visibility on the underlying assets, enabling more accurate</w:t>
      </w:r>
      <w:r>
        <w:t xml:space="preserve"> </w:t>
      </w:r>
      <w:r>
        <w:t xml:space="preserve">risk assessments. As a result, stakeholders argued that capital requirements should be reduced</w:t>
      </w:r>
      <w:r>
        <w:t xml:space="preserve"> </w:t>
      </w:r>
      <w:r>
        <w:t xml:space="preserve">to better reflect actual risk.</w:t>
      </w:r>
    </w:p>
    <w:p>
      <w:pPr>
        <w:pStyle w:val="BodyText"/>
      </w:pPr>
      <w:r>
        <w:t xml:space="preserve">Similar to the calibration approach put forward in section 1.3.2., financial institutions and trade</w:t>
      </w:r>
      <w:r>
        <w:t xml:space="preserve"> </w:t>
      </w:r>
      <w:r>
        <w:t xml:space="preserve">associations suggested that prudential requirements for non-senior STS securitisations in</w:t>
      </w:r>
      <w:r>
        <w:t xml:space="preserve"> </w:t>
      </w:r>
      <w:r>
        <w:t xml:space="preserve">Solvency II should be more consistent with those for bonds and loans with the same rating (18</w:t>
      </w:r>
      <w:r>
        <w:t xml:space="preserve"> </w:t>
      </w:r>
      <w:r>
        <w:t xml:space="preserve">respondents). In support of this, respondents refer to the paper of Perraudin and Qiu (2022),</w:t>
      </w:r>
      <w:r>
        <w:t xml:space="preserve"> </w:t>
      </w:r>
      <w:r>
        <w:t xml:space="preserve">which suggests a 1.5 ratio for non-senior STS to senior STS capital requirements (5</w:t>
      </w:r>
      <w:r>
        <w:t xml:space="preserve"> </w:t>
      </w:r>
      <w:r>
        <w:t xml:space="preserve">respondents).</w:t>
      </w:r>
      <w:r>
        <w:br/>
      </w:r>
      <w:r>
        <w:t xml:space="preserve">With regards to differentiating the Solvency II standard formula capital requirements for spread</w:t>
      </w:r>
      <w:r>
        <w:t xml:space="preserve"> </w:t>
      </w:r>
      <w:r>
        <w:t xml:space="preserve">risks between mezzanine and junior tranches, views within the stakeholder groups were split</w:t>
      </w:r>
      <w:r>
        <w:t xml:space="preserve"> </w:t>
      </w:r>
      <w:r>
        <w:t xml:space="preserve">(17 respondents – among whom 2 insurers – supported differentiation, 19 respondents – among</w:t>
      </w:r>
      <w:r>
        <w:t xml:space="preserve"> </w:t>
      </w:r>
      <w:r>
        <w:t xml:space="preserve">whom 9 insurers – did not express interest or opposed, and 22 had no opinion out of a total of</w:t>
      </w:r>
      <w:r>
        <w:t xml:space="preserve"> </w:t>
      </w:r>
      <w:r>
        <w:t xml:space="preserve">131; 73 stakeholders did not reply). Half of the financial institutions, trade associations and</w:t>
      </w:r>
      <w:r>
        <w:t xml:space="preserve"> </w:t>
      </w:r>
      <w:r>
        <w:t xml:space="preserve">public authorities opposed such differentiation. They claim it adds unnecessary complexity</w:t>
      </w:r>
      <w:r>
        <w:t xml:space="preserve"> </w:t>
      </w:r>
      <w:r>
        <w:t xml:space="preserve">(such as defining tranche thickness) and the focus should rather be on reducing overall capital</w:t>
      </w:r>
      <w:r>
        <w:t xml:space="preserve"> </w:t>
      </w:r>
      <w:r>
        <w:t xml:space="preserve">calibrations for STS securitisations (9 respondents). Additionally, some respondents reiterated</w:t>
      </w:r>
      <w:r>
        <w:t xml:space="preserve"> </w:t>
      </w:r>
      <w:r>
        <w:t xml:space="preserve">their previous suggestion in section 1.3.2, namely that risk should be determined by credit risk</w:t>
      </w:r>
      <w:r>
        <w:t xml:space="preserve"> </w:t>
      </w:r>
      <w:r>
        <w:t xml:space="preserve">rather than a temporary risk spread (8 respondents). They believe a more balanced approach</w:t>
      </w:r>
      <w:r>
        <w:t xml:space="preserve"> </w:t>
      </w:r>
      <w:r>
        <w:t xml:space="preserve">would enable insurers to evaluate securitisation holistically, integrating it into their ALM</w:t>
      </w:r>
      <w:r>
        <w:t xml:space="preserve"> </w:t>
      </w:r>
      <w:r>
        <w:t xml:space="preserve">framework without being hindered by excessive capital requirements.</w:t>
      </w:r>
      <w:r>
        <w:br/>
      </w:r>
      <w:r>
        <w:t xml:space="preserve">In contrast, the other half of financial institutions, trade associations and public authorities who</w:t>
      </w:r>
      <w:r>
        <w:t xml:space="preserve"> </w:t>
      </w:r>
      <w:r>
        <w:t xml:space="preserve">supported differentiation between mezzanine and junior tranches, argue that the capital charge</w:t>
      </w:r>
      <w:r>
        <w:t xml:space="preserve"> </w:t>
      </w:r>
      <w:r>
        <w:t xml:space="preserve">should reflect the risks taken. Uniform capital charges for mezzanine and junior tranches could</w:t>
      </w:r>
      <w:r>
        <w:t xml:space="preserve"> </w:t>
      </w:r>
      <w:r>
        <w:t xml:space="preserve">disincentivize investment, despite mezzanine tranches offering a balanced risk-reward profile</w:t>
      </w:r>
      <w:r>
        <w:t xml:space="preserve"> </w:t>
      </w:r>
      <w:r>
        <w:t xml:space="preserve">between senior and junior tranches. One respondent added that differentiation would enable</w:t>
      </w:r>
      <w:r>
        <w:t xml:space="preserve"> </w:t>
      </w:r>
      <w:r>
        <w:t xml:space="preserve">(re)insurers using internal models to better understand and manage risks, making more</w:t>
      </w:r>
      <w:r>
        <w:t xml:space="preserve"> </w:t>
      </w:r>
      <w:r>
        <w:t xml:space="preserve">informed investment decisions, particularly in STS securitisations where transparency is key.</w:t>
      </w:r>
      <w:r>
        <w:t xml:space="preserve"> </w:t>
      </w:r>
      <w:r>
        <w:t xml:space="preserve">Although supportive of differentiation, stakeholders put forward limited responses on how to</w:t>
      </w:r>
      <w:r>
        <w:t xml:space="preserve"> </w:t>
      </w:r>
      <w:r>
        <w:t xml:space="preserve">subsequently define this mezzanine tranche, which calibration methods they deem as</w:t>
      </w:r>
      <w:r>
        <w:t xml:space="preserve"> </w:t>
      </w:r>
      <w:r>
        <w:t xml:space="preserve">appropriate and why such mezzanine calibration would be justified in Solvency II (even if no</w:t>
      </w:r>
      <w:r>
        <w:t xml:space="preserve"> </w:t>
      </w:r>
      <w:r>
        <w:t xml:space="preserve">dedicated treatment for mezzanine tranches is introduced in CRR). One public authority shared</w:t>
      </w:r>
      <w:r>
        <w:t xml:space="preserve"> </w:t>
      </w:r>
      <w:r>
        <w:t xml:space="preserve">that mezzanine tranches should be determined through a prudent risk assessment, considering</w:t>
      </w:r>
      <w:r>
        <w:t xml:space="preserve"> </w:t>
      </w:r>
      <w:r>
        <w:t xml:space="preserve">the attachment point value to avoid underestimating risk. A low attachment point can increase</w:t>
      </w:r>
      <w:r>
        <w:t xml:space="preserve"> </w:t>
      </w:r>
      <w:r>
        <w:t xml:space="preserve">risk by creating a thin first-loss tranche. A trade association and public authority add that CRR</w:t>
      </w:r>
      <w:r>
        <w:t xml:space="preserve"> </w:t>
      </w:r>
      <w:r>
        <w:t xml:space="preserve">does take into amount attachment and detachment points as inputs to compute the associated</w:t>
      </w:r>
      <w:r>
        <w:t xml:space="preserve"> </w:t>
      </w:r>
      <w:r>
        <w:t xml:space="preserve">capital requirement (SEC-IRBA and SEC-SA methods).</w:t>
      </w:r>
    </w:p>
    <w:p>
      <w:pPr>
        <w:pStyle w:val="BodyText"/>
      </w:pPr>
      <w:r>
        <w:t xml:space="preserve">1.3.4. Non-STS securitisations</w:t>
      </w:r>
    </w:p>
    <w:p>
      <w:pPr>
        <w:pStyle w:val="BodyText"/>
      </w:pPr>
      <w:r>
        <w:t xml:space="preserve">Consistent with the findings in section 1.3.2 and 1.3.3, all financial institutions (except one)</w:t>
      </w:r>
      <w:r>
        <w:t xml:space="preserve"> </w:t>
      </w:r>
      <w:r>
        <w:t xml:space="preserve">and trade associations, amongst whom a significant group insurers and insurers’ associations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consider the Solvency II standard formula capital requirements for spread risk disproportionate</w:t>
      </w:r>
      <w:r>
        <w:t xml:space="preserve"> </w:t>
      </w:r>
      <w:r>
        <w:t xml:space="preserve">and not commensurate with the- risk of non-STS securitisation. Respondents (40 respondents</w:t>
      </w:r>
      <w:r>
        <w:t xml:space="preserve"> </w:t>
      </w:r>
      <w:r>
        <w:t xml:space="preserve">out of 131, 19 had no opinion and 70 did not provide an answer) emphasized the need to</w:t>
      </w:r>
      <w:r>
        <w:t xml:space="preserve"> </w:t>
      </w:r>
      <w:r>
        <w:t xml:space="preserve">stimulate the securitisation market by eliminating the disparity in risk charges between non-</w:t>
      </w:r>
      <w:r>
        <w:t xml:space="preserve"> </w:t>
      </w:r>
      <w:r>
        <w:t xml:space="preserve">STS and STS securitisations, which in their view disproportionately penalizes non-STS deals.</w:t>
      </w:r>
      <w:r>
        <w:br/>
      </w:r>
      <w:r>
        <w:t xml:space="preserve">Again, the study of Perraudin and Qiu (2022) is cited as evidence of a substantial miscalibration</w:t>
      </w:r>
      <w:r>
        <w:t xml:space="preserve"> </w:t>
      </w:r>
      <w:r>
        <w:t xml:space="preserve">of capital charges relative to historic volatility data (6 respondents).</w:t>
      </w:r>
      <w:r>
        <w:br/>
      </w:r>
      <w:r>
        <w:t xml:space="preserve">In contrast, 2 respondents (one financial institution and one public authority) argue that there</w:t>
      </w:r>
      <w:r>
        <w:t xml:space="preserve"> </w:t>
      </w:r>
      <w:r>
        <w:t xml:space="preserve">is no evidence to suggest that the calibration method for non-STS securitisations is flawed. The</w:t>
      </w:r>
      <w:r>
        <w:t xml:space="preserve"> </w:t>
      </w:r>
      <w:r>
        <w:t xml:space="preserve">same public authority as in section 1.3.2 and 1.3.3.) posits that the non-STS class, with fewer</w:t>
      </w:r>
      <w:r>
        <w:t xml:space="preserve"> </w:t>
      </w:r>
      <w:r>
        <w:t xml:space="preserve">safeguards and including non-EU based originators, sponsors, and SSPEs, justifies the</w:t>
      </w:r>
      <w:r>
        <w:t xml:space="preserve"> </w:t>
      </w:r>
      <w:r>
        <w:t xml:space="preserve">inclusion of post-financial crisis data in the calibration. The authority argues this implicitly</w:t>
      </w:r>
      <w:r>
        <w:t xml:space="preserve"> </w:t>
      </w:r>
      <w:r>
        <w:t xml:space="preserve">accounts for additional risks such as agency and model risk, through the capital charges.</w:t>
      </w:r>
      <w:r>
        <w:br/>
      </w:r>
      <w:r>
        <w:t xml:space="preserve">When asked to identify specific sub-segment of non-STS securitisation for which evidence</w:t>
      </w:r>
      <w:r>
        <w:t xml:space="preserve"> </w:t>
      </w:r>
      <w:r>
        <w:t xml:space="preserve">would justify lower capital requirements, financial institutions and trade associations suggested</w:t>
      </w:r>
      <w:r>
        <w:t xml:space="preserve"> </w:t>
      </w:r>
      <w:r>
        <w:t xml:space="preserve">no industry wide segment or specific class which fits a ‘uniform’ insurance model. The</w:t>
      </w:r>
      <w:r>
        <w:t xml:space="preserve"> </w:t>
      </w:r>
      <w:r>
        <w:t xml:space="preserve">following segments for recalibration are put forward: granular pools (3 respondents), CLO (3</w:t>
      </w:r>
      <w:r>
        <w:t xml:space="preserve"> </w:t>
      </w:r>
      <w:r>
        <w:t xml:space="preserve">respondents), CRE debt (3 respondents) and RMBS (1 respondent).</w:t>
      </w:r>
      <w:r>
        <w:t xml:space="preserve"> </w:t>
      </w:r>
      <w:r>
        <w:t xml:space="preserve">A majority of respondents (39 respondents among who 14 insurers, out of 131, 17 respondents</w:t>
      </w:r>
      <w:r>
        <w:t xml:space="preserve"> </w:t>
      </w:r>
      <w:r>
        <w:t xml:space="preserve">had no opinion and 71 did not provide an answer), in particular financial institutions and trade</w:t>
      </w:r>
      <w:r>
        <w:t xml:space="preserve"> </w:t>
      </w:r>
      <w:r>
        <w:t xml:space="preserve">associations support differentiating the Solvency II standard formula capital requirements for</w:t>
      </w:r>
      <w:r>
        <w:t xml:space="preserve"> </w:t>
      </w:r>
      <w:r>
        <w:t xml:space="preserve">spread risks between senior and non-senior tranches of non-STS securitisations. They argue</w:t>
      </w:r>
      <w:r>
        <w:t xml:space="preserve"> </w:t>
      </w:r>
      <w:r>
        <w:t xml:space="preserve">that the current framework is insufficiently risk-based and that more granular approach, with</w:t>
      </w:r>
      <w:r>
        <w:t xml:space="preserve"> </w:t>
      </w:r>
      <w:r>
        <w:t xml:space="preserve">‘tranche thicknesses’ is needed. However, apart from references to Perraudin and Qiu (2022),</w:t>
      </w:r>
      <w:r>
        <w:t xml:space="preserve"> </w:t>
      </w:r>
      <w:r>
        <w:t xml:space="preserve">no other concrete suggestions for calibration were provided through the public consultation</w:t>
      </w:r>
      <w:r>
        <w:t xml:space="preserve"> </w:t>
      </w:r>
      <w:r>
        <w:t xml:space="preserve">responses.</w:t>
      </w:r>
    </w:p>
    <w:p>
      <w:pPr>
        <w:pStyle w:val="BodyText"/>
      </w:pPr>
      <w:r>
        <w:t xml:space="preserve">In contrast, respondents opposing such differentiation, amongst whom one financial insurance</w:t>
      </w:r>
      <w:r>
        <w:t xml:space="preserve"> </w:t>
      </w:r>
      <w:r>
        <w:t xml:space="preserve">institution and a majority of public authorities, argue that the focus should be on the type of</w:t>
      </w:r>
      <w:r>
        <w:t xml:space="preserve"> </w:t>
      </w:r>
      <w:r>
        <w:t xml:space="preserve">securitisation rather than just the seniority. They also caution that introducing differentiation</w:t>
      </w:r>
      <w:r>
        <w:t xml:space="preserve"> </w:t>
      </w:r>
      <w:r>
        <w:t xml:space="preserve">would add unnecessary complexity, in addition to uncertainty about the effectiveness of this</w:t>
      </w:r>
      <w:r>
        <w:t xml:space="preserve"> </w:t>
      </w:r>
      <w:r>
        <w:t xml:space="preserve">measure.</w:t>
      </w:r>
      <w:r>
        <w:br/>
      </w:r>
      <w:r>
        <w:t xml:space="preserve">1.4. Prudential framework for institutions for occupational retirement provision</w:t>
      </w:r>
      <w:r>
        <w:t xml:space="preserve"> </w:t>
      </w:r>
      <w:r>
        <w:t xml:space="preserve">(IORPs) and other pension funds</w:t>
      </w:r>
      <w:r>
        <w:br/>
      </w:r>
      <w:r>
        <w:t xml:space="preserve">Note: Respondents to this section represented a diverse range of stakeholders, with only 2</w:t>
      </w:r>
      <w:r>
        <w:t xml:space="preserve"> </w:t>
      </w:r>
      <w:r>
        <w:t xml:space="preserve">identifying themselves as IORPs. The remaining limited number of respondents comprised a</w:t>
      </w:r>
      <w:r>
        <w:t xml:space="preserve"> </w:t>
      </w:r>
      <w:r>
        <w:t xml:space="preserve">mix of banks, associations for financial markets, NCAs, etc representing the interests of (non)-</w:t>
      </w:r>
      <w:r>
        <w:t xml:space="preserve"> </w:t>
      </w:r>
      <w:r>
        <w:t xml:space="preserve">IORPs.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1.4.1. Interest for investments in securitisation</w:t>
      </w:r>
      <w:r>
        <w:t xml:space="preserve"> </w:t>
      </w:r>
      <w:r>
        <w:t xml:space="preserve">A total of 12 respondents out of 131 expressed a view with regards to their interest in</w:t>
      </w:r>
      <w:r>
        <w:t xml:space="preserve"> </w:t>
      </w:r>
      <w:r>
        <w:t xml:space="preserve">securitisation investments (94 out of 131 didn’t respond and 25 had no opinion). Of these 12</w:t>
      </w:r>
      <w:r>
        <w:t xml:space="preserve"> </w:t>
      </w:r>
      <w:r>
        <w:t xml:space="preserve">respondents, a majority (11 out of 131, amongst whom 2 IORPs), expressed a general interest</w:t>
      </w:r>
      <w:r>
        <w:t xml:space="preserve"> </w:t>
      </w:r>
      <w:r>
        <w:t xml:space="preserve">to increase IORPs’ investments in securitisation to diversify their portfolio. However, they</w:t>
      </w:r>
      <w:r>
        <w:t xml:space="preserve"> </w:t>
      </w:r>
      <w:r>
        <w:t xml:space="preserve">emphasized the need for a more liquid market, with high quality securitisations to make</w:t>
      </w:r>
      <w:r>
        <w:t xml:space="preserve"> </w:t>
      </w:r>
      <w:r>
        <w:t xml:space="preserve">investment more appealing. A limited number of respondents (2 replies out of 131, amongst</w:t>
      </w:r>
      <w:r>
        <w:t xml:space="preserve"> </w:t>
      </w:r>
      <w:r>
        <w:t xml:space="preserve">whom no IORPS) identify the segments of interest to these pensions’ institutions, including</w:t>
      </w:r>
      <w:r>
        <w:t xml:space="preserve"> </w:t>
      </w:r>
      <w:r>
        <w:t xml:space="preserve">synthetic on-the-balance-sheet securitisations and senior and mezzanine tranches. No further</w:t>
      </w:r>
      <w:r>
        <w:t xml:space="preserve"> </w:t>
      </w:r>
      <w:r>
        <w:t xml:space="preserve">details were provided by stakeholders. Notably, only one respondent, a public authority,</w:t>
      </w:r>
      <w:r>
        <w:t xml:space="preserve"> </w:t>
      </w:r>
      <w:r>
        <w:t xml:space="preserve">reported no interest from both IORPs and non-IORPs in increasing their investment in</w:t>
      </w:r>
      <w:r>
        <w:t xml:space="preserve"> </w:t>
      </w:r>
      <w:r>
        <w:t xml:space="preserve">securitisation.</w:t>
      </w:r>
      <w:r>
        <w:br/>
      </w:r>
      <w:r>
        <w:t xml:space="preserve">1.4.2. Obstacles for investments in securitisation</w:t>
      </w:r>
      <w:r>
        <w:br/>
      </w:r>
      <w:r>
        <w:t xml:space="preserve">A total of 8 respondents expressed a view with regards to obstacles to securitisation (98 didn’t</w:t>
      </w:r>
      <w:r>
        <w:t xml:space="preserve"> </w:t>
      </w:r>
      <w:r>
        <w:t xml:space="preserve">respond and 25 had no opinion). Out of these 8 respondents, a majority (6 out of 131, amongst</w:t>
      </w:r>
      <w:r>
        <w:t xml:space="preserve"> </w:t>
      </w:r>
      <w:r>
        <w:t xml:space="preserve">whom no IORPs), indicated that the IORP II Directive does not contain provisions that restrict</w:t>
      </w:r>
      <w:r>
        <w:t xml:space="preserve"> </w:t>
      </w:r>
      <w:r>
        <w:t xml:space="preserve">IORPs’ ability to invest in securitisations. Out of these 8 respondents, a majority (6 out of 131,</w:t>
      </w:r>
      <w:r>
        <w:t xml:space="preserve"> </w:t>
      </w:r>
      <w:r>
        <w:t xml:space="preserve">amongst whom no IORPs), indicated that the IORP II Directive does not contain provisions</w:t>
      </w:r>
      <w:r>
        <w:t xml:space="preserve"> </w:t>
      </w:r>
      <w:r>
        <w:t xml:space="preserve">that restrict IORPs’ ability to invest in securitisations. They argued that the Directive is based</w:t>
      </w:r>
      <w:r>
        <w:t xml:space="preserve"> </w:t>
      </w:r>
      <w:r>
        <w:t xml:space="preserve">on minimum harmonization, allowing for sufficient flexibility in investment decisions as long</w:t>
      </w:r>
      <w:r>
        <w:t xml:space="preserve"> </w:t>
      </w:r>
      <w:r>
        <w:t xml:space="preserve">as the fiduciary duty and the prudent person principle are respected. Out of the 8 respondents,</w:t>
      </w:r>
      <w:r>
        <w:t xml:space="preserve"> </w:t>
      </w:r>
      <w:r>
        <w:t xml:space="preserve">a minority of disagreed (2 out of 131, amongst whom 1 IORP) and, argued respondents</w:t>
      </w:r>
      <w:r>
        <w:t xml:space="preserve"> </w:t>
      </w:r>
      <w:r>
        <w:t xml:space="preserve">disagreed with the majority view, arguing that the Directive contains indirect restricting</w:t>
      </w:r>
      <w:r>
        <w:t xml:space="preserve"> </w:t>
      </w:r>
      <w:r>
        <w:t xml:space="preserve">provisions. They presented two key concerns. First, they noted that securitisation structures can</w:t>
      </w:r>
      <w:r>
        <w:t xml:space="preserve"> </w:t>
      </w:r>
      <w:r>
        <w:t xml:space="preserve">exhibit a wide range of risk profiles, which may not be compatible with the conservative</w:t>
      </w:r>
      <w:r>
        <w:t xml:space="preserve"> </w:t>
      </w:r>
      <w:r>
        <w:t xml:space="preserve">investment strategies often employed by IORPs. As a result, even in the absence of explicit</w:t>
      </w:r>
      <w:r>
        <w:t xml:space="preserve"> </w:t>
      </w:r>
      <w:r>
        <w:t xml:space="preserve">restrictions, the regulatory framework and internal policies governing IORPs’ investments can</w:t>
      </w:r>
      <w:r>
        <w:t xml:space="preserve"> </w:t>
      </w:r>
      <w:r>
        <w:t xml:space="preserve">create significant barriers to investing in securitisations. Second, they highlighted the potential</w:t>
      </w:r>
      <w:r>
        <w:t xml:space="preserve"> </w:t>
      </w:r>
      <w:r>
        <w:t xml:space="preserve">existence of indirect barriers in Article 19 of the Directive setting out the ‘prudent person rule’.</w:t>
      </w:r>
      <w:r>
        <w:br/>
      </w:r>
      <w:r>
        <w:t xml:space="preserve">Generally, stakeholders agreed that national legislations or supervisory practices do not unduly</w:t>
      </w:r>
      <w:r>
        <w:t xml:space="preserve"> </w:t>
      </w:r>
      <w:r>
        <w:t xml:space="preserve">restrict IORPs’ and non-IORPs’ ability to invest in securitisation (8 out of 131, 97 didn’t</w:t>
      </w:r>
      <w:r>
        <w:t xml:space="preserve"> </w:t>
      </w:r>
      <w:r>
        <w:t xml:space="preserve">respond and 24 had no opinion). Furthermore, respondents refrained from answering whether</w:t>
      </w:r>
      <w:r>
        <w:t xml:space="preserve"> </w:t>
      </w:r>
      <w:r>
        <w:t xml:space="preserve">there are any wider structural barriers preventing pension funds from participating in the</w:t>
      </w:r>
      <w:r>
        <w:t xml:space="preserve"> </w:t>
      </w:r>
      <w:r>
        <w:t xml:space="preserve">market. Nevertheless, two respondents out of 131 challenged this latter view, suggesting that</w:t>
      </w:r>
      <w:r>
        <w:t xml:space="preserve"> </w:t>
      </w:r>
      <w:r>
        <w:t xml:space="preserve">overly restrictive and prescriptive due diligence and disclosure requirements act as an obstacle</w:t>
      </w:r>
      <w:r>
        <w:t xml:space="preserve"> </w:t>
      </w:r>
      <w:r>
        <w:t xml:space="preserve">for investor participation. They argued that these requirements increase complexity and costs</w:t>
      </w:r>
      <w:r>
        <w:t xml:space="preserve"> </w:t>
      </w:r>
      <w:r>
        <w:t xml:space="preserve">associated with securitisations, compared to other asset classes. To address this issue, they</w:t>
      </w:r>
      <w:r>
        <w:t xml:space="preserve"> </w:t>
      </w:r>
      <w:r>
        <w:t xml:space="preserve">recommend reviewing the due diligence requirements, to introduce proportionality and</w:t>
      </w:r>
      <w:r>
        <w:t xml:space="preserve"> </w:t>
      </w:r>
      <w:r>
        <w:t xml:space="preserve">simplifications, while maintaining overall prudence.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1.5. Additional questions</w:t>
      </w:r>
      <w:r>
        <w:t xml:space="preserve"> </w:t>
      </w:r>
      <w:r>
        <w:t xml:space="preserve">Section 12 of the Consultation covered general and wide-ranging questions covering</w:t>
      </w:r>
      <w:r>
        <w:t xml:space="preserve"> </w:t>
      </w:r>
      <w:r>
        <w:t xml:space="preserve">respondents’ views for the future direction of European securitisation, the international</w:t>
      </w:r>
      <w:r>
        <w:t xml:space="preserve"> </w:t>
      </w:r>
      <w:r>
        <w:t xml:space="preserve">competitiveness of the EU securitisation market, the relative potential for different market</w:t>
      </w:r>
      <w:r>
        <w:t xml:space="preserve"> </w:t>
      </w:r>
      <w:r>
        <w:t xml:space="preserve">segments to contribute to the Capital Markets Union, which regulatory measures could best</w:t>
      </w:r>
      <w:r>
        <w:t xml:space="preserve"> </w:t>
      </w:r>
      <w:r>
        <w:t xml:space="preserve">stimulate issuance and investment, how to address the concentration of the EU securitisation</w:t>
      </w:r>
      <w:r>
        <w:t xml:space="preserve"> </w:t>
      </w:r>
      <w:r>
        <w:t xml:space="preserve">market, and so forth.</w:t>
      </w:r>
      <w:r>
        <w:br/>
      </w:r>
      <w:r>
        <w:t xml:space="preserve">Nearly half of the respondents (55 out of 131, 74 didn’t respond or had no opinion) agree that</w:t>
      </w:r>
      <w:r>
        <w:t xml:space="preserve"> </w:t>
      </w:r>
      <w:r>
        <w:t xml:space="preserve">the EU Securitisation Framework impacts the international competitiveness of EU issuers,</w:t>
      </w:r>
      <w:r>
        <w:t xml:space="preserve"> </w:t>
      </w:r>
      <w:r>
        <w:t xml:space="preserve">sponsors and investors, whereas only two respondents answered that there is no impact on the</w:t>
      </w:r>
      <w:r>
        <w:t xml:space="preserve"> </w:t>
      </w:r>
      <w:r>
        <w:t xml:space="preserve">competitiveness.</w:t>
      </w:r>
      <w:r>
        <w:t xml:space="preserve"> </w:t>
      </w:r>
      <w:r>
        <w:t xml:space="preserve">Several respondents (25 out of 131, 76 did not respond) identified the different national legal</w:t>
      </w:r>
      <w:r>
        <w:t xml:space="preserve"> </w:t>
      </w:r>
      <w:r>
        <w:t xml:space="preserve">and regulatory regimes, and the resulting higher costs as the main obstacles for cross-border</w:t>
      </w:r>
      <w:r>
        <w:t xml:space="preserve"> </w:t>
      </w:r>
      <w:r>
        <w:t xml:space="preserve">securitisation. 17 respondents point to the STS homogeneity requirements as an obstacle for</w:t>
      </w:r>
      <w:r>
        <w:t xml:space="preserve"> </w:t>
      </w:r>
      <w:r>
        <w:t xml:space="preserve">cross-border securitisations. Other obstacles to cross-border securitisation were listed as IT</w:t>
      </w:r>
      <w:r>
        <w:t xml:space="preserve"> </w:t>
      </w:r>
      <w:r>
        <w:t xml:space="preserve">requirements or an uncertain regulatory approach. Several respondents (28 out of 131, 83 did</w:t>
      </w:r>
      <w:r>
        <w:t xml:space="preserve"> </w:t>
      </w:r>
      <w:r>
        <w:t xml:space="preserve">not respond) agree that the EU’s regulatory framework for cross-border securitisation needs</w:t>
      </w:r>
      <w:r>
        <w:t xml:space="preserve"> </w:t>
      </w:r>
      <w:r>
        <w:t xml:space="preserve">improvement, and suggest measures such as replacing complex templates, establishing a pan-</w:t>
      </w:r>
      <w:r>
        <w:t xml:space="preserve"> </w:t>
      </w:r>
      <w:r>
        <w:t xml:space="preserve">European securitisation vehicle, and streamlining STS criteria.</w:t>
      </w:r>
      <w:r>
        <w:br/>
      </w:r>
      <w:r>
        <w:t xml:space="preserve">Several respondents (32 out of 131, 80 did not respond) identified regulatory, market and</w:t>
      </w:r>
      <w:r>
        <w:t xml:space="preserve"> </w:t>
      </w:r>
      <w:r>
        <w:t xml:space="preserve">liquidity factors as the main obstacles to increasing securitisation activity in EU Member</w:t>
      </w:r>
      <w:r>
        <w:t xml:space="preserve"> </w:t>
      </w:r>
      <w:r>
        <w:t xml:space="preserve">States. To address these issues, a few respondents (19 out of 131, 80 did not respond) suggested</w:t>
      </w:r>
      <w:r>
        <w:t xml:space="preserve"> </w:t>
      </w:r>
      <w:r>
        <w:t xml:space="preserve">simplifying and harmonising regulatory frameworks, enhancing transparency and reporting</w:t>
      </w:r>
      <w:r>
        <w:t xml:space="preserve"> </w:t>
      </w:r>
      <w:r>
        <w:t xml:space="preserve">standards, and promoting securitisation in smaller countries. Stakeholders’ views are split</w:t>
      </w:r>
      <w:r>
        <w:t xml:space="preserve"> </w:t>
      </w:r>
      <w:r>
        <w:t xml:space="preserve">regarding the effectiveness of regulatory changes in stimulating securitisation activity, with</w:t>
      </w:r>
      <w:r>
        <w:t xml:space="preserve"> </w:t>
      </w:r>
      <w:r>
        <w:t xml:space="preserve">some arguing that changes are necessary and others being sceptical.</w:t>
      </w:r>
      <w:r>
        <w:br/>
      </w:r>
      <w:r>
        <w:t xml:space="preserve">Several respondents (23 out of 131, 79 did not respond) think that the EU’s securitisation</w:t>
      </w:r>
      <w:r>
        <w:t xml:space="preserve"> </w:t>
      </w:r>
      <w:r>
        <w:t xml:space="preserve">framework for green transition financing can be improved by simplifying the regulatory</w:t>
      </w:r>
      <w:r>
        <w:t xml:space="preserve"> </w:t>
      </w:r>
      <w:r>
        <w:t xml:space="preserve">framework, creating tax and financial incentives.</w:t>
      </w:r>
      <w:r>
        <w:br/>
      </w:r>
      <w:r>
        <w:t xml:space="preserve">Approximately 10 respondents, principally large multinational asset managers or their interest</w:t>
      </w:r>
      <w:r>
        <w:t xml:space="preserve"> </w:t>
      </w:r>
      <w:r>
        <w:t xml:space="preserve">representatives, criticised the 10% acquisition limit under Article 56 of the UCITS Directive,</w:t>
      </w:r>
      <w:r>
        <w:t xml:space="preserve"> </w:t>
      </w:r>
      <w:r>
        <w:t xml:space="preserve">which they claim is triggered more easily for securitisation products than corporate debt. Critics</w:t>
      </w:r>
      <w:r>
        <w:t xml:space="preserve"> </w:t>
      </w:r>
      <w:r>
        <w:t xml:space="preserve">of this provision argue that this limit, which aims to ensure diversification of risk and delimit</w:t>
      </w:r>
      <w:r>
        <w:t xml:space="preserve"> </w:t>
      </w:r>
      <w:r>
        <w:t xml:space="preserve">excessive investor concentration, is unsuitable to securitisation investments, which are</w:t>
      </w:r>
      <w:r>
        <w:t xml:space="preserve"> </w:t>
      </w:r>
      <w:r>
        <w:t xml:space="preserve">intrinsically diversified compared to bond issuances. These respondents emphasised the need</w:t>
      </w:r>
      <w:r>
        <w:t xml:space="preserve"> </w:t>
      </w:r>
      <w:r>
        <w:t xml:space="preserve">for exemptions or adjustments to facilitate more competitive and diversified portfolio strategies</w:t>
      </w:r>
      <w:r>
        <w:t xml:space="preserve"> </w:t>
      </w:r>
      <w:r>
        <w:t xml:space="preserve">for EU investors. Stakeholders disagree on which type of securitisation (traditional vs. </w:t>
      </w:r>
      <w:r>
        <w:t xml:space="preserve"> </w:t>
      </w:r>
      <w:r>
        <w:t xml:space="preserve">synthetic; STS vs. non-STS) can most significantly contribute to the achievement of CMU.</w:t>
      </w:r>
      <w:r>
        <w:br/>
      </w:r>
      <w:r>
        <w:t xml:space="preserve">A number of respondents (21 out of 131, 79 did not respond) agree that the current regulatory</w:t>
      </w:r>
      <w:r>
        <w:t xml:space="preserve"> </w:t>
      </w:r>
      <w:r>
        <w:t xml:space="preserve">review should promote a comprehensive framework, rather than targeting certain segments. A</w:t>
      </w:r>
      <w:r>
        <w:t xml:space="preserve"> </w:t>
      </w:r>
      <w:r>
        <w:t xml:space="preserve">minority of respondents (43 out of 131, 81 did not respond) believe that the principal reasons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for the slow growth of the placed traditional securitisation are low returns due to high capital</w:t>
      </w:r>
      <w:r>
        <w:t xml:space="preserve"> </w:t>
      </w:r>
      <w:r>
        <w:t xml:space="preserve">charges and operational costs, as well as difficulties in placing senior tranches.</w:t>
      </w:r>
      <w:r>
        <w:br/>
      </w:r>
      <w:r>
        <w:t xml:space="preserve">There is no consensus on why alternative instruments such as covered bonds are preferred</w:t>
      </w:r>
      <w:r>
        <w:t xml:space="preserve"> </w:t>
      </w:r>
      <w:r>
        <w:t xml:space="preserve">funding instruments in the EU. However, there is a consensus that a combination of targeted</w:t>
      </w:r>
      <w:r>
        <w:t xml:space="preserve"> </w:t>
      </w:r>
      <w:r>
        <w:t xml:space="preserve">measures can stimulate traditional securitisation issuance, and that there is no “silver bullet” to</w:t>
      </w:r>
      <w:r>
        <w:t xml:space="preserve"> </w:t>
      </w:r>
      <w:r>
        <w:t xml:space="preserve">singularly revitalise the market. Furthermore, in the view of 22 respondents, simplifying due</w:t>
      </w:r>
      <w:r>
        <w:t xml:space="preserve"> </w:t>
      </w:r>
      <w:r>
        <w:t xml:space="preserve">diligence and transparency requirements would be beneficial, while only one respondent (a</w:t>
      </w:r>
      <w:r>
        <w:t xml:space="preserve"> </w:t>
      </w:r>
      <w:r>
        <w:t xml:space="preserve">major asset manager) viewed that the due diligence and transparency requirements were not a</w:t>
      </w:r>
      <w:r>
        <w:t xml:space="preserve"> </w:t>
      </w:r>
      <w:r>
        <w:t xml:space="preserve">cause for concern.</w:t>
      </w:r>
      <w:r>
        <w:t xml:space="preserve"> </w:t>
      </w:r>
      <w:r>
        <w:t xml:space="preserve">Finally, as far as securitisations of consumers loans and specifically mortgage loans are</w:t>
      </w:r>
      <w:r>
        <w:t xml:space="preserve"> </w:t>
      </w:r>
      <w:r>
        <w:t xml:space="preserve">concerned, consumer organisations reiterated their concern that the securitisation severs the</w:t>
      </w:r>
      <w:r>
        <w:t xml:space="preserve"> </w:t>
      </w:r>
      <w:r>
        <w:t xml:space="preserve">link between lenders and borrowers, making forbearance and loan restructuring more difficult</w:t>
      </w:r>
      <w:r>
        <w:t xml:space="preserve"> </w:t>
      </w:r>
      <w:r>
        <w:t xml:space="preserve">to apply to the detriment of borrowers.</w:t>
      </w:r>
      <w:r>
        <w:t xml:space="preserve"> </w:t>
      </w:r>
      <w:r>
        <w:t xml:space="preserve">1.6. Additional or late feedback</w:t>
      </w:r>
      <w:r>
        <w:t xml:space="preserve"> </w:t>
      </w:r>
      <w:r>
        <w:t xml:space="preserve">Stakeholders were offered the opportunity to make an attachment to their contribution to cover</w:t>
      </w:r>
      <w:r>
        <w:t xml:space="preserve"> </w:t>
      </w:r>
      <w:r>
        <w:t xml:space="preserve">any topic or provide any complementary information that they would deem useful. 57</w:t>
      </w:r>
      <w:r>
        <w:t xml:space="preserve"> </w:t>
      </w:r>
      <w:r>
        <w:t xml:space="preserve">stakeholders provided such inputs. Most of them aimed at expanding or clarifying the</w:t>
      </w:r>
      <w:r>
        <w:t xml:space="preserve"> </w:t>
      </w:r>
      <w:r>
        <w:t xml:space="preserve">stakeholder’s point of view on certain areas of the consultation.</w:t>
      </w:r>
      <w:r>
        <w:br/>
      </w:r>
      <w:r>
        <w:t xml:space="preserve">2 – Call for Evidence</w:t>
      </w:r>
      <w:r>
        <w:t xml:space="preserve"> </w:t>
      </w:r>
      <w:r>
        <w:t xml:space="preserve">A call for evidence was opened between 19 February 2025 and 26 March 202584 to request</w:t>
      </w:r>
      <w:r>
        <w:t xml:space="preserve"> </w:t>
      </w:r>
      <w:r>
        <w:t xml:space="preserve">feedback from stakeholders on the review of the Securitisation Framework. Stakeholders were</w:t>
      </w:r>
      <w:r>
        <w:t xml:space="preserve"> </w:t>
      </w:r>
      <w:r>
        <w:t xml:space="preserve">asked to provide views on the Commission’s understanding of the problem and possible</w:t>
      </w:r>
      <w:r>
        <w:t xml:space="preserve"> </w:t>
      </w:r>
      <w:r>
        <w:t xml:space="preserve">solutions, as well as provide relevant information, including on the possible impacts of the</w:t>
      </w:r>
      <w:r>
        <w:t xml:space="preserve"> </w:t>
      </w:r>
      <w:r>
        <w:t xml:space="preserve">different options. 34 respondents replied to the call for evidence and presented their views.85</w:t>
      </w:r>
      <w:r>
        <w:t xml:space="preserve"> </w:t>
      </w:r>
      <w:r>
        <w:t xml:space="preserve">Out of those 34 respondents, 2686 had also replied to the targeted consultation with their views</w:t>
      </w:r>
      <w:r>
        <w:t xml:space="preserve"> </w:t>
      </w:r>
      <w:r>
        <w:t xml:space="preserve">remaining broadly the same as outlined in the sections above. Points made by first-time</w:t>
      </w:r>
      <w:r>
        <w:t xml:space="preserve"> </w:t>
      </w:r>
      <w:r>
        <w:t xml:space="preserve">respondents – outlined is greater detail below - were also consistent with the targeted</w:t>
      </w:r>
      <w:r>
        <w:t xml:space="preserve"> </w:t>
      </w:r>
      <w:r>
        <w:t xml:space="preserve">consultation feedback received earlier. Taken together, views submitted in response to the Call</w:t>
      </w:r>
      <w:r>
        <w:t xml:space="preserve"> </w:t>
      </w:r>
      <w:r>
        <w:t xml:space="preserve">for Evidence are already reflected in the reasoning informing the Impact Assessment and do</w:t>
      </w:r>
      <w:r>
        <w:t xml:space="preserve"> </w:t>
      </w:r>
      <w:r>
        <w:t xml:space="preserve">not necessitate any change to the problem definition, choice of options and assessment of</w:t>
      </w:r>
      <w:r>
        <w:t xml:space="preserve"> </w:t>
      </w:r>
      <w:r>
        <w:t xml:space="preserve">impact, as informed by previous feedback.</w:t>
      </w:r>
      <w:r>
        <w:br/>
      </w:r>
      <w:r>
        <w:t xml:space="preserve">The views of the 8 other respondents can be summarised as follows:</w:t>
      </w:r>
      <w:r>
        <w:br/>
      </w:r>
      <w:r>
        <w:t xml:space="preserve">1. One of the two EU citizens who responded raised concerns about market fragmentation and</w:t>
      </w:r>
      <w:r>
        <w:t xml:space="preserve"> </w:t>
      </w:r>
      <w:r>
        <w:t xml:space="preserve">advocated for the creation of a government agency structure, akin to that of the United States,</w:t>
      </w:r>
    </w:p>
    <w:p>
      <w:pPr>
        <w:pStyle w:val="BodyText"/>
      </w:pPr>
      <w:r>
        <w:t xml:space="preserve">84 Securities and markets - review of the Securitisation Framework (europa.eu)</w:t>
      </w:r>
      <w:r>
        <w:t xml:space="preserve"> </w:t>
      </w:r>
      <w:r>
        <w:t xml:space="preserve">85 One respondent made two separate (substantively similar) contributions; another respondent submitted three</w:t>
      </w:r>
      <w:r>
        <w:t xml:space="preserve"> </w:t>
      </w:r>
      <w:r>
        <w:t xml:space="preserve">separate contributions. Therefore, 37 contributions were received, from 34 individual respondents.</w:t>
      </w:r>
      <w:r>
        <w:br/>
      </w:r>
      <w:r>
        <w:t xml:space="preserve">86 The respondents that had already replied to the targeted consultation represented: 7 companies/businesses, 15</w:t>
      </w:r>
      <w:r>
        <w:t xml:space="preserve"> </w:t>
      </w:r>
      <w:r>
        <w:t xml:space="preserve">business associations, 2 non-governmental organisations (NGOs), 2 such respondents identified as “other”.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to promote securitisation and eliminate agency risk and moral hazard. They disagreed that</w:t>
      </w:r>
      <w:r>
        <w:t xml:space="preserve"> </w:t>
      </w:r>
      <w:r>
        <w:t xml:space="preserve">AIFMs should be subject to the same capital rules as banks (to be noted that the capital rules</w:t>
      </w:r>
      <w:r>
        <w:t xml:space="preserve"> </w:t>
      </w:r>
      <w:r>
        <w:t xml:space="preserve">for AIFMs are outside of the scope of the current initiative). The matter of public guarantees</w:t>
      </w:r>
      <w:r>
        <w:t xml:space="preserve"> </w:t>
      </w:r>
      <w:r>
        <w:t xml:space="preserve">for securitisation structures is considered in Annex VI: Securitisation Platform(s). The other</w:t>
      </w:r>
      <w:r>
        <w:t xml:space="preserve"> </w:t>
      </w:r>
      <w:r>
        <w:t xml:space="preserve">citizen respondent made a general argument against government economic intervention;</w:t>
      </w:r>
      <w:r>
        <w:t xml:space="preserve"> </w:t>
      </w:r>
      <w:r>
        <w:t xml:space="preserve">however, these points were not specific to securitisation or the instant initiative.</w:t>
      </w:r>
      <w:r>
        <w:br/>
      </w:r>
      <w:r>
        <w:t xml:space="preserve">2. The two business associations represented securitisation market participants and were</w:t>
      </w:r>
      <w:r>
        <w:t xml:space="preserve"> </w:t>
      </w:r>
      <w:r>
        <w:t xml:space="preserve">broadly supportive of the review. One called for greater clarity on the scope and definitions of</w:t>
      </w:r>
      <w:r>
        <w:t xml:space="preserve"> </w:t>
      </w:r>
      <w:r>
        <w:t xml:space="preserve">the SECR and argued that AIFMs should be granted risk-retention and subject to the same</w:t>
      </w:r>
      <w:r>
        <w:t xml:space="preserve"> </w:t>
      </w:r>
      <w:r>
        <w:t xml:space="preserve">capital rules as banks. Scope and definitions are considered in the Impact Assessment Section</w:t>
      </w:r>
      <w:r>
        <w:t xml:space="preserve"> </w:t>
      </w:r>
      <w:r>
        <w:t xml:space="preserve">5.2.1, Measures to Reduce High Operational Costs. The other respondent advocated for a</w:t>
      </w:r>
      <w:r>
        <w:t xml:space="preserve"> </w:t>
      </w:r>
      <w:r>
        <w:t xml:space="preserve">simplification of transparency and due diligence requirements. This concern is addressed in the</w:t>
      </w:r>
      <w:r>
        <w:t xml:space="preserve"> </w:t>
      </w:r>
      <w:r>
        <w:t xml:space="preserve">above Impact Assessment, see Section 7, Comparison and Preferred Combination of Policy</w:t>
      </w:r>
      <w:r>
        <w:t xml:space="preserve"> </w:t>
      </w:r>
      <w:r>
        <w:t xml:space="preserve">Options.</w:t>
      </w:r>
      <w:r>
        <w:br/>
      </w:r>
      <w:r>
        <w:t xml:space="preserve">3. One company was in favour of introducing more risk-sensitive prudential rules, including</w:t>
      </w:r>
      <w:r>
        <w:t xml:space="preserve"> </w:t>
      </w:r>
      <w:r>
        <w:t xml:space="preserve">recalibrating securitisation capital charges for banks and insurers. They highlighted the need</w:t>
      </w:r>
      <w:r>
        <w:t xml:space="preserve"> </w:t>
      </w:r>
      <w:r>
        <w:t xml:space="preserve">for capital rules that reflect the actual risks of securitisation exposures, to facilitate grater</w:t>
      </w:r>
      <w:r>
        <w:t xml:space="preserve"> </w:t>
      </w:r>
      <w:r>
        <w:t xml:space="preserve">investment, particularly for the climate and digital transitions. This concern is addressed in the</w:t>
      </w:r>
      <w:r>
        <w:t xml:space="preserve"> </w:t>
      </w:r>
      <w:r>
        <w:t xml:space="preserve">above Impact Assessment, see Section 7, Comparison and Preferred Combination of Policy</w:t>
      </w:r>
      <w:r>
        <w:t xml:space="preserve"> </w:t>
      </w:r>
      <w:r>
        <w:t xml:space="preserve">Options. Another company made the point that debtors must be given the first chance to</w:t>
      </w:r>
      <w:r>
        <w:t xml:space="preserve"> </w:t>
      </w:r>
      <w:r>
        <w:t xml:space="preserve">repurchase their securitised loans at the same price.</w:t>
      </w:r>
      <w:r>
        <w:br/>
      </w:r>
      <w:r>
        <w:t xml:space="preserve">4. The NGO respondent pointed out that while increased securitisation might free up additional</w:t>
      </w:r>
      <w:r>
        <w:t xml:space="preserve"> </w:t>
      </w:r>
      <w:r>
        <w:t xml:space="preserve">lending, this may not necessarily benefit green or sustainable investments, but may rather be</w:t>
      </w:r>
      <w:r>
        <w:t xml:space="preserve"> </w:t>
      </w:r>
      <w:r>
        <w:t xml:space="preserve">channelled towards polluting activities. It therefore called for mandatory rules for green</w:t>
      </w:r>
      <w:r>
        <w:t xml:space="preserve"> </w:t>
      </w:r>
      <w:r>
        <w:t xml:space="preserve">securitisations, and the establishment of environmental safeguards to avoid securitisation being</w:t>
      </w:r>
      <w:r>
        <w:t xml:space="preserve"> </w:t>
      </w:r>
      <w:r>
        <w:t xml:space="preserve">used for fossil fuel assets. Section 7.2 above discusses the current framework for green</w:t>
      </w:r>
      <w:r>
        <w:t xml:space="preserve"> </w:t>
      </w:r>
      <w:r>
        <w:t xml:space="preserve">securitisation.</w:t>
      </w:r>
      <w:r>
        <w:t xml:space="preserve"> </w:t>
      </w:r>
      <w:r>
        <w:t xml:space="preserve">5. A respondent identifying as “Other” (though representing companies in the investment and</w:t>
      </w:r>
      <w:r>
        <w:t xml:space="preserve"> </w:t>
      </w:r>
      <w:r>
        <w:t xml:space="preserve">pension fund sectors), called for a review of SECR and IFRS 9 to change how institutional</w:t>
      </w:r>
      <w:r>
        <w:t xml:space="preserve"> </w:t>
      </w:r>
      <w:r>
        <w:t xml:space="preserve">investors’ fund investments are treated, as current rules increase balance sheet volatility and</w:t>
      </w:r>
      <w:r>
        <w:t xml:space="preserve"> </w:t>
      </w:r>
      <w:r>
        <w:t xml:space="preserve">discourage investment. Any review or amendment to IFRS 9 is beyond the scope of this current</w:t>
      </w:r>
      <w:r>
        <w:t xml:space="preserve"> </w:t>
      </w:r>
      <w:r>
        <w:t xml:space="preserve">initiative.</w:t>
      </w:r>
      <w:r>
        <w:br/>
      </w:r>
      <w:r>
        <w:t xml:space="preserve">3 - Bilateral contacts with stakeholders</w:t>
      </w:r>
      <w:r>
        <w:t xml:space="preserve"> </w:t>
      </w:r>
      <w:r>
        <w:t xml:space="preserve">A wide range of bilateral contacts were held with various stakeholders during the preparation</w:t>
      </w:r>
      <w:r>
        <w:t xml:space="preserve"> </w:t>
      </w:r>
      <w:r>
        <w:t xml:space="preserve">of this initiative, mostly by videoconference. Consulted parties included issuers, investors,</w:t>
      </w:r>
      <w:r>
        <w:t xml:space="preserve"> </w:t>
      </w:r>
      <w:r>
        <w:t xml:space="preserve">sponsors, servicers, arrangers, third-party verifiers, data repositories, rating agencies, industry</w:t>
      </w:r>
      <w:r>
        <w:t xml:space="preserve"> </w:t>
      </w:r>
      <w:r>
        <w:t xml:space="preserve">associations, and competent authorities. For the most part, the stakeholders with whom the</w:t>
      </w:r>
      <w:r>
        <w:t xml:space="preserve"> </w:t>
      </w:r>
      <w:r>
        <w:t xml:space="preserve">Commission engaged bilaterally also responded to the targeted consultation, and their written</w:t>
      </w:r>
      <w:r>
        <w:t xml:space="preserve"> </w:t>
      </w:r>
      <w:r>
        <w:t xml:space="preserve">response to the survey captured or repeated the main messages they had previously conveyed</w:t>
      </w:r>
      <w:r>
        <w:t xml:space="preserve"> </w:t>
      </w:r>
      <w:r>
        <w:t xml:space="preserve">in the bilateral meetings.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4 - Stakeholder Workshop</w:t>
      </w:r>
      <w:r>
        <w:t xml:space="preserve"> </w:t>
      </w:r>
      <w:r>
        <w:t xml:space="preserve">On 3 July 2024, the Commission hosted a Securitisation Workshop, which invited 28</w:t>
      </w:r>
      <w:r>
        <w:t xml:space="preserve"> </w:t>
      </w:r>
      <w:r>
        <w:t xml:space="preserve">representatives of EU securitisation participants to an in-person event on the Commission’s</w:t>
      </w:r>
      <w:r>
        <w:t xml:space="preserve"> </w:t>
      </w:r>
      <w:r>
        <w:t xml:space="preserve">premises in Brussels, to share their views. The day-long discussion was split across three</w:t>
      </w:r>
      <w:r>
        <w:t xml:space="preserve"> </w:t>
      </w:r>
      <w:r>
        <w:t xml:space="preserve">panels: (i) EU securitisation market developments: focus on the issuers’ perspective; (ii)</w:t>
      </w:r>
      <w:r>
        <w:t xml:space="preserve"> </w:t>
      </w:r>
      <w:r>
        <w:t xml:space="preserve">Balancing safety and effectiveness of securitisation exposures: prudential requirements for</w:t>
      </w:r>
      <w:r>
        <w:t xml:space="preserve"> </w:t>
      </w:r>
      <w:r>
        <w:t xml:space="preserve">banks and insurers; and (iii) Decrypting the demand side: zooming into STS and due diligence.</w:t>
      </w:r>
      <w:r>
        <w:t xml:space="preserve"> </w:t>
      </w:r>
      <w:r>
        <w:t xml:space="preserve">Amongst attendees were representatives from the banking industry/associations, Ministries,</w:t>
      </w:r>
      <w:r>
        <w:t xml:space="preserve"> </w:t>
      </w:r>
      <w:r>
        <w:t xml:space="preserve">European Supervisory Authorities, the SSM, EIB, insurers, asset managers, and pension funds.</w:t>
      </w:r>
      <w:r>
        <w:t xml:space="preserve"> </w:t>
      </w:r>
      <w:r>
        <w:t xml:space="preserve">A summary of the main takeaways by topic is presented below.</w:t>
      </w:r>
      <w:r>
        <w:br/>
      </w:r>
      <w:r>
        <w:t xml:space="preserve">Improvements in disclosure and due diligence are nice to have, but changes in prudential</w:t>
      </w:r>
      <w:r>
        <w:t xml:space="preserve"> </w:t>
      </w:r>
      <w:r>
        <w:t xml:space="preserve">treatment for banks and insurers are a must-have. With the withdrawal of the ECB from the</w:t>
      </w:r>
      <w:r>
        <w:t xml:space="preserve"> </w:t>
      </w:r>
      <w:r>
        <w:t xml:space="preserve">market, participants reported a lack of senior investor base, leading to the market struggling to</w:t>
      </w:r>
      <w:r>
        <w:t xml:space="preserve"> </w:t>
      </w:r>
      <w:r>
        <w:t xml:space="preserve">absorb bigger transactions. Issuers reported that when it comes to placing a deal, the biggest</w:t>
      </w:r>
      <w:r>
        <w:t xml:space="preserve"> </w:t>
      </w:r>
      <w:r>
        <w:t xml:space="preserve">issue is finding investors for the senior tranche due to its size and low yield. Senior investors</w:t>
      </w:r>
      <w:r>
        <w:t xml:space="preserve"> </w:t>
      </w:r>
      <w:r>
        <w:t xml:space="preserve">are primarily banks and insurers which are weighted down by capital requirements which often</w:t>
      </w:r>
      <w:r>
        <w:t xml:space="preserve"> </w:t>
      </w:r>
      <w:r>
        <w:t xml:space="preserve">make investing in senior tranches unattractive compared to the yield. The absence of insurers</w:t>
      </w:r>
      <w:r>
        <w:t xml:space="preserve"> </w:t>
      </w:r>
      <w:r>
        <w:t xml:space="preserve">among senior investors was highlighted. UCITS regulation (the 10% issuing entity limit) also</w:t>
      </w:r>
      <w:r>
        <w:t xml:space="preserve"> </w:t>
      </w:r>
      <w:r>
        <w:t xml:space="preserve">seems to limit the ability of UCITS to participate more strongly in the market.</w:t>
      </w:r>
      <w:r>
        <w:t xml:space="preserve"> </w:t>
      </w:r>
      <w:r>
        <w:t xml:space="preserve">With regard to the prudential treatment for banks, some respondents called for a holistic</w:t>
      </w:r>
      <w:r>
        <w:t xml:space="preserve"> </w:t>
      </w:r>
      <w:r>
        <w:t xml:space="preserve">approach and suggested the following measures:</w:t>
      </w:r>
      <w:r>
        <w:br/>
      </w:r>
      <w:r>
        <w:t xml:space="preserve">• Introducing a risk-sensitive risk-weight floor was favoured by the floor as an idea</w:t>
      </w:r>
      <w:r>
        <w:t xml:space="preserve"> </w:t>
      </w:r>
      <w:r>
        <w:t xml:space="preserve">that can be introduced relatively quickly (quick-fix), could incentivise the</w:t>
      </w:r>
      <w:r>
        <w:t xml:space="preserve"> </w:t>
      </w:r>
      <w:r>
        <w:t xml:space="preserve">securitisation of low-RW assets and does not seem controversial.</w:t>
      </w:r>
      <w:r>
        <w:t xml:space="preserve"> </w:t>
      </w:r>
      <w:r>
        <w:t xml:space="preserve">• Revising the p-factor, on the other hand, would require more work (not a short-term</w:t>
      </w:r>
      <w:r>
        <w:t xml:space="preserve"> </w:t>
      </w:r>
      <w:r>
        <w:t xml:space="preserve">solution as it ideally has to go through Basel) and it might not have the desired</w:t>
      </w:r>
      <w:r>
        <w:t xml:space="preserve"> </w:t>
      </w:r>
      <w:r>
        <w:t xml:space="preserve">impact as it could incentivise banks to buy into riskier tranches.</w:t>
      </w:r>
      <w:r>
        <w:t xml:space="preserve"> </w:t>
      </w:r>
      <w:r>
        <w:t xml:space="preserve">• LCR treatment is an important factor but there does not seem to be consensus that</w:t>
      </w:r>
      <w:r>
        <w:t xml:space="preserve"> </w:t>
      </w:r>
      <w:r>
        <w:t xml:space="preserve">ABS positions are sufficiently liquid to deserve an upgrade in the LCR buckets.</w:t>
      </w:r>
      <w:r>
        <w:t xml:space="preserve"> </w:t>
      </w:r>
      <w:r>
        <w:t xml:space="preserve">Nevertheless, improvements could be made in this area, namely addressing the</w:t>
      </w:r>
      <w:r>
        <w:t xml:space="preserve"> </w:t>
      </w:r>
      <w:r>
        <w:t xml:space="preserve">haircuts that apply to ABS positions in the LCR buckets and the ratings cliff.</w:t>
      </w:r>
      <w:r>
        <w:t xml:space="preserve"> </w:t>
      </w:r>
      <w:r>
        <w:t xml:space="preserve">On the topic of prudential regulation for insurers, insurance industry representatives</w:t>
      </w:r>
      <w:r>
        <w:t xml:space="preserve"> </w:t>
      </w:r>
      <w:r>
        <w:t xml:space="preserve">acknowledged that due to the nature of their business, securitisation would remain a niche</w:t>
      </w:r>
      <w:r>
        <w:t xml:space="preserve"> </w:t>
      </w:r>
      <w:r>
        <w:t xml:space="preserve">investment in their portfolio. They argued that the impact of the Solvency II formulas on</w:t>
      </w:r>
      <w:r>
        <w:t xml:space="preserve"> </w:t>
      </w:r>
      <w:r>
        <w:t xml:space="preserve">securitisation investment is stronger than what supervisors perceive, even for internal-model</w:t>
      </w:r>
      <w:r>
        <w:t xml:space="preserve"> </w:t>
      </w:r>
      <w:r>
        <w:t xml:space="preserve">users which can be asked to justify significant deviation from standard formulas parameters.</w:t>
      </w:r>
      <w:r>
        <w:t xml:space="preserve"> </w:t>
      </w:r>
      <w:r>
        <w:t xml:space="preserve">The capital treatment of holding non-STS securitisation was viewed as both punitive and not</w:t>
      </w:r>
      <w:r>
        <w:t xml:space="preserve"> </w:t>
      </w:r>
      <w:r>
        <w:t xml:space="preserve">reflecting risk.</w:t>
      </w:r>
      <w:r>
        <w:br/>
      </w:r>
      <w:r>
        <w:t xml:space="preserve">The Securitisation Framework’s due diligence requirements were listed as a barrier for smaller</w:t>
      </w:r>
      <w:r>
        <w:t xml:space="preserve"> </w:t>
      </w:r>
      <w:r>
        <w:t xml:space="preserve">investors to enter the market. Compliance costs were reported as unduly high due to lack of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proportionality (e.g. repeat transactions with the same issuer and from the same programme</w:t>
      </w:r>
      <w:r>
        <w:t xml:space="preserve"> </w:t>
      </w:r>
      <w:r>
        <w:t xml:space="preserve">require the same due diligence).</w:t>
      </w:r>
      <w:r>
        <w:t xml:space="preserve"> </w:t>
      </w:r>
      <w:r>
        <w:t xml:space="preserve">On transparency disclosure, various, sometimes conflicting, points were made from different</w:t>
      </w:r>
      <w:r>
        <w:t xml:space="preserve"> </w:t>
      </w:r>
      <w:r>
        <w:t xml:space="preserve">market participants. For synthetic and other private securitisation investors, the standard</w:t>
      </w:r>
      <w:r>
        <w:t xml:space="preserve"> </w:t>
      </w:r>
      <w:r>
        <w:t xml:space="preserve">templates were not seen to be useful, and investors reported that they obtain the necessary</w:t>
      </w:r>
      <w:r>
        <w:t xml:space="preserve"> </w:t>
      </w:r>
      <w:r>
        <w:t xml:space="preserve">transparency information through bilateral negotiation rather than relying on the standard</w:t>
      </w:r>
      <w:r>
        <w:t xml:space="preserve"> </w:t>
      </w:r>
      <w:r>
        <w:t xml:space="preserve">templates. Other investors viewed access to standardised information as important: the more</w:t>
      </w:r>
      <w:r>
        <w:t xml:space="preserve"> </w:t>
      </w:r>
      <w:r>
        <w:t xml:space="preserve">information available via the repositories, the better. A supervisor highlighted that the</w:t>
      </w:r>
      <w:r>
        <w:t xml:space="preserve"> </w:t>
      </w:r>
      <w:r>
        <w:t xml:space="preserve">templates should better reflect investor’s basic needs and should be more developed in</w:t>
      </w:r>
      <w:r>
        <w:t xml:space="preserve"> </w:t>
      </w:r>
      <w:r>
        <w:t xml:space="preserve">cooperation with the industry.</w:t>
      </w:r>
      <w:r>
        <w:t xml:space="preserve"> </w:t>
      </w:r>
      <w:r>
        <w:t xml:space="preserve">Participants requested that synthetic securitisation not be neglected in any forthcoming review</w:t>
      </w:r>
      <w:r>
        <w:t xml:space="preserve"> </w:t>
      </w:r>
      <w:r>
        <w:t xml:space="preserve">of the Framework. While they highlighted the importance of reviving the cash segment,</w:t>
      </w:r>
      <w:r>
        <w:t xml:space="preserve"> </w:t>
      </w:r>
      <w:r>
        <w:t xml:space="preserve">synthetic transactions also contribute toward financing the real economy. No obvious avenues</w:t>
      </w:r>
      <w:r>
        <w:t xml:space="preserve"> </w:t>
      </w:r>
      <w:r>
        <w:t xml:space="preserve">were highlighted to increase the use of Simple, Transparent and Standardised (STS)</w:t>
      </w:r>
      <w:r>
        <w:t xml:space="preserve"> </w:t>
      </w:r>
      <w:r>
        <w:t xml:space="preserve">securitisation or to scale up the market through the use of STS.</w:t>
      </w:r>
      <w:r>
        <w:br/>
      </w:r>
      <w:r>
        <w:t xml:space="preserve">While participants reported investor demand for SME/corporate loan securitisation, access to</w:t>
      </w:r>
      <w:r>
        <w:t xml:space="preserve"> </w:t>
      </w:r>
      <w:r>
        <w:t xml:space="preserve">the right information for due diligence was cited as a challenge. Investors tend to be more</w:t>
      </w:r>
      <w:r>
        <w:t xml:space="preserve"> </w:t>
      </w:r>
      <w:r>
        <w:t xml:space="preserve">comfortable when the securitised portfolios involve long-standing clients of the originating</w:t>
      </w:r>
      <w:r>
        <w:t xml:space="preserve"> </w:t>
      </w:r>
      <w:r>
        <w:t xml:space="preserve">bank(s). SME loans were viewed as more likely to be securitised synthetically. Finally, some</w:t>
      </w:r>
      <w:r>
        <w:t xml:space="preserve"> </w:t>
      </w:r>
      <w:r>
        <w:t xml:space="preserve">respondents pointed out that as SMEs are part of all market segments (trade receivables,</w:t>
      </w:r>
      <w:r>
        <w:t xml:space="preserve"> </w:t>
      </w:r>
      <w:r>
        <w:t xml:space="preserve">leases), incentivising securitisation across the board will also benefit SMEs (e.g. an SME that</w:t>
      </w:r>
      <w:r>
        <w:t xml:space="preserve"> </w:t>
      </w:r>
      <w:r>
        <w:t xml:space="preserve">borrows using real estate as collateral will not appear on the banking book as an SME loan but</w:t>
      </w:r>
      <w:r>
        <w:t xml:space="preserve"> </w:t>
      </w:r>
      <w:r>
        <w:t xml:space="preserve">rather as a mortgage loan).</w:t>
      </w:r>
      <w:r>
        <w:br/>
      </w:r>
      <w:r>
        <w:t xml:space="preserve">The Commission services invited workshop participants to provide their views through the</w:t>
      </w:r>
      <w:r>
        <w:t xml:space="preserve"> </w:t>
      </w:r>
      <w:r>
        <w:t xml:space="preserve">targeted consultation that would follow, which would be duly considered in the preparation of</w:t>
      </w:r>
      <w:r>
        <w:t xml:space="preserve"> </w:t>
      </w:r>
      <w:r>
        <w:t xml:space="preserve">the impact assessment and any ensuing legislative proposal.</w:t>
      </w:r>
      <w:r>
        <w:br/>
      </w:r>
      <w:r>
        <w:t xml:space="preserve">5 - Input from the ESAs and ESRB</w:t>
      </w:r>
      <w:r>
        <w:br/>
      </w:r>
      <w:r>
        <w:t xml:space="preserve">The ESAs were consulted and carried out important analytical that fed our analysis. In</w:t>
      </w:r>
      <w:r>
        <w:t xml:space="preserve"> </w:t>
      </w:r>
      <w:r>
        <w:t xml:space="preserve">particular, the 2021 Art. 44 Joint Committee report on the implementation and functioning of</w:t>
      </w:r>
      <w:r>
        <w:t xml:space="preserve"> </w:t>
      </w:r>
      <w:r>
        <w:t xml:space="preserve">the Securitisation Regulation87 which focused on the implementation of the general</w:t>
      </w:r>
      <w:r>
        <w:t xml:space="preserve"> </w:t>
      </w:r>
      <w:r>
        <w:t xml:space="preserve">requirements applicable to securitisations, including the risk retention, due-diligence and</w:t>
      </w:r>
      <w:r>
        <w:t xml:space="preserve"> </w:t>
      </w:r>
      <w:r>
        <w:t xml:space="preserve">transparency requirements as well as on the specific requirements related to STS</w:t>
      </w:r>
      <w:r>
        <w:t xml:space="preserve"> </w:t>
      </w:r>
      <w:r>
        <w:t xml:space="preserve">securitisations. The Joint Committee has been working on its second report due for publication</w:t>
      </w:r>
      <w:r>
        <w:t xml:space="preserve"> </w:t>
      </w:r>
      <w:r>
        <w:t xml:space="preserve">by early 2025. The expert discussions that took place in the preparation and drafting of this</w:t>
      </w:r>
      <w:r>
        <w:t xml:space="preserve"> </w:t>
      </w:r>
      <w:r>
        <w:t xml:space="preserve">document have also informed our reasoning. Another important contribution came from the</w:t>
      </w:r>
      <w:r>
        <w:t xml:space="preserve"> </w:t>
      </w:r>
      <w:r>
        <w:t xml:space="preserve">findings of the ESAs opinion on the jurisdictional scope of the Securitisation Regulation88 and</w:t>
      </w:r>
      <w:r>
        <w:t xml:space="preserve"> </w:t>
      </w:r>
      <w:r>
        <w:t xml:space="preserve">the compliance challenges that such jurisdictional scope posed for market participants.</w:t>
      </w:r>
    </w:p>
    <w:p>
      <w:pPr>
        <w:pStyle w:val="BodyText"/>
      </w:pPr>
      <w:r>
        <w:t xml:space="preserve">87https://www.eiopa.europa.eu/system/files/2021-05/jc-2021-31-jc-report-on-the-implementation-and-</w:t>
      </w:r>
      <w:r>
        <w:t xml:space="preserve"> </w:t>
      </w:r>
      <w:r>
        <w:t xml:space="preserve">functioning-of-the-securitisation-regulation.pdf</w:t>
      </w:r>
      <w:r>
        <w:t xml:space="preserve"> </w:t>
      </w:r>
      <w:r>
        <w:t xml:space="preserve">88https://www.esma.europa.eu/sites/default/files/library/jc_2021_16_-</w:t>
      </w:r>
      <w:r>
        <w:t xml:space="preserve"> </w:t>
      </w:r>
      <w:r>
        <w:t xml:space="preserve">_esas_opinion_on_jurisdictional_scope_of_application_of_the_securitisation_regulation_003.pdf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Another important input has been the ESAs’ Joint Committee advice on the review of the</w:t>
      </w:r>
      <w:r>
        <w:t xml:space="preserve"> </w:t>
      </w:r>
      <w:r>
        <w:t xml:space="preserve">securitisation prudential framework89, which was published in December 2022 in response to</w:t>
      </w:r>
      <w:r>
        <w:t xml:space="preserve"> </w:t>
      </w:r>
      <w:r>
        <w:t xml:space="preserve">the call for advice from the European Commission of October 2021. The Joint Committee</w:t>
      </w:r>
      <w:r>
        <w:t xml:space="preserve"> </w:t>
      </w:r>
      <w:r>
        <w:t xml:space="preserve">report assessed the performance of the rules on capital requirements (for banks, insurance and</w:t>
      </w:r>
      <w:r>
        <w:t xml:space="preserve"> </w:t>
      </w:r>
      <w:r>
        <w:t xml:space="preserve">reinsurance undertakings) and liquidity requirements (for banks) with respect to the</w:t>
      </w:r>
      <w:r>
        <w:t xml:space="preserve"> </w:t>
      </w:r>
      <w:r>
        <w:t xml:space="preserve">framework’s original objective of contributing to the sound revival of the EU securitisation</w:t>
      </w:r>
      <w:r>
        <w:t xml:space="preserve"> </w:t>
      </w:r>
      <w:r>
        <w:t xml:space="preserve">framework.</w:t>
      </w:r>
      <w:r>
        <w:t xml:space="preserve"> </w:t>
      </w:r>
      <w:r>
        <w:t xml:space="preserve">Finally, the insights from the 2022 European Systemic Risk Board’ report “Monitoring</w:t>
      </w:r>
      <w:r>
        <w:t xml:space="preserve"> </w:t>
      </w:r>
      <w:r>
        <w:t xml:space="preserve">systemic risks in the EU securitisation market”90 on the financial stability implications of the</w:t>
      </w:r>
      <w:r>
        <w:t xml:space="preserve"> </w:t>
      </w:r>
      <w:r>
        <w:t xml:space="preserve">EU securitisation market have also helped the assessment.</w:t>
      </w:r>
      <w:r>
        <w:br/>
      </w:r>
      <w:r>
        <w:t xml:space="preserve">5 - Input from Member States</w:t>
      </w:r>
      <w:r>
        <w:t xml:space="preserve"> </w:t>
      </w:r>
      <w:r>
        <w:t xml:space="preserve">National authorities were consulted in the framework of the Eurogroup Working Group+</w:t>
      </w:r>
      <w:r>
        <w:t xml:space="preserve"> </w:t>
      </w:r>
      <w:r>
        <w:t xml:space="preserve">(EWG+), and the Council Financial Services Committee (FSC). Several Member States also</w:t>
      </w:r>
      <w:r>
        <w:t xml:space="preserve"> </w:t>
      </w:r>
      <w:r>
        <w:t xml:space="preserve">replied to the Targeted Consultation above through their finance ministries or central banks</w:t>
      </w:r>
      <w:r>
        <w:t xml:space="preserve"> </w:t>
      </w:r>
      <w:r>
        <w:t xml:space="preserve">(FI, FR, IT, ES, DK, NL, BE, PL).</w:t>
      </w:r>
    </w:p>
    <w:p>
      <w:pPr>
        <w:pStyle w:val="BodyText"/>
      </w:pPr>
      <w:r>
        <w:t xml:space="preserve">Overall, Member States (expressing their views in the FSC and the EWG+) showed general</w:t>
      </w:r>
      <w:r>
        <w:t xml:space="preserve"> </w:t>
      </w:r>
      <w:r>
        <w:t xml:space="preserve">willingness to reduce the operational costs for issuers and investors. They are more split as</w:t>
      </w:r>
      <w:r>
        <w:t xml:space="preserve"> </w:t>
      </w:r>
      <w:r>
        <w:t xml:space="preserve">regards their appetite to reconsider prudential requirements for banks and insurers, and</w:t>
      </w:r>
      <w:r>
        <w:t xml:space="preserve"> </w:t>
      </w:r>
      <w:r>
        <w:t xml:space="preserve">generally are unwilling to deviate materially from the Basel standards. Member States reported</w:t>
      </w:r>
      <w:r>
        <w:t xml:space="preserve"> </w:t>
      </w:r>
      <w:r>
        <w:t xml:space="preserve">an openness to explore the potential benefits of a securitisation platform(s) as a measure to</w:t>
      </w:r>
      <w:r>
        <w:t xml:space="preserve"> </w:t>
      </w:r>
      <w:r>
        <w:t xml:space="preserve">facilitate standardisation of the market, but most expressed opposition to a platform based on</w:t>
      </w:r>
      <w:r>
        <w:t xml:space="preserve"> </w:t>
      </w:r>
      <w:r>
        <w:t xml:space="preserve">public guarantees (as in the US, where a significant part of the securitisation market is</w:t>
      </w:r>
      <w:r>
        <w:t xml:space="preserve"> </w:t>
      </w:r>
      <w:r>
        <w:t xml:space="preserve">guaranteed by Government-Supported Entities or GSEs, such as Fannie Mae and Freddie Mac).</w:t>
      </w:r>
    </w:p>
    <w:p>
      <w:pPr>
        <w:pStyle w:val="BodyText"/>
      </w:pPr>
      <w:r>
        <w:t xml:space="preserve">During the session of October 2024, the FSC discussed the issue of securitisation under the</w:t>
      </w:r>
      <w:r>
        <w:t xml:space="preserve"> </w:t>
      </w:r>
      <w:r>
        <w:t xml:space="preserve">agenda item: “Follow up on the future of CMU”. COM and ECB representatives introduced a</w:t>
      </w:r>
      <w:r>
        <w:t xml:space="preserve"> </w:t>
      </w:r>
      <w:r>
        <w:t xml:space="preserve">COM non-paper with a factual comparison of the securitisation frameworks in some selected</w:t>
      </w:r>
      <w:r>
        <w:t xml:space="preserve"> </w:t>
      </w:r>
      <w:r>
        <w:t xml:space="preserve">jurisdictions, that was developed at the rest of the FSC. There was overall a very extensive</w:t>
      </w:r>
      <w:r>
        <w:t xml:space="preserve"> </w:t>
      </w:r>
      <w:r>
        <w:t xml:space="preserve">debate, with almost all Members taking the floor, and commenting not only on the content of</w:t>
      </w:r>
      <w:r>
        <w:t xml:space="preserve"> </w:t>
      </w:r>
      <w:r>
        <w:t xml:space="preserve">the COM and ECB presentations, but also on what should be the focus of the upcoming reforms</w:t>
      </w:r>
      <w:r>
        <w:t xml:space="preserve"> </w:t>
      </w:r>
      <w:r>
        <w:t xml:space="preserve">on securitisation. The Members seem to be open to introducing proportionality in transparency</w:t>
      </w:r>
      <w:r>
        <w:t xml:space="preserve"> </w:t>
      </w:r>
      <w:r>
        <w:t xml:space="preserve">and due diligence requirements, and supporting the standardisation of the transactions, some</w:t>
      </w:r>
      <w:r>
        <w:t xml:space="preserve"> </w:t>
      </w:r>
      <w:r>
        <w:t xml:space="preserve">are open to look into Solvency treatment. Many Members suggested examining the demand</w:t>
      </w:r>
      <w:r>
        <w:t xml:space="preserve"> </w:t>
      </w:r>
      <w:r>
        <w:t xml:space="preserve">side as well (i.e. call for increasing the investor base in securitisation). Others expressed caution</w:t>
      </w:r>
      <w:r>
        <w:t xml:space="preserve"> </w:t>
      </w:r>
      <w:r>
        <w:t xml:space="preserve">with respect to changes in the prudential treatment. Some Members highlighted the reforms</w:t>
      </w:r>
      <w:r>
        <w:t xml:space="preserve"> </w:t>
      </w:r>
      <w:r>
        <w:t xml:space="preserve">should not endanger financial stability.</w:t>
      </w:r>
    </w:p>
    <w:p>
      <w:pPr>
        <w:pStyle w:val="BodyText"/>
      </w:pPr>
      <w:r>
        <w:t xml:space="preserve">89 ESAs publish joint advice to the EU Commission on the review of the securitisation prudential framework |</w:t>
      </w:r>
      <w:r>
        <w:t xml:space="preserve"> </w:t>
      </w:r>
      <w:r>
        <w:t xml:space="preserve">European Banking Authority</w:t>
      </w:r>
      <w:r>
        <w:t xml:space="preserve"> </w:t>
      </w:r>
      <w:r>
        <w:t xml:space="preserve">90 https://www.esrb.europa.eu/pub/pdf/reports/esrb.report_securisation.20220701~27958382b5.en.pdf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Many Members also commented on the issue of platform: generally, Members supported</w:t>
      </w:r>
      <w:r>
        <w:t xml:space="preserve"> </w:t>
      </w:r>
      <w:r>
        <w:t xml:space="preserve">platforms that support standardisation of the securitisation transactions, but were more cautious</w:t>
      </w:r>
      <w:r>
        <w:t xml:space="preserve"> </w:t>
      </w:r>
      <w:r>
        <w:t xml:space="preserve">as regards the platforms involving the state guarantees. Some Members highlighted it is</w:t>
      </w:r>
      <w:r>
        <w:t xml:space="preserve"> </w:t>
      </w:r>
      <w:r>
        <w:t xml:space="preserve">important to define target and objective of the reforms. The Chair concluded that some areas</w:t>
      </w:r>
      <w:r>
        <w:t xml:space="preserve"> </w:t>
      </w:r>
      <w:r>
        <w:t xml:space="preserve">may be more important than the prudential treatment and may have bigger impact on the EU</w:t>
      </w:r>
      <w:r>
        <w:t xml:space="preserve"> </w:t>
      </w:r>
      <w:r>
        <w:t xml:space="preserve">market (transparency, due diligence, supply and demand issues, standardisation etc), also</w:t>
      </w:r>
      <w:r>
        <w:t xml:space="preserve"> </w:t>
      </w:r>
      <w:r>
        <w:t xml:space="preserve">because of the specificity of the EU market where we have many synthetic transactions.</w:t>
      </w:r>
    </w:p>
    <w:p>
      <w:pPr>
        <w:pStyle w:val="BodyText"/>
      </w:pPr>
      <w:r>
        <w:t xml:space="preserve">During the FSC session of February 2025, the Commission shared preliminary feedback on</w:t>
      </w:r>
      <w:r>
        <w:t xml:space="preserve"> </w:t>
      </w:r>
      <w:r>
        <w:t xml:space="preserve">the results of the consultation on the Securitisation Framework, as set out in the Section 1 of</w:t>
      </w:r>
      <w:r>
        <w:t xml:space="preserve"> </w:t>
      </w:r>
      <w:r>
        <w:t xml:space="preserve">this Annex. Overall, views were expressed on both the conservative and ambitious side of</w:t>
      </w:r>
      <w:r>
        <w:t xml:space="preserve"> </w:t>
      </w:r>
      <w:r>
        <w:t xml:space="preserve">where to set the “cursor” for the ambition of the initiative. There was a clear consensus on the</w:t>
      </w:r>
      <w:r>
        <w:t xml:space="preserve"> </w:t>
      </w:r>
      <w:r>
        <w:t xml:space="preserve">need for action on the Framework, with Member States emphasising that any measures must</w:t>
      </w:r>
      <w:r>
        <w:t xml:space="preserve"> </w:t>
      </w:r>
      <w:r>
        <w:t xml:space="preserve">be evidence-based and balanced. On the platform and public guarantees, the issue needs further</w:t>
      </w:r>
      <w:r>
        <w:t xml:space="preserve"> </w:t>
      </w:r>
      <w:r>
        <w:t xml:space="preserve">analysis and the different approaches – national, EU-wide, or private – merit further discussion.</w:t>
      </w:r>
      <w:r>
        <w:t xml:space="preserve"> </w:t>
      </w:r>
      <w:r>
        <w:t xml:space="preserve">No clear picture emerged from respondents favourable or opposed to guarantees – many large</w:t>
      </w:r>
      <w:r>
        <w:t xml:space="preserve"> </w:t>
      </w:r>
      <w:r>
        <w:t xml:space="preserve">financial institutions on both sides of the debate, alongside NGOs and MS.</w:t>
      </w:r>
    </w:p>
    <w:p>
      <w:pPr>
        <w:pStyle w:val="BodyText"/>
      </w:pPr>
      <w:r>
        <w:t xml:space="preserve">During the session of 28 November 2024 EWG+ there was a high degree of convergence on</w:t>
      </w:r>
      <w:r>
        <w:t xml:space="preserve"> </w:t>
      </w:r>
      <w:r>
        <w:t xml:space="preserve">the issues to tackle: prudential regulation, reporting requirements, the need to simplify, to</w:t>
      </w:r>
      <w:r>
        <w:t xml:space="preserve"> </w:t>
      </w:r>
      <w:r>
        <w:t xml:space="preserve">correct an excessive reaction in previous round of legislation. On the Platform, preliminary</w:t>
      </w:r>
      <w:r>
        <w:t xml:space="preserve"> </w:t>
      </w:r>
      <w:r>
        <w:t xml:space="preserve">discussions at the EWG+ indicated very few Member States would favour a pan-European</w:t>
      </w:r>
      <w:r>
        <w:t xml:space="preserve"> </w:t>
      </w:r>
      <w:r>
        <w:t xml:space="preserve">platform with guarantees (national, supplemented by EU-level). For most Member States,</w:t>
      </w:r>
      <w:r>
        <w:t xml:space="preserve"> </w:t>
      </w:r>
      <w:r>
        <w:t xml:space="preserve">however, attaching public guarantees to securitisation issuance is a controversial topic. One</w:t>
      </w:r>
      <w:r>
        <w:t xml:space="preserve"> </w:t>
      </w:r>
      <w:r>
        <w:t xml:space="preserve">MS appeared to favour a market-led structure without guarantees.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ANNEX III: WHO IS AFFECTED AND HOW?</w:t>
      </w:r>
      <w:r>
        <w:br/>
      </w:r>
      <w:r>
        <w:t xml:space="preserve">1 - Practical implications of the initiative</w:t>
      </w:r>
      <w:r>
        <w:t xml:space="preserve"> </w:t>
      </w:r>
      <w:r>
        <w:t xml:space="preserve">This Annex summarises the costs and benefits of the preferred options, which address the</w:t>
      </w:r>
      <w:r>
        <w:t xml:space="preserve"> </w:t>
      </w:r>
      <w:r>
        <w:t xml:space="preserve">following problems identified in chapter 2:</w:t>
      </w:r>
      <w:r>
        <w:br/>
      </w:r>
      <w:r>
        <w:t xml:space="preserve">• Problem 1: High operational costs for all issuers and investors</w:t>
      </w:r>
      <w:r>
        <w:br/>
      </w:r>
      <w:r>
        <w:t xml:space="preserve">• Problem 2: Undue prudential barriers for banks to issue and invest in securitisation</w:t>
      </w:r>
      <w:r>
        <w:t xml:space="preserve"> </w:t>
      </w:r>
      <w:r>
        <w:t xml:space="preserve">• Problem 3: Undue prudential costs for insurers to invest in the EU securitisation market</w:t>
      </w:r>
      <w:r>
        <w:t xml:space="preserve"> </w:t>
      </w:r>
      <w:r>
        <w:t xml:space="preserve">In order to address the identified problems, a combination of three policy options is chosen</w:t>
      </w:r>
      <w:r>
        <w:t xml:space="preserve"> </w:t>
      </w:r>
      <w:r>
        <w:t xml:space="preserve">(see Section 5 for a detailed description and Section 6 for an assessment): Option 1.1 targeted</w:t>
      </w:r>
      <w:r>
        <w:t xml:space="preserve"> </w:t>
      </w:r>
      <w:r>
        <w:t xml:space="preserve">measures to reduce high operational costs, Option 2.1 targeted changes to existing prudential</w:t>
      </w:r>
      <w:r>
        <w:t xml:space="preserve"> </w:t>
      </w:r>
      <w:r>
        <w:t xml:space="preserve">(capital and liquidity) framework for banks, and Option 3.2 improving risk sensitivity and</w:t>
      </w:r>
      <w:r>
        <w:t xml:space="preserve"> </w:t>
      </w:r>
      <w:r>
        <w:t xml:space="preserve">removing prudential barriers to investments by insurers in the safest tranches of non-STS</w:t>
      </w:r>
      <w:r>
        <w:t xml:space="preserve"> </w:t>
      </w:r>
      <w:r>
        <w:t xml:space="preserve">securitisation.</w:t>
      </w:r>
      <w:r>
        <w:t xml:space="preserve"> </w:t>
      </w:r>
      <w:r>
        <w:t xml:space="preserve">Under option 1.1., issuers (originators, sponsors and SSPEs) would have to disclose</w:t>
      </w:r>
      <w:r>
        <w:t xml:space="preserve"> </w:t>
      </w:r>
      <w:r>
        <w:t xml:space="preserve">information for their securitisations using simpler templates than under the baseline.</w:t>
      </w:r>
      <w:r>
        <w:t xml:space="preserve"> </w:t>
      </w:r>
      <w:r>
        <w:t xml:space="preserve">Consequently, issuers would have to adapt their reporting systems. Investors would carry out</w:t>
      </w:r>
      <w:r>
        <w:t xml:space="preserve"> </w:t>
      </w:r>
      <w:r>
        <w:t xml:space="preserve">lighter and more proportionate due diligence on their securitisation investments.</w:t>
      </w:r>
      <w:r>
        <w:t xml:space="preserve"> </w:t>
      </w:r>
      <w:r>
        <w:t xml:space="preserve">Under option 2.1 banks would be subject to more risk sensitive capital requirements for</w:t>
      </w:r>
      <w:r>
        <w:t xml:space="preserve"> </w:t>
      </w:r>
      <w:r>
        <w:t xml:space="preserve">securitisation positions. In addition, banks would be able to hold a broader set of securitisations</w:t>
      </w:r>
      <w:r>
        <w:t xml:space="preserve"> </w:t>
      </w:r>
      <w:r>
        <w:t xml:space="preserve">for their liquidity buffers. Finally, option 2.1 banks would be able to benefit from faster and</w:t>
      </w:r>
      <w:r>
        <w:t xml:space="preserve"> </w:t>
      </w:r>
      <w:r>
        <w:t xml:space="preserve">more coherent process of supervisory assessment of transactions’ eligibility for capital relief.</w:t>
      </w:r>
      <w:r>
        <w:t xml:space="preserve"> </w:t>
      </w:r>
      <w:r>
        <w:t xml:space="preserve">Under Option 3.2, insurers would apply differentiated capital requirements for their</w:t>
      </w:r>
      <w:r>
        <w:t xml:space="preserve"> </w:t>
      </w:r>
      <w:r>
        <w:t xml:space="preserve">investments into senior and non-senior tranches of non-STS securitisations.</w:t>
      </w:r>
      <w:r>
        <w:t xml:space="preserve"> </w:t>
      </w:r>
      <w:r>
        <w:t xml:space="preserve">2 - Summary of costs and benefits</w:t>
      </w:r>
      <w:r>
        <w:t xml:space="preserve"> </w:t>
      </w:r>
      <w:r>
        <w:t xml:space="preserve">The figures below summarise first the costs and benefits of the preferred option:</w:t>
      </w:r>
      <w:r>
        <w:br/>
      </w:r>
      <w:r>
        <w:t xml:space="preserve">• Figure 7: Provides an overview of benefits of the preferred combination of policy</w:t>
      </w:r>
      <w:r>
        <w:t xml:space="preserve"> </w:t>
      </w:r>
      <w:r>
        <w:t xml:space="preserve">options.</w:t>
      </w:r>
      <w:r>
        <w:t xml:space="preserve"> </w:t>
      </w:r>
      <w:r>
        <w:t xml:space="preserve">• Figure 8: Summarises the costs of the preferred combination of policy options</w:t>
      </w:r>
      <w:r>
        <w:t xml:space="preserve"> </w:t>
      </w:r>
      <w:r>
        <w:t xml:space="preserve">• Figure 9: Summarises the administrative cost changes of the preferred combination of</w:t>
      </w:r>
      <w:r>
        <w:t xml:space="preserve"> </w:t>
      </w:r>
      <w:r>
        <w:t xml:space="preserve">policy options for the one-in-one-out calculator</w:t>
      </w:r>
      <w:r>
        <w:t xml:space="preserve"> </w:t>
      </w:r>
      <w:r>
        <w:t xml:space="preserve">• Figure 10: Summarises the costs and benefits of the baseline scenario of the current</w:t>
      </w:r>
      <w:r>
        <w:t xml:space="preserve"> </w:t>
      </w:r>
      <w:r>
        <w:t xml:space="preserve">Securitisation Regulation (based on the Evaluation)</w:t>
      </w:r>
      <w:r>
        <w:t xml:space="preserve"> </w:t>
      </w:r>
      <w:r>
        <w:t xml:space="preserve">• Figure 11: Shows how the preferred combination of policy options might impact the</w:t>
      </w:r>
      <w:r>
        <w:t xml:space="preserve"> </w:t>
      </w:r>
      <w:r>
        <w:t xml:space="preserve">sustainable development goals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Figure 7:</w:t>
      </w:r>
      <w:r>
        <w:br/>
      </w:r>
      <w:r>
        <w:t xml:space="preserve">Overview benefits of the preferred combination of policy options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Reduction of operational costs for due</w:t>
      </w:r>
      <w:r>
        <w:t xml:space="preserve"> </w:t>
      </w:r>
      <w:r>
        <w:t xml:space="preserve">diligence and transparency require-</w:t>
      </w:r>
      <w:r>
        <w:t xml:space="preserve"> </w:t>
      </w:r>
      <w:r>
        <w:t xml:space="preserve">ments Articles 5 and 7 of SECR</w:t>
      </w:r>
      <w:r>
        <w:br/>
      </w:r>
      <w:r>
        <w:t xml:space="preserve">EUR 310 million p.a.</w:t>
      </w:r>
      <w:r>
        <w:t xml:space="preserve"> </w:t>
      </w:r>
      <w:r>
        <w:t xml:space="preserve">of recurring costs</w:t>
      </w:r>
      <w:r>
        <w:t xml:space="preserve"> </w:t>
      </w:r>
      <w:r>
        <w:t xml:space="preserve">For a detailed explanation of the cost savings see “Details of costs and benefits” section below.</w:t>
      </w:r>
      <w:r>
        <w:t xml:space="preserve"> </w:t>
      </w:r>
      <w:r>
        <w:t xml:space="preserve">Removal of undue prudential</w:t>
      </w:r>
      <w:r>
        <w:t xml:space="preserve"> </w:t>
      </w:r>
      <w:r>
        <w:t xml:space="preserve">barriers and increase of risk</w:t>
      </w:r>
      <w:r>
        <w:t xml:space="preserve"> </w:t>
      </w:r>
      <w:r>
        <w:t xml:space="preserve">sensitivity of the capital</w:t>
      </w:r>
      <w:r>
        <w:t xml:space="preserve"> </w:t>
      </w:r>
      <w:r>
        <w:t xml:space="preserve">requirements for banks</w:t>
      </w:r>
      <w:r>
        <w:t xml:space="preserve"> </w:t>
      </w:r>
      <w:r>
        <w:t xml:space="preserve">Expected reduction of</w:t>
      </w:r>
      <w:r>
        <w:t xml:space="preserve"> </w:t>
      </w:r>
      <w:r>
        <w:t xml:space="preserve">capital requirements</w:t>
      </w:r>
      <w:r>
        <w:t xml:space="preserve"> </w:t>
      </w:r>
      <w:r>
        <w:t xml:space="preserve">for senior tranches, to</w:t>
      </w:r>
      <w:r>
        <w:t xml:space="preserve"> </w:t>
      </w:r>
      <w:r>
        <w:t xml:space="preserve">which banks are most</w:t>
      </w:r>
      <w:r>
        <w:t xml:space="preserve"> </w:t>
      </w:r>
      <w:r>
        <w:t xml:space="preserve">exposed to, by one</w:t>
      </w:r>
      <w:r>
        <w:t xml:space="preserve"> </w:t>
      </w:r>
      <w:r>
        <w:t xml:space="preserve">third</w:t>
      </w:r>
      <w:r>
        <w:t xml:space="preserve"> </w:t>
      </w:r>
      <w:r>
        <w:t xml:space="preserve">Making capital requirements for securitisation more risk-sensitive will reduce the</w:t>
      </w:r>
      <w:r>
        <w:t xml:space="preserve"> </w:t>
      </w:r>
      <w:r>
        <w:t xml:space="preserve">amount of capital requirements for banks’ securitisation exposures in some cases, but the</w:t>
      </w:r>
      <w:r>
        <w:t xml:space="preserve"> </w:t>
      </w:r>
      <w:r>
        <w:t xml:space="preserve">overall level of capitalisation is expected to remain prudent and proportionate and risk-</w:t>
      </w:r>
      <w:r>
        <w:t xml:space="preserve"> </w:t>
      </w:r>
      <w:r>
        <w:t xml:space="preserve">sensitive to the associated risks.</w:t>
      </w:r>
      <w:r>
        <w:t xml:space="preserve"> </w:t>
      </w:r>
      <w:r>
        <w:t xml:space="preserve">More consistent liquidity framework</w:t>
      </w:r>
      <w:r>
        <w:t xml:space="preserve"> </w:t>
      </w:r>
      <w:r>
        <w:t xml:space="preserve">in banking</w:t>
      </w:r>
      <w:r>
        <w:t xml:space="preserve"> </w:t>
      </w:r>
      <w:r>
        <w:t xml:space="preserve">Not quantifiable</w:t>
      </w:r>
      <w:r>
        <w:t xml:space="preserve"> </w:t>
      </w:r>
      <w:r>
        <w:t xml:space="preserve">The changes would strengthen the incentives for banks to invest in publicly traded STS</w:t>
      </w:r>
      <w:r>
        <w:t xml:space="preserve"> </w:t>
      </w:r>
      <w:r>
        <w:t xml:space="preserve">traditional securitisations, would help diversify banks’ liquidity buffers and would</w:t>
      </w:r>
      <w:r>
        <w:t xml:space="preserve"> </w:t>
      </w:r>
      <w:r>
        <w:t xml:space="preserve">increase the liquidity of this market segment. It is not possible to estimate banks’</w:t>
      </w:r>
      <w:r>
        <w:t xml:space="preserve"> </w:t>
      </w:r>
      <w:r>
        <w:t xml:space="preserve">behavioural changes in a reliable way and the exact impact is therefore not quantifiable.</w:t>
      </w:r>
      <w:r>
        <w:t xml:space="preserve"> </w:t>
      </w:r>
      <w:r>
        <w:t xml:space="preserve">Increased robustness and efficiency</w:t>
      </w:r>
      <w:r>
        <w:t xml:space="preserve"> </w:t>
      </w:r>
      <w:r>
        <w:t xml:space="preserve">of the SRT framework</w:t>
      </w:r>
      <w:r>
        <w:t xml:space="preserve"> </w:t>
      </w:r>
      <w:r>
        <w:t xml:space="preserve">Not quantifiable</w:t>
      </w:r>
      <w:r>
        <w:t xml:space="preserve"> </w:t>
      </w:r>
      <w:r>
        <w:t xml:space="preserve">The changes would increase the reliability and predictability of the supervisors’ SRT</w:t>
      </w:r>
      <w:r>
        <w:t xml:space="preserve"> </w:t>
      </w:r>
      <w:r>
        <w:t xml:space="preserve">assessments. They are expected to make the SRT framework more robust, introduce</w:t>
      </w:r>
      <w:r>
        <w:t xml:space="preserve"> </w:t>
      </w:r>
      <w:r>
        <w:t xml:space="preserve">more clarity and increase the efficiency of the supervisory assessment processes. The</w:t>
      </w:r>
      <w:r>
        <w:t xml:space="preserve"> </w:t>
      </w:r>
      <w:r>
        <w:t xml:space="preserve">changes are qualitative (improving the quality of the and are therefore not quantifiable.</w:t>
      </w:r>
      <w:r>
        <w:t xml:space="preserve"> </w:t>
      </w:r>
      <w:r>
        <w:t xml:space="preserve">The changes are qualitative (improving the quality of the SRT framework) and are</w:t>
      </w:r>
      <w:r>
        <w:t xml:space="preserve"> </w:t>
      </w:r>
      <w:r>
        <w:t xml:space="preserve">therefore not quantifiable.</w:t>
      </w:r>
      <w:r>
        <w:br/>
      </w:r>
      <w:r>
        <w:t xml:space="preserve">Improving risk sensitivity and</w:t>
      </w:r>
      <w:r>
        <w:t xml:space="preserve"> </w:t>
      </w:r>
      <w:r>
        <w:t xml:space="preserve">removing prudential barriers to</w:t>
      </w:r>
      <w:r>
        <w:t xml:space="preserve"> </w:t>
      </w:r>
      <w:r>
        <w:t xml:space="preserve">The capital relief is</w:t>
      </w:r>
      <w:r>
        <w:t xml:space="preserve"> </w:t>
      </w:r>
      <w:r>
        <w:t xml:space="preserve">estimated to be around</w:t>
      </w:r>
      <w:r>
        <w:t xml:space="preserve"> </w:t>
      </w:r>
      <w:r>
        <w:t xml:space="preserve">EUR 5.9 bn.</w:t>
      </w:r>
      <w:r>
        <w:t xml:space="preserve"> </w:t>
      </w:r>
      <w:r>
        <w:t xml:space="preserve">Undue prudential barriers to investments in senior non-STS securitisations and</w:t>
      </w:r>
      <w:r>
        <w:t xml:space="preserve"> </w:t>
      </w:r>
      <w:r>
        <w:t xml:space="preserve">incentives for excessive risk taking would be removed.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investments in the safest tranches of</w:t>
      </w:r>
      <w:r>
        <w:t xml:space="preserve"> </w:t>
      </w:r>
      <w:r>
        <w:t xml:space="preserve">non-STS securitisation by insurers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Facilitation of market entry</w:t>
      </w:r>
      <w:r>
        <w:t xml:space="preserve"> </w:t>
      </w:r>
      <w:r>
        <w:t xml:space="preserve">Not quantifiable</w:t>
      </w:r>
      <w:r>
        <w:t xml:space="preserve"> </w:t>
      </w:r>
      <w:r>
        <w:t xml:space="preserve">Details see below.</w:t>
      </w:r>
      <w:r>
        <w:t xml:space="preserve"> </w:t>
      </w:r>
      <w:r>
        <w:t xml:space="preserve">Increased issuance of securitisations</w:t>
      </w:r>
      <w:r>
        <w:t xml:space="preserve"> </w:t>
      </w:r>
      <w:r>
        <w:t xml:space="preserve">Not quantifiable</w:t>
      </w:r>
      <w:r>
        <w:t xml:space="preserve"> </w:t>
      </w:r>
      <w:r>
        <w:t xml:space="preserve">The removal of undue prudential barriers and the increased risk sensitivity of the capital</w:t>
      </w:r>
      <w:r>
        <w:t xml:space="preserve"> </w:t>
      </w:r>
      <w:r>
        <w:t xml:space="preserve">framework in banking are expected to boost issuance of securitisations.</w:t>
      </w:r>
      <w:r>
        <w:t xml:space="preserve"> </w:t>
      </w:r>
      <w:r>
        <w:t xml:space="preserve">Increased investments</w:t>
      </w:r>
      <w:r>
        <w:t xml:space="preserve"> </w:t>
      </w:r>
      <w:r>
        <w:t xml:space="preserve">in</w:t>
      </w:r>
      <w:r>
        <w:t xml:space="preserve"> </w:t>
      </w:r>
      <w:r>
        <w:t xml:space="preserve">senior</w:t>
      </w:r>
      <w:r>
        <w:t xml:space="preserve"> </w:t>
      </w:r>
      <w:r>
        <w:t xml:space="preserve">tranches of STS securitisations by</w:t>
      </w:r>
      <w:r>
        <w:t xml:space="preserve"> </w:t>
      </w:r>
      <w:r>
        <w:t xml:space="preserve">banks</w:t>
      </w:r>
      <w:r>
        <w:t xml:space="preserve"> </w:t>
      </w:r>
      <w:r>
        <w:t xml:space="preserve">Not quantifiable</w:t>
      </w:r>
      <w:r>
        <w:t xml:space="preserve"> </w:t>
      </w:r>
      <w:r>
        <w:t xml:space="preserve">The removal of undue barriers in the prudential and liquidity framework for banks is</w:t>
      </w:r>
      <w:r>
        <w:t xml:space="preserve"> </w:t>
      </w:r>
      <w:r>
        <w:t xml:space="preserve">expected to increase banks’ investments in senior tranches of STS securitisations.</w:t>
      </w:r>
      <w:r>
        <w:t xml:space="preserve"> </w:t>
      </w:r>
      <w:r>
        <w:t xml:space="preserve">Investment in senior tranches of non-</w:t>
      </w:r>
      <w:r>
        <w:t xml:space="preserve"> </w:t>
      </w:r>
      <w:r>
        <w:t xml:space="preserve">STS securitisations by insurers could</w:t>
      </w:r>
      <w:r>
        <w:t xml:space="preserve"> </w:t>
      </w:r>
      <w:r>
        <w:t xml:space="preserve">increase</w:t>
      </w:r>
      <w:r>
        <w:t xml:space="preserve"> </w:t>
      </w:r>
      <w:r>
        <w:t xml:space="preserve">Not quantifiable</w:t>
      </w:r>
      <w:r>
        <w:t xml:space="preserve"> </w:t>
      </w:r>
      <w:r>
        <w:t xml:space="preserve">Insurers’ investments in senior non-STS securitisations could increase if they decide to</w:t>
      </w:r>
      <w:r>
        <w:t xml:space="preserve"> </w:t>
      </w:r>
      <w:r>
        <w:t xml:space="preserve">use the capital relief for this purpose.</w:t>
      </w:r>
      <w:r>
        <w:t xml:space="preserve"> </w:t>
      </w:r>
      <w:r>
        <w:t xml:space="preserve">Participation of life insurance holders</w:t>
      </w:r>
      <w:r>
        <w:t xml:space="preserve"> </w:t>
      </w:r>
      <w:r>
        <w:t xml:space="preserve">in the returns of securitisation</w:t>
      </w:r>
      <w:r>
        <w:t xml:space="preserve"> </w:t>
      </w:r>
      <w:r>
        <w:t xml:space="preserve">investment</w:t>
      </w:r>
      <w:r>
        <w:t xml:space="preserve"> </w:t>
      </w:r>
      <w:r>
        <w:t xml:space="preserve">Not quantifiable</w:t>
      </w:r>
      <w:r>
        <w:t xml:space="preserve"> </w:t>
      </w:r>
      <w:r>
        <w:t xml:space="preserve">For life insurance, the lower due diligence requirements and the reduction in capital</w:t>
      </w:r>
      <w:r>
        <w:t xml:space="preserve"> </w:t>
      </w:r>
      <w:r>
        <w:t xml:space="preserve">requirements on non-STS senior tranches is conducive of more investments in non-STS</w:t>
      </w:r>
      <w:r>
        <w:t xml:space="preserve"> </w:t>
      </w:r>
      <w:r>
        <w:t xml:space="preserve">‘safe’ tranches and higher profits – which can still provide higher return on investments,</w:t>
      </w:r>
      <w:r>
        <w:t xml:space="preserve"> </w:t>
      </w:r>
      <w:r>
        <w:t xml:space="preserve">part of which has to be shared with policyholders (life policyholders are entitled to some</w:t>
      </w:r>
      <w:r>
        <w:t xml:space="preserve"> </w:t>
      </w:r>
      <w:r>
        <w:t xml:space="preserve">of the investment profits made by insurers). Life policyholders (consumers) can therefore</w:t>
      </w:r>
      <w:r>
        <w:t xml:space="preserve"> </w:t>
      </w:r>
      <w:r>
        <w:t xml:space="preserve">obtain higher return on their savings.</w:t>
      </w:r>
      <w:r>
        <w:t xml:space="preserve"> </w:t>
      </w:r>
      <w:r>
        <w:t xml:space="preserve">*Some elements are not quantifiable due to various reasons, such as (i) it is difficult to assess behavioural changes of market participants as a</w:t>
      </w:r>
      <w:r>
        <w:t xml:space="preserve"> </w:t>
      </w:r>
      <w:r>
        <w:t xml:space="preserve">result of the changed framework; (ii) the options include a series of measures including several parameters, rather than a single measure; and</w:t>
      </w:r>
      <w:r>
        <w:t xml:space="preserve"> </w:t>
      </w:r>
      <w:r>
        <w:t xml:space="preserve">(iii) a number of measures are qualitative (i.e. increasing the quality of the rules).</w:t>
      </w:r>
      <w:r>
        <w:br/>
      </w:r>
      <w:r>
        <w:t xml:space="preserve">(1) Estimates are gross values relative to the baseline for the preferred option as a whole (i.e. the impact of individual actions/obligations of the</w:t>
      </w:r>
      <w:r>
        <w:t xml:space="preserve"> </w:t>
      </w:r>
      <w:r>
        <w:t xml:space="preserve">preferred option are aggregated together); (2) Please indicate in the comments column which stakeholder group is the main recipient of the</w:t>
      </w:r>
      <w:r>
        <w:t xml:space="preserve"> </w:t>
      </w:r>
      <w:r>
        <w:t xml:space="preserve">benefit;(3) For reductions in regulatory costs, please describe in the comments column the details as to how the saving arises (e.g. reductions in</w:t>
      </w:r>
      <w:r>
        <w:t xml:space="preserve"> </w:t>
      </w:r>
      <w:r>
        <w:t xml:space="preserve">adjustment costs, administrative costs, regulatory charges, enforcement costs, etc.;);.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Figure 8:</w:t>
      </w:r>
      <w:r>
        <w:br/>
      </w:r>
      <w:r>
        <w:t xml:space="preserve">Overview costs – preferred option</w:t>
      </w:r>
    </w:p>
    <w:p>
      <w:pPr>
        <w:pStyle w:val="BodyText"/>
      </w:pPr>
      <w:r>
        <w:t xml:space="preserve">Citizens/ 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Targeted</w:t>
      </w:r>
      <w:r>
        <w:t xml:space="preserve"> </w:t>
      </w:r>
      <w:r>
        <w:t xml:space="preserve">measures to</w:t>
      </w:r>
      <w:r>
        <w:t xml:space="preserve"> </w:t>
      </w:r>
      <w:r>
        <w:t xml:space="preserve">reduce high</w:t>
      </w:r>
      <w:r>
        <w:t xml:space="preserve"> </w:t>
      </w:r>
      <w:r>
        <w:t xml:space="preserve">operational costs</w:t>
      </w:r>
      <w:r>
        <w:t xml:space="preserve"> </w:t>
      </w:r>
      <w:r>
        <w:t xml:space="preserve">in due diligence</w:t>
      </w:r>
      <w:r>
        <w:t xml:space="preserve"> </w:t>
      </w:r>
      <w:r>
        <w:t xml:space="preserve">and disclosure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– linked to the due</w:t>
      </w:r>
      <w:r>
        <w:t xml:space="preserve"> </w:t>
      </w:r>
      <w:r>
        <w:t xml:space="preserve">diligence and</w:t>
      </w:r>
      <w:r>
        <w:t xml:space="preserve"> </w:t>
      </w:r>
      <w:r>
        <w:t xml:space="preserve">transparency</w:t>
      </w:r>
      <w:r>
        <w:t xml:space="preserve"> </w:t>
      </w:r>
      <w:r>
        <w:t xml:space="preserve">requirements of Art.</w:t>
      </w:r>
      <w:r>
        <w:t xml:space="preserve"> </w:t>
      </w:r>
      <w:r>
        <w:t xml:space="preserve">5 and Art. 7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Implementation of</w:t>
      </w:r>
      <w:r>
        <w:t xml:space="preserve"> </w:t>
      </w:r>
      <w:r>
        <w:t xml:space="preserve">simplified reporting</w:t>
      </w:r>
      <w:r>
        <w:t xml:space="preserve"> </w:t>
      </w:r>
      <w:r>
        <w:t xml:space="preserve">template: EUR 33</w:t>
      </w:r>
      <w:r>
        <w:t xml:space="preserve"> </w:t>
      </w:r>
      <w:r>
        <w:t xml:space="preserve">million.</w:t>
      </w:r>
      <w:r>
        <w:t xml:space="preserve"> </w:t>
      </w:r>
      <w:r>
        <w:t xml:space="preserve">Additional</w:t>
      </w:r>
      <w:r>
        <w:t xml:space="preserve"> </w:t>
      </w:r>
      <w:r>
        <w:t xml:space="preserve">reporting of</w:t>
      </w:r>
      <w:r>
        <w:t xml:space="preserve"> </w:t>
      </w:r>
      <w:r>
        <w:t xml:space="preserve">private</w:t>
      </w:r>
      <w:r>
        <w:t xml:space="preserve"> </w:t>
      </w:r>
      <w:r>
        <w:t xml:space="preserve">transactions to</w:t>
      </w:r>
      <w:r>
        <w:t xml:space="preserve"> </w:t>
      </w:r>
      <w:r>
        <w:t xml:space="preserve">securitisation</w:t>
      </w:r>
      <w:r>
        <w:t xml:space="preserve"> </w:t>
      </w:r>
      <w:r>
        <w:t xml:space="preserve">repositories:</w:t>
      </w:r>
      <w:r>
        <w:t xml:space="preserve"> </w:t>
      </w:r>
      <w:r>
        <w:t xml:space="preserve">EUR 7 million</w:t>
      </w:r>
      <w:r>
        <w:t xml:space="preserve"> </w:t>
      </w:r>
      <w:r>
        <w:t xml:space="preserve">p.a.</w:t>
      </w:r>
      <w:r>
        <w:t xml:space="preserve"> </w:t>
      </w:r>
      <w:r>
        <w:t xml:space="preserve">None</w:t>
      </w:r>
      <w:r>
        <w:t xml:space="preserve"> </w:t>
      </w:r>
      <w:r>
        <w:t xml:space="preserve">Supervisors will</w:t>
      </w:r>
      <w:r>
        <w:t xml:space="preserve"> </w:t>
      </w:r>
      <w:r>
        <w:t xml:space="preserve">have to spend</w:t>
      </w:r>
      <w:r>
        <w:t xml:space="preserve"> </w:t>
      </w:r>
      <w:r>
        <w:t xml:space="preserve">more resources</w:t>
      </w:r>
      <w:r>
        <w:t xml:space="preserve"> </w:t>
      </w:r>
      <w:r>
        <w:t xml:space="preserve">to understand</w:t>
      </w:r>
      <w:r>
        <w:t xml:space="preserve"> </w:t>
      </w:r>
      <w:r>
        <w:t xml:space="preserve">risk management</w:t>
      </w:r>
      <w:r>
        <w:t xml:space="preserve"> </w:t>
      </w:r>
      <w:r>
        <w:t xml:space="preserve">practices. Costs</w:t>
      </w:r>
      <w:r>
        <w:t xml:space="preserve"> </w:t>
      </w:r>
      <w:r>
        <w:t xml:space="preserve">are not</w:t>
      </w:r>
      <w:r>
        <w:t xml:space="preserve"> </w:t>
      </w:r>
      <w:r>
        <w:t xml:space="preserve">quantifiable.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 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Citizens/ 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Targeted</w:t>
      </w:r>
      <w:r>
        <w:t xml:space="preserve"> </w:t>
      </w:r>
      <w:r>
        <w:t xml:space="preserve">changes to</w:t>
      </w:r>
      <w:r>
        <w:t xml:space="preserve"> </w:t>
      </w:r>
      <w:r>
        <w:t xml:space="preserve">the capital</w:t>
      </w:r>
      <w:r>
        <w:t xml:space="preserve"> </w:t>
      </w:r>
      <w:r>
        <w:t xml:space="preserve">and</w:t>
      </w:r>
      <w:r>
        <w:t xml:space="preserve"> </w:t>
      </w:r>
      <w:r>
        <w:t xml:space="preserve">liquidity</w:t>
      </w:r>
      <w:r>
        <w:t xml:space="preserve"> </w:t>
      </w:r>
      <w:r>
        <w:t xml:space="preserve">prudential</w:t>
      </w:r>
      <w:r>
        <w:t xml:space="preserve"> </w:t>
      </w:r>
      <w:r>
        <w:t xml:space="preserve">framework</w:t>
      </w:r>
      <w:r>
        <w:t xml:space="preserve"> </w:t>
      </w:r>
      <w:r>
        <w:t xml:space="preserve">for banks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Minor</w:t>
      </w:r>
      <w:r>
        <w:t xml:space="preserve"> </w:t>
      </w:r>
      <w:r>
        <w:t xml:space="preserve">implemen-</w:t>
      </w:r>
      <w:r>
        <w:t xml:space="preserve"> </w:t>
      </w:r>
      <w:r>
        <w:t xml:space="preserve">tation costs</w:t>
      </w:r>
      <w:r>
        <w:t xml:space="preserve"> </w:t>
      </w:r>
      <w:r>
        <w:t xml:space="preserve">for banks</w:t>
      </w:r>
      <w:r>
        <w:t xml:space="preserve"> </w:t>
      </w:r>
      <w:r>
        <w:t xml:space="preserve">(negligible)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Costs for supervisors</w:t>
      </w:r>
      <w:r>
        <w:t xml:space="preserve"> </w:t>
      </w:r>
      <w:r>
        <w:t xml:space="preserve">to adapt their metho-</w:t>
      </w:r>
      <w:r>
        <w:t xml:space="preserve"> </w:t>
      </w:r>
      <w:r>
        <w:t xml:space="preserve">dologies, however,</w:t>
      </w:r>
      <w:r>
        <w:t xml:space="preserve"> </w:t>
      </w:r>
      <w:r>
        <w:t xml:space="preserve">overall, supervisory</w:t>
      </w:r>
      <w:r>
        <w:t xml:space="preserve"> </w:t>
      </w:r>
      <w:r>
        <w:t xml:space="preserve">processes would be</w:t>
      </w:r>
      <w:r>
        <w:t xml:space="preserve"> </w:t>
      </w:r>
      <w:r>
        <w:t xml:space="preserve">simplified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Direct admin-</w:t>
      </w:r>
      <w:r>
        <w:t xml:space="preserve"> </w:t>
      </w:r>
      <w:r>
        <w:t xml:space="preserve">istrative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 enforce-</w:t>
      </w:r>
      <w:r>
        <w:t xml:space="preserve"> </w:t>
      </w:r>
      <w:r>
        <w:t xml:space="preserve">ment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The measures should not result in in-</w:t>
      </w:r>
      <w:r>
        <w:t xml:space="preserve"> </w:t>
      </w:r>
      <w:r>
        <w:t xml:space="preserve">creased number of supervisory objec-</w:t>
      </w:r>
      <w:r>
        <w:t xml:space="preserve"> </w:t>
      </w:r>
      <w:r>
        <w:t xml:space="preserve">tions to the SRT for specific transact-</w:t>
      </w:r>
      <w:r>
        <w:t xml:space="preserve"> </w:t>
      </w:r>
      <w:r>
        <w:t xml:space="preserve">ions; rather, rules that supervisors</w:t>
      </w:r>
      <w:r>
        <w:t xml:space="preserve"> </w:t>
      </w:r>
      <w:r>
        <w:t xml:space="preserve">follow when assessing the transactions</w:t>
      </w:r>
      <w:r>
        <w:t xml:space="preserve"> </w:t>
      </w:r>
      <w:r>
        <w:t xml:space="preserve">before the SRT validations should be</w:t>
      </w:r>
      <w:r>
        <w:t xml:space="preserve"> </w:t>
      </w:r>
      <w:r>
        <w:t xml:space="preserve">clearer and more solid where possible.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Citizens/ 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Re-current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Improving</w:t>
      </w:r>
      <w:r>
        <w:t xml:space="preserve"> </w:t>
      </w:r>
      <w:r>
        <w:t xml:space="preserve">risk</w:t>
      </w:r>
      <w:r>
        <w:t xml:space="preserve"> </w:t>
      </w:r>
      <w:r>
        <w:t xml:space="preserve">sensitivity</w:t>
      </w:r>
      <w:r>
        <w:t xml:space="preserve"> </w:t>
      </w:r>
      <w:r>
        <w:t xml:space="preserve">and removing</w:t>
      </w:r>
      <w:r>
        <w:t xml:space="preserve"> </w:t>
      </w:r>
      <w:r>
        <w:t xml:space="preserve">prudential</w:t>
      </w:r>
      <w:r>
        <w:t xml:space="preserve"> </w:t>
      </w:r>
      <w:r>
        <w:t xml:space="preserve">barriers to</w:t>
      </w:r>
      <w:r>
        <w:t xml:space="preserve"> </w:t>
      </w:r>
      <w:r>
        <w:t xml:space="preserve">investments</w:t>
      </w:r>
      <w:r>
        <w:t xml:space="preserve"> </w:t>
      </w:r>
      <w:r>
        <w:t xml:space="preserve">in the safest</w:t>
      </w:r>
      <w:r>
        <w:t xml:space="preserve"> </w:t>
      </w:r>
      <w:r>
        <w:t xml:space="preserve">tranches of</w:t>
      </w:r>
      <w:r>
        <w:t xml:space="preserve"> </w:t>
      </w:r>
      <w:r>
        <w:t xml:space="preserve">non-STS</w:t>
      </w:r>
      <w:r>
        <w:t xml:space="preserve"> </w:t>
      </w:r>
      <w:r>
        <w:t xml:space="preserve">securitisation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Limited</w:t>
      </w:r>
      <w:r>
        <w:t xml:space="preserve"> </w:t>
      </w:r>
      <w:r>
        <w:t xml:space="preserve">implement-</w:t>
      </w:r>
      <w:r>
        <w:t xml:space="preserve"> </w:t>
      </w:r>
      <w:r>
        <w:t xml:space="preserve">tation costs</w:t>
      </w:r>
      <w:r>
        <w:t xml:space="preserve"> </w:t>
      </w:r>
      <w:r>
        <w:t xml:space="preserve">Limited implementation costs</w:t>
      </w:r>
      <w:r>
        <w:t xml:space="preserve"> </w:t>
      </w:r>
      <w:r>
        <w:t xml:space="preserve">of monitoring distinctly what</w:t>
      </w:r>
      <w:r>
        <w:t xml:space="preserve"> </w:t>
      </w:r>
      <w:r>
        <w:t xml:space="preserve">is senior from what is non-</w:t>
      </w:r>
      <w:r>
        <w:t xml:space="preserve"> </w:t>
      </w:r>
      <w:r>
        <w:t xml:space="preserve">senior</w:t>
      </w:r>
      <w:r>
        <w:t xml:space="preserve"> </w:t>
      </w:r>
      <w:r>
        <w:t xml:space="preserve">within</w:t>
      </w:r>
      <w:r>
        <w:t xml:space="preserve"> </w:t>
      </w:r>
      <w:r>
        <w:t xml:space="preserve">non-STS</w:t>
      </w:r>
      <w:r>
        <w:t xml:space="preserve"> </w:t>
      </w:r>
      <w:r>
        <w:t xml:space="preserve">securitisation. This is however</w:t>
      </w:r>
      <w:r>
        <w:t xml:space="preserve"> </w:t>
      </w:r>
      <w:r>
        <w:t xml:space="preserve">likely already done by insurers</w:t>
      </w:r>
      <w:r>
        <w:t xml:space="preserve"> </w:t>
      </w:r>
      <w:r>
        <w:t xml:space="preserve">as part of their own risk</w:t>
      </w:r>
      <w:r>
        <w:t xml:space="preserve"> </w:t>
      </w:r>
      <w:r>
        <w:t xml:space="preserve">management processes</w:t>
      </w:r>
      <w:r>
        <w:t xml:space="preserve"> </w:t>
      </w:r>
      <w:r>
        <w:t xml:space="preserve">Limited costs for</w:t>
      </w:r>
      <w:r>
        <w:t xml:space="preserve"> </w:t>
      </w:r>
      <w:r>
        <w:t xml:space="preserve">supervisors</w:t>
      </w:r>
      <w:r>
        <w:t xml:space="preserve"> </w:t>
      </w:r>
      <w:r>
        <w:t xml:space="preserve">to</w:t>
      </w:r>
      <w:r>
        <w:t xml:space="preserve"> </w:t>
      </w:r>
      <w:r>
        <w:t xml:space="preserve">adapt</w:t>
      </w:r>
      <w:r>
        <w:t xml:space="preserve"> </w:t>
      </w:r>
      <w:r>
        <w:t xml:space="preserve">their</w:t>
      </w:r>
      <w:r>
        <w:t xml:space="preserve"> </w:t>
      </w:r>
      <w:r>
        <w:t xml:space="preserve">IT</w:t>
      </w:r>
      <w:r>
        <w:t xml:space="preserve"> </w:t>
      </w:r>
      <w:r>
        <w:t xml:space="preserve">systems</w:t>
      </w:r>
      <w:r>
        <w:t xml:space="preserve"> </w:t>
      </w:r>
      <w:r>
        <w:t xml:space="preserve">None</w:t>
      </w:r>
      <w:r>
        <w:t xml:space="preserve"> </w:t>
      </w:r>
      <w:r>
        <w:t xml:space="preserve">Direct adminis-</w:t>
      </w:r>
      <w:r>
        <w:t xml:space="preserve"> </w:t>
      </w:r>
      <w:r>
        <w:t xml:space="preserve">trative costs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Direct 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None</w:t>
      </w:r>
    </w:p>
    <w:p>
      <w:pPr>
        <w:pStyle w:val="BodyText"/>
      </w:pPr>
      <w:r>
        <w:t xml:space="preserve">Indirect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Estimates (gross values) to be provided with respect to the baseline; (2) costs are provided for each identifiable action/obligation of the preferred</w:t>
      </w:r>
      <w:r>
        <w:t xml:space="preserve"> </w:t>
      </w:r>
      <w:r>
        <w:t xml:space="preserve">option otherwise for all retained options when no preferred option is specified; (3) If relevant and available, please present information on costs</w:t>
      </w:r>
      <w:r>
        <w:t xml:space="preserve"> </w:t>
      </w:r>
      <w:r>
        <w:t xml:space="preserve">according to the standard typology of costs (adjustment costs, administrative costs, regulatory charges, enforcement costs, indirect costs;).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Figure 9:</w:t>
      </w:r>
      <w:r>
        <w:br/>
      </w:r>
      <w:r>
        <w:t xml:space="preserve">Application of the ‘one in, one out’ approach – Preferred option(s)</w:t>
      </w:r>
      <w:r>
        <w:t xml:space="preserve"> </w:t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  <w:r>
        <w:t xml:space="preserve"> </w:t>
      </w: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 burdens (INs)</w:t>
      </w:r>
      <w:r>
        <w:t xml:space="preserve"> </w:t>
      </w:r>
      <w:r>
        <w:t xml:space="preserve">Transparency</w:t>
      </w:r>
      <w:r>
        <w:t xml:space="preserve"> </w:t>
      </w:r>
      <w:r>
        <w:t xml:space="preserve">IT</w:t>
      </w:r>
      <w:r>
        <w:t xml:space="preserve"> </w:t>
      </w:r>
      <w:r>
        <w:t xml:space="preserve">implementation approx. EUR</w:t>
      </w:r>
      <w:r>
        <w:t xml:space="preserve"> </w:t>
      </w:r>
      <w:r>
        <w:t xml:space="preserve">3.3 million p.a.91</w:t>
      </w:r>
    </w:p>
    <w:p>
      <w:pPr>
        <w:pStyle w:val="BodyText"/>
      </w:pPr>
      <w:r>
        <w:t xml:space="preserve">EUR 3 million p.a</w:t>
      </w:r>
      <w:r>
        <w:br/>
      </w:r>
      <w:r>
        <w:t xml:space="preserve">(rounded).</w:t>
      </w:r>
      <w:r>
        <w:t xml:space="preserve"> </w:t>
      </w:r>
      <w:r>
        <w:t xml:space="preserve">Removed administrative burdens</w:t>
      </w:r>
      <w:r>
        <w:t xml:space="preserve"> </w:t>
      </w:r>
      <w:r>
        <w:t xml:space="preserve">(OUTs)</w:t>
      </w:r>
    </w:p>
    <w:p>
      <w:pPr>
        <w:pStyle w:val="BodyText"/>
      </w:pPr>
      <w:r>
        <w:t xml:space="preserve">-EUR 310 million</w:t>
      </w:r>
      <w:r>
        <w:t xml:space="preserve"> </w:t>
      </w:r>
      <w:r>
        <w:t xml:space="preserve">-EUR 310 million</w:t>
      </w:r>
      <w:r>
        <w:t xml:space="preserve"> </w:t>
      </w:r>
      <w:r>
        <w:t xml:space="preserve">Net administrative burdens*</w:t>
      </w:r>
      <w:r>
        <w:t xml:space="preserve"> </w:t>
      </w:r>
      <w:r>
        <w:t xml:space="preserve">EUR 3 million p.a. (rounded)</w:t>
      </w:r>
      <w:r>
        <w:t xml:space="preserve"> </w:t>
      </w:r>
      <w:r>
        <w:t xml:space="preserve">-EUR 310 million</w:t>
      </w:r>
      <w:r>
        <w:t xml:space="preserve"> </w:t>
      </w:r>
      <w:r>
        <w:t xml:space="preserve">-EUR 310 million</w:t>
      </w:r>
      <w:r>
        <w:br/>
      </w:r>
      <w:r>
        <w:t xml:space="preserve">Adjustment costs**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New administrative burdens (INs)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Removed administrative burdens</w:t>
      </w:r>
      <w:r>
        <w:t xml:space="preserve"> </w:t>
      </w:r>
      <w:r>
        <w:t xml:space="preserve">(OUTs)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Net administrative burdens*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Total administrative burdens***</w:t>
      </w:r>
      <w:r>
        <w:t xml:space="preserve"> </w:t>
      </w:r>
      <w:r>
        <w:t xml:space="preserve">EUR 3 million</w:t>
      </w:r>
      <w:r>
        <w:t xml:space="preserve"> </w:t>
      </w:r>
      <w:r>
        <w:t xml:space="preserve">-EUR 310 million</w:t>
      </w:r>
      <w:r>
        <w:t xml:space="preserve"> </w:t>
      </w:r>
      <w:r>
        <w:t xml:space="preserve">-EUR 310 million p.a.</w:t>
      </w:r>
      <w:r>
        <w:t xml:space="preserve"> </w:t>
      </w:r>
      <w:r>
        <w:t xml:space="preserve">(rounded to full 10 million)</w:t>
      </w:r>
      <w:r>
        <w:t xml:space="preserve"> </w:t>
      </w:r>
      <w:r>
        <w:t xml:space="preserve">(</w:t>
      </w:r>
      <w:r>
        <w:rPr>
          <w:i/>
          <w:iCs/>
        </w:rPr>
        <w:t xml:space="preserve">) Net administrative burdens = INs – OUTs;</w:t>
      </w:r>
      <w:r>
        <w:br/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above. Non-annualised values;</w:t>
      </w:r>
      <w:r>
        <w:br/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 for citizens.</w:t>
      </w:r>
    </w:p>
    <w:p>
      <w:pPr>
        <w:pStyle w:val="BodyText"/>
      </w:pPr>
      <w:r>
        <w:t xml:space="preserve">91 Assuming that the one-off IT implementation cost of 33 million for the EU market is written-off over a period of 10 years this would result in approx. EUR 3.3 million p.a.</w:t>
      </w:r>
      <w:r>
        <w:t xml:space="preserve"> </w:t>
      </w:r>
      <w:r>
        <w:t xml:space="preserve">of additional costs.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3 - Details of costs and benefits</w:t>
      </w:r>
      <w:r>
        <w:t xml:space="preserve"> </w:t>
      </w:r>
      <w:r>
        <w:t xml:space="preserve">1. Status quo &amp; Overview of costs and benefits identified in the evaluation</w:t>
      </w:r>
      <w:r>
        <w:br/>
      </w:r>
      <w:r>
        <w:t xml:space="preserve">The below tables reproduce the conclusions of the Evaluation (Annex V), to demonstrate the</w:t>
      </w:r>
      <w:r>
        <w:t xml:space="preserve"> </w:t>
      </w:r>
      <w:r>
        <w:t xml:space="preserve">full scale of the benefits (e.g. the administrative cost savings) of the preferred option, in</w:t>
      </w:r>
      <w:r>
        <w:t xml:space="preserve"> </w:t>
      </w:r>
      <w:r>
        <w:t xml:space="preserve">comparison to the administrative and substantive cost burdens that are incurred in securitisation</w:t>
      </w:r>
      <w:r>
        <w:t xml:space="preserve"> </w:t>
      </w:r>
      <w:r>
        <w:t xml:space="preserve">transactions under the status quo.</w:t>
      </w:r>
      <w:r>
        <w:t xml:space="preserve"> </w:t>
      </w:r>
      <w:r>
        <w:t xml:space="preserve">Figure 10:</w:t>
      </w:r>
      <w:r>
        <w:br/>
      </w:r>
      <w:r>
        <w:t xml:space="preserve">Costs and benefits of the current Securitisation Regulation (based on the Evaluation)</w:t>
      </w:r>
    </w:p>
    <w:p>
      <w:pPr>
        <w:pStyle w:val="BodyText"/>
      </w:pP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Cost or</w:t>
      </w:r>
      <w:r>
        <w:t xml:space="preserve"> </w:t>
      </w:r>
      <w:r>
        <w:t xml:space="preserve">Benefit</w:t>
      </w:r>
      <w:r>
        <w:t xml:space="preserve"> </w:t>
      </w:r>
      <w:r>
        <w:t xml:space="preserve">description:</w:t>
      </w:r>
      <w:r>
        <w:t xml:space="preserve"> </w:t>
      </w:r>
      <w:r>
        <w:t xml:space="preserve">Type</w:t>
      </w:r>
      <w:r>
        <w:t xml:space="preserve"> </w:t>
      </w:r>
      <w:r>
        <w:t xml:space="preserve">Details (monetary value or qualitative description where no quantification</w:t>
      </w:r>
      <w:r>
        <w:t xml:space="preserve"> </w:t>
      </w:r>
      <w:r>
        <w:t xml:space="preserve">possible)</w:t>
      </w:r>
      <w:r>
        <w:t xml:space="preserve"> </w:t>
      </w:r>
      <w:r>
        <w:t xml:space="preserve">Direct compliance costs (adjustment costs, administrative costs, regulatory charges</w:t>
      </w:r>
      <w:r>
        <w:t xml:space="preserve"> </w:t>
      </w:r>
      <w:r>
        <w:t xml:space="preserve">Due diligence</w:t>
      </w:r>
      <w:r>
        <w:t xml:space="preserve"> </w:t>
      </w:r>
      <w:r>
        <w:t xml:space="preserve">and</w:t>
      </w:r>
      <w:r>
        <w:t xml:space="preserve"> </w:t>
      </w:r>
      <w:r>
        <w:t xml:space="preserve">transparency</w:t>
      </w:r>
      <w:r>
        <w:t xml:space="preserve"> </w:t>
      </w:r>
      <w:r>
        <w:t xml:space="preserve">requirements</w:t>
      </w:r>
      <w:r>
        <w:t xml:space="preserve"> </w:t>
      </w:r>
      <w:r>
        <w:t xml:space="preserve">of Articles 5</w:t>
      </w:r>
      <w:r>
        <w:t xml:space="preserve"> </w:t>
      </w:r>
      <w:r>
        <w:t xml:space="preserve">and 7</w:t>
      </w:r>
      <w:r>
        <w:t xml:space="preserve"> </w:t>
      </w:r>
      <w:r>
        <w:t xml:space="preserve">One-off</w:t>
      </w:r>
      <w:r>
        <w:t xml:space="preserve"> </w:t>
      </w:r>
      <w:r>
        <w:t xml:space="preserve">Not affected.</w:t>
      </w:r>
      <w:r>
        <w:t xml:space="preserve"> </w:t>
      </w:r>
      <w:r>
        <w:t xml:space="preserve">EUR 10 million to EUR 15 million for</w:t>
      </w:r>
      <w:r>
        <w:t xml:space="preserve"> </w:t>
      </w:r>
      <w:r>
        <w:t xml:space="preserve">familiarisation and set-up of due</w:t>
      </w:r>
      <w:r>
        <w:t xml:space="preserve"> </w:t>
      </w:r>
      <w:r>
        <w:t xml:space="preserve">diligence procedures and about EUR 370</w:t>
      </w:r>
      <w:r>
        <w:t xml:space="preserve"> </w:t>
      </w:r>
      <w:r>
        <w:t xml:space="preserve">million for reporting templates (including</w:t>
      </w:r>
      <w:r>
        <w:t xml:space="preserve"> </w:t>
      </w:r>
      <w:r>
        <w:t xml:space="preserve">IT implementation)</w:t>
      </w:r>
      <w:r>
        <w:t xml:space="preserve"> </w:t>
      </w:r>
      <w:r>
        <w:t xml:space="preserve">Prevention of market entry for issuers</w:t>
      </w:r>
      <w:r>
        <w:t xml:space="preserve"> </w:t>
      </w:r>
      <w:r>
        <w:t xml:space="preserve">and investors.</w:t>
      </w:r>
      <w:r>
        <w:t xml:space="preserve"> </w:t>
      </w:r>
      <w:r>
        <w:t xml:space="preserve">Details below.</w:t>
      </w:r>
      <w:r>
        <w:t xml:space="preserve"> </w:t>
      </w:r>
      <w:r>
        <w:t xml:space="preserve">Not affected.</w:t>
      </w:r>
      <w:r>
        <w:t xml:space="preserve"> </w:t>
      </w:r>
      <w:r>
        <w:t xml:space="preserve">Due diligence</w:t>
      </w:r>
      <w:r>
        <w:br/>
      </w:r>
      <w:r>
        <w:t xml:space="preserve">and</w:t>
      </w:r>
      <w:r>
        <w:t xml:space="preserve"> </w:t>
      </w:r>
      <w:r>
        <w:t xml:space="preserve">transparency</w:t>
      </w:r>
      <w:r>
        <w:br/>
      </w:r>
      <w:r>
        <w:t xml:space="preserve">requirements</w:t>
      </w:r>
      <w:r>
        <w:t xml:space="preserve"> </w:t>
      </w:r>
      <w:r>
        <w:t xml:space="preserve">of Articles 5</w:t>
      </w:r>
      <w:r>
        <w:t xml:space="preserve"> </w:t>
      </w:r>
      <w:r>
        <w:t xml:space="preserve">and 7</w:t>
      </w:r>
      <w:r>
        <w:t xml:space="preserve"> </w:t>
      </w:r>
      <w:r>
        <w:t xml:space="preserve">Recurring Not affected.</w:t>
      </w:r>
      <w:r>
        <w:t xml:space="preserve"> </w:t>
      </w:r>
      <w:r>
        <w:t xml:space="preserve">EUR 780 million.</w:t>
      </w:r>
      <w:r>
        <w:t xml:space="preserve"> </w:t>
      </w:r>
      <w:r>
        <w:t xml:space="preserve">Long time to market/missed</w:t>
      </w:r>
      <w:r>
        <w:t xml:space="preserve"> </w:t>
      </w:r>
      <w:r>
        <w:t xml:space="preserve">opportunities of not being able to invest</w:t>
      </w:r>
      <w:r>
        <w:t xml:space="preserve"> </w:t>
      </w:r>
      <w:r>
        <w:t xml:space="preserve">in certain transactions as due diligence</w:t>
      </w:r>
      <w:r>
        <w:t xml:space="preserve"> </w:t>
      </w:r>
      <w:r>
        <w:t xml:space="preserve">takes longer than offering window.</w:t>
      </w:r>
      <w:r>
        <w:t xml:space="preserve"> </w:t>
      </w:r>
      <w:r>
        <w:t xml:space="preserve">See details below.</w:t>
      </w:r>
      <w:r>
        <w:t xml:space="preserve"> </w:t>
      </w:r>
      <w:r>
        <w:t xml:space="preserve">Not affected.</w:t>
      </w:r>
      <w:r>
        <w:t xml:space="preserve"> </w:t>
      </w:r>
      <w:r>
        <w:t xml:space="preserve">Enforcement costs: (costs associated with activities linked to the implementation of an initiative such as</w:t>
      </w:r>
      <w:r>
        <w:t xml:space="preserve"> </w:t>
      </w:r>
      <w:r>
        <w:t xml:space="preserve">monitoring, inspections and adjudication/litigation)</w:t>
      </w:r>
    </w:p>
    <w:p>
      <w:pPr>
        <w:pStyle w:val="BodyText"/>
      </w:pPr>
      <w:r>
        <w:t xml:space="preserve">Indirect costs (indirect compliance costs or other indirect costs such as transaction costs)</w:t>
      </w:r>
    </w:p>
    <w:p>
      <w:pPr>
        <w:pStyle w:val="BodyText"/>
      </w:pPr>
      <w:r>
        <w:t xml:space="preserve">Direct benefits (such as improved well being: changes in pollution levels, safety, health, employment; market</w:t>
      </w:r>
      <w:r>
        <w:t xml:space="preserve"> </w:t>
      </w:r>
      <w:r>
        <w:t xml:space="preserve">efficiency)</w:t>
      </w:r>
      <w:r>
        <w:t xml:space="preserve"> </w:t>
      </w:r>
      <w:r>
        <w:t xml:space="preserve">More efficient</w:t>
      </w:r>
      <w:r>
        <w:t xml:space="preserve"> </w:t>
      </w:r>
      <w:r>
        <w:t xml:space="preserve">regulatory</w:t>
      </w:r>
      <w:r>
        <w:t xml:space="preserve"> </w:t>
      </w:r>
      <w:r>
        <w:t xml:space="preserve">framework</w:t>
      </w:r>
    </w:p>
    <w:p>
      <w:pPr>
        <w:pStyle w:val="BodyText"/>
      </w:pPr>
      <w:r>
        <w:t xml:space="preserve">Revival of the EU securitisation market,</w:t>
      </w:r>
      <w:r>
        <w:t xml:space="preserve"> </w:t>
      </w:r>
      <w:r>
        <w:t xml:space="preserve">enhancing access to a financial</w:t>
      </w:r>
      <w:r>
        <w:t xml:space="preserve"> </w:t>
      </w:r>
      <w:r>
        <w:t xml:space="preserve">instrument that can provide funding and</w:t>
      </w:r>
      <w:r>
        <w:t xml:space="preserve"> </w:t>
      </w:r>
      <w:r>
        <w:t xml:space="preserve">capital relief for originators. On the</w:t>
      </w:r>
      <w:r>
        <w:t xml:space="preserve"> </w:t>
      </w:r>
      <w:r>
        <w:t xml:space="preserve">investor side, enhancing risk</w:t>
      </w:r>
      <w:r>
        <w:t xml:space="preserve"> </w:t>
      </w:r>
      <w:r>
        <w:t xml:space="preserve">diversification via the exposure to assets</w:t>
      </w:r>
      <w:r>
        <w:t xml:space="preserve"> </w:t>
      </w:r>
      <w:r>
        <w:t xml:space="preserve">Better</w:t>
      </w:r>
      <w:r>
        <w:t xml:space="preserve"> </w:t>
      </w:r>
      <w:r>
        <w:t xml:space="preserve">monitoring</w:t>
      </w:r>
      <w:r>
        <w:t xml:space="preserve"> </w:t>
      </w:r>
      <w:r>
        <w:t xml:space="preserve">possibilities of</w:t>
      </w:r>
      <w:r>
        <w:t xml:space="preserve"> </w:t>
      </w:r>
      <w:r>
        <w:t xml:space="preserve">the</w:t>
      </w:r>
      <w:r>
        <w:t xml:space="preserve"> </w:t>
      </w:r>
      <w:r>
        <w:t xml:space="preserve">securitisation</w:t>
      </w:r>
      <w:r>
        <w:t xml:space="preserve"> </w:t>
      </w:r>
      <w:r>
        <w:t xml:space="preserve">market and the</w:t>
      </w:r>
    </w:p>
    <w:p>
      <w:pPr>
        <w:pStyle w:val="BodyText"/>
      </w:pPr>
      <w:r>
        <w:t xml:space="preserve">110</w:t>
      </w:r>
    </w:p>
    <w:p>
      <w:pPr>
        <w:pStyle w:val="Compact"/>
        <w:numPr>
          <w:ilvl w:val="0"/>
          <w:numId w:val="1004"/>
        </w:numPr>
      </w:pPr>
      <w:r>
        <w:t xml:space="preserve">Size of the market for securitisations</w:t>
      </w:r>
      <w:r>
        <w:t xml:space="preserve"> </w:t>
      </w:r>
      <w:r>
        <w:t xml:space="preserve">The following figure overviews the approximate size of the securitisation market, which is</w:t>
      </w:r>
      <w:r>
        <w:t xml:space="preserve"> </w:t>
      </w:r>
      <w:r>
        <w:t xml:space="preserve">relevant for the later extrapolation of costs and benefits.</w:t>
      </w:r>
      <w:r>
        <w:t xml:space="preserve"> </w:t>
      </w:r>
      <w:r>
        <w:t xml:space="preserve">As the securitisation market is very diverse, no single data source describes the market as a</w:t>
      </w:r>
      <w:r>
        <w:t xml:space="preserve"> </w:t>
      </w:r>
      <w:r>
        <w:t xml:space="preserve">whole. Data for the public market is drawn from the Association for Financial Markets in</w:t>
      </w:r>
      <w:r>
        <w:t xml:space="preserve"> </w:t>
      </w:r>
      <w:r>
        <w:t xml:space="preserve">Europe (AFME). Less data is publicly available for the private market, however the EBA is</w:t>
      </w:r>
      <w:r>
        <w:t xml:space="preserve"> </w:t>
      </w:r>
      <w:r>
        <w:t xml:space="preserve">collecting data in their Common Reporting Framework (GL). EBA data can show only that</w:t>
      </w:r>
      <w:r>
        <w:t xml:space="preserve"> </w:t>
      </w:r>
      <w:r>
        <w:t xml:space="preserve">part of the private market where a bank is involved in least on one side of the transaction</w:t>
      </w:r>
      <w:r>
        <w:t xml:space="preserve"> </w:t>
      </w:r>
      <w:r>
        <w:t xml:space="preserve">(investor or originator/sponsor/original lender). To our knowledge, no data is available for the</w:t>
      </w:r>
      <w:r>
        <w:t xml:space="preserve"> </w:t>
      </w:r>
      <w:r>
        <w:t xml:space="preserve">private market without any bank involvement.</w:t>
      </w:r>
      <w:r>
        <w:br/>
      </w:r>
      <w:r>
        <w:t xml:space="preserve">The below cost estimation uses the latest available data (end-2023) for both public and private</w:t>
      </w:r>
      <w:r>
        <w:t xml:space="preserve"> </w:t>
      </w:r>
      <w:r>
        <w:t xml:space="preserve">market segments.</w:t>
      </w:r>
    </w:p>
    <w:p>
      <w:pPr>
        <w:pStyle w:val="FirstParagraph"/>
      </w:pPr>
      <w:r>
        <w:t xml:space="preserve">92 Kroszner, Laeven and Klingebiel (2007) present in their paper “Banking crises, financial dependence, and</w:t>
      </w:r>
      <w:r>
        <w:t xml:space="preserve"> </w:t>
      </w:r>
      <w:r>
        <w:t xml:space="preserve">growth” (Journal of Financial Economics Vol. 84, 1) empirical evidence based on a study with 38 countries that</w:t>
      </w:r>
      <w:r>
        <w:t xml:space="preserve"> </w:t>
      </w:r>
      <w:r>
        <w:t xml:space="preserve">shows that economic sectors that are dependent on the banking system see a substantially greater fall in output as</w:t>
      </w:r>
      <w:r>
        <w:t xml:space="preserve"> </w:t>
      </w:r>
      <w:r>
        <w:t xml:space="preserve">response to a banking crisis.</w:t>
      </w:r>
      <w:r>
        <w:br/>
      </w:r>
      <w:r>
        <w:t xml:space="preserve">that are usually ineligible for capital</w:t>
      </w:r>
      <w:r>
        <w:t xml:space="preserve"> </w:t>
      </w:r>
      <w:r>
        <w:t xml:space="preserve">market financing (e.g. SME or corporate</w:t>
      </w:r>
      <w:r>
        <w:t xml:space="preserve"> </w:t>
      </w:r>
      <w:r>
        <w:t xml:space="preserve">loans). Investors may further benefit</w:t>
      </w:r>
      <w:r>
        <w:t xml:space="preserve"> </w:t>
      </w:r>
      <w:r>
        <w:t xml:space="preserve">from the possibility to choose the</w:t>
      </w:r>
      <w:r>
        <w:t xml:space="preserve"> </w:t>
      </w:r>
      <w:r>
        <w:t xml:space="preserve">securitisation tranche that matches their</w:t>
      </w:r>
      <w:r>
        <w:t xml:space="preserve"> </w:t>
      </w:r>
      <w:r>
        <w:t xml:space="preserve">risk-preferences.</w:t>
      </w:r>
      <w:r>
        <w:br/>
      </w:r>
      <w:r>
        <w:t xml:space="preserve">overall</w:t>
      </w:r>
      <w:r>
        <w:t xml:space="preserve"> </w:t>
      </w:r>
      <w:r>
        <w:t xml:space="preserve">economy.</w:t>
      </w:r>
      <w:r>
        <w:t xml:space="preserve"> </w:t>
      </w:r>
      <w:r>
        <w:t xml:space="preserve">Indirect benefits (such as wider economic benefits, macroeconomic benefits, social impacts, environmental</w:t>
      </w:r>
      <w:r>
        <w:t xml:space="preserve"> </w:t>
      </w:r>
      <w:r>
        <w:t xml:space="preserve">impacts)</w:t>
      </w:r>
      <w:r>
        <w:t xml:space="preserve"> </w:t>
      </w:r>
      <w:r>
        <w:t xml:space="preserve">More efficient</w:t>
      </w:r>
      <w:r>
        <w:t xml:space="preserve"> </w:t>
      </w:r>
      <w:r>
        <w:t xml:space="preserve">regulatory</w:t>
      </w:r>
      <w:r>
        <w:t xml:space="preserve"> </w:t>
      </w:r>
      <w:r>
        <w:t xml:space="preserve">framework</w:t>
      </w:r>
    </w:p>
    <w:p>
      <w:pPr>
        <w:pStyle w:val="BodyText"/>
      </w:pPr>
      <w:r>
        <w:t xml:space="preserve">Increased financial</w:t>
      </w:r>
      <w:r>
        <w:t xml:space="preserve"> </w:t>
      </w:r>
      <w:r>
        <w:t xml:space="preserve">and</w:t>
      </w:r>
      <w:r>
        <w:t xml:space="preserve"> </w:t>
      </w:r>
      <w:r>
        <w:t xml:space="preserve">macroeconomic</w:t>
      </w:r>
      <w:r>
        <w:t xml:space="preserve"> </w:t>
      </w:r>
      <w:r>
        <w:t xml:space="preserve">stability due to a</w:t>
      </w:r>
      <w:r>
        <w:t xml:space="preserve"> </w:t>
      </w:r>
      <w:r>
        <w:t xml:space="preserve">more balanced</w:t>
      </w:r>
      <w:r>
        <w:t xml:space="preserve"> </w:t>
      </w:r>
      <w:r>
        <w:t xml:space="preserve">distribution of risks</w:t>
      </w:r>
      <w:r>
        <w:t xml:space="preserve"> </w:t>
      </w:r>
      <w:r>
        <w:t xml:space="preserve">in the financial</w:t>
      </w:r>
      <w:r>
        <w:t xml:space="preserve"> </w:t>
      </w:r>
      <w:r>
        <w:t xml:space="preserve">sector. Bank credit</w:t>
      </w:r>
      <w:r>
        <w:t xml:space="preserve"> </w:t>
      </w:r>
      <w:r>
        <w:t xml:space="preserve">and capital market</w:t>
      </w:r>
      <w:r>
        <w:t xml:space="preserve"> </w:t>
      </w:r>
      <w:r>
        <w:t xml:space="preserve">cycles are not</w:t>
      </w:r>
      <w:r>
        <w:t xml:space="preserve"> </w:t>
      </w:r>
      <w:r>
        <w:t xml:space="preserve">perfectly correlated</w:t>
      </w:r>
      <w:r>
        <w:t xml:space="preserve"> </w:t>
      </w:r>
      <w:r>
        <w:t xml:space="preserve">and therefore one</w:t>
      </w:r>
      <w:r>
        <w:t xml:space="preserve"> </w:t>
      </w:r>
      <w:r>
        <w:t xml:space="preserve">can substitute at</w:t>
      </w:r>
      <w:r>
        <w:t xml:space="preserve"> </w:t>
      </w:r>
      <w:r>
        <w:t xml:space="preserve">least partially for</w:t>
      </w:r>
      <w:r>
        <w:t xml:space="preserve"> </w:t>
      </w:r>
      <w:r>
        <w:t xml:space="preserve">the other in case of</w:t>
      </w:r>
      <w:r>
        <w:t xml:space="preserve"> </w:t>
      </w:r>
      <w:r>
        <w:t xml:space="preserve">shortages.92</w:t>
      </w:r>
      <w:r>
        <w:br/>
      </w:r>
      <w:r>
        <w:t xml:space="preserve">Real economy: More available funding.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Figure 11:</w:t>
      </w:r>
      <w:r>
        <w:br/>
      </w:r>
      <w:r>
        <w:t xml:space="preserve">Market data on EU securitisations (end-2023)</w:t>
      </w:r>
      <w:r>
        <w:t xml:space="preserve"> </w:t>
      </w:r>
      <w:r>
        <w:t xml:space="preserve">Dimension</w:t>
      </w:r>
      <w:r>
        <w:t xml:space="preserve"> </w:t>
      </w:r>
      <w:r>
        <w:t xml:space="preserve">Public market93</w:t>
      </w:r>
      <w:r>
        <w:br/>
      </w:r>
      <w:r>
        <w:t xml:space="preserve">Private Market94</w:t>
      </w:r>
      <w:r>
        <w:br/>
      </w:r>
      <w:r>
        <w:t xml:space="preserve">Outstanding notional</w:t>
      </w:r>
      <w:r>
        <w:t xml:space="preserve"> </w:t>
      </w:r>
      <w:r>
        <w:t xml:space="preserve">amount (end 2023)</w:t>
      </w:r>
      <w:r>
        <w:t xml:space="preserve"> </w:t>
      </w:r>
      <w:r>
        <w:t xml:space="preserve">EUR 1 003.3 billion.95</w:t>
      </w:r>
      <w:r>
        <w:t xml:space="preserve"> </w:t>
      </w:r>
      <w:r>
        <w:t xml:space="preserve">EUR 632 billion.96</w:t>
      </w:r>
      <w:r>
        <w:t xml:space="preserve"> </w:t>
      </w:r>
      <w:r>
        <w:t xml:space="preserve">Synthetic</w:t>
      </w:r>
      <w:r>
        <w:t xml:space="preserve"> </w:t>
      </w:r>
      <w:r>
        <w:t xml:space="preserve">vs. </w:t>
      </w:r>
      <w:r>
        <w:t xml:space="preserve"> </w:t>
      </w:r>
      <w:r>
        <w:t xml:space="preserve">Traditional</w:t>
      </w:r>
      <w:r>
        <w:br/>
      </w:r>
      <w:r>
        <w:t xml:space="preserve">The public market links to</w:t>
      </w:r>
      <w:r>
        <w:t xml:space="preserve"> </w:t>
      </w:r>
      <w:r>
        <w:t xml:space="preserve">traditional securitisations.</w:t>
      </w:r>
      <w:r>
        <w:t xml:space="preserve"> </w:t>
      </w:r>
      <w:r>
        <w:t xml:space="preserve">The non ABCP share of the</w:t>
      </w:r>
      <w:r>
        <w:t xml:space="preserve"> </w:t>
      </w:r>
      <w:r>
        <w:t xml:space="preserve">private market (about 88%) is</w:t>
      </w:r>
      <w:r>
        <w:t xml:space="preserve"> </w:t>
      </w:r>
      <w:r>
        <w:t xml:space="preserve">split approx. 50%-50% between</w:t>
      </w:r>
      <w:r>
        <w:t xml:space="preserve"> </w:t>
      </w:r>
      <w:r>
        <w:t xml:space="preserve">synthetic</w:t>
      </w:r>
      <w:r>
        <w:t xml:space="preserve"> </w:t>
      </w:r>
      <w:r>
        <w:t xml:space="preserve">and</w:t>
      </w:r>
      <w:r>
        <w:t xml:space="preserve"> </w:t>
      </w:r>
      <w:r>
        <w:t xml:space="preserve">traditional</w:t>
      </w:r>
      <w:r>
        <w:t xml:space="preserve"> </w:t>
      </w:r>
      <w:r>
        <w:t xml:space="preserve">securitisations.</w:t>
      </w:r>
      <w:r>
        <w:t xml:space="preserve"> </w:t>
      </w:r>
      <w:r>
        <w:t xml:space="preserve">Asset class</w:t>
      </w:r>
      <w:r>
        <w:t xml:space="preserve"> </w:t>
      </w:r>
      <w:r>
        <w:t xml:space="preserve">The public market (excluding</w:t>
      </w:r>
      <w:r>
        <w:t xml:space="preserve"> </w:t>
      </w:r>
      <w:r>
        <w:t xml:space="preserve">ABCP ~10%) is dominated by</w:t>
      </w:r>
      <w:r>
        <w:t xml:space="preserve"> </w:t>
      </w:r>
      <w:r>
        <w:t xml:space="preserve">residential mortgages (~47%),</w:t>
      </w:r>
      <w:r>
        <w:t xml:space="preserve"> </w:t>
      </w:r>
      <w:r>
        <w:t xml:space="preserve">followed</w:t>
      </w:r>
      <w:r>
        <w:t xml:space="preserve"> </w:t>
      </w:r>
      <w:r>
        <w:t xml:space="preserve">by</w:t>
      </w:r>
      <w:r>
        <w:t xml:space="preserve"> </w:t>
      </w:r>
      <w:r>
        <w:t xml:space="preserve">corporate</w:t>
      </w:r>
      <w:r>
        <w:t xml:space="preserve"> </w:t>
      </w:r>
      <w:r>
        <w:t xml:space="preserve">exposures securitised as CLO</w:t>
      </w:r>
      <w:r>
        <w:t xml:space="preserve"> </w:t>
      </w:r>
      <w:r>
        <w:t xml:space="preserve">(~19%), SME ABS (~13%),</w:t>
      </w:r>
      <w:r>
        <w:t xml:space="preserve"> </w:t>
      </w:r>
      <w:r>
        <w:t xml:space="preserve">Consumer loans (~9%), Auto</w:t>
      </w:r>
      <w:r>
        <w:t xml:space="preserve"> </w:t>
      </w:r>
      <w:r>
        <w:t xml:space="preserve">loans</w:t>
      </w:r>
      <w:r>
        <w:t xml:space="preserve"> </w:t>
      </w:r>
      <w:r>
        <w:t xml:space="preserve">(~7%),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exposures</w:t>
      </w:r>
      <w:r>
        <w:t xml:space="preserve"> </w:t>
      </w:r>
      <w:r>
        <w:t xml:space="preserve">(~5%) including</w:t>
      </w:r>
      <w:r>
        <w:t xml:space="preserve"> </w:t>
      </w:r>
      <w:r>
        <w:t xml:space="preserve">corporate mortgages, credit</w:t>
      </w:r>
      <w:r>
        <w:t xml:space="preserve"> </w:t>
      </w:r>
      <w:r>
        <w:t xml:space="preserve">cards and leases.</w:t>
      </w:r>
      <w:r>
        <w:t xml:space="preserve"> </w:t>
      </w:r>
      <w:r>
        <w:t xml:space="preserve">For the synthetic market segment</w:t>
      </w:r>
      <w:r>
        <w:t xml:space="preserve"> </w:t>
      </w:r>
      <w:r>
        <w:t xml:space="preserve">apply and receive significant risk</w:t>
      </w:r>
      <w:r>
        <w:t xml:space="preserve"> </w:t>
      </w:r>
      <w:r>
        <w:t xml:space="preserve">transfer (almost 100%) the main</w:t>
      </w:r>
      <w:r>
        <w:t xml:space="preserve"> </w:t>
      </w:r>
      <w:r>
        <w:t xml:space="preserve">underlying collateral is corporate</w:t>
      </w:r>
      <w:r>
        <w:t xml:space="preserve"> </w:t>
      </w:r>
      <w:r>
        <w:t xml:space="preserve">loans including SME (~73%)</w:t>
      </w:r>
      <w:r>
        <w:t xml:space="preserve"> </w:t>
      </w:r>
      <w:r>
        <w:t xml:space="preserve">followed</w:t>
      </w:r>
      <w:r>
        <w:t xml:space="preserve"> </w:t>
      </w:r>
      <w:r>
        <w:t xml:space="preserve">by</w:t>
      </w:r>
      <w:r>
        <w:t xml:space="preserve"> </w:t>
      </w:r>
      <w:r>
        <w:t xml:space="preserve">residential</w:t>
      </w:r>
      <w:r>
        <w:t xml:space="preserve"> </w:t>
      </w:r>
      <w:r>
        <w:t xml:space="preserve">mortgages, consumer loans and</w:t>
      </w:r>
      <w:r>
        <w:t xml:space="preserve"> </w:t>
      </w:r>
      <w:r>
        <w:t xml:space="preserve">credit card exposures with about</w:t>
      </w:r>
      <w:r>
        <w:t xml:space="preserve"> </w:t>
      </w:r>
      <w:r>
        <w:t xml:space="preserve">6-8%</w:t>
      </w:r>
      <w:r>
        <w:t xml:space="preserve"> </w:t>
      </w:r>
      <w:r>
        <w:t xml:space="preserve">each.</w:t>
      </w:r>
      <w:r>
        <w:t xml:space="preserve"> </w:t>
      </w:r>
      <w:r>
        <w:t xml:space="preserve">For</w:t>
      </w:r>
      <w:r>
        <w:t xml:space="preserve"> </w:t>
      </w:r>
      <w:r>
        <w:t xml:space="preserve">ABCP</w:t>
      </w:r>
      <w:r>
        <w:t xml:space="preserve"> </w:t>
      </w:r>
      <w:r>
        <w:t xml:space="preserve">transactions the main collateral</w:t>
      </w:r>
      <w:r>
        <w:t xml:space="preserve"> </w:t>
      </w:r>
      <w:r>
        <w:t xml:space="preserve">types</w:t>
      </w:r>
      <w:r>
        <w:t xml:space="preserve"> </w:t>
      </w:r>
      <w:r>
        <w:t xml:space="preserve">are</w:t>
      </w:r>
      <w:r>
        <w:t xml:space="preserve"> </w:t>
      </w:r>
      <w:r>
        <w:t xml:space="preserve">trade</w:t>
      </w:r>
      <w:r>
        <w:t xml:space="preserve"> </w:t>
      </w:r>
      <w:r>
        <w:t xml:space="preserve">receivables</w:t>
      </w:r>
      <w:r>
        <w:t xml:space="preserve"> </w:t>
      </w:r>
      <w:r>
        <w:t xml:space="preserve">(~50%) and corporate loans</w:t>
      </w:r>
      <w:r>
        <w:t xml:space="preserve"> </w:t>
      </w:r>
      <w:r>
        <w:t xml:space="preserve">(~30%).</w:t>
      </w:r>
      <w:r>
        <w:t xml:space="preserve"> </w:t>
      </w:r>
      <w:r>
        <w:t xml:space="preserve">SRT vs. non-SRT</w:t>
      </w:r>
      <w:r>
        <w:t xml:space="preserve"> </w:t>
      </w:r>
      <w:r>
        <w:t xml:space="preserve">AFME estimates 2021-2023</w:t>
      </w:r>
      <w:r>
        <w:t xml:space="preserve"> </w:t>
      </w:r>
      <w:r>
        <w:t xml:space="preserve">European (also including non-</w:t>
      </w:r>
      <w:r>
        <w:t xml:space="preserve"> </w:t>
      </w:r>
      <w:r>
        <w:t xml:space="preserve">EU) SRT to total EUR 263.3</w:t>
      </w:r>
      <w:r>
        <w:t xml:space="preserve"> </w:t>
      </w:r>
      <w:r>
        <w:t xml:space="preserve">billion. Assuming that 75% of</w:t>
      </w:r>
      <w:r>
        <w:t xml:space="preserve"> </w:t>
      </w:r>
      <w:r>
        <w:t xml:space="preserve">this total can be attributed to</w:t>
      </w:r>
      <w:r>
        <w:t xml:space="preserve"> </w:t>
      </w:r>
      <w:r>
        <w:t xml:space="preserve">EU countries and that the</w:t>
      </w:r>
      <w:r>
        <w:t xml:space="preserve"> </w:t>
      </w:r>
      <w:r>
        <w:t xml:space="preserve">issued</w:t>
      </w:r>
      <w:r>
        <w:t xml:space="preserve"> </w:t>
      </w:r>
      <w:r>
        <w:t xml:space="preserve">volume</w:t>
      </w:r>
      <w:r>
        <w:t xml:space="preserve"> </w:t>
      </w:r>
      <w:r>
        <w:t xml:space="preserve">was</w:t>
      </w:r>
      <w:r>
        <w:t xml:space="preserve"> </w:t>
      </w:r>
      <w:r>
        <w:t xml:space="preserve">still</w:t>
      </w:r>
      <w:r>
        <w:t xml:space="preserve"> </w:t>
      </w:r>
      <w:r>
        <w:t xml:space="preserve">outstanding by the end of 2023,</w:t>
      </w:r>
      <w:r>
        <w:t xml:space="preserve"> </w:t>
      </w:r>
      <w:r>
        <w:t xml:space="preserve">this corresponds to about EUR</w:t>
      </w:r>
      <w:r>
        <w:t xml:space="preserve"> </w:t>
      </w:r>
      <w:r>
        <w:t xml:space="preserve">197 billion or about 20%.</w:t>
      </w:r>
      <w:r>
        <w:t xml:space="preserve"> </w:t>
      </w:r>
      <w:r>
        <w:t xml:space="preserve">Most</w:t>
      </w:r>
      <w:r>
        <w:t xml:space="preserve"> </w:t>
      </w:r>
      <w:r>
        <w:t xml:space="preserve">SRT</w:t>
      </w:r>
      <w:r>
        <w:t xml:space="preserve"> </w:t>
      </w:r>
      <w:r>
        <w:t xml:space="preserve">transactions</w:t>
      </w:r>
      <w:r>
        <w:t xml:space="preserve"> </w:t>
      </w:r>
      <w:r>
        <w:t xml:space="preserve">are</w:t>
      </w:r>
      <w:r>
        <w:t xml:space="preserve"> </w:t>
      </w:r>
      <w:r>
        <w:t xml:space="preserve">synthetic. If a securitisation is</w:t>
      </w:r>
      <w:r>
        <w:t xml:space="preserve"> </w:t>
      </w:r>
      <w:r>
        <w:t xml:space="preserve">synthetic, it is linked 1:1 to an</w:t>
      </w:r>
      <w:r>
        <w:t xml:space="preserve"> </w:t>
      </w:r>
      <w:r>
        <w:t xml:space="preserve">SRT application, so 100% of</w:t>
      </w:r>
      <w:r>
        <w:t xml:space="preserve"> </w:t>
      </w:r>
      <w:r>
        <w:t xml:space="preserve">synthetic transactions are SRT.</w:t>
      </w:r>
      <w:r>
        <w:t xml:space="preserve"> </w:t>
      </w:r>
      <w:r>
        <w:t xml:space="preserve">For the traditional segment the</w:t>
      </w:r>
      <w:r>
        <w:t xml:space="preserve"> </w:t>
      </w:r>
      <w:r>
        <w:t xml:space="preserve">SRT share is about 20%.</w:t>
      </w:r>
      <w:r>
        <w:br/>
      </w:r>
      <w:r>
        <w:t xml:space="preserve">Retained vs. Placed</w:t>
      </w:r>
      <w:r>
        <w:t xml:space="preserve"> </w:t>
      </w:r>
      <w:r>
        <w:t xml:space="preserve">Recent issuance data shows</w:t>
      </w:r>
      <w:r>
        <w:t xml:space="preserve"> </w:t>
      </w:r>
      <w:r>
        <w:t xml:space="preserve">that on average 2019-2023,</w:t>
      </w:r>
      <w:r>
        <w:t xml:space="preserve"> </w:t>
      </w:r>
      <w:r>
        <w:t xml:space="preserve">In synthetic transactions, the</w:t>
      </w:r>
      <w:r>
        <w:t xml:space="preserve"> </w:t>
      </w:r>
      <w:r>
        <w:t xml:space="preserve">assets are always retained on the</w:t>
      </w:r>
    </w:p>
    <w:p>
      <w:pPr>
        <w:pStyle w:val="BodyText"/>
      </w:pPr>
      <w:r>
        <w:t xml:space="preserve">93 AFME Market data report, Q4:2023</w:t>
      </w:r>
      <w:r>
        <w:t xml:space="preserve"> </w:t>
      </w:r>
      <w:r>
        <w:t xml:space="preserve">94 EBA CoREP S2-2023</w:t>
      </w:r>
      <w:r>
        <w:t xml:space="preserve"> </w:t>
      </w:r>
      <w:r>
        <w:t xml:space="preserve">95 This number is composed as follows: For end 2023: AFME reports for the total European market EUR 963</w:t>
      </w:r>
      <w:r>
        <w:t xml:space="preserve"> </w:t>
      </w:r>
      <w:r>
        <w:t xml:space="preserve">billion of securitisations, of which 76% accrue to the EU Market; in addition, it reports EUR 228.8 billion CLO</w:t>
      </w:r>
      <w:r>
        <w:t xml:space="preserve"> </w:t>
      </w:r>
      <w:r>
        <w:t xml:space="preserve">for the whole of Europe, of which, assuming the same EU percentage, an estimate of EUR 174.4 accrues to the</w:t>
      </w:r>
      <w:r>
        <w:t xml:space="preserve"> </w:t>
      </w:r>
      <w:r>
        <w:t xml:space="preserve">EU. Furthermore, it reports Asset Backed Commercial Paper of EUR 123.2 with an estimated EU share of 74%,</w:t>
      </w:r>
      <w:r>
        <w:t xml:space="preserve"> </w:t>
      </w:r>
      <w:r>
        <w:t xml:space="preserve">i.e. EUR 103.2 in absolute terms. Please note that this figure is larger than the estimate for the public securitisation</w:t>
      </w:r>
      <w:r>
        <w:t xml:space="preserve"> </w:t>
      </w:r>
      <w:r>
        <w:t xml:space="preserve">market by the EBA using COREP figures. To prevent a possible underestimation of costs, we have used this larger</w:t>
      </w:r>
      <w:r>
        <w:t xml:space="preserve"> </w:t>
      </w:r>
      <w:r>
        <w:t xml:space="preserve">estimate for the public market to estimate the due diligence and transparency costs.</w:t>
      </w:r>
      <w:r>
        <w:t xml:space="preserve"> </w:t>
      </w:r>
      <w:r>
        <w:t xml:space="preserve">96 Please note that the private market consists to a large extent of synthetic SRT transactions, where the notional</w:t>
      </w:r>
      <w:r>
        <w:t xml:space="preserve"> </w:t>
      </w:r>
      <w:r>
        <w:t xml:space="preserve">amount of assets in the securitised pool is much higher (often 10x or more) than the invested amount.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Dimension</w:t>
      </w:r>
      <w:r>
        <w:t xml:space="preserve"> </w:t>
      </w:r>
      <w:r>
        <w:t xml:space="preserve">Public market93</w:t>
      </w:r>
      <w:r>
        <w:br/>
      </w:r>
      <w:r>
        <w:t xml:space="preserve">Private Market94</w:t>
      </w:r>
      <w:r>
        <w:br/>
      </w:r>
      <w:r>
        <w:t xml:space="preserve">about</w:t>
      </w:r>
      <w:r>
        <w:t xml:space="preserve"> </w:t>
      </w:r>
      <w:r>
        <w:t xml:space="preserve">50%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securitisations</w:t>
      </w:r>
      <w:r>
        <w:t xml:space="preserve"> </w:t>
      </w:r>
      <w:r>
        <w:t xml:space="preserve">(excluding</w:t>
      </w:r>
      <w:r>
        <w:t xml:space="preserve"> </w:t>
      </w:r>
      <w:r>
        <w:t xml:space="preserve">ABCP) are retained on the</w:t>
      </w:r>
      <w:r>
        <w:t xml:space="preserve"> </w:t>
      </w:r>
      <w:r>
        <w:t xml:space="preserve">balance sheet whereas the other</w:t>
      </w:r>
      <w:r>
        <w:t xml:space="preserve"> </w:t>
      </w:r>
      <w:r>
        <w:t xml:space="preserve">50% are placed on the market.</w:t>
      </w:r>
      <w:r>
        <w:t xml:space="preserve"> </w:t>
      </w:r>
      <w:r>
        <w:t xml:space="preserve">balance sheet, only the risk is</w:t>
      </w:r>
      <w:r>
        <w:t xml:space="preserve"> </w:t>
      </w:r>
      <w:r>
        <w:t xml:space="preserve">transferred.</w:t>
      </w:r>
      <w:r>
        <w:t xml:space="preserve"> </w:t>
      </w:r>
      <w:r>
        <w:t xml:space="preserve">STS vs. non-STS</w:t>
      </w:r>
      <w:r>
        <w:t xml:space="preserve"> </w:t>
      </w:r>
      <w:r>
        <w:t xml:space="preserve">STS transactions volumes for</w:t>
      </w:r>
      <w:r>
        <w:t xml:space="preserve"> </w:t>
      </w:r>
      <w:r>
        <w:t xml:space="preserve">the public market are not</w:t>
      </w:r>
      <w:r>
        <w:t xml:space="preserve"> </w:t>
      </w:r>
      <w:r>
        <w:t xml:space="preserve">publicly reported, therefore,</w:t>
      </w:r>
      <w:r>
        <w:t xml:space="preserve"> </w:t>
      </w:r>
      <w:r>
        <w:t xml:space="preserve">we rely on COREP data</w:t>
      </w:r>
      <w:r>
        <w:t xml:space="preserve"> </w:t>
      </w:r>
      <w:r>
        <w:t xml:space="preserve">examined by the EBA which</w:t>
      </w:r>
      <w:r>
        <w:t xml:space="preserve"> </w:t>
      </w:r>
      <w:r>
        <w:t xml:space="preserve">indicates a share of about 34%</w:t>
      </w:r>
      <w:r>
        <w:t xml:space="preserve"> </w:t>
      </w:r>
      <w:r>
        <w:t xml:space="preserve">STS transactions for public</w:t>
      </w:r>
      <w:r>
        <w:t xml:space="preserve"> </w:t>
      </w:r>
      <w:r>
        <w:t xml:space="preserve">securitisations</w:t>
      </w:r>
      <w:r>
        <w:t xml:space="preserve"> </w:t>
      </w:r>
      <w:r>
        <w:t xml:space="preserve">with</w:t>
      </w:r>
      <w:r>
        <w:t xml:space="preserve"> </w:t>
      </w:r>
      <w:r>
        <w:t xml:space="preserve">bank</w:t>
      </w:r>
      <w:r>
        <w:t xml:space="preserve"> </w:t>
      </w:r>
      <w:r>
        <w:t xml:space="preserve">involvement.</w:t>
      </w:r>
      <w:r>
        <w:t xml:space="preserve"> </w:t>
      </w:r>
      <w:r>
        <w:t xml:space="preserve">In the private market about 40%</w:t>
      </w:r>
      <w:r>
        <w:t xml:space="preserve"> </w:t>
      </w:r>
      <w:r>
        <w:t xml:space="preserve">are STS, based on COREP data</w:t>
      </w:r>
      <w:r>
        <w:t xml:space="preserve"> </w:t>
      </w:r>
      <w:r>
        <w:t xml:space="preserve">examined by the EBA.</w:t>
      </w:r>
      <w:r>
        <w:t xml:space="preserve"> </w:t>
      </w:r>
      <w:r>
        <w:t xml:space="preserve">AAA,</w:t>
      </w:r>
      <w:r>
        <w:t xml:space="preserve"> </w:t>
      </w:r>
      <w:r>
        <w:t xml:space="preserve">other</w:t>
      </w:r>
      <w:r>
        <w:t xml:space="preserve"> </w:t>
      </w:r>
      <w:r>
        <w:t xml:space="preserve">investment grade, sub-</w:t>
      </w:r>
      <w:r>
        <w:t xml:space="preserve"> </w:t>
      </w:r>
      <w:r>
        <w:t xml:space="preserve">investment grade</w:t>
      </w:r>
      <w:r>
        <w:t xml:space="preserve"> </w:t>
      </w:r>
      <w:r>
        <w:t xml:space="preserve">Most securitisations are AAA</w:t>
      </w:r>
      <w:r>
        <w:t xml:space="preserve"> </w:t>
      </w:r>
      <w:r>
        <w:t xml:space="preserve">(54%) or AA (31%), followed</w:t>
      </w:r>
      <w:r>
        <w:t xml:space="preserve"> </w:t>
      </w:r>
      <w:r>
        <w:t xml:space="preserve">by (11%) in the investment</w:t>
      </w:r>
      <w:r>
        <w:t xml:space="preserve"> </w:t>
      </w:r>
      <w:r>
        <w:t xml:space="preserve">grade segment and only 3%</w:t>
      </w:r>
      <w:r>
        <w:t xml:space="preserve"> </w:t>
      </w:r>
      <w:r>
        <w:t xml:space="preserve">sub-investment grade.</w:t>
      </w:r>
      <w:r>
        <w:t xml:space="preserve"> </w:t>
      </w:r>
      <w:r>
        <w:t xml:space="preserve">For the private segment no rating</w:t>
      </w:r>
      <w:r>
        <w:t xml:space="preserve"> </w:t>
      </w:r>
      <w:r>
        <w:t xml:space="preserve">distribution is available, but we</w:t>
      </w:r>
      <w:r>
        <w:t xml:space="preserve"> </w:t>
      </w:r>
      <w:r>
        <w:t xml:space="preserve">expect a significantly higher</w:t>
      </w:r>
      <w:r>
        <w:t xml:space="preserve"> </w:t>
      </w:r>
      <w:r>
        <w:t xml:space="preserve">share with lower ratings as SRT</w:t>
      </w:r>
      <w:r>
        <w:t xml:space="preserve"> </w:t>
      </w:r>
      <w:r>
        <w:t xml:space="preserve">is only possible for exposures</w:t>
      </w:r>
      <w:r>
        <w:t xml:space="preserve"> </w:t>
      </w:r>
      <w:r>
        <w:t xml:space="preserve">bearing risk.</w:t>
      </w:r>
      <w:r>
        <w:t xml:space="preserve"> </w:t>
      </w:r>
      <w:r>
        <w:t xml:space="preserve">3. Nature of duties due diligence requirements (Article 5)</w:t>
      </w:r>
      <w:r>
        <w:t xml:space="preserve"> </w:t>
      </w:r>
      <w:r>
        <w:t xml:space="preserve">The due diligence requirements of Article 5 SECR oblige institutional investors to perform a</w:t>
      </w:r>
      <w:r>
        <w:t xml:space="preserve"> </w:t>
      </w:r>
      <w:r>
        <w:t xml:space="preserve">risk assessment of the securitisations they invest in. These requirements are designed to protect</w:t>
      </w:r>
      <w:r>
        <w:t xml:space="preserve"> </w:t>
      </w:r>
      <w:r>
        <w:t xml:space="preserve">investors, to assure regulatory compliance and to ensure that all parties involved in the</w:t>
      </w:r>
      <w:r>
        <w:t xml:space="preserve"> </w:t>
      </w:r>
      <w:r>
        <w:t xml:space="preserve">securitisation transaction have access to accurate and timely information concerning the</w:t>
      </w:r>
      <w:r>
        <w:t xml:space="preserve"> </w:t>
      </w:r>
      <w:r>
        <w:t xml:space="preserve">underlying assets, securitisation structure, and associated risks. The main due diligence</w:t>
      </w:r>
      <w:r>
        <w:t xml:space="preserve"> </w:t>
      </w:r>
      <w:r>
        <w:t xml:space="preserve">requirements apply to investors and include:</w:t>
      </w:r>
      <w:r>
        <w:br/>
      </w:r>
      <w:r>
        <w:t xml:space="preserve">1. Verification requirements prior to entering into a securitisation position:</w:t>
      </w:r>
      <w:r>
        <w:br/>
      </w:r>
      <w:r>
        <w:t xml:space="preserve">o Verification of credit granting standards (only if the originator is neither an</w:t>
      </w:r>
      <w:r>
        <w:t xml:space="preserve"> </w:t>
      </w:r>
      <w:r>
        <w:t xml:space="preserve">EU investment firm nor an EU credit institution or if it is located outside of</w:t>
      </w:r>
      <w:r>
        <w:t xml:space="preserve"> </w:t>
      </w:r>
      <w:r>
        <w:t xml:space="preserve">the EU)</w:t>
      </w:r>
      <w:r>
        <w:t xml:space="preserve"> </w:t>
      </w:r>
      <w:r>
        <w:t xml:space="preserve">o Verification of risk-retention</w:t>
      </w:r>
      <w:r>
        <w:t xml:space="preserve"> </w:t>
      </w:r>
      <w:r>
        <w:t xml:space="preserve">o Verification of fulfilment of disclosure obligations required by Article 7 by the</w:t>
      </w:r>
      <w:r>
        <w:t xml:space="preserve"> </w:t>
      </w:r>
      <w:r>
        <w:t xml:space="preserve">originator or sponsor or SSPE</w:t>
      </w:r>
      <w:r>
        <w:t xml:space="preserve"> </w:t>
      </w:r>
      <w:r>
        <w:t xml:space="preserve">o Verification of sound selection procedure and pricing for non-performing</w:t>
      </w:r>
      <w:r>
        <w:t xml:space="preserve"> </w:t>
      </w:r>
      <w:r>
        <w:t xml:space="preserve">exposures</w:t>
      </w:r>
      <w:r>
        <w:t xml:space="preserve"> </w:t>
      </w:r>
      <w:r>
        <w:t xml:space="preserve">2. Risk-assessment prior to entering a securitisation position including:</w:t>
      </w:r>
      <w:r>
        <w:br/>
      </w:r>
      <w:r>
        <w:t xml:space="preserve">o Assessment of risk characteristics of the individual position and of the</w:t>
      </w:r>
      <w:r>
        <w:t xml:space="preserve"> </w:t>
      </w:r>
      <w:r>
        <w:t xml:space="preserve">underlying exposures</w:t>
      </w:r>
      <w:r>
        <w:t xml:space="preserve"> </w:t>
      </w:r>
      <w:r>
        <w:t xml:space="preserve">o Assessment of the structural features of the securitisation that can materially</w:t>
      </w:r>
      <w:r>
        <w:t xml:space="preserve"> </w:t>
      </w:r>
      <w:r>
        <w:t xml:space="preserve">impact the performance of the securitisation position, including the contractual</w:t>
      </w:r>
      <w:r>
        <w:t xml:space="preserve"> </w:t>
      </w:r>
      <w:r>
        <w:t xml:space="preserve">priorities of payment and priority of payment-related triggers, credit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enhancements, liquidity enhancements, market value triggers, and transaction-</w:t>
      </w:r>
      <w:r>
        <w:t xml:space="preserve"> </w:t>
      </w:r>
      <w:r>
        <w:t xml:space="preserve">specific definitions of default;</w:t>
      </w:r>
      <w:r>
        <w:t xml:space="preserve"> </w:t>
      </w:r>
      <w:r>
        <w:t xml:space="preserve">o STS verification: checking the compliance of that securitisation with the STS</w:t>
      </w:r>
      <w:r>
        <w:t xml:space="preserve"> </w:t>
      </w:r>
      <w:r>
        <w:t xml:space="preserve">requirements provided for in Articles 19 to 22 or in Articles 23 to 26, and</w:t>
      </w:r>
      <w:r>
        <w:t xml:space="preserve"> </w:t>
      </w:r>
      <w:r>
        <w:t xml:space="preserve">Article 27</w:t>
      </w:r>
      <w:r>
        <w:t xml:space="preserve"> </w:t>
      </w:r>
      <w:r>
        <w:t xml:space="preserve">3. Ongoing monitoring of the risk characteristics after entering a securitisation position</w:t>
      </w:r>
      <w:r>
        <w:t xml:space="preserve"> </w:t>
      </w:r>
      <w:r>
        <w:t xml:space="preserve">including</w:t>
      </w:r>
      <w:r>
        <w:br/>
      </w:r>
      <w:r>
        <w:t xml:space="preserve">o percentage of loans more than 30, 60 and 90 days past due,</w:t>
      </w:r>
      <w:r>
        <w:br/>
      </w:r>
      <w:r>
        <w:t xml:space="preserve">o default rates,</w:t>
      </w:r>
      <w:r>
        <w:br/>
      </w:r>
      <w:r>
        <w:t xml:space="preserve">o prepayment rates,</w:t>
      </w:r>
      <w:r>
        <w:br/>
      </w:r>
      <w:r>
        <w:t xml:space="preserve">o loans in foreclosure,</w:t>
      </w:r>
      <w:r>
        <w:br/>
      </w:r>
      <w:r>
        <w:t xml:space="preserve">o recovery rates,</w:t>
      </w:r>
      <w:r>
        <w:br/>
      </w:r>
      <w:r>
        <w:t xml:space="preserve">o repurchases,</w:t>
      </w:r>
      <w:r>
        <w:br/>
      </w:r>
      <w:r>
        <w:t xml:space="preserve">o loan modifications,</w:t>
      </w:r>
      <w:r>
        <w:br/>
      </w:r>
      <w:r>
        <w:t xml:space="preserve">o payment holidays,</w:t>
      </w:r>
      <w:r>
        <w:br/>
      </w:r>
      <w:r>
        <w:t xml:space="preserve">o collateral type and occupancy, and</w:t>
      </w:r>
      <w:r>
        <w:br/>
      </w:r>
      <w:r>
        <w:t xml:space="preserve">o frequency distribution of credit scores or other measures of credit worthiness</w:t>
      </w:r>
      <w:r>
        <w:t xml:space="preserve"> </w:t>
      </w:r>
      <w:r>
        <w:t xml:space="preserve">across underlying exposures,</w:t>
      </w:r>
      <w:r>
        <w:br/>
      </w:r>
      <w:r>
        <w:t xml:space="preserve">o industry diversification</w:t>
      </w:r>
      <w:r>
        <w:br/>
      </w:r>
      <w:r>
        <w:t xml:space="preserve">o geographical diversification,</w:t>
      </w:r>
      <w:r>
        <w:br/>
      </w:r>
      <w:r>
        <w:t xml:space="preserve">o frequency distribution of loan to value ratios.</w:t>
      </w:r>
      <w:r>
        <w:t xml:space="preserve"> </w:t>
      </w:r>
      <w:r>
        <w:t xml:space="preserve">4. Ongoing stress-testing after entering a securitisation position:</w:t>
      </w:r>
      <w:r>
        <w:t xml:space="preserve"> </w:t>
      </w:r>
      <w:r>
        <w:t xml:space="preserve">o regularly perform stress tests on the cash flows and collateral values</w:t>
      </w:r>
      <w:r>
        <w:t xml:space="preserve"> </w:t>
      </w:r>
      <w:r>
        <w:t xml:space="preserve">o or stress test loss assumptions.</w:t>
      </w:r>
      <w:r>
        <w:t xml:space="preserve"> </w:t>
      </w:r>
      <w:r>
        <w:t xml:space="preserve">5. Ongoing reporting, both internally and to authorities:</w:t>
      </w:r>
      <w:r>
        <w:t xml:space="preserve"> </w:t>
      </w:r>
      <w:r>
        <w:t xml:space="preserve">o The securitisation transaction must be backed by a homogeneous pool of</w:t>
      </w:r>
      <w:r>
        <w:t xml:space="preserve"> </w:t>
      </w:r>
      <w:r>
        <w:t xml:space="preserve">exposures, such as pools of residential loans or corporate loans. The</w:t>
      </w:r>
      <w:r>
        <w:t xml:space="preserve"> </w:t>
      </w:r>
      <w:r>
        <w:t xml:space="preserve">underlying exposures should not include transferable securities.</w:t>
      </w:r>
      <w:r>
        <w:t xml:space="preserve"> </w:t>
      </w:r>
      <w:r>
        <w:t xml:space="preserve">However, sell-side parties support this due diligence process, e.g. by performing due</w:t>
      </w:r>
      <w:r>
        <w:t xml:space="preserve"> </w:t>
      </w:r>
      <w:r>
        <w:t xml:space="preserve">diligence sessions where they guide investors through all relevant questions that need to be</w:t>
      </w:r>
      <w:r>
        <w:t xml:space="preserve"> </w:t>
      </w:r>
      <w:r>
        <w:t xml:space="preserve">answered over the course of their due diligence process.</w:t>
      </w:r>
      <w:r>
        <w:t xml:space="preserve"> </w:t>
      </w:r>
      <w:r>
        <w:t xml:space="preserve">4. Cost drivers for Article 5 costs and separation of incremental costs from</w:t>
      </w:r>
      <w:r>
        <w:t xml:space="preserve"> </w:t>
      </w:r>
      <w:r>
        <w:t xml:space="preserve">business-as-usual costs:</w:t>
      </w:r>
      <w:r>
        <w:br/>
      </w:r>
      <w:r>
        <w:t xml:space="preserve">Investors perform due diligence activities in their regular course of business. These costs that</w:t>
      </w:r>
      <w:r>
        <w:t xml:space="preserve"> </w:t>
      </w:r>
      <w:r>
        <w:t xml:space="preserve">are linked to business-as-usual due diligence activities (“BAU costs”) are not relevant for the</w:t>
      </w:r>
      <w:r>
        <w:t xml:space="preserve"> </w:t>
      </w:r>
      <w:r>
        <w:t xml:space="preserve">cost assessment, which focusses on “incremental costs”, i.e. costs that businesses would not</w:t>
      </w:r>
      <w:r>
        <w:t xml:space="preserve"> </w:t>
      </w:r>
      <w:r>
        <w:t xml:space="preserve">incur in the absence of the EU Securitisation Framework. In the stakeholder consultation,</w:t>
      </w:r>
      <w:r>
        <w:t xml:space="preserve"> </w:t>
      </w:r>
      <w:r>
        <w:t xml:space="preserve">securitisation investors pointed to the following costs that go beyond what those incurred in</w:t>
      </w:r>
      <w:r>
        <w:t xml:space="preserve"> </w:t>
      </w:r>
      <w:r>
        <w:t xml:space="preserve">the regular course of business:</w:t>
      </w:r>
      <w:r>
        <w:br/>
      </w:r>
      <w:r>
        <w:t xml:space="preserve">• Verification beyond the assessment of the risk characteristics and the structural</w:t>
      </w:r>
      <w:r>
        <w:t xml:space="preserve"> </w:t>
      </w:r>
      <w:r>
        <w:t xml:space="preserve">features of the transaction</w:t>
      </w:r>
      <w:r>
        <w:t xml:space="preserve"> </w:t>
      </w:r>
      <w:r>
        <w:t xml:space="preserve">• Due diligence on originators that are regulated entities and that therefore can be</w:t>
      </w:r>
      <w:r>
        <w:t xml:space="preserve"> </w:t>
      </w:r>
      <w:r>
        <w:t xml:space="preserve">assumed to have originated their assets based on sound-credit granting standards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• Elaborate due diligence for secondary market transactions that have already been</w:t>
      </w:r>
      <w:r>
        <w:t xml:space="preserve"> </w:t>
      </w:r>
      <w:r>
        <w:t xml:space="preserve">checked by primary investors or are in the end of their life cycle with a high collateral</w:t>
      </w:r>
      <w:r>
        <w:t xml:space="preserve"> </w:t>
      </w:r>
      <w:r>
        <w:t xml:space="preserve">to outstanding asset-ratio and hence with very low risk</w:t>
      </w:r>
      <w:r>
        <w:t xml:space="preserve"> </w:t>
      </w:r>
      <w:r>
        <w:t xml:space="preserve">• Due diligence on repeat issuers that are already familiar to the investor</w:t>
      </w:r>
      <w:r>
        <w:t xml:space="preserve"> </w:t>
      </w:r>
      <w:r>
        <w:t xml:space="preserve">• STS verification</w:t>
      </w:r>
      <w:r>
        <w:t xml:space="preserve"> </w:t>
      </w:r>
      <w:r>
        <w:t xml:space="preserve">• Elaborate due diligence on low-risk transactions</w:t>
      </w:r>
      <w:r>
        <w:br/>
      </w:r>
      <w:r>
        <w:t xml:space="preserve">• Certain activities that are considered duplicative in nature, e.g. secondary or tertiary</w:t>
      </w:r>
      <w:r>
        <w:t xml:space="preserve"> </w:t>
      </w:r>
      <w:r>
        <w:t xml:space="preserve">real-estate price valuations</w:t>
      </w:r>
      <w:r>
        <w:t xml:space="preserve"> </w:t>
      </w:r>
      <w:r>
        <w:t xml:space="preserve">• Repetition of due diligence activities that have been performed by another party in the</w:t>
      </w:r>
      <w:r>
        <w:t xml:space="preserve"> </w:t>
      </w:r>
      <w:r>
        <w:t xml:space="preserve">process (e.g. the asset manager)</w:t>
      </w:r>
      <w:r>
        <w:br/>
      </w:r>
      <w:r>
        <w:t xml:space="preserve">5. Classification of due diligence costs from a better regulation perspective</w:t>
      </w:r>
      <w:r>
        <w:t xml:space="preserve"> </w:t>
      </w:r>
      <w:r>
        <w:t xml:space="preserve">Given that the substantial due diligence requirements extend largely to checking whether</w:t>
      </w:r>
      <w:r>
        <w:t xml:space="preserve"> </w:t>
      </w:r>
      <w:r>
        <w:t xml:space="preserve">originators having fulfilled their duties in the credit origination and transparency process</w:t>
      </w:r>
      <w:r>
        <w:t xml:space="preserve"> </w:t>
      </w:r>
      <w:r>
        <w:t xml:space="preserve">(which is an inspection duty performed on behalf of public authorities), as well as to internal</w:t>
      </w:r>
      <w:r>
        <w:t xml:space="preserve"> </w:t>
      </w:r>
      <w:r>
        <w:t xml:space="preserve">reporting, it is reasonable to classify these as administrative costs for purposes of the better</w:t>
      </w:r>
      <w:r>
        <w:t xml:space="preserve"> </w:t>
      </w:r>
      <w:r>
        <w:t xml:space="preserve">regulation process and to consider them in the One-In-One-Out calculation.97</w:t>
      </w:r>
      <w:r>
        <w:t xml:space="preserve"> </w:t>
      </w:r>
      <w:r>
        <w:t xml:space="preserve">6. One-off costs due diligence</w:t>
      </w:r>
      <w:r>
        <w:t xml:space="preserve"> </w:t>
      </w:r>
      <w:r>
        <w:t xml:space="preserve">To establish appropriate due diligence procedures, investors in securitisations incur one-off</w:t>
      </w:r>
      <w:r>
        <w:t xml:space="preserve"> </w:t>
      </w:r>
      <w:r>
        <w:t xml:space="preserve">efforts to adapt their due diligence procedures to the requirements of Article 5 SECR. Such</w:t>
      </w:r>
      <w:r>
        <w:t xml:space="preserve"> </w:t>
      </w:r>
      <w:r>
        <w:t xml:space="preserve">one-off efforts involve familiarisation with the new rules, potentially obtaining legal advice for</w:t>
      </w:r>
      <w:r>
        <w:t xml:space="preserve"> </w:t>
      </w:r>
      <w:r>
        <w:t xml:space="preserve">the correct interpretation of the rules and adapting internal procedures and guidance. It was not</w:t>
      </w:r>
      <w:r>
        <w:t xml:space="preserve"> </w:t>
      </w:r>
      <w:r>
        <w:t xml:space="preserve">possible to obtain information on one-off implementation costs from the stakeholder</w:t>
      </w:r>
      <w:r>
        <w:t xml:space="preserve"> </w:t>
      </w:r>
      <w:r>
        <w:t xml:space="preserve">consultation. Several large asset managers mentioned that they had already similar procedures</w:t>
      </w:r>
      <w:r>
        <w:t xml:space="preserve"> </w:t>
      </w:r>
      <w:r>
        <w:t xml:space="preserve">in place before the legal framework was put into place, so there was no implementation effort.</w:t>
      </w:r>
      <w:r>
        <w:t xml:space="preserve"> </w:t>
      </w:r>
      <w:r>
        <w:t xml:space="preserve">Other respondents mentioned that they had spent significant efforts, but that their processes</w:t>
      </w:r>
      <w:r>
        <w:t xml:space="preserve"> </w:t>
      </w:r>
      <w:r>
        <w:t xml:space="preserve">adapted slowly over time and the exact costs of this effort cannot be accurately estimated.</w:t>
      </w:r>
      <w:r>
        <w:br/>
      </w:r>
      <w:r>
        <w:t xml:space="preserve">The business association AFME estimated for new businesses the time necessary to understand</w:t>
      </w:r>
      <w:r>
        <w:t xml:space="preserve"> </w:t>
      </w:r>
      <w:r>
        <w:t xml:space="preserve">and implement due diligence procedures to be 2-3 months out of the approximately 9 months</w:t>
      </w:r>
      <w:r>
        <w:t xml:space="preserve"> </w:t>
      </w:r>
      <w:r>
        <w:t xml:space="preserve">required to set-up the whole securitisation business and has collected a cost sample for due</w:t>
      </w:r>
      <w:r>
        <w:t xml:space="preserve"> </w:t>
      </w:r>
      <w:r>
        <w:t xml:space="preserve">diligence costs of that constitutes about 20% of asset managers investing in European</w:t>
      </w:r>
      <w:r>
        <w:t xml:space="preserve"> </w:t>
      </w:r>
      <w:r>
        <w:t xml:space="preserve">securitisations, representing about 50% by ABS assets under management. They estimated the</w:t>
      </w:r>
      <w:r>
        <w:t xml:space="preserve"> </w:t>
      </w:r>
      <w:r>
        <w:t xml:space="preserve">one-off start-up costs for a securitisation business to about EUR 400 000, with about 30% due</w:t>
      </w:r>
      <w:r>
        <w:t xml:space="preserve"> </w:t>
      </w:r>
      <w:r>
        <w:t xml:space="preserve">to Art. 5 due diligence requirements, i.e. approx. EUR 130 000. AFME estimates the total</w:t>
      </w:r>
      <w:r>
        <w:t xml:space="preserve"> </w:t>
      </w:r>
      <w:r>
        <w:t xml:space="preserve">number of asset managers investing in securitisations in the European market to be less than</w:t>
      </w:r>
      <w:r>
        <w:t xml:space="preserve"> </w:t>
      </w:r>
      <w:r>
        <w:t xml:space="preserve">20. In addition, the EBA estimates the number of bank investors to 55-127, where the lower</w:t>
      </w:r>
      <w:r>
        <w:t xml:space="preserve"> </w:t>
      </w:r>
      <w:r>
        <w:t xml:space="preserve">bound are banks with the role “investor” only and the upper bound includes also banks with</w:t>
      </w:r>
      <w:r>
        <w:t xml:space="preserve"> </w:t>
      </w:r>
      <w:r>
        <w:t xml:space="preserve">the role “originator”, “original lender” or “sponsor”. This means that the upper bound includes</w:t>
      </w:r>
      <w:r>
        <w:t xml:space="preserve"> </w:t>
      </w:r>
      <w:r>
        <w:t xml:space="preserve">also banks that invest only in the retained tranches of their own securitisations, which are not</w:t>
      </w:r>
    </w:p>
    <w:p>
      <w:pPr>
        <w:pStyle w:val="BodyText"/>
      </w:pPr>
      <w:r>
        <w:t xml:space="preserve">97 The One-In-One-Out-Principle requires for each Euro of additional administrative burden introduced by a new</w:t>
      </w:r>
      <w:r>
        <w:t xml:space="preserve"> </w:t>
      </w:r>
      <w:r>
        <w:t xml:space="preserve">regulation for citizens, businesses or administrations, the removal of an equivalent amount in order to limit the</w:t>
      </w:r>
      <w:r>
        <w:t xml:space="preserve"> </w:t>
      </w:r>
      <w:r>
        <w:t xml:space="preserve">costs of bureaucracy over time.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acting as investors into third-party transactions in the market. To isolate market investors only,</w:t>
      </w:r>
      <w:r>
        <w:t xml:space="preserve"> </w:t>
      </w:r>
      <w:r>
        <w:t xml:space="preserve">we assume that about half of the bank investors invest only inhouse, which corrects the range</w:t>
      </w:r>
      <w:r>
        <w:t xml:space="preserve"> </w:t>
      </w:r>
      <w:r>
        <w:t xml:space="preserve">of bank investors to about 55-90 institutions. In addition, to get an indication of non-bank</w:t>
      </w:r>
      <w:r>
        <w:t xml:space="preserve"> </w:t>
      </w:r>
      <w:r>
        <w:t xml:space="preserve">investors, we refer to published data of the ESRB that estimates the holding share of banks in</w:t>
      </w:r>
      <w:r>
        <w:t xml:space="preserve"> </w:t>
      </w:r>
      <w:r>
        <w:t xml:space="preserve">securitisations to 84%98 , which implies an estimate of about 25 investors including an estimate</w:t>
      </w:r>
      <w:r>
        <w:t xml:space="preserve"> </w:t>
      </w:r>
      <w:r>
        <w:t xml:space="preserve">of 11 investment firms99. in total about 80-115 investors, this amounts to about EUR 10 to 15</w:t>
      </w:r>
      <w:r>
        <w:t xml:space="preserve"> </w:t>
      </w:r>
      <w:r>
        <w:t xml:space="preserve">million.</w:t>
      </w:r>
      <w:r>
        <w:br/>
      </w:r>
      <w:r>
        <w:t xml:space="preserve">7. Recurring costs due diligence</w:t>
      </w:r>
      <w:r>
        <w:t xml:space="preserve"> </w:t>
      </w:r>
      <w:r>
        <w:t xml:space="preserve">While due diligence requirements apply mainly to buy-side parties/investors, the consultation</w:t>
      </w:r>
      <w:r>
        <w:t xml:space="preserve"> </w:t>
      </w:r>
      <w:r>
        <w:t xml:space="preserve">process has shown that sell-side parties (originators, original lenders, sponsors) take also a role</w:t>
      </w:r>
      <w:r>
        <w:t xml:space="preserve"> </w:t>
      </w:r>
      <w:r>
        <w:t xml:space="preserve">in this process by supporting investors, e.g. by performing due diligence sessions where they</w:t>
      </w:r>
      <w:r>
        <w:t xml:space="preserve"> </w:t>
      </w:r>
      <w:r>
        <w:t xml:space="preserve">guide investors through all relevant questions that need to be answered over the course of their</w:t>
      </w:r>
      <w:r>
        <w:t xml:space="preserve"> </w:t>
      </w:r>
      <w:r>
        <w:t xml:space="preserve">due diligence process. Furthermore, for certain transactions due diligence activities are</w:t>
      </w:r>
      <w:r>
        <w:t xml:space="preserve"> </w:t>
      </w:r>
      <w:r>
        <w:t xml:space="preserve">performed by asset managers acting as intermediaries as well as end-investors. The table below</w:t>
      </w:r>
      <w:r>
        <w:t xml:space="preserve"> </w:t>
      </w:r>
      <w:r>
        <w:t xml:space="preserve">provides an estimation of the costs that apply at all levels of the due-diligence process and</w:t>
      </w:r>
      <w:r>
        <w:t xml:space="preserve"> </w:t>
      </w:r>
      <w:r>
        <w:t xml:space="preserve">yields in total ab EUR 660 million p.a.</w:t>
      </w:r>
      <w:r>
        <w:t xml:space="preserve"> </w:t>
      </w:r>
      <w:r>
        <w:t xml:space="preserve">Segment</w:t>
      </w:r>
    </w:p>
    <w:p>
      <w:pPr>
        <w:pStyle w:val="BodyText"/>
      </w:pPr>
      <w:r>
        <w:t xml:space="preserve">Sell-side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support</w:t>
      </w:r>
      <w:r>
        <w:t xml:space="preserve"> </w:t>
      </w:r>
      <w:r>
        <w:t xml:space="preserve">costs(6)</w:t>
      </w:r>
      <w:r>
        <w:t xml:space="preserve"> </w:t>
      </w:r>
      <w:r>
        <w:t xml:space="preserve">Buy-side due diligence</w:t>
      </w:r>
      <w:r>
        <w:t xml:space="preserve"> </w:t>
      </w:r>
      <w:r>
        <w:t xml:space="preserve">cost(5)</w:t>
      </w:r>
      <w:r>
        <w:t xml:space="preserve"> </w:t>
      </w:r>
      <w:r>
        <w:t xml:space="preserve">Total due</w:t>
      </w:r>
      <w:r>
        <w:t xml:space="preserve"> </w:t>
      </w:r>
      <w:r>
        <w:t xml:space="preserve">diligence</w:t>
      </w:r>
      <w:r>
        <w:t xml:space="preserve"> </w:t>
      </w:r>
      <w:r>
        <w:t xml:space="preserve">Market</w:t>
      </w:r>
      <w:r>
        <w:t xml:space="preserve"> </w:t>
      </w:r>
      <w:r>
        <w:t xml:space="preserve">share in</w:t>
      </w:r>
      <w:r>
        <w:t xml:space="preserve"> </w:t>
      </w:r>
      <w:r>
        <w:t xml:space="preserve">terms of</w:t>
      </w:r>
      <w:r>
        <w:t xml:space="preserve"> </w:t>
      </w:r>
      <w:r>
        <w:t xml:space="preserve">underlying</w:t>
      </w:r>
      <w:r>
        <w:t xml:space="preserve"> </w:t>
      </w:r>
      <w:r>
        <w:t xml:space="preserve">assets</w:t>
      </w:r>
      <w:r>
        <w:t xml:space="preserve"> </w:t>
      </w:r>
      <w:r>
        <w:t xml:space="preserve">outstanding</w:t>
      </w:r>
      <w:r>
        <w:t xml:space="preserve"> </w:t>
      </w:r>
      <w:r>
        <w:t xml:space="preserve">Estimated</w:t>
      </w:r>
      <w:r>
        <w:t xml:space="preserve"> </w:t>
      </w:r>
      <w:r>
        <w:t xml:space="preserve">market due</w:t>
      </w:r>
      <w:r>
        <w:t xml:space="preserve"> </w:t>
      </w:r>
      <w:r>
        <w:t xml:space="preserve">diligence</w:t>
      </w:r>
      <w:r>
        <w:t xml:space="preserve"> </w:t>
      </w:r>
      <w:r>
        <w:t xml:space="preserve">cost</w:t>
      </w:r>
      <w:r>
        <w:t xml:space="preserve"> </w:t>
      </w:r>
      <w:r>
        <w:t xml:space="preserve">Investment</w:t>
      </w:r>
      <w:r>
        <w:t xml:space="preserve"> </w:t>
      </w:r>
      <w:r>
        <w:t xml:space="preserve">firm</w:t>
      </w:r>
      <w:r>
        <w:t xml:space="preserve"> </w:t>
      </w:r>
      <w:r>
        <w:t xml:space="preserve">(intermediary)</w:t>
      </w:r>
      <w:r>
        <w:t xml:space="preserve"> </w:t>
      </w:r>
      <w:r>
        <w:t xml:space="preserve">End</w:t>
      </w:r>
      <w:r>
        <w:t xml:space="preserve"> </w:t>
      </w:r>
      <w:r>
        <w:t xml:space="preserve">investor</w:t>
      </w:r>
    </w:p>
    <w:p>
      <w:pPr>
        <w:pStyle w:val="BodyText"/>
      </w:pPr>
      <w:r>
        <w:t xml:space="preserve">In basis points of underlying asset pool</w:t>
      </w:r>
      <w:r>
        <w:t xml:space="preserve"> </w:t>
      </w:r>
      <w:r>
        <w:t xml:space="preserve">Billion EUR</w:t>
      </w:r>
      <w:r>
        <w:t xml:space="preserve"> </w:t>
      </w:r>
      <w:r>
        <w:t xml:space="preserve">Million EUR</w:t>
      </w:r>
      <w:r>
        <w:t xml:space="preserve"> </w:t>
      </w:r>
      <w:r>
        <w:t xml:space="preserve">Synthetic</w:t>
      </w:r>
    </w:p>
    <w:p>
      <w:pPr>
        <w:pStyle w:val="BodyText"/>
      </w:pPr>
      <w:r>
        <w:t xml:space="preserve">0.3(2)</w:t>
      </w:r>
      <w:r>
        <w:t xml:space="preserve"> </w:t>
      </w:r>
      <w:r>
        <w:t xml:space="preserve">n/a</w:t>
      </w:r>
      <w:r>
        <w:t xml:space="preserve"> </w:t>
      </w:r>
      <w:r>
        <w:t xml:space="preserve">0.3(3)</w:t>
      </w:r>
      <w:r>
        <w:t xml:space="preserve"> </w:t>
      </w:r>
      <w:r>
        <w:t xml:space="preserve">0.6</w:t>
      </w:r>
      <w:r>
        <w:t xml:space="preserve"> </w:t>
      </w:r>
      <w:r>
        <w:t xml:space="preserve">295</w:t>
      </w:r>
      <w:r>
        <w:t xml:space="preserve"> </w:t>
      </w:r>
      <w:r>
        <w:t xml:space="preserve">18</w:t>
      </w:r>
    </w:p>
    <w:p>
      <w:pPr>
        <w:pStyle w:val="BodyText"/>
      </w:pPr>
      <w:r>
        <w:t xml:space="preserve">Observations(1)</w:t>
      </w:r>
      <w:r>
        <w:t xml:space="preserve"> </w:t>
      </w:r>
      <w:r>
        <w:t xml:space="preserve">N=6</w:t>
      </w:r>
    </w:p>
    <w:p>
      <w:pPr>
        <w:pStyle w:val="BodyText"/>
      </w:pPr>
      <w:r>
        <w:t xml:space="preserve">N=6</w:t>
      </w:r>
    </w:p>
    <w:p>
      <w:pPr>
        <w:pStyle w:val="BodyText"/>
      </w:pPr>
      <w:r>
        <w:t xml:space="preserve">Max</w:t>
      </w:r>
      <w:r>
        <w:t xml:space="preserve"> </w:t>
      </w:r>
      <w:r>
        <w:t xml:space="preserve">1.2</w:t>
      </w:r>
    </w:p>
    <w:p>
      <w:pPr>
        <w:pStyle w:val="BodyText"/>
      </w:pPr>
      <w:r>
        <w:t xml:space="preserve">0.6</w:t>
      </w:r>
    </w:p>
    <w:p>
      <w:pPr>
        <w:pStyle w:val="BodyText"/>
      </w:pPr>
      <w:r>
        <w:t xml:space="preserve">Min</w:t>
      </w:r>
      <w:r>
        <w:t xml:space="preserve"> </w:t>
      </w:r>
      <w:r>
        <w:t xml:space="preserve">0.03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Tradit-</w:t>
      </w:r>
      <w:r>
        <w:t xml:space="preserve"> </w:t>
      </w:r>
      <w:r>
        <w:t xml:space="preserve">ional</w:t>
      </w:r>
    </w:p>
    <w:p>
      <w:pPr>
        <w:pStyle w:val="BodyText"/>
      </w:pPr>
      <w:r>
        <w:t xml:space="preserve">2.0(7)</w:t>
      </w:r>
      <w:r>
        <w:t xml:space="preserve"> </w:t>
      </w:r>
      <w:r>
        <w:t xml:space="preserve">12%(4)x2.5=0.3</w:t>
      </w:r>
      <w:r>
        <w:t xml:space="preserve"> </w:t>
      </w:r>
      <w:r>
        <w:t xml:space="preserve">2.5(8)</w:t>
      </w:r>
      <w:r>
        <w:t xml:space="preserve"> </w:t>
      </w:r>
      <w:r>
        <w:t xml:space="preserve">4.8</w:t>
      </w:r>
      <w:r>
        <w:t xml:space="preserve"> </w:t>
      </w:r>
      <w:r>
        <w:t xml:space="preserve">1 340</w:t>
      </w:r>
      <w:r>
        <w:t xml:space="preserve"> </w:t>
      </w:r>
      <w:r>
        <w:t xml:space="preserve">643</w:t>
      </w:r>
    </w:p>
    <w:p>
      <w:pPr>
        <w:pStyle w:val="BodyText"/>
      </w:pPr>
      <w:r>
        <w:t xml:space="preserve">Observations</w:t>
      </w:r>
      <w:r>
        <w:t xml:space="preserve"> </w:t>
      </w:r>
      <w:r>
        <w:t xml:space="preserve">N=3</w:t>
      </w:r>
      <w:r>
        <w:t xml:space="preserve"> </w:t>
      </w:r>
      <w:r>
        <w:t xml:space="preserve">N=16</w:t>
      </w:r>
    </w:p>
    <w:p>
      <w:pPr>
        <w:pStyle w:val="BodyText"/>
      </w:pPr>
      <w:r>
        <w:t xml:space="preserve">Min</w:t>
      </w:r>
      <w:r>
        <w:br/>
      </w:r>
      <w:r>
        <w:t xml:space="preserve">1.5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Max</w:t>
      </w:r>
      <w:r>
        <w:t xml:space="preserve"> </w:t>
      </w:r>
      <w:r>
        <w:t xml:space="preserve">2.5</w:t>
      </w:r>
      <w:r>
        <w:t xml:space="preserve"> </w:t>
      </w:r>
      <w:r>
        <w:t xml:space="preserve">24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1 635</w:t>
      </w:r>
      <w:r>
        <w:t xml:space="preserve"> </w:t>
      </w:r>
      <w:r>
        <w:t xml:space="preserve">661</w:t>
      </w:r>
    </w:p>
    <w:p>
      <w:pPr>
        <w:pStyle w:val="BodyText"/>
      </w:pPr>
      <w:r>
        <w:t xml:space="preserve">660</w:t>
      </w:r>
      <w:r>
        <w:t xml:space="preserve"> </w:t>
      </w:r>
      <w:r>
        <w:t xml:space="preserve">(rounded)</w:t>
      </w:r>
    </w:p>
    <w:p>
      <w:pPr>
        <w:pStyle w:val="BodyText"/>
      </w:pPr>
      <w:r>
        <w:t xml:space="preserve">98 The latest ESRB report on Monitoring systemic risks in the EU securitisation market, July 2022, published</w:t>
      </w:r>
      <w:r>
        <w:t xml:space="preserve"> </w:t>
      </w:r>
      <w:r>
        <w:t xml:space="preserve">every 3 years, estimates in chart: 2a that 84% of euro area securitsation holdings are held by deposit-taking</w:t>
      </w:r>
      <w:r>
        <w:t xml:space="preserve"> </w:t>
      </w:r>
      <w:r>
        <w:t xml:space="preserve">institutions (banks), and the reminder of 16% by Central state and government, Insurance corporations, Pension</w:t>
      </w:r>
      <w:r>
        <w:t xml:space="preserve"> </w:t>
      </w:r>
      <w:r>
        <w:t xml:space="preserve">funds, Investment funds non-financial and other financial corporations and non-profit institutions serving</w:t>
      </w:r>
      <w:r>
        <w:t xml:space="preserve"> </w:t>
      </w:r>
      <w:r>
        <w:t xml:space="preserve">households.https://www.esrb.europa.eu/pub/pdf/reports/esrb.report_securisation.20220701~27958382b5.en.pdf?</w:t>
      </w:r>
      <w:r>
        <w:t xml:space="preserve"> </w:t>
      </w:r>
      <w:r>
        <w:t xml:space="preserve">94c1fd978e974454f65a21c399f44ff8</w:t>
      </w:r>
      <w:r>
        <w:br/>
      </w:r>
      <w:r>
        <w:t xml:space="preserve">99 This is based on the understanding that the bank-holdings include holdings of retained tranches, i.e. a basis of</w:t>
      </w:r>
      <w:r>
        <w:t xml:space="preserve"> </w:t>
      </w:r>
      <w:r>
        <w:t xml:space="preserve">127 banks that corresponds to 84% of securitisation holdings and the assumption that the holding shares are</w:t>
      </w:r>
      <w:r>
        <w:t xml:space="preserve"> </w:t>
      </w:r>
      <w:r>
        <w:t xml:space="preserve">proportional to the number of investors.</w:t>
      </w:r>
    </w:p>
    <w:p>
      <w:pPr>
        <w:pStyle w:val="BodyText"/>
      </w:pPr>
      <w:r>
        <w:t xml:space="preserve">116</w:t>
      </w:r>
    </w:p>
    <w:p>
      <w:pPr>
        <w:pStyle w:val="Compact"/>
        <w:numPr>
          <w:ilvl w:val="0"/>
          <w:numId w:val="1005"/>
        </w:numPr>
      </w:pPr>
      <w:r>
        <w:t xml:space="preserve">The observations for synthetic securitisations rely on the submission of the International</w:t>
      </w:r>
      <w:r>
        <w:t xml:space="preserve"> </w:t>
      </w:r>
      <w:r>
        <w:t xml:space="preserve">Association of Credit Portfolio Managers (IACPM) that has collected a sample of observations</w:t>
      </w:r>
      <w:r>
        <w:t xml:space="preserve"> </w:t>
      </w:r>
      <w:r>
        <w:t xml:space="preserve">among their members.</w:t>
      </w:r>
    </w:p>
    <w:p>
      <w:pPr>
        <w:pStyle w:val="Compact"/>
        <w:numPr>
          <w:ilvl w:val="0"/>
          <w:numId w:val="1005"/>
        </w:numPr>
      </w:pPr>
      <w:r>
        <w:t xml:space="preserve">The due diligence support of originators in the synthetic SRT segment has been translated</w:t>
      </w:r>
      <w:r>
        <w:t xml:space="preserve"> </w:t>
      </w:r>
      <w:r>
        <w:t xml:space="preserve">in basis points (i.e. 1/100 of a percentage point) by dividing absolute values of costs in EUR</w:t>
      </w:r>
      <w:r>
        <w:t xml:space="preserve"> </w:t>
      </w:r>
      <w:r>
        <w:t xml:space="preserve">p.a. per transaction by the estimated average pool size of a synthetic transaction.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For the investor side, for synthetic SRT transactions the costs for 1-3 investors per</w:t>
      </w:r>
      <w:r>
        <w:t xml:space="preserve"> </w:t>
      </w:r>
      <w:r>
        <w:t xml:space="preserve">transaction are assumed100 and the mid-range (2 investors) is shown. To translate the cost</w:t>
      </w:r>
      <w:r>
        <w:t xml:space="preserve"> </w:t>
      </w:r>
      <w:r>
        <w:t xml:space="preserve">values in EUR per transaction p.a. in basis points (i.e. 1/100 of a percentage point), the pool</w:t>
      </w:r>
      <w:r>
        <w:t xml:space="preserve"> </w:t>
      </w:r>
      <w:r>
        <w:t xml:space="preserve">size has been used (not the secured amount/investment ticket size) in order to be able to scale</w:t>
      </w:r>
      <w:r>
        <w:t xml:space="preserve"> </w:t>
      </w:r>
      <w:r>
        <w:t xml:space="preserve">up the cost to the market size that is expressed in outstanding underlying asset volumes.</w:t>
      </w:r>
    </w:p>
    <w:p>
      <w:pPr>
        <w:pStyle w:val="Compact"/>
        <w:numPr>
          <w:ilvl w:val="0"/>
          <w:numId w:val="1005"/>
        </w:numPr>
      </w:pPr>
      <w:r>
        <w:t xml:space="preserve">The share of 12% has been taken as assumption for the share of market involvement of</w:t>
      </w:r>
      <w:r>
        <w:t xml:space="preserve"> </w:t>
      </w:r>
      <w:r>
        <w:t xml:space="preserve">asset managers in the investment process of non-synthetic transactions and is based on a ESRB</w:t>
      </w:r>
      <w:r>
        <w:t xml:space="preserve"> </w:t>
      </w:r>
      <w:r>
        <w:t xml:space="preserve">publication on asset manager involvement in securitsation transactions (with a correction to</w:t>
      </w:r>
      <w:r>
        <w:t xml:space="preserve"> </w:t>
      </w:r>
      <w:r>
        <w:t xml:space="preserve">exclude banks holding their own retained shares only)101.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The classification as investor vs sell side of the replies received in the stakeholder</w:t>
      </w:r>
      <w:r>
        <w:t xml:space="preserve"> </w:t>
      </w:r>
      <w:r>
        <w:t xml:space="preserve">consultation is as follows: If in the reply to question 0.16 “involvement role” was one of the</w:t>
      </w:r>
      <w:r>
        <w:t xml:space="preserve"> </w:t>
      </w:r>
      <w:r>
        <w:t xml:space="preserve">following (no buy-side role and: “investor in synthetic securitisations” or “Investor in</w:t>
      </w:r>
      <w:r>
        <w:t xml:space="preserve"> </w:t>
      </w:r>
      <w:r>
        <w:t xml:space="preserve">synthetic securitisations”) or in a follow-up with the stakeholder it was clarified an investor</w:t>
      </w:r>
      <w:r>
        <w:t xml:space="preserve"> </w:t>
      </w:r>
      <w:r>
        <w:t xml:space="preserve">role or if both roles were selected and the principal activity (question 0.13) is “Investment</w:t>
      </w:r>
      <w:r>
        <w:t xml:space="preserve"> </w:t>
      </w:r>
      <w:r>
        <w:t xml:space="preserve">Management”.</w:t>
      </w:r>
    </w:p>
    <w:p>
      <w:pPr>
        <w:pStyle w:val="Compact"/>
        <w:numPr>
          <w:ilvl w:val="0"/>
          <w:numId w:val="1005"/>
        </w:numPr>
      </w:pPr>
      <w:r>
        <w:t xml:space="preserve">The classification of the replies received in the stakeholder consultation as sell-side has</w:t>
      </w:r>
      <w:r>
        <w:t xml:space="preserve"> </w:t>
      </w:r>
      <w:r>
        <w:t xml:space="preserve">been performed if exclusively sell-side roles were selected, i.e. “originator of synthetic</w:t>
      </w:r>
      <w:r>
        <w:t xml:space="preserve"> </w:t>
      </w:r>
      <w:r>
        <w:t xml:space="preserve">securitisations”, “originator of traditional securitisations”, “sponsor” or “arranger” or it</w:t>
      </w:r>
      <w:r>
        <w:t xml:space="preserve"> </w:t>
      </w:r>
      <w:r>
        <w:t xml:space="preserve">was explicitly stated in a follow-up interaction.</w:t>
      </w:r>
    </w:p>
    <w:p>
      <w:pPr>
        <w:pStyle w:val="Compact"/>
        <w:numPr>
          <w:ilvl w:val="0"/>
          <w:numId w:val="1005"/>
        </w:numPr>
      </w:pPr>
      <w:r>
        <w:t xml:space="preserve">Three observations were obtained in the traditional sell-side segment with a full range of</w:t>
      </w:r>
      <w:r>
        <w:t xml:space="preserve"> </w:t>
      </w:r>
      <w:r>
        <w:t xml:space="preserve">1.5-2.5 bps and the mid-value of 2.0 bps has been selected as representative value..</w:t>
      </w:r>
    </w:p>
    <w:p>
      <w:pPr>
        <w:pStyle w:val="Compact"/>
        <w:numPr>
          <w:ilvl w:val="0"/>
          <w:numId w:val="1005"/>
        </w:numPr>
      </w:pPr>
      <w:r>
        <w:t xml:space="preserve">Observations from stakeholder consultation and related follow-up interactions. If reply</w:t>
      </w:r>
      <w:r>
        <w:t xml:space="preserve"> </w:t>
      </w:r>
      <w:r>
        <w:t xml:space="preserve">showed absolute annual cost value per transaction, , a ticket size of EUR 10 million has been</w:t>
      </w:r>
      <w:r>
        <w:t xml:space="preserve"> </w:t>
      </w:r>
      <w:r>
        <w:t xml:space="preserve">assumed – reflecting the median size of a median market transaction of approx. EUR 400</w:t>
      </w:r>
      <w:r>
        <w:t xml:space="preserve"> </w:t>
      </w:r>
      <w:r>
        <w:t xml:space="preserve">million and typical investor numbers per public transaction of 30-50 investors, which implies</w:t>
      </w:r>
      <w:r>
        <w:t xml:space="preserve"> </w:t>
      </w:r>
      <w:r>
        <w:t xml:space="preserve">an average investment ticket size of EUR 10 million) – to translate into relative costs expressed</w:t>
      </w:r>
      <w:r>
        <w:t xml:space="preserve"> </w:t>
      </w:r>
      <w:r>
        <w:t xml:space="preserve">in basis points. If explicitly stated in the reply, the ticket size of the respondent has been taken</w:t>
      </w:r>
      <w:r>
        <w:t xml:space="preserve"> </w:t>
      </w:r>
      <w:r>
        <w:t xml:space="preserve">into account to obtain the relative costs.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Benefits of moving to a more principles based and proportionate due</w:t>
      </w:r>
      <w:r>
        <w:t xml:space="preserve"> </w:t>
      </w:r>
      <w:r>
        <w:t xml:space="preserve">diligence approach</w:t>
      </w:r>
      <w:r>
        <w:t xml:space="preserve"> </w:t>
      </w:r>
      <w:r>
        <w:t xml:space="preserve">Stakeholders responding to the public consultation almost unanimously welcomed the proposal</w:t>
      </w:r>
      <w:r>
        <w:t xml:space="preserve"> </w:t>
      </w:r>
      <w:r>
        <w:t xml:space="preserve">of Option 1.1, i.e. a more principles based, less complex and proportionate due diligence</w:t>
      </w:r>
    </w:p>
    <w:p>
      <w:pPr>
        <w:pStyle w:val="FirstParagraph"/>
      </w:pPr>
      <w:r>
        <w:t xml:space="preserve">100 See True Sale International in cooperation with the German Banking Association, Final Report on the</w:t>
      </w:r>
      <w:r>
        <w:t xml:space="preserve"> </w:t>
      </w:r>
      <w:r>
        <w:t xml:space="preserve">securitisation task force, Annex 4, TSI_BVB_Final_report_of_the_securitisation_task_force_202409_en.pdf</w:t>
      </w:r>
      <w:r>
        <w:t xml:space="preserve"> </w:t>
      </w:r>
      <w:r>
        <w:t xml:space="preserve">101 ESRB European Systemic Risk Board (July 2022): Monitoring systemic risks in the EU securitsation</w:t>
      </w:r>
      <w:r>
        <w:t xml:space="preserve"> </w:t>
      </w:r>
      <w:r>
        <w:t xml:space="preserve">market, Chart 2a</w:t>
      </w:r>
      <w:r>
        <w:br/>
      </w:r>
      <w:r>
        <w:t xml:space="preserve">https://www.esrb.europa.eu/pub/pdf/reports/esrb.report_securisation.20220701~27958382b5.en.pdf?94c1fd978e</w:t>
      </w:r>
      <w:r>
        <w:t xml:space="preserve"> </w:t>
      </w:r>
      <w:r>
        <w:t xml:space="preserve">974454f65a21c399f44ff8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approach (95% - i.e. 81/86 respondents to that question. Only 2 preferred to make the</w:t>
      </w:r>
      <w:r>
        <w:t xml:space="preserve"> </w:t>
      </w:r>
      <w:r>
        <w:t xml:space="preserve">requirements even more detailed and prescriptive, and 3 would like to keep the regulation</w:t>
      </w:r>
      <w:r>
        <w:t xml:space="preserve"> </w:t>
      </w:r>
      <w:r>
        <w:t xml:space="preserve">unchanged; an additional 45 respondents had no opinion).</w:t>
      </w:r>
      <w:r>
        <w:br/>
      </w:r>
      <w:r>
        <w:t xml:space="preserve">One of the major benefits that respondents see in a more principles-based approach is the</w:t>
      </w:r>
      <w:r>
        <w:t xml:space="preserve"> </w:t>
      </w:r>
      <w:r>
        <w:t xml:space="preserve">possibility to focus on risk areas of the transaction. For some transactions respondents would</w:t>
      </w:r>
      <w:r>
        <w:t xml:space="preserve"> </w:t>
      </w:r>
      <w:r>
        <w:t xml:space="preserve">prefer lower due diligence requirements as the risks involved would not justify certain efforts.</w:t>
      </w:r>
      <w:r>
        <w:br/>
      </w:r>
      <w:r>
        <w:t xml:space="preserve">Transactions with repeat issuers were frequently mentioned. AFME estimates the share of</w:t>
      </w:r>
      <w:r>
        <w:t xml:space="preserve"> </w:t>
      </w:r>
      <w:r>
        <w:t xml:space="preserve">repeat issuance to about 67% of the public market.102 Apart from being dissatisfied with</w:t>
      </w:r>
      <w:r>
        <w:t xml:space="preserve"> </w:t>
      </w:r>
      <w:r>
        <w:t xml:space="preserve">performing controls that are in other jurisdictions performed by public authorities, e.g. </w:t>
      </w:r>
      <w:r>
        <w:t xml:space="preserve"> </w:t>
      </w:r>
      <w:r>
        <w:t xml:space="preserve">verifying EU issuers’ compliance with risk retention requirements, the repetition of such</w:t>
      </w:r>
      <w:r>
        <w:t xml:space="preserve"> </w:t>
      </w:r>
      <w:r>
        <w:t xml:space="preserve">checks for several transactions with the same issuer in a short period of time is seen as</w:t>
      </w:r>
      <w:r>
        <w:t xml:space="preserve"> </w:t>
      </w:r>
      <w:r>
        <w:t xml:space="preserve">superfluous and unduly costly.</w:t>
      </w:r>
      <w:r>
        <w:br/>
      </w:r>
      <w:r>
        <w:t xml:space="preserve">Secondary market transactions were another frequent example in this context, where due</w:t>
      </w:r>
      <w:r>
        <w:t xml:space="preserve"> </w:t>
      </w:r>
      <w:r>
        <w:t xml:space="preserve">diligence requirements could have a prohibitive effect as the time window available to give an</w:t>
      </w:r>
      <w:r>
        <w:t xml:space="preserve"> </w:t>
      </w:r>
      <w:r>
        <w:t xml:space="preserve">offer (e.g. 1-2 days) was insufficient to perform all due diligence tasks. These can take</w:t>
      </w:r>
      <w:r>
        <w:t xml:space="preserve"> </w:t>
      </w:r>
      <w:r>
        <w:t xml:space="preserve">(according to the consultation replies) up to 10 days. As a result, non-EU investors are reported</w:t>
      </w:r>
      <w:r>
        <w:t xml:space="preserve"> </w:t>
      </w:r>
      <w:r>
        <w:t xml:space="preserve">to benefit by getting easier access to the securitisation investments in the secondary market,</w:t>
      </w:r>
      <w:r>
        <w:t xml:space="preserve"> </w:t>
      </w:r>
      <w:r>
        <w:t xml:space="preserve">while certain EU investors are excluded. Furthermore, given that the underlying exposures</w:t>
      </w:r>
      <w:r>
        <w:t xml:space="preserve"> </w:t>
      </w:r>
      <w:r>
        <w:t xml:space="preserve">amortise over time, the remaining time to maturity is much shorter and the relation between</w:t>
      </w:r>
      <w:r>
        <w:t xml:space="preserve"> </w:t>
      </w:r>
      <w:r>
        <w:t xml:space="preserve">collateral and exposure much more favourable than for the initial primary transaction, hence</w:t>
      </w:r>
      <w:r>
        <w:t xml:space="preserve"> </w:t>
      </w:r>
      <w:r>
        <w:t xml:space="preserve">the remaining risk is significantly reduced while the due diligence requirements remain</w:t>
      </w:r>
      <w:r>
        <w:t xml:space="preserve"> </w:t>
      </w:r>
      <w:r>
        <w:t xml:space="preserve">unchanged. To our best knowledge, there was no publicly available market data on the share</w:t>
      </w:r>
      <w:r>
        <w:t xml:space="preserve"> </w:t>
      </w:r>
      <w:r>
        <w:t xml:space="preserve">of primary vs. secondary transactions, but one experienced asset manager estimated the</w:t>
      </w:r>
      <w:r>
        <w:t xml:space="preserve"> </w:t>
      </w:r>
      <w:r>
        <w:t xml:space="preserve">relationship between secondary to primary market transactions as about 50%:50% in the</w:t>
      </w:r>
      <w:r>
        <w:t xml:space="preserve"> </w:t>
      </w:r>
      <w:r>
        <w:t xml:space="preserve">traditional securitisation market. In the synthetic market investments are usually held to</w:t>
      </w:r>
      <w:r>
        <w:t xml:space="preserve"> </w:t>
      </w:r>
      <w:r>
        <w:t xml:space="preserve">maturity or until it can be called, i.e. they are not relevant for secondary market transactions.</w:t>
      </w:r>
      <w:r>
        <w:br/>
      </w:r>
      <w:r>
        <w:t xml:space="preserve">Low-risk transactions in the AAA or investment grade segment are another frequently</w:t>
      </w:r>
      <w:r>
        <w:t xml:space="preserve"> </w:t>
      </w:r>
      <w:r>
        <w:t xml:space="preserve">mentioned example for transactions that require in the eyes of most investors a lower degree</w:t>
      </w:r>
      <w:r>
        <w:t xml:space="preserve"> </w:t>
      </w:r>
      <w:r>
        <w:t xml:space="preserve">of due diligence activities. Investors would therefore prefer setting certain priority areas for</w:t>
      </w:r>
      <w:r>
        <w:t xml:space="preserve"> </w:t>
      </w:r>
      <w:r>
        <w:t xml:space="preserve">their due diligence activities in line with the risk characteristics of the underlying collateral and</w:t>
      </w:r>
      <w:r>
        <w:t xml:space="preserve"> </w:t>
      </w:r>
      <w:r>
        <w:t xml:space="preserve">the structural features of the transaction.</w:t>
      </w:r>
      <w:r>
        <w:t xml:space="preserve"> </w:t>
      </w:r>
      <w:r>
        <w:t xml:space="preserve">While banking and insurance investors can offset the costs of additional STS compliance</w:t>
      </w:r>
      <w:r>
        <w:t xml:space="preserve"> </w:t>
      </w:r>
      <w:r>
        <w:t xml:space="preserve">checks through preferential capital treatment, investment firms have no additional benefit and</w:t>
      </w:r>
      <w:r>
        <w:t xml:space="preserve"> </w:t>
      </w:r>
      <w:r>
        <w:t xml:space="preserve">regard the label therefore rather as a “nice-to-have”. Transactions designated as STS are subject</w:t>
      </w:r>
      <w:r>
        <w:t xml:space="preserve"> </w:t>
      </w:r>
      <w:r>
        <w:t xml:space="preserve">to additional checks which considered as particularly burdensome.</w:t>
      </w:r>
      <w:r>
        <w:br/>
      </w:r>
      <w:r>
        <w:t xml:space="preserve">Hence, an AAA transaction with a repeat issuer in the secondary market could be considered</w:t>
      </w:r>
      <w:r>
        <w:t xml:space="preserve"> </w:t>
      </w:r>
      <w:r>
        <w:t xml:space="preserve">the heaviest in terms of regulatory burden and the perceived excess burden of such transactions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https://www.afme.eu/Portals/0/DispatchFeaturedImages/Article%205%20presentation%20for%20Commission</w:t>
      </w:r>
      <w:r>
        <w:t xml:space="preserve"> </w:t>
      </w:r>
      <w:r>
        <w:t xml:space="preserve">%2015.1.25.pdf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can be up to 75%. Based on the replies received in the stakeholder consultation, we estimate</w:t>
      </w:r>
      <w:r>
        <w:t xml:space="preserve"> </w:t>
      </w:r>
      <w:r>
        <w:t xml:space="preserve">the savings potential as follows:</w:t>
      </w:r>
      <w:r>
        <w:br/>
      </w:r>
      <w:r>
        <w:t xml:space="preserve">Figure 12: Estimated savings recurring annual due diligence costs</w:t>
      </w:r>
      <w:r>
        <w:t xml:space="preserve"> </w:t>
      </w:r>
      <w:r>
        <w:t xml:space="preserve">Segment</w:t>
      </w:r>
    </w:p>
    <w:p>
      <w:pPr>
        <w:pStyle w:val="BodyText"/>
      </w:pPr>
      <w:r>
        <w:t xml:space="preserve">Sell-side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support</w:t>
      </w:r>
      <w:r>
        <w:t xml:space="preserve"> </w:t>
      </w:r>
      <w:r>
        <w:t xml:space="preserve">costs(6)</w:t>
      </w:r>
      <w:r>
        <w:t xml:space="preserve"> </w:t>
      </w:r>
      <w:r>
        <w:t xml:space="preserve">Buy-side due diligence</w:t>
      </w:r>
      <w:r>
        <w:t xml:space="preserve"> </w:t>
      </w:r>
      <w:r>
        <w:t xml:space="preserve">cost(5)</w:t>
      </w:r>
      <w:r>
        <w:t xml:space="preserve"> </w:t>
      </w:r>
      <w:r>
        <w:t xml:space="preserve">Total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savings</w:t>
      </w:r>
      <w:r>
        <w:t xml:space="preserve"> </w:t>
      </w:r>
      <w:r>
        <w:t xml:space="preserve">relative</w:t>
      </w:r>
      <w:r>
        <w:t xml:space="preserve"> </w:t>
      </w:r>
      <w:r>
        <w:t xml:space="preserve">to asset</w:t>
      </w:r>
      <w:r>
        <w:t xml:space="preserve"> </w:t>
      </w:r>
      <w:r>
        <w:t xml:space="preserve">pool</w:t>
      </w:r>
      <w:r>
        <w:t xml:space="preserve"> </w:t>
      </w:r>
      <w:r>
        <w:t xml:space="preserve">Market</w:t>
      </w:r>
      <w:r>
        <w:t xml:space="preserve"> </w:t>
      </w:r>
      <w:r>
        <w:t xml:space="preserve">share in</w:t>
      </w:r>
      <w:r>
        <w:t xml:space="preserve"> </w:t>
      </w:r>
      <w:r>
        <w:t xml:space="preserve">terms of</w:t>
      </w:r>
      <w:r>
        <w:t xml:space="preserve"> </w:t>
      </w:r>
      <w:r>
        <w:t xml:space="preserve">underlying</w:t>
      </w:r>
      <w:r>
        <w:t xml:space="preserve"> </w:t>
      </w:r>
      <w:r>
        <w:t xml:space="preserve">assets</w:t>
      </w:r>
      <w:r>
        <w:t xml:space="preserve"> </w:t>
      </w:r>
      <w:r>
        <w:t xml:space="preserve">outstanding</w:t>
      </w:r>
      <w:r>
        <w:t xml:space="preserve"> </w:t>
      </w:r>
      <w:r>
        <w:t xml:space="preserve">Estimated</w:t>
      </w:r>
      <w:r>
        <w:t xml:space="preserve"> </w:t>
      </w:r>
      <w:r>
        <w:t xml:space="preserve">market</w:t>
      </w:r>
      <w:r>
        <w:t xml:space="preserve"> </w:t>
      </w: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cost</w:t>
      </w:r>
      <w:r>
        <w:t xml:space="preserve"> </w:t>
      </w:r>
      <w:r>
        <w:t xml:space="preserve">Asset</w:t>
      </w:r>
      <w:r>
        <w:t xml:space="preserve"> </w:t>
      </w:r>
      <w:r>
        <w:t xml:space="preserve">manager or</w:t>
      </w:r>
      <w:r>
        <w:t xml:space="preserve"> </w:t>
      </w:r>
      <w:r>
        <w:t xml:space="preserve">other</w:t>
      </w:r>
      <w:r>
        <w:t xml:space="preserve"> </w:t>
      </w:r>
      <w:r>
        <w:t xml:space="preserve">intermediary</w:t>
      </w:r>
      <w:r>
        <w:t xml:space="preserve"> </w:t>
      </w:r>
      <w:r>
        <w:t xml:space="preserve">End</w:t>
      </w:r>
      <w:r>
        <w:t xml:space="preserve"> </w:t>
      </w:r>
      <w:r>
        <w:t xml:space="preserve">investor</w:t>
      </w:r>
    </w:p>
    <w:p>
      <w:pPr>
        <w:pStyle w:val="BodyText"/>
      </w:pPr>
      <w:r>
        <w:t xml:space="preserve">percent</w:t>
      </w:r>
      <w:r>
        <w:t xml:space="preserve"> </w:t>
      </w:r>
      <w:r>
        <w:t xml:space="preserve">basis</w:t>
      </w:r>
      <w:r>
        <w:t xml:space="preserve"> </w:t>
      </w:r>
      <w:r>
        <w:t xml:space="preserve">points</w:t>
      </w:r>
      <w:r>
        <w:t xml:space="preserve"> </w:t>
      </w:r>
      <w:r>
        <w:t xml:space="preserve">Billion</w:t>
      </w:r>
      <w:r>
        <w:t xml:space="preserve"> </w:t>
      </w:r>
      <w:r>
        <w:t xml:space="preserve">EUR</w:t>
      </w:r>
      <w:r>
        <w:t xml:space="preserve"> </w:t>
      </w:r>
      <w:r>
        <w:t xml:space="preserve">Million</w:t>
      </w:r>
      <w:r>
        <w:t xml:space="preserve"> </w:t>
      </w:r>
      <w:r>
        <w:t xml:space="preserve">EUR</w:t>
      </w:r>
      <w:r>
        <w:t xml:space="preserve"> </w:t>
      </w:r>
      <w:r>
        <w:t xml:space="preserve">Synthetic(1)</w:t>
      </w:r>
    </w:p>
    <w:p>
      <w:pPr>
        <w:pStyle w:val="BodyText"/>
      </w:pPr>
      <w:r>
        <w:t xml:space="preserve">17%(3)</w:t>
      </w:r>
      <w:r>
        <w:t xml:space="preserve"> </w:t>
      </w:r>
      <w:r>
        <w:t xml:space="preserve">n/a</w:t>
      </w:r>
      <w:r>
        <w:t xml:space="preserve"> </w:t>
      </w:r>
      <w:r>
        <w:t xml:space="preserve">16%(2)</w:t>
      </w:r>
      <w:r>
        <w:t xml:space="preserve"> </w:t>
      </w:r>
      <w:r>
        <w:t xml:space="preserve">0.1(5)</w:t>
      </w:r>
      <w:r>
        <w:t xml:space="preserve"> </w:t>
      </w:r>
      <w:r>
        <w:t xml:space="preserve">295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Observations</w:t>
      </w:r>
      <w:r>
        <w:t xml:space="preserve"> </w:t>
      </w:r>
      <w:r>
        <w:t xml:space="preserve">N=7</w:t>
      </w:r>
    </w:p>
    <w:p>
      <w:pPr>
        <w:pStyle w:val="BodyText"/>
      </w:pPr>
      <w:r>
        <w:t xml:space="preserve">N=6</w:t>
      </w:r>
    </w:p>
    <w:p>
      <w:pPr>
        <w:pStyle w:val="BodyText"/>
      </w:pPr>
      <w:r>
        <w:t xml:space="preserve">0-25% (avg.</w:t>
      </w:r>
      <w:r>
        <w:t xml:space="preserve"> </w:t>
      </w:r>
      <w:r>
        <w:t xml:space="preserve">13%)</w:t>
      </w:r>
      <w:r>
        <w:t xml:space="preserve"> </w:t>
      </w:r>
      <w:r>
        <w:t xml:space="preserve">83%</w:t>
      </w:r>
    </w:p>
    <w:p>
      <w:pPr>
        <w:pStyle w:val="BodyText"/>
      </w:pPr>
      <w:r>
        <w:t xml:space="preserve">86%</w:t>
      </w:r>
    </w:p>
    <w:p>
      <w:pPr>
        <w:pStyle w:val="BodyText"/>
      </w:pPr>
      <w:r>
        <w:t xml:space="preserve">26-50%</w:t>
      </w:r>
      <w:r>
        <w:t xml:space="preserve"> </w:t>
      </w:r>
      <w:r>
        <w:t xml:space="preserve">(avg. 38%)</w:t>
      </w:r>
      <w:r>
        <w:t xml:space="preserve"> </w:t>
      </w:r>
      <w:r>
        <w:t xml:space="preserve">17%</w:t>
      </w:r>
    </w:p>
    <w:p>
      <w:pPr>
        <w:pStyle w:val="BodyText"/>
      </w:pPr>
      <w:r>
        <w:t xml:space="preserve">14%</w:t>
      </w:r>
    </w:p>
    <w:p>
      <w:pPr>
        <w:pStyle w:val="BodyText"/>
      </w:pPr>
      <w:r>
        <w:t xml:space="preserve">Traditional(2)</w:t>
      </w:r>
    </w:p>
    <w:p>
      <w:pPr>
        <w:pStyle w:val="BodyText"/>
      </w:pPr>
      <w:r>
        <w:t xml:space="preserve">38%(2)</w:t>
      </w:r>
      <w:r>
        <w:t xml:space="preserve"> </w:t>
      </w:r>
      <w:r>
        <w:t xml:space="preserve">50%(4)</w:t>
      </w:r>
      <w:r>
        <w:t xml:space="preserve"> </w:t>
      </w:r>
      <w:r>
        <w:t xml:space="preserve">2.2(6)</w:t>
      </w:r>
      <w:r>
        <w:t xml:space="preserve"> </w:t>
      </w:r>
      <w:r>
        <w:t xml:space="preserve">1 340</w:t>
      </w:r>
      <w:r>
        <w:t xml:space="preserve"> </w:t>
      </w:r>
      <w:r>
        <w:t xml:space="preserve">289</w:t>
      </w:r>
    </w:p>
    <w:p>
      <w:pPr>
        <w:pStyle w:val="BodyText"/>
      </w:pPr>
      <w:r>
        <w:t xml:space="preserve">Observations</w:t>
      </w:r>
      <w:r>
        <w:t xml:space="preserve"> </w:t>
      </w:r>
      <w:r>
        <w:t xml:space="preserve">N=2</w:t>
      </w:r>
      <w:r>
        <w:t xml:space="preserve"> </w:t>
      </w:r>
      <w:r>
        <w:t xml:space="preserve">N=11</w:t>
      </w:r>
    </w:p>
    <w:p>
      <w:pPr>
        <w:pStyle w:val="BodyText"/>
      </w:pPr>
      <w:r>
        <w:t xml:space="preserve">Min</w:t>
      </w:r>
      <w:r>
        <w:br/>
      </w:r>
      <w:r>
        <w:t xml:space="preserve">25%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Max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</w:p>
    <w:p>
      <w:pPr>
        <w:pStyle w:val="BodyText"/>
      </w:pPr>
      <w:r>
        <w:t xml:space="preserve">1 635</w:t>
      </w:r>
    </w:p>
    <w:p>
      <w:pPr>
        <w:pStyle w:val="BodyText"/>
      </w:pPr>
      <w:r>
        <w:t xml:space="preserve">Total EUR million</w:t>
      </w:r>
      <w:r>
        <w:t xml:space="preserve"> </w:t>
      </w:r>
      <w:r>
        <w:t xml:space="preserve">103</w:t>
      </w:r>
      <w:r>
        <w:t xml:space="preserve"> </w:t>
      </w:r>
      <w:r>
        <w:t xml:space="preserve">188</w:t>
      </w:r>
    </w:p>
    <w:p>
      <w:pPr>
        <w:pStyle w:val="BodyText"/>
      </w:pPr>
      <w:r>
        <w:t xml:space="preserve">290</w:t>
      </w:r>
      <w:r>
        <w:t xml:space="preserve"> </w:t>
      </w:r>
      <w:r>
        <w:t xml:space="preserve">(rounded)</w:t>
      </w:r>
    </w:p>
    <w:p>
      <w:pPr>
        <w:pStyle w:val="BodyText"/>
      </w:pPr>
      <w:r>
        <w:t xml:space="preserve">Basis points</w:t>
      </w:r>
      <w:r>
        <w:t xml:space="preserve"> </w:t>
      </w:r>
      <w:r>
        <w:t xml:space="preserve">0.63</w:t>
      </w:r>
      <w:r>
        <w:t xml:space="preserve"> </w:t>
      </w:r>
      <w:r>
        <w:t xml:space="preserve">1.15</w:t>
      </w:r>
    </w:p>
    <w:p>
      <w:pPr>
        <w:pStyle w:val="BodyText"/>
      </w:pPr>
      <w:r>
        <w:t xml:space="preserve">1.8</w:t>
      </w:r>
      <w:r>
        <w:t xml:space="preserve"> </w:t>
      </w:r>
      <w:r>
        <w:t xml:space="preserve">(1) In line with the observations of annual recurring due diligence costs, the submission of the</w:t>
      </w:r>
      <w:r>
        <w:t xml:space="preserve"> </w:t>
      </w:r>
      <w:r>
        <w:t xml:space="preserve">association IACPM that was the only submission explicitly referring to synthetic</w:t>
      </w:r>
      <w:r>
        <w:t xml:space="preserve"> </w:t>
      </w:r>
      <w:r>
        <w:t xml:space="preserve">securitisations and with a sample collected among their members has been taken as</w:t>
      </w:r>
      <w:r>
        <w:t xml:space="preserve"> </w:t>
      </w:r>
      <w:r>
        <w:t xml:space="preserve">representative for the synthetic market segment.</w:t>
      </w:r>
      <w:r>
        <w:t xml:space="preserve"> </w:t>
      </w:r>
      <w:r>
        <w:t xml:space="preserve">(2) Observations for the traditional market segment have been taken from the stakeholder</w:t>
      </w:r>
      <w:r>
        <w:t xml:space="preserve"> </w:t>
      </w:r>
      <w:r>
        <w:t xml:space="preserve">consultation.</w:t>
      </w:r>
      <w:r>
        <w:br/>
      </w:r>
      <w:r>
        <w:t xml:space="preserve">(3) Weighted average savings potential, which results on the sell side from 83% of respondents</w:t>
      </w:r>
      <w:r>
        <w:t xml:space="preserve"> </w:t>
      </w:r>
      <w:r>
        <w:t xml:space="preserve">stating a savings potential of 0%-25% (avg. 13%) and 17% of respondents estimating savings</w:t>
      </w:r>
      <w:r>
        <w:t xml:space="preserve"> </w:t>
      </w:r>
      <w:r>
        <w:t xml:space="preserve">of 25%-50% (avg. 38%)..</w:t>
      </w:r>
      <w:r>
        <w:t xml:space="preserve"> </w:t>
      </w:r>
      <w:r>
        <w:t xml:space="preserve">(4) Median savings potential</w:t>
      </w:r>
      <w:r>
        <w:t xml:space="preserve"> </w:t>
      </w:r>
      <w:r>
        <w:t xml:space="preserve">(5) 0.3 basis points * 17% + 0.3 basis points * 16% = 0.1 basis points. While this seems small,</w:t>
      </w:r>
      <w:r>
        <w:t xml:space="preserve"> </w:t>
      </w:r>
      <w:r>
        <w:t xml:space="preserve">it has to be taken into account that in the synthetic market segment only about 8% of the</w:t>
      </w:r>
      <w:r>
        <w:t xml:space="preserve"> </w:t>
      </w:r>
      <w:r>
        <w:t xml:space="preserve">underlying asset value are securitised (or invested).103 In relation to the invested tranche the</w:t>
      </w:r>
      <w:r>
        <w:t xml:space="preserve"> </w:t>
      </w:r>
      <w:r>
        <w:t xml:space="preserve">savings potential is about 1.3 basis points. Initial values from the section above on recurring</w:t>
      </w:r>
      <w:r>
        <w:t xml:space="preserve"> </w:t>
      </w:r>
      <w:r>
        <w:t xml:space="preserve">due diligence costs.</w:t>
      </w:r>
      <w:r>
        <w:t xml:space="preserve"> </w:t>
      </w:r>
      <w:r>
        <w:t xml:space="preserve">(6) 2.0 basis points</w:t>
      </w:r>
      <w:r>
        <w:t xml:space="preserve"> </w:t>
      </w:r>
      <w:r>
        <w:rPr>
          <w:i/>
          <w:iCs/>
        </w:rPr>
        <w:t xml:space="preserve">36%+2.8 basis points</w:t>
      </w:r>
      <w:r>
        <w:rPr>
          <w:i/>
          <w:iCs/>
        </w:rPr>
        <w:t xml:space="preserve"> </w:t>
      </w:r>
      <w:r>
        <w:t xml:space="preserve">50%. Initial values from the section above on</w:t>
      </w:r>
      <w:r>
        <w:t xml:space="preserve"> </w:t>
      </w:r>
      <w:r>
        <w:t xml:space="preserve">recurring due diligence costs.</w:t>
      </w:r>
    </w:p>
    <w:p>
      <w:pPr>
        <w:pStyle w:val="BodyText"/>
      </w:pPr>
      <w:r>
        <w:t xml:space="preserve">103 Source: IACPM Balance Sheet Synthetic Securitisation Survey 2016-2023.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We obtain a savings potential of about EUR 290 million for the EU securitisation market, due</w:t>
      </w:r>
      <w:r>
        <w:t xml:space="preserve"> </w:t>
      </w:r>
      <w:r>
        <w:t xml:space="preserve">to the duplicative or redundant nature of the provisions that are proposed to be removed in the</w:t>
      </w:r>
      <w:r>
        <w:t xml:space="preserve"> </w:t>
      </w:r>
      <w:r>
        <w:t xml:space="preserve">preferred combination of options. These savings come without expected negative impacts on</w:t>
      </w:r>
      <w:r>
        <w:t xml:space="preserve"> </w:t>
      </w:r>
      <w:r>
        <w:t xml:space="preserve">the risks of individual transactions as well as the securitisation market as whole and EU</w:t>
      </w:r>
      <w:r>
        <w:t xml:space="preserve"> </w:t>
      </w:r>
      <w:r>
        <w:t xml:space="preserve">macroeconomic financial stability.</w:t>
      </w:r>
      <w:r>
        <w:br/>
      </w:r>
      <w:r>
        <w:t xml:space="preserve">Another frequently mentioned point linked to the due diligence requirements is a barrier to</w:t>
      </w:r>
      <w:r>
        <w:t xml:space="preserve"> </w:t>
      </w:r>
      <w:r>
        <w:t xml:space="preserve">entry resulting from the magnitude of the due diligence duties. The barrier to entry is cited in</w:t>
      </w:r>
      <w:r>
        <w:t xml:space="preserve"> </w:t>
      </w:r>
      <w:r>
        <w:t xml:space="preserve">over 40 replies to the stakeholder consultation. AFME estimates that setting-up a new EU</w:t>
      </w:r>
      <w:r>
        <w:t xml:space="preserve"> </w:t>
      </w:r>
      <w:r>
        <w:t xml:space="preserve">securitisation investment business requires about 9 months of start-up with 2-3 months alone</w:t>
      </w:r>
      <w:r>
        <w:t xml:space="preserve"> </w:t>
      </w:r>
      <w:r>
        <w:t xml:space="preserve">to understand and implement the due diligence rules. They show for the example in the Figure</w:t>
      </w:r>
      <w:r>
        <w:t xml:space="preserve"> </w:t>
      </w:r>
      <w:r>
        <w:t xml:space="preserve">13 below that an AAA STS asset management business requires about 40 months to reach</w:t>
      </w:r>
      <w:r>
        <w:t xml:space="preserve"> </w:t>
      </w:r>
      <w:r>
        <w:t xml:space="preserve">profitability. The reason is that for low-yield products, the management fee is correspondingly</w:t>
      </w:r>
      <w:r>
        <w:t xml:space="preserve"> </w:t>
      </w:r>
      <w:r>
        <w:t xml:space="preserve">low, therefore it takes long time as well as a very large pool of assets (estimated to about EUR</w:t>
      </w:r>
      <w:r>
        <w:t xml:space="preserve"> </w:t>
      </w:r>
      <w:r>
        <w:t xml:space="preserve">1,5 billion) to break even. This effectively excludes certain market players. This applies in</w:t>
      </w:r>
      <w:r>
        <w:t xml:space="preserve"> </w:t>
      </w:r>
      <w:r>
        <w:t xml:space="preserve">particular to low yield high grade AAA products that are regarded as cash-equivalents by</w:t>
      </w:r>
      <w:r>
        <w:t xml:space="preserve"> </w:t>
      </w:r>
      <w:r>
        <w:t xml:space="preserve">investors and that are quickly divested once cash is needed, which makes it more difficult to</w:t>
      </w:r>
      <w:r>
        <w:t xml:space="preserve"> </w:t>
      </w:r>
      <w:r>
        <w:t xml:space="preserve">keep a sufficient investor base for such products. AFME estimates the universe of asset</w:t>
      </w:r>
      <w:r>
        <w:t xml:space="preserve"> </w:t>
      </w:r>
      <w:r>
        <w:t xml:space="preserve">managers active in the public securitisation market to be below 20 players. For a comparable</w:t>
      </w:r>
      <w:r>
        <w:t xml:space="preserve"> </w:t>
      </w:r>
      <w:r>
        <w:t xml:space="preserve">covered bond business, the number of players is significantly higher: AFME found alone 160</w:t>
      </w:r>
      <w:r>
        <w:t xml:space="preserve"> </w:t>
      </w:r>
      <w:r>
        <w:t xml:space="preserve">investors in a single covered bond product. As a result, simpler and more proportionate due</w:t>
      </w:r>
      <w:r>
        <w:t xml:space="preserve"> </w:t>
      </w:r>
      <w:r>
        <w:t xml:space="preserve">diligence requirements could lead to an investor base 5 to 10 times larger than today’s. More</w:t>
      </w:r>
      <w:r>
        <w:t xml:space="preserve"> </w:t>
      </w:r>
      <w:r>
        <w:t xml:space="preserve">investors could significantly improve the liquidity in this market.</w:t>
      </w:r>
      <w:r>
        <w:t xml:space="preserve"> </w:t>
      </w:r>
      <w:r>
        <w:t xml:space="preserve">Figure 13:</w:t>
      </w:r>
      <w:r>
        <w:br/>
      </w:r>
      <w:r>
        <w:t xml:space="preserve">Estimated time to break-even for new market entrant building a business</w:t>
      </w:r>
      <w:r>
        <w:t xml:space="preserve"> </w:t>
      </w:r>
      <w:r>
        <w:t xml:space="preserve">for a AAA STS securitisation</w:t>
      </w:r>
      <w:r>
        <w:t xml:space="preserve"> </w:t>
      </w:r>
      <w:r>
        <w:t xml:space="preserve">9. Nature of duties transparency requirements (Article 7)</w:t>
      </w:r>
      <w:r>
        <w:t xml:space="preserve"> </w:t>
      </w:r>
      <w:r>
        <w:t xml:space="preserve">The Transparency Requirements of Article 7 SECR oblige issuers of securitisations:</w:t>
      </w:r>
      <w:r>
        <w:t xml:space="preserve"> </w:t>
      </w:r>
      <w:r>
        <w:t xml:space="preserve">originators, sponsors or SSPEs, to provide investors with information in a structured,</w:t>
      </w:r>
      <w:r>
        <w:t xml:space="preserve"> </w:t>
      </w:r>
      <w:r>
        <w:t xml:space="preserve">comparable and reliable way. In contrast to other comparable instruments that require reporting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on an aggregate level, securitisations require reporting on a loan-by-loan basis, including for</w:t>
      </w:r>
      <w:r>
        <w:t xml:space="preserve"> </w:t>
      </w:r>
      <w:r>
        <w:t xml:space="preserve">granular exposures, such as credit card receivables. The main reporting obligations include</w:t>
      </w:r>
      <w:r>
        <w:t xml:space="preserve"> </w:t>
      </w:r>
      <w:r>
        <w:t xml:space="preserve">among others:</w:t>
      </w:r>
      <w:r>
        <w:br/>
      </w:r>
      <w:r>
        <w:t xml:space="preserve">• Transaction documentation to be made available before pricing: The originator and</w:t>
      </w:r>
      <w:r>
        <w:t xml:space="preserve"> </w:t>
      </w:r>
      <w:r>
        <w:t xml:space="preserve">sponsor must make available the contractual documents (e.g. asset sale agreement,</w:t>
      </w:r>
      <w:r>
        <w:t xml:space="preserve"> </w:t>
      </w:r>
      <w:r>
        <w:t xml:space="preserve">derivatives and guarantee agreements, collateralisation arrangement) and for public</w:t>
      </w:r>
      <w:r>
        <w:t xml:space="preserve"> </w:t>
      </w:r>
      <w:r>
        <w:t xml:space="preserve">transactions, the prospectus, for STS transactions, the STS notification as well as</w:t>
      </w:r>
      <w:r>
        <w:t xml:space="preserve"> </w:t>
      </w:r>
      <w:r>
        <w:t xml:space="preserve">additional information on the static and dynamic historical default and loss</w:t>
      </w:r>
      <w:r>
        <w:t xml:space="preserve"> </w:t>
      </w:r>
      <w:r>
        <w:t xml:space="preserve">performance with a sample of the underlying exposures subject to verification by an</w:t>
      </w:r>
      <w:r>
        <w:t xml:space="preserve"> </w:t>
      </w:r>
      <w:r>
        <w:t xml:space="preserve">external third party (“third party verification” or “TPV”) as well as in case of</w:t>
      </w:r>
      <w:r>
        <w:t xml:space="preserve"> </w:t>
      </w:r>
      <w:r>
        <w:t xml:space="preserve">residential loans, auto loans or leases additional information on the environmental</w:t>
      </w:r>
      <w:r>
        <w:t xml:space="preserve"> </w:t>
      </w:r>
      <w:r>
        <w:t xml:space="preserve">performance of the assets.</w:t>
      </w:r>
      <w:r>
        <w:t xml:space="preserve"> </w:t>
      </w:r>
      <w:r>
        <w:t xml:space="preserve">• Ongoing disclosure on underlying exposures: The originator and sponsor must make</w:t>
      </w:r>
      <w:r>
        <w:t xml:space="preserve"> </w:t>
      </w:r>
      <w:r>
        <w:t xml:space="preserve">available on a quarterly basis (for ABCP on a monthly basis but only in aggregate</w:t>
      </w:r>
      <w:r>
        <w:t xml:space="preserve"> </w:t>
      </w:r>
      <w:r>
        <w:t xml:space="preserve">form) information on the underlying exposures of a securitisation including the credit</w:t>
      </w:r>
      <w:r>
        <w:t xml:space="preserve"> </w:t>
      </w:r>
      <w:r>
        <w:t xml:space="preserve">quality, performance, data on the cash flows generated and risk retained as well as</w:t>
      </w:r>
      <w:r>
        <w:t xml:space="preserve"> </w:t>
      </w:r>
      <w:r>
        <w:t xml:space="preserve">event-triggered information (e.g. use of inside information or breach of obligations,</w:t>
      </w:r>
      <w:r>
        <w:t xml:space="preserve"> </w:t>
      </w:r>
      <w:r>
        <w:t xml:space="preserve">change of structural features or risk characteristics). For STS transactions there are</w:t>
      </w:r>
      <w:r>
        <w:t xml:space="preserve"> </w:t>
      </w:r>
      <w:r>
        <w:t xml:space="preserve">additional requirements to make available data on static and dynamic historical</w:t>
      </w:r>
      <w:r>
        <w:t xml:space="preserve"> </w:t>
      </w:r>
      <w:r>
        <w:t xml:space="preserve">default and loss performance, such as delinquency and default data, for substantially</w:t>
      </w:r>
      <w:r>
        <w:t xml:space="preserve"> </w:t>
      </w:r>
      <w:r>
        <w:t xml:space="preserve">similar exposures to those being securitised. Public securitisations are obliged to</w:t>
      </w:r>
      <w:r>
        <w:t xml:space="preserve"> </w:t>
      </w:r>
      <w:r>
        <w:t xml:space="preserve">report to a Securitisation Repository and private securitisations via a private website</w:t>
      </w:r>
      <w:r>
        <w:t xml:space="preserve"> </w:t>
      </w:r>
      <w:r>
        <w:t xml:space="preserve">following ESMA templates, which require a high number of datapoints compared to</w:t>
      </w:r>
      <w:r>
        <w:t xml:space="preserve"> </w:t>
      </w:r>
      <w:r>
        <w:t xml:space="preserve">other financial instruments.</w:t>
      </w:r>
      <w:r>
        <w:t xml:space="preserve"> </w:t>
      </w:r>
      <w:r>
        <w:t xml:space="preserve">10. Drivers of transparency costs and separation of incremental costs from</w:t>
      </w:r>
      <w:r>
        <w:t xml:space="preserve"> </w:t>
      </w:r>
      <w:r>
        <w:t xml:space="preserve">business-as-usual costs:</w:t>
      </w:r>
      <w:r>
        <w:br/>
      </w:r>
      <w:r>
        <w:t xml:space="preserve">As the main cost drivers for the transparency regime, stakeholders mentioned:</w:t>
      </w:r>
      <w:r>
        <w:t xml:space="preserve"> </w:t>
      </w:r>
      <w:r>
        <w:t xml:space="preserve">• The high level of detail required by ESMA templates and the lack of consultation of</w:t>
      </w:r>
      <w:r>
        <w:t xml:space="preserve"> </w:t>
      </w:r>
      <w:r>
        <w:t xml:space="preserve">market participants in the templates’ creation, meaning that the templates often did</w:t>
      </w:r>
      <w:r>
        <w:t xml:space="preserve"> </w:t>
      </w:r>
      <w:r>
        <w:t xml:space="preserve">not match investor needs and relevant information has to be obtained separately.</w:t>
      </w:r>
      <w:r>
        <w:t xml:space="preserve"> </w:t>
      </w:r>
      <w:r>
        <w:t xml:space="preserve">• The requirement of granular reporting, which can be very challenging for small</w:t>
      </w:r>
      <w:r>
        <w:t xml:space="preserve"> </w:t>
      </w:r>
      <w:r>
        <w:t xml:space="preserve">exposures like credit-card, trade or leasing receivables. For comparable instruments</w:t>
      </w:r>
      <w:r>
        <w:t xml:space="preserve"> </w:t>
      </w:r>
      <w:r>
        <w:t xml:space="preserve">like covered bonds, aggregate reporting is sufficient.</w:t>
      </w:r>
      <w:r>
        <w:t xml:space="preserve"> </w:t>
      </w:r>
      <w:r>
        <w:t xml:space="preserve">• The additional burden linked to STS reporting (such as default history) and</w:t>
      </w:r>
      <w:r>
        <w:t xml:space="preserve"> </w:t>
      </w:r>
      <w:r>
        <w:t xml:space="preserve">verification</w:t>
      </w:r>
      <w:r>
        <w:t xml:space="preserve"> </w:t>
      </w:r>
      <w:r>
        <w:t xml:space="preserve">Hence, the incremental costs of Article 7 reporting result mainly from the granularity and</w:t>
      </w:r>
      <w:r>
        <w:t xml:space="preserve"> </w:t>
      </w:r>
      <w:r>
        <w:t xml:space="preserve">unsuitability of templates, level of detail as well as from STS-specific reporting.</w:t>
      </w:r>
    </w:p>
    <w:p>
      <w:pPr>
        <w:pStyle w:val="BodyText"/>
      </w:pPr>
      <w:r>
        <w:t xml:space="preserve">121</w:t>
      </w:r>
    </w:p>
    <w:p>
      <w:pPr>
        <w:pStyle w:val="Compact"/>
        <w:numPr>
          <w:ilvl w:val="0"/>
          <w:numId w:val="1007"/>
        </w:numPr>
      </w:pPr>
      <w:r>
        <w:t xml:space="preserve">Classification of transparency costs from a better regulation perspective</w:t>
      </w:r>
      <w:r>
        <w:t xml:space="preserve"> </w:t>
      </w:r>
      <w:r>
        <w:t xml:space="preserve">As the transparency requirements of Article 7 clearly link to disclosure and reporting they are</w:t>
      </w:r>
      <w:r>
        <w:t xml:space="preserve"> </w:t>
      </w:r>
      <w:r>
        <w:t xml:space="preserve">classified as administrative costs from a better regulation perspective and are to be reported for</w:t>
      </w:r>
      <w:r>
        <w:t xml:space="preserve"> </w:t>
      </w:r>
      <w:r>
        <w:t xml:space="preserve">One-In-One-Out purposes104.</w:t>
      </w:r>
    </w:p>
    <w:p>
      <w:pPr>
        <w:pStyle w:val="Compact"/>
        <w:numPr>
          <w:ilvl w:val="0"/>
          <w:numId w:val="1007"/>
        </w:numPr>
      </w:pPr>
      <w:r>
        <w:t xml:space="preserve">One-off costs transparency</w:t>
      </w:r>
      <w:r>
        <w:t xml:space="preserve"> </w:t>
      </w:r>
      <w:r>
        <w:t xml:space="preserve">At the time of the introduction of the Securitisation Framework, issuers (originators and</w:t>
      </w:r>
      <w:r>
        <w:t xml:space="preserve"> </w:t>
      </w:r>
      <w:r>
        <w:t xml:space="preserve">sponsors) of securitisations incurred one-off implementation costs to adapt to the new</w:t>
      </w:r>
      <w:r>
        <w:t xml:space="preserve"> </w:t>
      </w:r>
      <w:r>
        <w:t xml:space="preserve">disclosure infrastructure. Such implementation activities included (but were not limited to)</w:t>
      </w:r>
      <w:r>
        <w:t xml:space="preserve"> </w:t>
      </w:r>
      <w:r>
        <w:t xml:space="preserve">familiarisation with the new transparency requirements (Level 1 regulation, Level 2 RTS, ITS</w:t>
      </w:r>
      <w:r>
        <w:t xml:space="preserve"> </w:t>
      </w:r>
      <w:r>
        <w:t xml:space="preserve">and FAQ), sometimes involving legal advice, and IT implementation. Depending on the</w:t>
      </w:r>
      <w:r>
        <w:t xml:space="preserve"> </w:t>
      </w:r>
      <w:r>
        <w:t xml:space="preserve">underlying exposures and issuers, the latter could require the opening of several relevant IT</w:t>
      </w:r>
      <w:r>
        <w:t xml:space="preserve"> </w:t>
      </w:r>
      <w:r>
        <w:t xml:space="preserve">systems, e.g. for mortgages, corporate loans etc., adding to those systems data fields that were</w:t>
      </w:r>
      <w:r>
        <w:t xml:space="preserve"> </w:t>
      </w:r>
      <w:r>
        <w:t xml:space="preserve">not previously covered. Furthermore, a reporting interface would need to be set up to provide</w:t>
      </w:r>
      <w:r>
        <w:t xml:space="preserve"> </w:t>
      </w:r>
      <w:r>
        <w:t xml:space="preserve">disclosures in the required format. For small issuers, without such an extensive IT</w:t>
      </w:r>
      <w:r>
        <w:t xml:space="preserve"> </w:t>
      </w:r>
      <w:r>
        <w:t xml:space="preserve">infrastructure, such disclosures might have been set-up in simpler ways, e.g. in Excel templates.</w:t>
      </w:r>
      <w:r>
        <w:t xml:space="preserve"> </w:t>
      </w:r>
      <w:r>
        <w:t xml:space="preserve">In this context the number of asset classes covered (e.g. RMBS or corporate loans) is an</w:t>
      </w:r>
      <w:r>
        <w:t xml:space="preserve"> </w:t>
      </w:r>
      <w:r>
        <w:t xml:space="preserve">important cost driver as each asset class requires individual reporting templates.</w:t>
      </w:r>
      <w:r>
        <w:t xml:space="preserve"> </w:t>
      </w:r>
      <w:r>
        <w:t xml:space="preserve">Consultation respondents reported one-off costs in the range of EUR 27 000 to EUR 4 000 000,</w:t>
      </w:r>
      <w:r>
        <w:t xml:space="preserve"> </w:t>
      </w:r>
      <w:r>
        <w:t xml:space="preserve">with an interquartile range of EUR 400 000 to EUR 1 300 000 and a median of EUR 900 000.</w:t>
      </w:r>
      <w:r>
        <w:t xml:space="preserve"> </w:t>
      </w:r>
      <w:r>
        <w:t xml:space="preserve">Based on data provided by the European Data Warehouse we estimate approximately 260</w:t>
      </w:r>
      <w:r>
        <w:t xml:space="preserve"> </w:t>
      </w:r>
      <w:r>
        <w:t xml:space="preserve">public market issuers (originators and sponsors)105 and based on EBA COREP data about 150</w:t>
      </w:r>
      <w:r>
        <w:t xml:space="preserve"> </w:t>
      </w:r>
      <w:r>
        <w:t xml:space="preserve">private market issuers (originators and sponsors) that had to incur costs during the period 2019</w:t>
      </w:r>
      <w:r>
        <w:t xml:space="preserve"> </w:t>
      </w:r>
      <w:r>
        <w:t xml:space="preserve">to 2025 to set up a transparency regime. Of these 410 originators, we estimate about 330 to be</w:t>
      </w:r>
      <w:r>
        <w:t xml:space="preserve"> </w:t>
      </w:r>
      <w:r>
        <w:t xml:space="preserve">still active.106</w:t>
      </w:r>
      <w:r>
        <w:br/>
      </w:r>
      <w:r>
        <w:t xml:space="preserve">Taking the median value for implementation costs, i.e. EUR 900 000, we estimate the one-off</w:t>
      </w:r>
      <w:r>
        <w:t xml:space="preserve"> </w:t>
      </w:r>
      <w:r>
        <w:t xml:space="preserve">implementation costs for the EU securitisation market to be approximately EUR 370 million.</w:t>
      </w:r>
    </w:p>
    <w:p>
      <w:pPr>
        <w:pStyle w:val="FirstParagraph"/>
      </w:pPr>
      <w:r>
        <w:t xml:space="preserve">104 The One-In-One-Out-Principle requires for each Euro of additional administrative burden introduced by a new</w:t>
      </w:r>
      <w:r>
        <w:t xml:space="preserve"> </w:t>
      </w:r>
      <w:r>
        <w:t xml:space="preserve">regulation for citizens, businesses or administrations, the removal of an equivalent amount in order to limit the</w:t>
      </w:r>
      <w:r>
        <w:t xml:space="preserve"> </w:t>
      </w:r>
      <w:r>
        <w:t xml:space="preserve">costs of bureaucracy over time.</w:t>
      </w:r>
      <w:r>
        <w:t xml:space="preserve"> </w:t>
      </w:r>
      <w:r>
        <w:t xml:space="preserve">105 European Data Warehouse is one of the two securities repositories for securitisations in Europe that covers</w:t>
      </w:r>
      <w:r>
        <w:t xml:space="preserve"> </w:t>
      </w:r>
      <w:r>
        <w:t xml:space="preserve">approximately 90% of European public securitisation transactions.</w:t>
      </w:r>
      <w:r>
        <w:t xml:space="preserve"> </w:t>
      </w:r>
      <w:r>
        <w:t xml:space="preserve">106 These estimations are based on the following considerations: The European DataWarehouse, covering about</w:t>
      </w:r>
      <w:r>
        <w:t xml:space="preserve"> </w:t>
      </w:r>
      <w:r>
        <w:t xml:space="preserve">90% of the European public securitsation market, provides data on the active number of issuers of about 170 and</w:t>
      </w:r>
      <w:r>
        <w:t xml:space="preserve"> </w:t>
      </w:r>
      <w:r>
        <w:t xml:space="preserve">the number of historically active issuers since 2023 of 290. Assuming, a constant absolute number of issuers</w:t>
      </w:r>
      <w:r>
        <w:t xml:space="preserve"> </w:t>
      </w:r>
      <w:r>
        <w:t xml:space="preserve">leaving the market over time (i.e. 10 per year), an estimated 60 issuers were still active in the time period 2019</w:t>
      </w:r>
      <w:r>
        <w:t xml:space="preserve"> </w:t>
      </w:r>
      <w:r>
        <w:t xml:space="preserve">(inception of SECR to today), we obtain in total 230 issuers, scaled up from 90% to 100%, we obtain 260 issuers.</w:t>
      </w:r>
      <w:r>
        <w:t xml:space="preserve"> </w:t>
      </w:r>
      <w:r>
        <w:t xml:space="preserve">For the private market EBA estimates about 100-140 issuers (mid-point 120), including a “historical margin”</w:t>
      </w:r>
      <w:r>
        <w:t xml:space="preserve"> </w:t>
      </w:r>
      <w:r>
        <w:t xml:space="preserve">covering issuers that left the market since SECR inception in 2019 comparable to the private market, we obtain</w:t>
      </w:r>
      <w:r>
        <w:t xml:space="preserve"> </w:t>
      </w:r>
      <w:r>
        <w:t xml:space="preserve">about 150 issuers. In total this gives about 410 issuers.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These costs apply to businesses. Citizens were not directly affected by Securitisation</w:t>
      </w:r>
      <w:r>
        <w:t xml:space="preserve"> </w:t>
      </w:r>
      <w:r>
        <w:t xml:space="preserve">Framework and hence incur no costs.</w:t>
      </w:r>
      <w:r>
        <w:t xml:space="preserve"> </w:t>
      </w:r>
      <w:r>
        <w:t xml:space="preserve">13. Recurring costs transparency</w:t>
      </w:r>
      <w:r>
        <w:t xml:space="preserve"> </w:t>
      </w:r>
      <w:r>
        <w:t xml:space="preserve">On the recurring transparency costs, we have collected the following information:</w:t>
      </w:r>
      <w:r>
        <w:br/>
      </w:r>
      <w:r>
        <w:t xml:space="preserve">Figure 14: Estimated market transparency cost</w:t>
      </w:r>
      <w:r>
        <w:t xml:space="preserve"> </w:t>
      </w:r>
      <w:r>
        <w:t xml:space="preserve">Type of</w:t>
      </w:r>
      <w:r>
        <w:t xml:space="preserve"> </w:t>
      </w:r>
      <w:r>
        <w:t xml:space="preserve">transaction</w:t>
      </w:r>
      <w:r>
        <w:t xml:space="preserve"> </w:t>
      </w:r>
      <w:r>
        <w:t xml:space="preserve">representativ</w:t>
      </w:r>
      <w:r>
        <w:t xml:space="preserve"> </w:t>
      </w:r>
      <w:r>
        <w:t xml:space="preserve">e value (by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association),</w:t>
      </w:r>
      <w:r>
        <w:t xml:space="preserve"> </w:t>
      </w:r>
      <w:r>
        <w:t xml:space="preserve">rounded*</w:t>
      </w:r>
      <w:r>
        <w:t xml:space="preserve"> </w:t>
      </w:r>
      <w:r>
        <w:t xml:space="preserve">obser-</w:t>
      </w:r>
      <w:r>
        <w:t xml:space="preserve"> </w:t>
      </w:r>
      <w:r>
        <w:t xml:space="preserve">vations</w:t>
      </w:r>
      <w:r>
        <w:t xml:space="preserve"> </w:t>
      </w:r>
      <w:r>
        <w:t xml:space="preserve">thereof</w:t>
      </w:r>
      <w:r>
        <w:t xml:space="preserve"> </w:t>
      </w:r>
      <w:r>
        <w:t xml:space="preserve">from</w:t>
      </w:r>
      <w:r>
        <w:t xml:space="preserve"> </w:t>
      </w:r>
      <w:r>
        <w:t xml:space="preserve">busines</w:t>
      </w:r>
      <w:r>
        <w:t xml:space="preserve"> </w:t>
      </w:r>
      <w:r>
        <w:t xml:space="preserve">s</w:t>
      </w:r>
      <w:r>
        <w:t xml:space="preserve"> </w:t>
      </w:r>
      <w:r>
        <w:t xml:space="preserve">associat</w:t>
      </w:r>
      <w:r>
        <w:t xml:space="preserve"> </w:t>
      </w:r>
      <w:r>
        <w:t xml:space="preserve">ions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Estimated</w:t>
      </w:r>
      <w:r>
        <w:t xml:space="preserve"> </w:t>
      </w:r>
      <w:r>
        <w:t xml:space="preserve">no.</w:t>
      </w:r>
      <w:r>
        <w:t xml:space="preserve"> </w:t>
      </w:r>
      <w:r>
        <w:t xml:space="preserve">outstanding</w:t>
      </w:r>
      <w:r>
        <w:t xml:space="preserve"> </w:t>
      </w:r>
      <w:r>
        <w:t xml:space="preserve">transaction</w:t>
      </w:r>
      <w:r>
        <w:t xml:space="preserve"> </w:t>
      </w:r>
      <w:r>
        <w:t xml:space="preserve">s</w:t>
      </w:r>
      <w:r>
        <w:t xml:space="preserve"> </w:t>
      </w:r>
      <w:r>
        <w:t xml:space="preserve">(rounded)</w:t>
      </w:r>
      <w:r>
        <w:rPr>
          <w:i/>
          <w:iCs/>
        </w:rPr>
        <w:t xml:space="preserve"> </w:t>
      </w:r>
      <w:r>
        <w:t xml:space="preserve"> </w:t>
      </w:r>
      <w:r>
        <w:t xml:space="preserve">Estimated</w:t>
      </w:r>
      <w:r>
        <w:t xml:space="preserve"> </w:t>
      </w:r>
      <w:r>
        <w:t xml:space="preserve">market cost</w:t>
      </w:r>
      <w:r>
        <w:t xml:space="preserve"> </w:t>
      </w:r>
      <w:r>
        <w:t xml:space="preserve">(rounded)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#</w:t>
      </w:r>
      <w:r>
        <w:t xml:space="preserve"> </w:t>
      </w:r>
      <w:r>
        <w:t xml:space="preserve">#</w:t>
      </w:r>
      <w:r>
        <w:t xml:space="preserve"> </w:t>
      </w:r>
      <w:r>
        <w:t xml:space="preserve">EUR</w:t>
      </w:r>
    </w:p>
    <w:bookmarkEnd w:id="10"/>
    <w:bookmarkStart w:id="11" w:name="section-1"/>
    <w:p>
      <w:pPr>
        <w:pStyle w:val="Heading1"/>
      </w:pPr>
    </w:p>
    <w:p>
      <w:pPr>
        <w:pStyle w:val="FirstParagraph"/>
      </w:pPr>
      <w:r>
        <w:t xml:space="preserve">EUR</w:t>
      </w:r>
      <w:r>
        <w:t xml:space="preserve"> </w:t>
      </w:r>
      <w:r>
        <w:t xml:space="preserve">Traditional,</w:t>
      </w:r>
      <w:r>
        <w:t xml:space="preserve"> </w:t>
      </w:r>
      <w:r>
        <w:t xml:space="preserve">non-STS</w:t>
      </w:r>
      <w:r>
        <w:br/>
      </w:r>
      <w:r>
        <w:t xml:space="preserve">50 000</w:t>
      </w:r>
      <w:r>
        <w:t xml:space="preserve"> </w:t>
      </w:r>
      <w:r>
        <w:t xml:space="preserve">N = 9</w:t>
      </w:r>
      <w:r>
        <w:t xml:space="preserve"> </w:t>
      </w:r>
      <w:r>
        <w:t xml:space="preserve">N = 4</w:t>
      </w:r>
      <w:r>
        <w:t xml:space="preserve"> </w:t>
      </w:r>
      <w:r>
        <w:t xml:space="preserve">15 000</w:t>
      </w:r>
      <w:r>
        <w:t xml:space="preserve"> </w:t>
      </w:r>
      <w:r>
        <w:t xml:space="preserve">50 000</w:t>
      </w:r>
      <w:r>
        <w:t xml:space="preserve"> </w:t>
      </w:r>
      <w:r>
        <w:t xml:space="preserve">820</w:t>
      </w:r>
      <w:r>
        <w:t xml:space="preserve"> </w:t>
      </w:r>
      <w:r>
        <w:t xml:space="preserve">41 000 000</w:t>
      </w:r>
      <w:r>
        <w:t xml:space="preserve"> </w:t>
      </w:r>
      <w:r>
        <w:t xml:space="preserve">Traditional,</w:t>
      </w:r>
      <w:r>
        <w:t xml:space="preserve"> </w:t>
      </w:r>
      <w:r>
        <w:t xml:space="preserve">STS</w:t>
      </w:r>
      <w:r>
        <w:t xml:space="preserve"> </w:t>
      </w:r>
      <w:r>
        <w:t xml:space="preserve">100 000</w:t>
      </w:r>
      <w:r>
        <w:t xml:space="preserve"> </w:t>
      </w:r>
      <w:r>
        <w:t xml:space="preserve">74 000</w:t>
      </w:r>
      <w:r>
        <w:t xml:space="preserve"> </w:t>
      </w:r>
      <w:r>
        <w:t xml:space="preserve">100 000</w:t>
      </w:r>
      <w:r>
        <w:t xml:space="preserve"> </w:t>
      </w:r>
      <w:r>
        <w:t xml:space="preserve">510</w:t>
      </w:r>
      <w:r>
        <w:t xml:space="preserve"> </w:t>
      </w:r>
      <w:r>
        <w:t xml:space="preserve">51 000 000</w:t>
      </w:r>
      <w:r>
        <w:t xml:space="preserve"> </w:t>
      </w:r>
      <w:r>
        <w:t xml:space="preserve">Synthetic, non-</w:t>
      </w:r>
      <w:r>
        <w:t xml:space="preserve"> </w:t>
      </w:r>
      <w:r>
        <w:t xml:space="preserve">STS</w:t>
      </w:r>
      <w:r>
        <w:br/>
      </w:r>
      <w:r>
        <w:t xml:space="preserve">60 000</w:t>
      </w:r>
      <w:r>
        <w:t xml:space="preserve"> </w:t>
      </w:r>
      <w:r>
        <w:t xml:space="preserve">N = 5</w:t>
      </w:r>
      <w:r>
        <w:t xml:space="preserve"> </w:t>
      </w:r>
      <w:r>
        <w:t xml:space="preserve">N = 2</w:t>
      </w:r>
      <w:r>
        <w:t xml:space="preserve"> </w:t>
      </w:r>
      <w:r>
        <w:t xml:space="preserve">6 000</w:t>
      </w:r>
      <w:r>
        <w:t xml:space="preserve"> </w:t>
      </w:r>
      <w:r>
        <w:t xml:space="preserve">61 000</w:t>
      </w:r>
      <w:r>
        <w:t xml:space="preserve"> </w:t>
      </w:r>
      <w:r>
        <w:t xml:space="preserve">100</w:t>
      </w:r>
      <w:r>
        <w:t xml:space="preserve"> </w:t>
      </w:r>
      <w:r>
        <w:t xml:space="preserve">6 000 000</w:t>
      </w:r>
      <w:r>
        <w:t xml:space="preserve"> </w:t>
      </w:r>
      <w:r>
        <w:t xml:space="preserve">Synthetic, STS</w:t>
      </w:r>
      <w:r>
        <w:br/>
      </w:r>
      <w:r>
        <w:t xml:space="preserve">80 000</w:t>
      </w:r>
      <w:r>
        <w:t xml:space="preserve"> </w:t>
      </w:r>
      <w:r>
        <w:t xml:space="preserve">78 000</w:t>
      </w:r>
      <w:r>
        <w:t xml:space="preserve"> </w:t>
      </w:r>
      <w:r>
        <w:t xml:space="preserve">100 000</w:t>
      </w:r>
      <w:r>
        <w:t xml:space="preserve"> </w:t>
      </w:r>
      <w:r>
        <w:t xml:space="preserve">110</w:t>
      </w:r>
      <w:r>
        <w:t xml:space="preserve"> </w:t>
      </w:r>
      <w:r>
        <w:t xml:space="preserve">8 800 000</w:t>
      </w:r>
      <w:r>
        <w:t xml:space="preserve"> </w:t>
      </w:r>
      <w:r>
        <w:t xml:space="preserve">CLO</w:t>
      </w:r>
      <w:r>
        <w:br/>
      </w:r>
      <w:r>
        <w:t xml:space="preserve">20 000</w:t>
      </w:r>
      <w:r>
        <w:t xml:space="preserve"> </w:t>
      </w:r>
      <w:r>
        <w:t xml:space="preserve">N = 4</w:t>
      </w:r>
      <w:r>
        <w:t xml:space="preserve"> </w:t>
      </w:r>
      <w:r>
        <w:t xml:space="preserve">N = 1</w:t>
      </w:r>
      <w:r>
        <w:t xml:space="preserve"> </w:t>
      </w:r>
      <w:r>
        <w:t xml:space="preserve">10 000</w:t>
      </w:r>
      <w:r>
        <w:t xml:space="preserve"> </w:t>
      </w:r>
      <w:r>
        <w:t xml:space="preserve">35 000</w:t>
      </w:r>
      <w:r>
        <w:t xml:space="preserve"> </w:t>
      </w:r>
      <w:r>
        <w:t xml:space="preserve">440</w:t>
      </w:r>
      <w:r>
        <w:t xml:space="preserve"> </w:t>
      </w:r>
      <w:r>
        <w:t xml:space="preserve">8 800 000</w:t>
      </w:r>
      <w:r>
        <w:t xml:space="preserve"> </w:t>
      </w:r>
      <w:r>
        <w:t xml:space="preserve">TOTAL</w:t>
      </w:r>
      <w:r>
        <w:t xml:space="preserve"> </w:t>
      </w:r>
      <w:r>
        <w:t xml:space="preserve">115 600 000</w:t>
      </w:r>
      <w:r>
        <w:t xml:space="preserve"> </w:t>
      </w:r>
      <w:r>
        <w:t xml:space="preserve">Rounded</w:t>
      </w:r>
      <w:r>
        <w:br/>
      </w:r>
      <w:r>
        <w:t xml:space="preserve">120 000 000</w:t>
      </w:r>
      <w:r>
        <w:t xml:space="preserve"> </w:t>
      </w:r>
      <w:r>
        <w:t xml:space="preserve">* Due to a very small number of observations for each transaction type, information reported</w:t>
      </w:r>
      <w:r>
        <w:t xml:space="preserve"> </w:t>
      </w:r>
      <w:r>
        <w:t xml:space="preserve">from business associations with a broad base of contributing institutions has been taken as</w:t>
      </w:r>
      <w:r>
        <w:t xml:space="preserve"> </w:t>
      </w:r>
      <w:r>
        <w:t xml:space="preserve">representative value. For most segments the values reported by business associations are</w:t>
      </w:r>
      <w:r>
        <w:t xml:space="preserve"> </w:t>
      </w:r>
      <w:r>
        <w:t xml:space="preserve">within the range of values reported by individual contributors.</w:t>
      </w:r>
      <w:r>
        <w:t xml:space="preserve"> </w:t>
      </w:r>
      <w:r>
        <w:t xml:space="preserve">**The estimated transaction number is derived from the market volumes by segment as shown</w:t>
      </w:r>
      <w:r>
        <w:t xml:space="preserve"> </w:t>
      </w:r>
      <w:r>
        <w:t xml:space="preserve">in Annex 3 and obtained from the AFME market data report Q4 2023 and the EBA. The market</w:t>
      </w:r>
      <w:r>
        <w:t xml:space="preserve"> </w:t>
      </w:r>
      <w:r>
        <w:t xml:space="preserve">volume has been divided by average transaction sizes for the relevant market segment, where</w:t>
      </w:r>
      <w:r>
        <w:t xml:space="preserve"> </w:t>
      </w:r>
      <w:r>
        <w:t xml:space="preserve">the average transaction size for public non-ABCP Transactions has been obtained from the</w:t>
      </w:r>
      <w:r>
        <w:t xml:space="preserve"> </w:t>
      </w:r>
      <w:r>
        <w:t xml:space="preserve">European Data Warehouse; the average transaction size for private ABCP transactions from</w:t>
      </w:r>
      <w:r>
        <w:t xml:space="preserve"> </w:t>
      </w:r>
      <w:r>
        <w:t xml:space="preserve">the association True Sale International in collaboration with the German Banking</w:t>
      </w:r>
      <w:r>
        <w:t xml:space="preserve"> </w:t>
      </w:r>
      <w:r>
        <w:t xml:space="preserve">Association107; and it has further been assumed that private traditional transactions have a</w:t>
      </w:r>
      <w:r>
        <w:t xml:space="preserve"> </w:t>
      </w:r>
      <w:r>
        <w:t xml:space="preserve">comparable average size as public traditional and private synthetic SRT transactions. The</w:t>
      </w:r>
      <w:r>
        <w:t xml:space="preserve"> </w:t>
      </w:r>
      <w:r>
        <w:t xml:space="preserve">average transaction size of CLO transactions for 2024 has been obtained from the The</w:t>
      </w:r>
      <w:r>
        <w:t xml:space="preserve"> </w:t>
      </w:r>
      <w:r>
        <w:t xml:space="preserve">Alternative Credit Investor Magazine (March 10 2025).</w:t>
      </w:r>
      <w:r>
        <w:t xml:space="preserve"> </w:t>
      </w:r>
      <w:r>
        <w:t xml:space="preserve">Consultation respondents considered transparency costs for EU securitisations to be</w:t>
      </w:r>
      <w:r>
        <w:t xml:space="preserve"> </w:t>
      </w:r>
      <w:r>
        <w:t xml:space="preserve">significantly higher by stakeholders than the costs for comparable instruments like covered</w:t>
      </w:r>
      <w:r>
        <w:t xml:space="preserve"> </w:t>
      </w:r>
      <w:r>
        <w:t xml:space="preserve">bonds, credit default swaps, credit linked notes, or non-EU securitisations (29 replies). Only 2</w:t>
      </w:r>
      <w:r>
        <w:t xml:space="preserve"> </w:t>
      </w:r>
      <w:r>
        <w:t xml:space="preserve">respondents assessed the costs as similar or moderately lower. The main reason for the</w:t>
      </w:r>
    </w:p>
    <w:p>
      <w:pPr>
        <w:pStyle w:val="BodyText"/>
      </w:pPr>
      <w:r>
        <w:t xml:space="preserve">107 TSI_GermanBankingAssociation_Addendum_to_StakeholderConsultation_CostEstimation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additional costs is the required granularity (loan-level data) and the high number of data fields</w:t>
      </w:r>
      <w:r>
        <w:t xml:space="preserve"> </w:t>
      </w:r>
      <w:r>
        <w:t xml:space="preserve">required by the templates.</w:t>
      </w:r>
      <w:r>
        <w:t xml:space="preserve"> </w:t>
      </w:r>
      <w:r>
        <w:t xml:space="preserve">There might also be opportunity costs in the sense that the reporting requirements prevent</w:t>
      </w:r>
      <w:r>
        <w:t xml:space="preserve"> </w:t>
      </w:r>
      <w:r>
        <w:t xml:space="preserve">certain assets from being securitised. Some respondents mentioned that they were not able to</w:t>
      </w:r>
      <w:r>
        <w:t xml:space="preserve"> </w:t>
      </w:r>
      <w:r>
        <w:t xml:space="preserve">collect or report certain datapoints for legacy transactions and therefore were not able to</w:t>
      </w:r>
      <w:r>
        <w:t xml:space="preserve"> </w:t>
      </w:r>
      <w:r>
        <w:t xml:space="preserve">securitise them. However, such opportunity costs were not quantifiable by respondents.</w:t>
      </w:r>
      <w:r>
        <w:t xml:space="preserve"> </w:t>
      </w:r>
      <w:r>
        <w:t xml:space="preserve">14. Impacts of the preferred policy option</w:t>
      </w:r>
      <w:r>
        <w:t xml:space="preserve"> </w:t>
      </w:r>
      <w:r>
        <w:t xml:space="preserve">The preferred policy Option 1.1 (“Streamline the current disclosure templates for public</w:t>
      </w:r>
      <w:r>
        <w:t xml:space="preserve"> </w:t>
      </w:r>
      <w:r>
        <w:t xml:space="preserve">securitisations. Introduce a simplified template for private securitisations. Require private</w:t>
      </w:r>
      <w:r>
        <w:t xml:space="preserve"> </w:t>
      </w:r>
      <w:r>
        <w:t xml:space="preserve">securitisations to report to securitisation repositories”) was the preferred choice of 76% of</w:t>
      </w:r>
      <w:r>
        <w:t xml:space="preserve"> </w:t>
      </w:r>
      <w:r>
        <w:t xml:space="preserve">respondents to this question in the targeted consultation (54//71). 13 respondents preferred</w:t>
      </w:r>
      <w:r>
        <w:t xml:space="preserve"> </w:t>
      </w:r>
      <w:r>
        <w:t xml:space="preserve">option 1.2 (“Remove the distinction between public and private securitisations. Introduce</w:t>
      </w:r>
      <w:r>
        <w:t xml:space="preserve"> </w:t>
      </w:r>
      <w:r>
        <w:t xml:space="preserve">principles‑based disclosure for investors without a prescribed template. Replace the current</w:t>
      </w:r>
      <w:r>
        <w:t xml:space="preserve"> </w:t>
      </w:r>
      <w:r>
        <w:t xml:space="preserve">disclosure templates with a simplified prescribed template that fits the needs of competent”).</w:t>
      </w:r>
      <w:r>
        <w:t xml:space="preserve"> </w:t>
      </w:r>
      <w:r>
        <w:t xml:space="preserve">4 respondents favoured “no change”, while 63 additional respondents had no opinion on this</w:t>
      </w:r>
      <w:r>
        <w:t xml:space="preserve"> </w:t>
      </w:r>
      <w:r>
        <w:t xml:space="preserve">question.</w:t>
      </w:r>
      <w:r>
        <w:br/>
      </w:r>
      <w:r>
        <w:t xml:space="preserve">Option 1.1 was preferred by many respondents under the condition that it would mean retaining</w:t>
      </w:r>
      <w:r>
        <w:t xml:space="preserve"> </w:t>
      </w:r>
      <w:r>
        <w:t xml:space="preserve">the current templates while introducing flexibility by using the “no-data” option more</w:t>
      </w:r>
      <w:r>
        <w:t xml:space="preserve"> </w:t>
      </w:r>
      <w:r>
        <w:t xml:space="preserve">extensively. Removing the requirement of loan-level reporting for granular transactions, and</w:t>
      </w:r>
      <w:r>
        <w:t xml:space="preserve"> </w:t>
      </w:r>
      <w:r>
        <w:t xml:space="preserve">instead allowing for aggregate reporting was also favoured. Some replies called for greater</w:t>
      </w:r>
      <w:r>
        <w:t xml:space="preserve"> </w:t>
      </w:r>
      <w:r>
        <w:t xml:space="preserve">flexibility in the required format, e.g. allowing disclosure in Excel format (rather than .xml).</w:t>
      </w:r>
      <w:r>
        <w:t xml:space="preserve"> </w:t>
      </w:r>
      <w:r>
        <w:t xml:space="preserve">To meet the information needs of investors allowing the inclusion of additional data would also</w:t>
      </w:r>
      <w:r>
        <w:t xml:space="preserve"> </w:t>
      </w:r>
      <w:r>
        <w:t xml:space="preserve">be welcomed. Some respondents pointed also to the benefits of alignment and data sharing</w:t>
      </w:r>
      <w:r>
        <w:t xml:space="preserve"> </w:t>
      </w:r>
      <w:r>
        <w:t xml:space="preserve">between authorities (ECB, NCAs) for the reporting entities.</w:t>
      </w:r>
      <w:r>
        <w:t xml:space="preserve"> </w:t>
      </w:r>
      <w:r>
        <w:t xml:space="preserve">Most respondents, however, refrained from estimating the quantitative effects on the costs of</w:t>
      </w:r>
      <w:r>
        <w:t xml:space="preserve"> </w:t>
      </w:r>
      <w:r>
        <w:t xml:space="preserve">the preferred option as they would depend on concrete details of the proposed change. Of the</w:t>
      </w:r>
      <w:r>
        <w:t xml:space="preserve"> </w:t>
      </w:r>
      <w:r>
        <w:t xml:space="preserve">few replies received, most respondents envisaged “minor” or “moderate” costs, mainly as the</w:t>
      </w:r>
      <w:r>
        <w:t xml:space="preserve"> </w:t>
      </w:r>
      <w:r>
        <w:t xml:space="preserve">bulk of the costs has been already incurred in the implementation of the existing templates. A</w:t>
      </w:r>
      <w:r>
        <w:t xml:space="preserve"> </w:t>
      </w:r>
      <w:r>
        <w:t xml:space="preserve">change as in Option 1.1 of keeping the templates while increasing the flexibility could lead to</w:t>
      </w:r>
      <w:r>
        <w:t xml:space="preserve"> </w:t>
      </w:r>
      <w:r>
        <w:t xml:space="preserve">moderate one-off IT adjustment costs and a reduction of on-going reporting costs of up to 15%-</w:t>
      </w:r>
      <w:r>
        <w:t xml:space="preserve"> </w:t>
      </w:r>
      <w:r>
        <w:t xml:space="preserve">25% (with an average value of 22.5%). Applied to the currently estimated EUR 120 million</w:t>
      </w:r>
      <w:r>
        <w:t xml:space="preserve"> </w:t>
      </w:r>
      <w:r>
        <w:t xml:space="preserve">annually, this could correspond to a cost saving of EUR 26 million annually.</w:t>
      </w:r>
      <w:r>
        <w:t xml:space="preserve"> </w:t>
      </w:r>
      <w:r>
        <w:t xml:space="preserve">The securitisation repositories estimate the adjustment costs for the described adaptation to</w:t>
      </w:r>
      <w:r>
        <w:t xml:space="preserve"> </w:t>
      </w:r>
      <w:r>
        <w:t xml:space="preserve">about EUR 50 000-70 000. If we assume that the approx. 330 active issuers have comparable</w:t>
      </w:r>
      <w:r>
        <w:t xml:space="preserve"> </w:t>
      </w:r>
      <w:r>
        <w:t xml:space="preserve">cost and adding a margin of conservatism, we estimate about EUR 100 000 per issuer for an</w:t>
      </w:r>
      <w:r>
        <w:t xml:space="preserve"> </w:t>
      </w:r>
      <w:r>
        <w:t xml:space="preserve">IT adaptation (there will be smaller players operating without IT infrastructure and larger</w:t>
      </w:r>
      <w:r>
        <w:t xml:space="preserve"> </w:t>
      </w:r>
      <w:r>
        <w:t xml:space="preserve">players with more complex IT systems and changes and assuming that as many existing</w:t>
      </w:r>
      <w:r>
        <w:t xml:space="preserve"> </w:t>
      </w:r>
      <w:r>
        <w:t xml:space="preserve">datapoints will be utilised as possible), we obtain one-off implementation costs of about EUR</w:t>
      </w:r>
      <w:r>
        <w:t xml:space="preserve"> </w:t>
      </w:r>
      <w:r>
        <w:t xml:space="preserve">33 million.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Furthermore, the potential requirement of private transactions to report the data (that is already</w:t>
      </w:r>
      <w:r>
        <w:t xml:space="preserve"> </w:t>
      </w:r>
      <w:r>
        <w:t xml:space="preserve">collected today under Article 7) to securitisation repositories, would result in at least approx.</w:t>
      </w:r>
      <w:r>
        <w:t xml:space="preserve"> </w:t>
      </w:r>
      <w:r>
        <w:t xml:space="preserve">EUR 10 000 p.a., which translates for an estimated market transactions volume of 660</w:t>
      </w:r>
      <w:r>
        <w:t xml:space="preserve"> </w:t>
      </w:r>
      <w:r>
        <w:t xml:space="preserve">transactions to about EUR 6.6 million or EUR 7 million (rounded).</w:t>
      </w:r>
      <w:r>
        <w:t xml:space="preserve"> </w:t>
      </w:r>
      <w:r>
        <w:t xml:space="preserve">Type of</w:t>
      </w:r>
      <w:r>
        <w:t xml:space="preserve"> </w:t>
      </w:r>
      <w:r>
        <w:t xml:space="preserve">transaction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value (by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association),</w:t>
      </w:r>
      <w:r>
        <w:t xml:space="preserve"> </w:t>
      </w:r>
      <w:r>
        <w:t xml:space="preserve">rounded*</w:t>
      </w:r>
      <w:r>
        <w:t xml:space="preserve"> </w:t>
      </w:r>
      <w:r>
        <w:t xml:space="preserve">Estimated</w:t>
      </w:r>
      <w:r>
        <w:t xml:space="preserve"> </w:t>
      </w:r>
      <w:r>
        <w:t xml:space="preserve">no.</w:t>
      </w:r>
      <w:r>
        <w:t xml:space="preserve"> </w:t>
      </w:r>
      <w:r>
        <w:t xml:space="preserve">outstanding</w:t>
      </w:r>
      <w:r>
        <w:t xml:space="preserve"> </w:t>
      </w:r>
      <w:r>
        <w:t xml:space="preserve">transactions</w:t>
      </w:r>
      <w:r>
        <w:t xml:space="preserve"> </w:t>
      </w:r>
      <w:r>
        <w:t xml:space="preserve">(rounded)**</w:t>
      </w:r>
      <w:r>
        <w:t xml:space="preserve"> </w:t>
      </w:r>
      <w:r>
        <w:t xml:space="preserve">Estimated</w:t>
      </w:r>
      <w:r>
        <w:t xml:space="preserve"> </w:t>
      </w:r>
      <w:r>
        <w:t xml:space="preserve">market cost</w:t>
      </w:r>
      <w:r>
        <w:t xml:space="preserve"> </w:t>
      </w:r>
      <w:r>
        <w:t xml:space="preserve">(rounded)</w:t>
      </w:r>
      <w:r>
        <w:t xml:space="preserve"> </w:t>
      </w:r>
      <w:r>
        <w:t xml:space="preserve">Estimated</w:t>
      </w:r>
      <w:r>
        <w:t xml:space="preserve"> </w:t>
      </w:r>
      <w:r>
        <w:t xml:space="preserve">cost savings</w:t>
      </w:r>
      <w:r>
        <w:t xml:space="preserve"> </w:t>
      </w:r>
      <w:r>
        <w:t xml:space="preserve">Saving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#</w:t>
      </w:r>
      <w:r>
        <w:t xml:space="preserve"> </w:t>
      </w:r>
      <w:r>
        <w:t xml:space="preserve">EUR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Traditional,</w:t>
      </w:r>
      <w:r>
        <w:t xml:space="preserve"> </w:t>
      </w:r>
      <w:r>
        <w:t xml:space="preserve">non-</w:t>
      </w:r>
      <w:r>
        <w:t xml:space="preserve"> </w:t>
      </w:r>
      <w:r>
        <w:t xml:space="preserve">STS</w:t>
      </w:r>
      <w:r>
        <w:br/>
      </w:r>
      <w:r>
        <w:t xml:space="preserve">50 000</w:t>
      </w:r>
      <w:r>
        <w:t xml:space="preserve"> </w:t>
      </w:r>
      <w:r>
        <w:t xml:space="preserve">820</w:t>
      </w:r>
      <w:r>
        <w:t xml:space="preserve"> </w:t>
      </w:r>
      <w:r>
        <w:t xml:space="preserve">41 000 000</w:t>
      </w:r>
      <w:r>
        <w:t xml:space="preserve"> </w:t>
      </w:r>
      <w:r>
        <w:t xml:space="preserve">23%</w:t>
      </w:r>
      <w:r>
        <w:t xml:space="preserve"> </w:t>
      </w:r>
      <w:r>
        <w:t xml:space="preserve">(N=2:</w:t>
      </w:r>
      <w:r>
        <w:br/>
      </w:r>
      <w:r>
        <w:t xml:space="preserve">15-25%;</w:t>
      </w:r>
      <w:r>
        <w:br/>
      </w:r>
      <w:r>
        <w:t xml:space="preserve">avg. 22.5%)</w:t>
      </w:r>
      <w:r>
        <w:t xml:space="preserve"> </w:t>
      </w:r>
      <w:r>
        <w:t xml:space="preserve">9 225 000</w:t>
      </w:r>
      <w:r>
        <w:t xml:space="preserve"> </w:t>
      </w:r>
      <w:r>
        <w:t xml:space="preserve">Traditional, STS</w:t>
      </w:r>
      <w:r>
        <w:t xml:space="preserve"> </w:t>
      </w:r>
      <w:r>
        <w:t xml:space="preserve">100 000</w:t>
      </w:r>
      <w:r>
        <w:t xml:space="preserve"> </w:t>
      </w:r>
      <w:r>
        <w:t xml:space="preserve">510</w:t>
      </w:r>
      <w:r>
        <w:t xml:space="preserve"> </w:t>
      </w:r>
      <w:r>
        <w:t xml:space="preserve">51 000 000</w:t>
      </w:r>
      <w:r>
        <w:t xml:space="preserve"> </w:t>
      </w:r>
      <w:r>
        <w:t xml:space="preserve">11 475 000</w:t>
      </w:r>
      <w:r>
        <w:t xml:space="preserve"> </w:t>
      </w:r>
      <w:r>
        <w:t xml:space="preserve">Synthetic, non-STS</w:t>
      </w:r>
      <w:r>
        <w:br/>
      </w:r>
      <w:r>
        <w:t xml:space="preserve">60 000</w:t>
      </w:r>
      <w:r>
        <w:t xml:space="preserve"> </w:t>
      </w:r>
      <w:r>
        <w:t xml:space="preserve">100</w:t>
      </w:r>
      <w:r>
        <w:t xml:space="preserve"> </w:t>
      </w:r>
      <w:r>
        <w:t xml:space="preserve">6 000 000</w:t>
      </w:r>
      <w:r>
        <w:t xml:space="preserve"> </w:t>
      </w:r>
      <w:r>
        <w:t xml:space="preserve">1 350 000</w:t>
      </w:r>
      <w:r>
        <w:t xml:space="preserve"> </w:t>
      </w:r>
      <w:r>
        <w:t xml:space="preserve">Synthetic, STS</w:t>
      </w:r>
      <w:r>
        <w:br/>
      </w:r>
      <w:r>
        <w:t xml:space="preserve">80 000</w:t>
      </w:r>
      <w:r>
        <w:t xml:space="preserve"> </w:t>
      </w:r>
      <w:r>
        <w:t xml:space="preserve">110</w:t>
      </w:r>
      <w:r>
        <w:t xml:space="preserve"> </w:t>
      </w:r>
      <w:r>
        <w:t xml:space="preserve">8 800 000</w:t>
      </w:r>
      <w:r>
        <w:t xml:space="preserve"> </w:t>
      </w:r>
      <w:r>
        <w:t xml:space="preserve">1 980 000</w:t>
      </w:r>
      <w:r>
        <w:t xml:space="preserve"> </w:t>
      </w:r>
      <w:r>
        <w:t xml:space="preserve">CLO</w:t>
      </w:r>
      <w:r>
        <w:br/>
      </w:r>
      <w:r>
        <w:t xml:space="preserve">20 000</w:t>
      </w:r>
      <w:r>
        <w:t xml:space="preserve"> </w:t>
      </w:r>
      <w:r>
        <w:t xml:space="preserve">440</w:t>
      </w:r>
      <w:r>
        <w:t xml:space="preserve"> </w:t>
      </w:r>
      <w:r>
        <w:t xml:space="preserve">8 800 000</w:t>
      </w:r>
      <w:r>
        <w:t xml:space="preserve"> </w:t>
      </w:r>
      <w:r>
        <w:t xml:space="preserve">1 980 000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115 600 000</w:t>
      </w:r>
    </w:p>
    <w:p>
      <w:pPr>
        <w:pStyle w:val="BodyText"/>
      </w:pPr>
      <w:r>
        <w:t xml:space="preserve">26 010 000</w:t>
      </w:r>
      <w:r>
        <w:t xml:space="preserve"> </w:t>
      </w:r>
      <w:r>
        <w:t xml:space="preserve">Saving expressed in basis points of market volume (EUR 1 635 billon)</w:t>
      </w:r>
      <w:r>
        <w:t xml:space="preserve"> </w:t>
      </w:r>
      <w:r>
        <w:t xml:space="preserve">0.2</w:t>
      </w:r>
    </w:p>
    <w:p>
      <w:pPr>
        <w:pStyle w:val="Compact"/>
        <w:numPr>
          <w:ilvl w:val="0"/>
          <w:numId w:val="1008"/>
        </w:numPr>
      </w:pPr>
      <w:r>
        <w:t xml:space="preserve">Summary</w:t>
      </w:r>
      <w:r>
        <w:t xml:space="preserve"> </w:t>
      </w:r>
      <w:r>
        <w:t xml:space="preserve">Figure 15: Summary due diligence and transparency costs and impacts of preferred</w:t>
      </w:r>
      <w:r>
        <w:t xml:space="preserve"> </w:t>
      </w:r>
      <w:r>
        <w:t xml:space="preserve">combination of options</w:t>
      </w:r>
    </w:p>
    <w:p>
      <w:pPr>
        <w:pStyle w:val="FirstParagraph"/>
      </w:pPr>
      <w:r>
        <w:t xml:space="preserve">Due diligence</w:t>
      </w:r>
      <w:r>
        <w:br/>
      </w:r>
      <w:r>
        <w:t xml:space="preserve">Transparency</w:t>
      </w:r>
      <w:r>
        <w:br/>
      </w:r>
      <w:r>
        <w:t xml:space="preserve">One-off costs</w:t>
      </w:r>
      <w:r>
        <w:t xml:space="preserve"> </w:t>
      </w:r>
      <w:r>
        <w:t xml:space="preserve">EUR 10-15 million</w:t>
      </w:r>
      <w:r>
        <w:br/>
      </w:r>
      <w:r>
        <w:t xml:space="preserve">EUR 370 million</w:t>
      </w:r>
      <w:r>
        <w:br/>
      </w:r>
      <w:r>
        <w:t xml:space="preserve">Impact preferred option</w:t>
      </w:r>
      <w:r>
        <w:t xml:space="preserve"> </w:t>
      </w:r>
      <w:r>
        <w:t xml:space="preserve">No impact estimated (as</w:t>
      </w:r>
      <w:r>
        <w:t xml:space="preserve"> </w:t>
      </w:r>
      <w:r>
        <w:t xml:space="preserve">costs are sunk); for new</w:t>
      </w:r>
      <w:r>
        <w:t xml:space="preserve"> </w:t>
      </w:r>
      <w:r>
        <w:t xml:space="preserve">market entrants costs could</w:t>
      </w:r>
      <w:r>
        <w:t xml:space="preserve"> </w:t>
      </w:r>
      <w:r>
        <w:t xml:space="preserve">go</w:t>
      </w:r>
      <w:r>
        <w:t xml:space="preserve"> </w:t>
      </w:r>
      <w:r>
        <w:t xml:space="preserve">down</w:t>
      </w:r>
      <w:r>
        <w:t xml:space="preserve"> </w:t>
      </w:r>
      <w:r>
        <w:t xml:space="preserve">by</w:t>
      </w:r>
      <w:r>
        <w:t xml:space="preserve"> </w:t>
      </w:r>
      <w:r>
        <w:t xml:space="preserve">15%-50%</w:t>
      </w:r>
      <w:r>
        <w:t xml:space="preserve"> </w:t>
      </w:r>
      <w:r>
        <w:t xml:space="preserve">depending on the market</w:t>
      </w:r>
      <w:r>
        <w:t xml:space="preserve"> </w:t>
      </w:r>
      <w:r>
        <w:t xml:space="preserve">segment</w:t>
      </w:r>
      <w:r>
        <w:t xml:space="preserve"> </w:t>
      </w:r>
      <w:r>
        <w:t xml:space="preserve">and</w:t>
      </w:r>
      <w:r>
        <w:t xml:space="preserve"> </w:t>
      </w:r>
      <w:r>
        <w:t xml:space="preserve">transaction</w:t>
      </w:r>
      <w:r>
        <w:t xml:space="preserve"> </w:t>
      </w:r>
      <w:r>
        <w:t xml:space="preserve">types covered.</w:t>
      </w:r>
      <w:r>
        <w:t xml:space="preserve"> </w:t>
      </w:r>
      <w:r>
        <w:t xml:space="preserve">Implementation costs new</w:t>
      </w:r>
      <w:r>
        <w:t xml:space="preserve"> </w:t>
      </w:r>
      <w:r>
        <w:t xml:space="preserve">templates (assuming re-use</w:t>
      </w:r>
      <w:r>
        <w:t xml:space="preserve"> </w:t>
      </w:r>
      <w:r>
        <w:t xml:space="preserve">of existing data fields to a</w:t>
      </w:r>
      <w:r>
        <w:t xml:space="preserve"> </w:t>
      </w:r>
      <w:r>
        <w:t xml:space="preserve">maximum extent):</w:t>
      </w:r>
      <w:r>
        <w:br/>
      </w:r>
      <w:r>
        <w:t xml:space="preserve">EUR 33 million</w:t>
      </w:r>
      <w:r>
        <w:t xml:space="preserve"> </w:t>
      </w:r>
      <w:r>
        <w:t xml:space="preserve">Recurring annual costs</w:t>
      </w:r>
      <w:r>
        <w:t xml:space="preserve"> </w:t>
      </w:r>
      <w:r>
        <w:t xml:space="preserve">EUR 660 million p.a.</w:t>
      </w:r>
      <w:r>
        <w:t xml:space="preserve"> </w:t>
      </w:r>
      <w:r>
        <w:t xml:space="preserve">EUR 120 million p.a.</w:t>
      </w:r>
      <w:r>
        <w:t xml:space="preserve"> </w:t>
      </w:r>
      <w:r>
        <w:t xml:space="preserve">Impact preferred option on</w:t>
      </w:r>
      <w:r>
        <w:t xml:space="preserve"> </w:t>
      </w:r>
      <w:r>
        <w:t xml:space="preserve">recurring costs</w:t>
      </w:r>
      <w:r>
        <w:t xml:space="preserve"> </w:t>
      </w:r>
      <w:r>
        <w:t xml:space="preserve">Saving of EUR 290 million</w:t>
      </w:r>
      <w:r>
        <w:t xml:space="preserve"> </w:t>
      </w:r>
      <w:r>
        <w:t xml:space="preserve">p.a.</w:t>
      </w:r>
    </w:p>
    <w:p>
      <w:pPr>
        <w:pStyle w:val="BodyText"/>
      </w:pPr>
      <w:r>
        <w:t xml:space="preserve">Saving of EUR 26 million</w:t>
      </w:r>
      <w:r>
        <w:t xml:space="preserve"> </w:t>
      </w:r>
      <w:r>
        <w:t xml:space="preserve">annually</w:t>
      </w:r>
      <w:r>
        <w:t xml:space="preserve"> </w:t>
      </w:r>
      <w:r>
        <w:t xml:space="preserve">for</w:t>
      </w:r>
      <w:r>
        <w:t xml:space="preserve"> </w:t>
      </w:r>
      <w:r>
        <w:t xml:space="preserve">simplified</w:t>
      </w:r>
      <w:r>
        <w:t xml:space="preserve"> </w:t>
      </w:r>
      <w:r>
        <w:t xml:space="preserve">reporting</w:t>
      </w:r>
      <w:r>
        <w:t xml:space="preserve"> </w:t>
      </w:r>
      <w:r>
        <w:t xml:space="preserve">Additional annual costs of at</w:t>
      </w:r>
      <w:r>
        <w:t xml:space="preserve"> </w:t>
      </w:r>
      <w:r>
        <w:t xml:space="preserve">least EUR 7 million for the</w:t>
      </w:r>
      <w:r>
        <w:t xml:space="preserve"> </w:t>
      </w:r>
      <w:r>
        <w:t xml:space="preserve">reporting</w:t>
      </w:r>
      <w:r>
        <w:t xml:space="preserve"> </w:t>
      </w:r>
      <w:r>
        <w:t xml:space="preserve">of</w:t>
      </w:r>
      <w:r>
        <w:t xml:space="preserve"> </w:t>
      </w:r>
      <w:r>
        <w:t xml:space="preserve">private</w:t>
      </w:r>
      <w:r>
        <w:t xml:space="preserve"> </w:t>
      </w:r>
      <w:r>
        <w:t xml:space="preserve">transactions to securitisation</w:t>
      </w:r>
      <w:r>
        <w:t xml:space="preserve"> </w:t>
      </w:r>
      <w:r>
        <w:t xml:space="preserve">repositories.</w:t>
      </w:r>
      <w:r>
        <w:br/>
      </w:r>
      <w:r>
        <w:t xml:space="preserve">Figure 15 above summarises the cost estimations of the operational costs. It is important to</w:t>
      </w:r>
      <w:r>
        <w:t xml:space="preserve"> </w:t>
      </w:r>
      <w:r>
        <w:t xml:space="preserve">note that no clear distinction between Art. 5 and Art. 7 related costs can be drawn as the</w:t>
      </w:r>
      <w:r>
        <w:t xml:space="preserve"> </w:t>
      </w:r>
      <w:r>
        <w:t xml:space="preserve">respondents allocated the economic burden of due diligence duties and costs both to buy- and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sell-side parties, while the regulation formally allocates Art. 5 related due diligence duties</w:t>
      </w:r>
      <w:r>
        <w:t xml:space="preserve"> </w:t>
      </w:r>
      <w:r>
        <w:t xml:space="preserve">exclusively to investors and Art. 7 related transparency duties to originators and sponsors. In</w:t>
      </w:r>
      <w:r>
        <w:t xml:space="preserve"> </w:t>
      </w:r>
      <w:r>
        <w:t xml:space="preserve">relative terms, the total recurring operational costs are estimated to about EUR 780 million,</w:t>
      </w:r>
      <w:r>
        <w:t xml:space="preserve"> </w:t>
      </w:r>
      <w:r>
        <w:t xml:space="preserve">which is about 4.8 basis points of the market volume of outstanding assets. The total savings</w:t>
      </w:r>
      <w:r>
        <w:t xml:space="preserve"> </w:t>
      </w:r>
      <w:r>
        <w:t xml:space="preserve">potential that is estimated to EUR 310 million (rounded) corresponds to about 2.0 basis points,</w:t>
      </w:r>
      <w:r>
        <w:t xml:space="preserve"> </w:t>
      </w:r>
      <w:r>
        <w:t xml:space="preserve">which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decomposed</w:t>
      </w:r>
      <w:r>
        <w:t xml:space="preserve"> </w:t>
      </w:r>
      <w:r>
        <w:t xml:space="preserve">to</w:t>
      </w:r>
      <w:r>
        <w:t xml:space="preserve"> </w:t>
      </w:r>
      <w:r>
        <w:t xml:space="preserve">about</w:t>
      </w:r>
      <w:r>
        <w:t xml:space="preserve"> </w:t>
      </w:r>
      <w:r>
        <w:t xml:space="preserve">0.8</w:t>
      </w:r>
      <w:r>
        <w:t xml:space="preserve"> </w:t>
      </w:r>
      <w:r>
        <w:t xml:space="preserve">basis</w:t>
      </w:r>
      <w:r>
        <w:t xml:space="preserve"> </w:t>
      </w:r>
      <w:r>
        <w:t xml:space="preserve">points</w:t>
      </w:r>
      <w:r>
        <w:t xml:space="preserve"> </w:t>
      </w:r>
      <w:r>
        <w:t xml:space="preserve">for</w:t>
      </w:r>
      <w:r>
        <w:t xml:space="preserve"> </w:t>
      </w:r>
      <w:r>
        <w:t xml:space="preserve">sell-side</w:t>
      </w:r>
      <w:r>
        <w:t xml:space="preserve"> </w:t>
      </w:r>
      <w:r>
        <w:t xml:space="preserve">parties</w:t>
      </w:r>
      <w:r>
        <w:t xml:space="preserve"> </w:t>
      </w:r>
      <w:r>
        <w:t xml:space="preserve">(originators/sponsors/original lenders) and 1.2 for buy-side parties (investors). For sell-side</w:t>
      </w:r>
      <w:r>
        <w:t xml:space="preserve"> </w:t>
      </w:r>
      <w:r>
        <w:t xml:space="preserve">parties, the results could be corroborated with the results of a very detailed and comprehensive</w:t>
      </w:r>
      <w:r>
        <w:t xml:space="preserve"> </w:t>
      </w:r>
      <w:r>
        <w:t xml:space="preserve">study performed by the association True Sale International in collaboration with the German</w:t>
      </w:r>
      <w:r>
        <w:t xml:space="preserve"> </w:t>
      </w:r>
      <w:r>
        <w:t xml:space="preserve">Banking association that estimates the annualised savings potential of operational costs for sell-</w:t>
      </w:r>
      <w:r>
        <w:t xml:space="preserve"> </w:t>
      </w:r>
      <w:r>
        <w:t xml:space="preserve">side parties for a large sample of 310 transactions representing a market volume of about EUR</w:t>
      </w:r>
      <w:r>
        <w:t xml:space="preserve"> </w:t>
      </w:r>
      <w:r>
        <w:t xml:space="preserve">300 billion, to about 0.9 basis points annually.108 Apart from those pure monetary benefits of</w:t>
      </w:r>
      <w:r>
        <w:t xml:space="preserve"> </w:t>
      </w:r>
      <w:r>
        <w:t xml:space="preserve">regulatory simplification, it is worth noting that stakeholders put strong emphasis also on other</w:t>
      </w:r>
      <w:r>
        <w:t xml:space="preserve"> </w:t>
      </w:r>
      <w:r>
        <w:t xml:space="preserve">aspects of the due diligence and transparency framework such as the barriers-to-entry and time-</w:t>
      </w:r>
      <w:r>
        <w:t xml:space="preserve"> </w:t>
      </w:r>
      <w:r>
        <w:t xml:space="preserve">to-market considerations.</w:t>
      </w:r>
      <w:r>
        <w:t xml:space="preserve"> </w:t>
      </w:r>
      <w:r>
        <w:t xml:space="preserve">4 - Relevant sustainable development goals109</w:t>
      </w:r>
      <w:r>
        <w:t xml:space="preserve"> </w:t>
      </w:r>
      <w:r>
        <w:t xml:space="preserve">Figure 16:</w:t>
      </w:r>
      <w:r>
        <w:br/>
      </w:r>
      <w:r>
        <w:t xml:space="preserve">Overview of relevant SDG – Preferred Option</w:t>
      </w:r>
      <w:r>
        <w:t xml:space="preserve"> </w:t>
      </w:r>
      <w:r>
        <w:t xml:space="preserve">IV.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</w:t>
      </w:r>
      <w:r>
        <w:t xml:space="preserve"> </w:t>
      </w:r>
      <w:r>
        <w:t xml:space="preserve">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8 Economic</w:t>
      </w:r>
      <w:r>
        <w:t xml:space="preserve"> </w:t>
      </w:r>
      <w:r>
        <w:t xml:space="preserve">Growth</w:t>
      </w:r>
      <w:r>
        <w:t xml:space="preserve"> </w:t>
      </w:r>
      <w:r>
        <w:t xml:space="preserve">Potential</w:t>
      </w:r>
      <w:r>
        <w:t xml:space="preserve"> </w:t>
      </w:r>
      <w:r>
        <w:t xml:space="preserve">improvement</w:t>
      </w:r>
      <w:r>
        <w:t xml:space="preserve"> </w:t>
      </w:r>
      <w:r>
        <w:t xml:space="preserve">and</w:t>
      </w:r>
      <w:r>
        <w:t xml:space="preserve"> </w:t>
      </w:r>
      <w:r>
        <w:t xml:space="preserve">increased stability.</w:t>
      </w:r>
      <w:r>
        <w:t xml:space="preserve"> </w:t>
      </w:r>
      <w:r>
        <w:t xml:space="preserve">Deep and liquid capital markets next to a well-</w:t>
      </w:r>
      <w:r>
        <w:t xml:space="preserve"> </w:t>
      </w:r>
      <w:r>
        <w:t xml:space="preserve">developed banking system can contribute to</w:t>
      </w:r>
      <w:r>
        <w:t xml:space="preserve"> </w:t>
      </w:r>
      <w:r>
        <w:t xml:space="preserve">macroeconomic stability as a more balanced</w:t>
      </w:r>
      <w:r>
        <w:t xml:space="preserve"> </w:t>
      </w:r>
      <w:r>
        <w:t xml:space="preserve">distribution of risks in the financial sector leads</w:t>
      </w:r>
      <w:r>
        <w:t xml:space="preserve"> </w:t>
      </w:r>
      <w:r>
        <w:t xml:space="preserve">to a diversification of financing in bank credit</w:t>
      </w:r>
      <w:r>
        <w:t xml:space="preserve"> </w:t>
      </w:r>
      <w:r>
        <w:t xml:space="preserve">and capital markets. As their cycles are not</w:t>
      </w:r>
      <w:r>
        <w:t xml:space="preserve"> </w:t>
      </w:r>
      <w:r>
        <w:t xml:space="preserve">perfectly correlated, capital market financing</w:t>
      </w:r>
      <w:r>
        <w:t xml:space="preserve"> </w:t>
      </w:r>
      <w:r>
        <w:t xml:space="preserve">can substitute at least partially for bank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https://www.true-sale-international.de/fileadmin/tsi-</w:t>
      </w:r>
      <w:r>
        <w:t xml:space="preserve"> </w:t>
      </w:r>
      <w:r>
        <w:t xml:space="preserve">gmbh/tsi_downloads/aktuelles/TSI_BdB_Addendum_Cost_Estimation.pdf. This is reflected in an annual savings</w:t>
      </w:r>
      <w:r>
        <w:t xml:space="preserve"> </w:t>
      </w:r>
      <w:r>
        <w:t xml:space="preserve">potential of EUR 26.7 million for a transaction volume of EUR 310 000 million which corresponds to 0.9 basis</w:t>
      </w:r>
      <w:r>
        <w:t xml:space="preserve"> </w:t>
      </w:r>
      <w:r>
        <w:t xml:space="preserve">points or 0.009 percentage points.</w:t>
      </w:r>
      <w:r>
        <w:t xml:space="preserve"> </w:t>
      </w:r>
      <w:r>
        <w:t xml:space="preserve">109 1. No Poverty, 2. Zero Hunger, 3. Good Health and Well-being, 4. Quality Education, 5. Gender Equality, 6.</w:t>
      </w:r>
      <w:r>
        <w:t xml:space="preserve"> </w:t>
      </w:r>
      <w:r>
        <w:t xml:space="preserve">Clean Water and Sanitation, 7. Affordable and Clean Energy, 8. Decent Work and Economic Growth, 9. Industry,</w:t>
      </w:r>
      <w:r>
        <w:t xml:space="preserve"> </w:t>
      </w:r>
      <w:r>
        <w:t xml:space="preserve">Innovation and Infrastructure, 10. Reduced Inequalities, 11. Sustainable Cities and Communities, 12. Responsible</w:t>
      </w:r>
      <w:r>
        <w:t xml:space="preserve"> </w:t>
      </w:r>
      <w:r>
        <w:t xml:space="preserve">Consumption and Production, 13. Climate Action, 14. Life Below Water, 15. Life on Land, 16. Peace, Justice and</w:t>
      </w:r>
      <w:r>
        <w:t xml:space="preserve"> </w:t>
      </w:r>
      <w:r>
        <w:t xml:space="preserve">Strong Institutions, 17. Partnerships for the Goals,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financing and vice versa in case of shortages,</w:t>
      </w:r>
      <w:r>
        <w:t xml:space="preserve"> </w:t>
      </w:r>
      <w:r>
        <w:t xml:space="preserve">this can have a stabilising effect.110</w:t>
      </w:r>
      <w:r>
        <w:t xml:space="preserve"> </w:t>
      </w:r>
      <w:r>
        <w:t xml:space="preserve">SDG</w:t>
      </w:r>
      <w:r>
        <w:t xml:space="preserve"> </w:t>
      </w:r>
      <w:r>
        <w:t xml:space="preserve">13</w:t>
      </w:r>
      <w:r>
        <w:t xml:space="preserve"> </w:t>
      </w:r>
      <w:r>
        <w:t xml:space="preserve">Climate</w:t>
      </w:r>
      <w:r>
        <w:t xml:space="preserve"> </w:t>
      </w:r>
      <w:r>
        <w:t xml:space="preserve">Action,</w:t>
      </w:r>
      <w:r>
        <w:t xml:space="preserve"> </w:t>
      </w:r>
      <w:r>
        <w:t xml:space="preserve">14.</w:t>
      </w:r>
      <w:r>
        <w:t xml:space="preserve"> </w:t>
      </w:r>
      <w:r>
        <w:t xml:space="preserve">Life</w:t>
      </w:r>
      <w:r>
        <w:t xml:space="preserve"> </w:t>
      </w:r>
      <w:r>
        <w:t xml:space="preserve">below</w:t>
      </w:r>
      <w:r>
        <w:t xml:space="preserve"> </w:t>
      </w:r>
      <w:r>
        <w:t xml:space="preserve">Water,</w:t>
      </w:r>
      <w:r>
        <w:t xml:space="preserve"> </w:t>
      </w:r>
      <w:r>
        <w:t xml:space="preserve">15</w:t>
      </w:r>
      <w:r>
        <w:t xml:space="preserve"> </w:t>
      </w:r>
      <w:r>
        <w:t xml:space="preserve">Life on Land</w:t>
      </w:r>
      <w:r>
        <w:t xml:space="preserve"> </w:t>
      </w:r>
      <w:r>
        <w:t xml:space="preserve">Potential</w:t>
      </w:r>
      <w:r>
        <w:t xml:space="preserve"> </w:t>
      </w:r>
      <w:r>
        <w:t xml:space="preserve">improvement</w:t>
      </w:r>
      <w:r>
        <w:t xml:space="preserve"> </w:t>
      </w:r>
      <w:r>
        <w:t xml:space="preserve">of</w:t>
      </w:r>
      <w:r>
        <w:t xml:space="preserve"> </w:t>
      </w:r>
      <w:r>
        <w:t xml:space="preserve">financing the green</w:t>
      </w:r>
      <w:r>
        <w:t xml:space="preserve"> </w:t>
      </w:r>
      <w:r>
        <w:t xml:space="preserve">transition</w:t>
      </w:r>
      <w:r>
        <w:t xml:space="preserve"> </w:t>
      </w:r>
      <w:r>
        <w:t xml:space="preserve">Securitisation may play a significant role in the</w:t>
      </w:r>
      <w:r>
        <w:t xml:space="preserve"> </w:t>
      </w:r>
      <w:r>
        <w:t xml:space="preserve">green transition as a financing instrument for</w:t>
      </w:r>
      <w:r>
        <w:t xml:space="preserve"> </w:t>
      </w:r>
      <w:r>
        <w:t xml:space="preserve">green businesses.</w:t>
      </w:r>
    </w:p>
    <w:p>
      <w:pPr>
        <w:pStyle w:val="BodyText"/>
      </w:pPr>
      <w:r>
        <w:t xml:space="preserve">ANNEX IV: ANALYTICAL METHODS</w:t>
      </w:r>
      <w:r>
        <w:br/>
      </w:r>
      <w:r>
        <w:t xml:space="preserve">To assess the impacts of the options, this report builds on the following sources of data:</w:t>
      </w:r>
      <w:r>
        <w:t xml:space="preserve"> </w:t>
      </w:r>
      <w:r>
        <w:t xml:space="preserve">-</w:t>
      </w:r>
      <w:r>
        <w:t xml:space="preserve"> </w:t>
      </w:r>
      <w:r>
        <w:t xml:space="preserve">Consultation with stakeholders, the results of which are described in the synopsis report</w:t>
      </w:r>
      <w:r>
        <w:t xml:space="preserve"> </w:t>
      </w:r>
      <w:r>
        <w:t xml:space="preserve">in Annex 2.</w:t>
      </w:r>
      <w:r>
        <w:t xml:space="preserve"> </w:t>
      </w:r>
      <w:r>
        <w:t xml:space="preserve">-</w:t>
      </w:r>
      <w:r>
        <w:t xml:space="preserve"> </w:t>
      </w:r>
      <w:r>
        <w:t xml:space="preserve">Market and supervisory data provided during the consultation period</w:t>
      </w:r>
      <w:r>
        <w:t xml:space="preserve"> </w:t>
      </w:r>
      <w:r>
        <w:t xml:space="preserve">The section with prudential options in banking and insurance builds primarily on the data and</w:t>
      </w:r>
      <w:r>
        <w:t xml:space="preserve"> </w:t>
      </w:r>
      <w:r>
        <w:t xml:space="preserve">analysis provided by the ESAs, in particular the 2022 ESA’s Joint Committee advice on the</w:t>
      </w:r>
      <w:r>
        <w:t xml:space="preserve"> </w:t>
      </w:r>
      <w:r>
        <w:t xml:space="preserve">review of the securitisation prudential framework, and the 2020 EBA report on the significant</w:t>
      </w:r>
      <w:r>
        <w:t xml:space="preserve"> </w:t>
      </w:r>
      <w:r>
        <w:t xml:space="preserve">risk transfer in securitisation, which rely on data collected by the EBA directly from supervisors</w:t>
      </w:r>
      <w:r>
        <w:t xml:space="preserve"> </w:t>
      </w:r>
      <w:r>
        <w:t xml:space="preserve">and credit institutions. Additional bank and insurance-specific data shared by EBA and EIOPA</w:t>
      </w:r>
      <w:r>
        <w:t xml:space="preserve"> </w:t>
      </w:r>
      <w:r>
        <w:t xml:space="preserve">and extracted from banks and insurers’ reporting templates were also used. The analysis also</w:t>
      </w:r>
      <w:r>
        <w:t xml:space="preserve"> </w:t>
      </w:r>
      <w:r>
        <w:t xml:space="preserve">draws on the insights provided by stakeholders in their responses to the Commission’s targeted</w:t>
      </w:r>
      <w:r>
        <w:t xml:space="preserve"> </w:t>
      </w:r>
      <w:r>
        <w:t xml:space="preserve">consultation and various analytical papers on securitisation.</w:t>
      </w:r>
      <w:r>
        <w:t xml:space="preserve"> </w:t>
      </w:r>
      <w:r>
        <w:t xml:space="preserve">The 2022 ESA’s Joint Committee report has been developed in response to the Commission’s</w:t>
      </w:r>
      <w:r>
        <w:t xml:space="preserve"> </w:t>
      </w:r>
      <w:r>
        <w:t xml:space="preserve">call for advice (CfA) addressed to the ESAs in October 2021. The CfA has sought the Joint</w:t>
      </w:r>
      <w:r>
        <w:t xml:space="preserve"> </w:t>
      </w:r>
      <w:r>
        <w:t xml:space="preserve">Committee advice on the performance of the rules on capital and liquidity requirements relative</w:t>
      </w:r>
      <w:r>
        <w:t xml:space="preserve"> </w:t>
      </w:r>
      <w:r>
        <w:t xml:space="preserve">to the framework’s original objective of contributing to the revival of the EU securitisation</w:t>
      </w:r>
      <w:r>
        <w:t xml:space="preserve"> </w:t>
      </w:r>
      <w:r>
        <w:t xml:space="preserve">market on a prudent basis. The report consists of two parts: the assessment of the securitisation</w:t>
      </w:r>
      <w:r>
        <w:t xml:space="preserve"> </w:t>
      </w:r>
      <w:r>
        <w:t xml:space="preserve">market performance and appropriateness of the rules for banks on capital (laid down in Part</w:t>
      </w:r>
      <w:r>
        <w:t xml:space="preserve"> </w:t>
      </w:r>
      <w:r>
        <w:t xml:space="preserve">Three Title II Chapter 5 of the CRR) and liquidity (laid down in the LCR delegated regulation),</w:t>
      </w:r>
      <w:r>
        <w:t xml:space="preserve"> </w:t>
      </w:r>
      <w:r>
        <w:t xml:space="preserve">and the review of the securitisation capital framework applicable to (re)insurers (laid down in</w:t>
      </w:r>
      <w:r>
        <w:t xml:space="preserve"> </w:t>
      </w:r>
      <w:r>
        <w:t xml:space="preserve">Solvency II). The report relies on data collected by EBA directly from banks, through the</w:t>
      </w:r>
      <w:r>
        <w:t xml:space="preserve"> </w:t>
      </w:r>
      <w:r>
        <w:t xml:space="preserve">COREP reporting (in particular templates on securitisation are C14.00 and C14.01 where data</w:t>
      </w:r>
      <w:r>
        <w:t xml:space="preserve"> </w:t>
      </w:r>
      <w:r>
        <w:t xml:space="preserve">are collected on a semi-annual frequency.) COREP provides very granular information of</w:t>
      </w:r>
      <w:r>
        <w:t xml:space="preserve"> </w:t>
      </w:r>
      <w:r>
        <w:t xml:space="preserve">securitisations originated by the banking sector and other securitisations in which banks invest</w:t>
      </w:r>
      <w:r>
        <w:t xml:space="preserve"> </w:t>
      </w:r>
      <w:r>
        <w:t xml:space="preserve">in. The reported transactions include public and private traditional securitisations, synthetic</w:t>
      </w:r>
    </w:p>
    <w:p>
      <w:pPr>
        <w:pStyle w:val="BodyText"/>
      </w:pPr>
      <w:r>
        <w:t xml:space="preserve">110 Kroszner, Laeven and Klingebiel (2007) present in their paper “Banking crises, financial dependence, and</w:t>
      </w:r>
      <w:r>
        <w:t xml:space="preserve"> </w:t>
      </w:r>
      <w:r>
        <w:t xml:space="preserve">growth” (Journal of Financial Economics Vol. 84, 1) empirical evidence based on a study with 38 countries that</w:t>
      </w:r>
      <w:r>
        <w:t xml:space="preserve"> </w:t>
      </w:r>
      <w:r>
        <w:t xml:space="preserve">shows that economic sectors that are dependent on the banking system see a substantially greater fall in output as</w:t>
      </w:r>
      <w:r>
        <w:t xml:space="preserve"> </w:t>
      </w:r>
      <w:r>
        <w:t xml:space="preserve">response to a banking crisis.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securitisations and ABCP transactions, no matter the country to which the underlying assets</w:t>
      </w:r>
      <w:r>
        <w:t xml:space="preserve"> </w:t>
      </w:r>
      <w:r>
        <w:t xml:space="preserve">belong to. Another input to the report was feedback given by the industry to a consultation</w:t>
      </w:r>
      <w:r>
        <w:t xml:space="preserve"> </w:t>
      </w:r>
      <w:r>
        <w:t xml:space="preserve">launched by the Commission on the functioning of the EU securitisation framework in summer</w:t>
      </w:r>
      <w:r>
        <w:t xml:space="preserve"> </w:t>
      </w:r>
      <w:r>
        <w:t xml:space="preserve">2021. The feedback given by the industry to this consultation has been analysed in depth by</w:t>
      </w:r>
      <w:r>
        <w:t xml:space="preserve"> </w:t>
      </w:r>
      <w:r>
        <w:t xml:space="preserve">the EBA and has informed the response to this CfA. Moreover, an industry roundtable was</w:t>
      </w:r>
      <w:r>
        <w:t xml:space="preserve"> </w:t>
      </w:r>
      <w:r>
        <w:t xml:space="preserve">held at the EBA premises on 30 May 2022.</w:t>
      </w:r>
      <w:r>
        <w:t xml:space="preserve"> </w:t>
      </w:r>
      <w:r>
        <w:t xml:space="preserve">The 2020 EBA report on the significant risk transfer in securitisation has been prepared in</w:t>
      </w:r>
      <w:r>
        <w:t xml:space="preserve"> </w:t>
      </w:r>
      <w:r>
        <w:t xml:space="preserve">accordance with the mandate under Articles 244(6) and 245(6) of the CRR. Taking into account</w:t>
      </w:r>
      <w:r>
        <w:t xml:space="preserve"> </w:t>
      </w:r>
      <w:r>
        <w:t xml:space="preserve">the findings of the EBA Discussion Paper on the Significant Risk Transfer in Securitisation</w:t>
      </w:r>
      <w:r>
        <w:t xml:space="preserve"> </w:t>
      </w:r>
      <w:r>
        <w:t xml:space="preserve">published in 2017, as well as further analysis based on the review of the SRT market practices</w:t>
      </w:r>
      <w:r>
        <w:t xml:space="preserve"> </w:t>
      </w:r>
      <w:r>
        <w:t xml:space="preserve">and the supervisory approaches to SRT assessments, the report included a set of detailed</w:t>
      </w:r>
      <w:r>
        <w:t xml:space="preserve"> </w:t>
      </w:r>
      <w:r>
        <w:t xml:space="preserve">recommendations to the European Commission on the harmonisation of significant risk</w:t>
      </w:r>
      <w:r>
        <w:t xml:space="preserve"> </w:t>
      </w:r>
      <w:r>
        <w:t xml:space="preserve">transfer (SRT) assessment practices and processes.</w:t>
      </w:r>
      <w:r>
        <w:t xml:space="preserve"> </w:t>
      </w:r>
      <w:r>
        <w:t xml:space="preserve">Estimates of operational costs</w:t>
      </w:r>
      <w:r>
        <w:br/>
      </w:r>
      <w:r>
        <w:t xml:space="preserve">For the estimate of operational costs and benefits for due diligence and transparency that are</w:t>
      </w:r>
      <w:r>
        <w:t xml:space="preserve"> </w:t>
      </w:r>
      <w:r>
        <w:t xml:space="preserve">classified as administrative costs in the Better Regulation terminology, the standard cost model</w:t>
      </w:r>
      <w:r>
        <w:t xml:space="preserve"> </w:t>
      </w:r>
      <w:r>
        <w:t xml:space="preserve">(see Tool #58 EU Standard Cost Model of the Better Regulation Toolbox July 2023) has been</w:t>
      </w:r>
      <w:r>
        <w:t xml:space="preserve"> </w:t>
      </w:r>
      <w:r>
        <w:t xml:space="preserve">used.111</w:t>
      </w:r>
      <w:r>
        <w:br/>
      </w:r>
      <w:r>
        <w:t xml:space="preserve">The Standard Cost Model estimates administrative costs in the following format:</w:t>
      </w:r>
      <w:r>
        <w:br/>
      </w:r>
      <w:r>
        <w:t xml:space="preserve">This simple model does not work however for the complexity of the securitisation market for</w:t>
      </w:r>
      <w:r>
        <w:t xml:space="preserve"> </w:t>
      </w:r>
      <w:r>
        <w:t xml:space="preserve">the following reasons:</w:t>
      </w:r>
      <w:r>
        <w:br/>
      </w:r>
      <w:r>
        <w:t xml:space="preserve">1. The recurring operational costs that apply for securitisation transactions are not per</w:t>
      </w:r>
      <w:r>
        <w:t xml:space="preserve"> </w:t>
      </w:r>
      <w:r>
        <w:t xml:space="preserve">entity, but event-triggered, i.e. they apply whenever a transaction is performed</w:t>
      </w:r>
      <w:r>
        <w:t xml:space="preserve"> </w:t>
      </w:r>
      <w:r>
        <w:t xml:space="preserve">2. The number of transactions is not officially tracked or part of a statistic for the whole</w:t>
      </w:r>
      <w:r>
        <w:t xml:space="preserve"> </w:t>
      </w:r>
      <w:r>
        <w:t xml:space="preserve">European securitisation market, instead volumes of outstanding underlying assets are</w:t>
      </w:r>
      <w:r>
        <w:t xml:space="preserve"> </w:t>
      </w:r>
      <w:r>
        <w:t xml:space="preserve">reported.</w:t>
      </w:r>
      <w:r>
        <w:br/>
      </w:r>
      <w:r>
        <w:t xml:space="preserve">3. Furthermore, the securitisation market can be decomposed in many types of</w:t>
      </w:r>
      <w:r>
        <w:t xml:space="preserve"> </w:t>
      </w:r>
      <w:r>
        <w:t xml:space="preserve">transactions or dimensions (see Figure 17 below). Ideally, for each dimension that</w:t>
      </w:r>
      <w:r>
        <w:t xml:space="preserve"> </w:t>
      </w:r>
      <w:r>
        <w:t xml:space="preserve">affects the costs significantly, there should be a sample of cost observations and data</w:t>
      </w:r>
      <w:r>
        <w:t xml:space="preserve"> </w:t>
      </w:r>
      <w:r>
        <w:t xml:space="preserve">on the size of the population. However, not for each of the dimensions mentioned by</w:t>
      </w:r>
      <w:r>
        <w:t xml:space="preserve"> </w:t>
      </w:r>
      <w:r>
        <w:t xml:space="preserve">stakeholders as cost-drivers (see Figure 18) market data was available. For example,</w:t>
      </w:r>
      <w:r>
        <w:t xml:space="preserve"> </w:t>
      </w:r>
      <w:r>
        <w:t xml:space="preserve">for this analysis no official statistics were available that decompose the market into</w:t>
      </w:r>
    </w:p>
    <w:p>
      <w:pPr>
        <w:pStyle w:val="BodyText"/>
      </w:pPr>
      <w:r>
        <w:t xml:space="preserve">111 https://commission.europa.eu/law/law-making-process/planning-and-proposing-law/better-regulation/better-</w:t>
      </w:r>
      <w:r>
        <w:t xml:space="preserve"> </w:t>
      </w:r>
      <w:r>
        <w:t xml:space="preserve">regulation-guidelines-and-toolbox_en</w:t>
      </w:r>
      <w:r>
        <w:t xml:space="preserve"> </w:t>
      </w:r>
      <w:r>
        <w:t xml:space="preserve">Number</w:t>
      </w:r>
      <w:r>
        <w:t xml:space="preserve"> </w:t>
      </w:r>
      <w:r>
        <w:t xml:space="preserve">of entities</w:t>
      </w:r>
      <w:r>
        <w:t xml:space="preserve"> </w:t>
      </w:r>
      <w:r>
        <w:t xml:space="preserve">affected</w:t>
      </w:r>
      <w:r>
        <w:t xml:space="preserve"> </w:t>
      </w:r>
      <w:r>
        <w:t xml:space="preserve">x</w:t>
      </w:r>
      <w:r>
        <w:t xml:space="preserve"> </w:t>
      </w:r>
      <w:r>
        <w:t xml:space="preserve">Frequency of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action</w:t>
      </w:r>
      <w:r>
        <w:t xml:space="preserve"> </w:t>
      </w:r>
      <w:r>
        <w:t xml:space="preserve">x</w:t>
      </w:r>
      <w:r>
        <w:t xml:space="preserve"> </w:t>
      </w:r>
      <w:r>
        <w:t xml:space="preserve">Tariff per</w:t>
      </w:r>
      <w:r>
        <w:t xml:space="preserve"> </w:t>
      </w:r>
      <w:r>
        <w:t xml:space="preserve">hour</w:t>
      </w:r>
      <w:r>
        <w:t xml:space="preserve"> </w:t>
      </w:r>
      <w:r>
        <w:t xml:space="preserve">x</w:t>
      </w:r>
      <w:r>
        <w:t xml:space="preserve"> </w:t>
      </w:r>
      <w:r>
        <w:t xml:space="preserve">Time in</w:t>
      </w:r>
      <w:r>
        <w:t xml:space="preserve"> </w:t>
      </w:r>
      <w:r>
        <w:t xml:space="preserve">hours</w:t>
      </w:r>
      <w:r>
        <w:t xml:space="preserve"> </w:t>
      </w:r>
      <w:r>
        <w:t xml:space="preserve">+</w:t>
      </w:r>
      <w:r>
        <w:t xml:space="preserve"> </w:t>
      </w:r>
      <w:r>
        <w:t xml:space="preserve">Out-of</w:t>
      </w:r>
      <w:r>
        <w:t xml:space="preserve"> </w:t>
      </w:r>
      <w:r>
        <w:t xml:space="preserve">pocket</w:t>
      </w:r>
      <w:r>
        <w:t xml:space="preserve"> </w:t>
      </w:r>
      <w:r>
        <w:t xml:space="preserve">expenses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primary and secondary market investment, although this dimension has been mentioned</w:t>
      </w:r>
      <w:r>
        <w:t xml:space="preserve"> </w:t>
      </w:r>
      <w:r>
        <w:t xml:space="preserve">as key cost driver of the operational costs linked to recurring due diligence activities.</w:t>
      </w:r>
      <w:r>
        <w:t xml:space="preserve"> </w:t>
      </w:r>
      <w:r>
        <w:t xml:space="preserve">Figure 17: Dimensions of securitisation transactions</w:t>
      </w:r>
    </w:p>
    <w:p>
      <w:pPr>
        <w:pStyle w:val="BodyText"/>
      </w:pPr>
      <w:r>
        <w:t xml:space="preserve">Figure 18: Key cost drivers of regulatory operational costs of securitisations</w:t>
      </w:r>
    </w:p>
    <w:p>
      <w:pPr>
        <w:pStyle w:val="BodyText"/>
      </w:pPr>
      <w:r>
        <w:t xml:space="preserve">Due diligence costs</w:t>
      </w:r>
      <w:r>
        <w:t xml:space="preserve"> </w:t>
      </w:r>
      <w:r>
        <w:t xml:space="preserve">Transparency costs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</w:t>
      </w:r>
      <w:r>
        <w:t xml:space="preserve"> </w:t>
      </w:r>
      <w:r>
        <w:t xml:space="preserve">Due diligence standards that were in</w:t>
      </w:r>
      <w:r>
        <w:t xml:space="preserve"> </w:t>
      </w:r>
      <w:r>
        <w:t xml:space="preserve">place prior to the introduction of SECR;</w:t>
      </w:r>
      <w:r>
        <w:t xml:space="preserve"> </w:t>
      </w:r>
      <w:r>
        <w:t xml:space="preserve">higher initial standards required lower</w:t>
      </w:r>
      <w:r>
        <w:t xml:space="preserve"> </w:t>
      </w:r>
      <w:r>
        <w:t xml:space="preserve">adaptation efforts</w:t>
      </w:r>
      <w:r>
        <w:t xml:space="preserve"> </w:t>
      </w:r>
      <w:r>
        <w:t xml:space="preserve"></w:t>
      </w:r>
      <w:r>
        <w:t xml:space="preserve"> </w:t>
      </w:r>
      <w:r>
        <w:t xml:space="preserve">Number of asset classes covered (each asset</w:t>
      </w:r>
      <w:r>
        <w:t xml:space="preserve"> </w:t>
      </w:r>
      <w:r>
        <w:t xml:space="preserve">class</w:t>
      </w:r>
      <w:r>
        <w:t xml:space="preserve"> </w:t>
      </w:r>
      <w:r>
        <w:t xml:space="preserve">needs</w:t>
      </w:r>
      <w:r>
        <w:t xml:space="preserve"> </w:t>
      </w:r>
      <w:r>
        <w:t xml:space="preserve">has</w:t>
      </w:r>
      <w:r>
        <w:t xml:space="preserve"> </w:t>
      </w:r>
      <w:r>
        <w:t xml:space="preserve">specific</w:t>
      </w:r>
      <w:r>
        <w:t xml:space="preserve"> </w:t>
      </w:r>
      <w:r>
        <w:t xml:space="preserve">reporting</w:t>
      </w:r>
      <w:r>
        <w:t xml:space="preserve"> </w:t>
      </w:r>
      <w:r>
        <w:t xml:space="preserve">templates)</w:t>
      </w:r>
      <w:r>
        <w:t xml:space="preserve"> </w:t>
      </w:r>
      <w:r>
        <w:t xml:space="preserve"></w:t>
      </w:r>
      <w:r>
        <w:t xml:space="preserve"> </w:t>
      </w:r>
      <w:r>
        <w:t xml:space="preserve">Granularity of underlying assets</w:t>
      </w:r>
      <w:r>
        <w:t xml:space="preserve"> </w:t>
      </w:r>
      <w:r>
        <w:t xml:space="preserve"></w:t>
      </w:r>
      <w:r>
        <w:t xml:space="preserve"> </w:t>
      </w:r>
      <w:r>
        <w:t xml:space="preserve">Need for collection of data that is not</w:t>
      </w:r>
      <w:r>
        <w:t xml:space="preserve"> </w:t>
      </w:r>
      <w:r>
        <w:t xml:space="preserve">available in IT-Systems, e.g. historical data</w:t>
      </w:r>
      <w:r>
        <w:t xml:space="preserve"> </w:t>
      </w:r>
      <w:r>
        <w:t xml:space="preserve">Recurring</w:t>
      </w:r>
      <w:r>
        <w:t xml:space="preserve"> </w:t>
      </w:r>
      <w:r>
        <w:t xml:space="preserve">costs</w:t>
      </w:r>
      <w:r>
        <w:t xml:space="preserve"> </w:t>
      </w:r>
      <w:r>
        <w:t xml:space="preserve"></w:t>
      </w:r>
      <w:r>
        <w:t xml:space="preserve"> </w:t>
      </w:r>
      <w:r>
        <w:t xml:space="preserve">STS-status</w:t>
      </w:r>
      <w:r>
        <w:t xml:space="preserve"> </w:t>
      </w:r>
      <w:r>
        <w:t xml:space="preserve"></w:t>
      </w:r>
      <w:r>
        <w:t xml:space="preserve"> </w:t>
      </w:r>
      <w:r>
        <w:t xml:space="preserve">Interaction of investor with new vs. </w:t>
      </w:r>
      <w:r>
        <w:t xml:space="preserve"> </w:t>
      </w:r>
      <w:r>
        <w:t xml:space="preserve">repeat issuer</w:t>
      </w:r>
      <w:r>
        <w:t xml:space="preserve"> </w:t>
      </w:r>
      <w:r>
        <w:t xml:space="preserve"></w:t>
      </w:r>
      <w:r>
        <w:t xml:space="preserve"> </w:t>
      </w:r>
      <w:r>
        <w:t xml:space="preserve">Risk characteristics</w:t>
      </w:r>
      <w:r>
        <w:t xml:space="preserve"> </w:t>
      </w:r>
      <w:r>
        <w:t xml:space="preserve">CLO</w:t>
      </w:r>
      <w:r>
        <w:t xml:space="preserve"> </w:t>
      </w:r>
      <w:r>
        <w:t xml:space="preserve">public</w:t>
      </w:r>
      <w:r>
        <w:t xml:space="preserve"> </w:t>
      </w:r>
      <w:r>
        <w:t xml:space="preserve">semi-public</w:t>
      </w:r>
      <w:r>
        <w:t xml:space="preserve"> </w:t>
      </w:r>
      <w:r>
        <w:t xml:space="preserve">private</w:t>
      </w:r>
      <w:r>
        <w:t xml:space="preserve"> </w:t>
      </w:r>
      <w:r>
        <w:t xml:space="preserve">short-</w:t>
      </w:r>
      <w:r>
        <w:t xml:space="preserve"> </w:t>
      </w:r>
      <w:r>
        <w:t xml:space="preserve">term</w:t>
      </w:r>
      <w:r>
        <w:t xml:space="preserve"> </w:t>
      </w:r>
      <w:r>
        <w:t xml:space="preserve">long-</w:t>
      </w:r>
      <w:r>
        <w:t xml:space="preserve"> </w:t>
      </w:r>
      <w:r>
        <w:t xml:space="preserve">term</w:t>
      </w:r>
      <w:r>
        <w:t xml:space="preserve"> </w:t>
      </w:r>
      <w:r>
        <w:t xml:space="preserve">Synthetic</w:t>
      </w:r>
      <w:r>
        <w:t xml:space="preserve"> </w:t>
      </w:r>
      <w:r>
        <w:t xml:space="preserve">ABCP</w:t>
      </w:r>
      <w:r>
        <w:t xml:space="preserve"> </w:t>
      </w:r>
      <w:r>
        <w:t xml:space="preserve">STS</w:t>
      </w:r>
      <w:r>
        <w:t xml:space="preserve"> </w:t>
      </w:r>
      <w:r>
        <w:t xml:space="preserve">Non-STS</w:t>
      </w:r>
      <w:r>
        <w:t xml:space="preserve"> </w:t>
      </w:r>
      <w:r>
        <w:t xml:space="preserve">STS</w:t>
      </w:r>
      <w:r>
        <w:t xml:space="preserve"> </w:t>
      </w:r>
      <w:r>
        <w:t xml:space="preserve">Non-STS</w:t>
      </w:r>
      <w:r>
        <w:t xml:space="preserve"> </w:t>
      </w:r>
      <w:r>
        <w:t xml:space="preserve">Traditional</w:t>
      </w:r>
      <w:r>
        <w:t xml:space="preserve"> </w:t>
      </w:r>
      <w:r>
        <w:t xml:space="preserve">STS</w:t>
      </w:r>
      <w:r>
        <w:t xml:space="preserve"> </w:t>
      </w:r>
      <w:r>
        <w:t xml:space="preserve">Non-STS</w:t>
      </w:r>
      <w:r>
        <w:t xml:space="preserve"> </w:t>
      </w:r>
      <w:r>
        <w:t xml:space="preserve">STS</w:t>
      </w:r>
      <w:r>
        <w:t xml:space="preserve"> </w:t>
      </w:r>
      <w:r>
        <w:t xml:space="preserve">Non-STS</w:t>
      </w:r>
      <w:r>
        <w:t xml:space="preserve"> </w:t>
      </w:r>
      <w:r>
        <w:t xml:space="preserve">ABCP</w:t>
      </w:r>
      <w:r>
        <w:t xml:space="preserve"> </w:t>
      </w:r>
      <w:r>
        <w:t xml:space="preserve">Traditional</w:t>
      </w:r>
      <w:r>
        <w:t xml:space="preserve"> </w:t>
      </w:r>
      <w:r>
        <w:t xml:space="preserve">STS</w:t>
      </w:r>
      <w:r>
        <w:t xml:space="preserve"> </w:t>
      </w:r>
      <w:r>
        <w:t xml:space="preserve">Non-STS</w:t>
      </w:r>
      <w:r>
        <w:t xml:space="preserve"> </w:t>
      </w:r>
      <w:r>
        <w:t xml:space="preserve">Transactions</w:t>
      </w:r>
      <w:r>
        <w:t xml:space="preserve"> </w:t>
      </w:r>
      <w:r>
        <w:t xml:space="preserve">achieving significant</w:t>
      </w:r>
      <w:r>
        <w:t xml:space="preserve"> </w:t>
      </w:r>
      <w:r>
        <w:t xml:space="preserve">risk transfer (SRT)</w:t>
      </w:r>
      <w:r>
        <w:t xml:space="preserve"> </w:t>
      </w:r>
      <w:r>
        <w:t xml:space="preserve">Placement</w:t>
      </w:r>
      <w:r>
        <w:t xml:space="preserve"> </w:t>
      </w:r>
      <w:r>
        <w:t xml:space="preserve">Placed</w:t>
      </w:r>
      <w:r>
        <w:t xml:space="preserve"> </w:t>
      </w:r>
      <w:r>
        <w:t xml:space="preserve">Retained</w:t>
      </w:r>
      <w:r>
        <w:t xml:space="preserve"> </w:t>
      </w:r>
      <w:r>
        <w:t xml:space="preserve">Time of investment</w:t>
      </w:r>
      <w:r>
        <w:t xml:space="preserve"> </w:t>
      </w:r>
      <w:r>
        <w:t xml:space="preserve">At issuance</w:t>
      </w:r>
      <w:r>
        <w:t xml:space="preserve"> </w:t>
      </w:r>
      <w:r>
        <w:t xml:space="preserve">In the secondary market</w:t>
      </w:r>
      <w:r>
        <w:t xml:space="preserve"> </w:t>
      </w:r>
      <w:r>
        <w:t xml:space="preserve">Underlying asset</w:t>
      </w:r>
      <w:r>
        <w:t xml:space="preserve"> </w:t>
      </w:r>
      <w:r>
        <w:t xml:space="preserve">Residential mortgages</w:t>
      </w:r>
      <w:r>
        <w:t xml:space="preserve"> </w:t>
      </w:r>
      <w:r>
        <w:t xml:space="preserve">Corporate loans</w:t>
      </w:r>
      <w:r>
        <w:t xml:space="preserve"> </w:t>
      </w:r>
      <w:r>
        <w:t xml:space="preserve">Loans to SME</w:t>
      </w:r>
      <w:r>
        <w:t xml:space="preserve"> </w:t>
      </w:r>
      <w:r>
        <w:t xml:space="preserve">Auto loans</w:t>
      </w:r>
      <w:r>
        <w:t xml:space="preserve"> </w:t>
      </w:r>
      <w:r>
        <w:t xml:space="preserve">Non-performing loans</w:t>
      </w:r>
      <w:r>
        <w:t xml:space="preserve"> </w:t>
      </w:r>
      <w:r>
        <w:t xml:space="preserve">Consumer loans</w:t>
      </w:r>
      <w:r>
        <w:t xml:space="preserve"> </w:t>
      </w:r>
      <w:r>
        <w:t xml:space="preserve">Commercial mortgages</w:t>
      </w:r>
      <w:r>
        <w:t xml:space="preserve"> </w:t>
      </w:r>
      <w:r>
        <w:t xml:space="preserve">Credit cards</w:t>
      </w:r>
      <w:r>
        <w:t xml:space="preserve"> </w:t>
      </w:r>
      <w:r>
        <w:t xml:space="preserve">Leases</w:t>
      </w:r>
      <w:r>
        <w:t xml:space="preserve"> </w:t>
      </w:r>
      <w:r>
        <w:t xml:space="preserve">Trade receivables</w:t>
      </w:r>
      <w:r>
        <w:t xml:space="preserve"> </w:t>
      </w:r>
      <w:r>
        <w:t xml:space="preserve">Other</w:t>
      </w:r>
      <w:r>
        <w:t xml:space="preserve"> </w:t>
      </w:r>
      <w:r>
        <w:t xml:space="preserve">Investor counterparty</w:t>
      </w:r>
      <w:r>
        <w:t xml:space="preserve"> </w:t>
      </w:r>
      <w:r>
        <w:t xml:space="preserve">New issuer</w:t>
      </w:r>
      <w:r>
        <w:t xml:space="preserve"> </w:t>
      </w:r>
      <w:r>
        <w:t xml:space="preserve">Repeat (known) issuer</w:t>
      </w:r>
      <w:r>
        <w:t xml:space="preserve"> </w:t>
      </w:r>
      <w:r>
        <w:t xml:space="preserve">Risk characteristics</w:t>
      </w:r>
      <w:r>
        <w:t xml:space="preserve"> </w:t>
      </w:r>
      <w:r>
        <w:t xml:space="preserve">AAA rated</w:t>
      </w:r>
      <w:r>
        <w:t xml:space="preserve"> </w:t>
      </w:r>
      <w:r>
        <w:t xml:space="preserve">Investment grade (ex. AAA)</w:t>
      </w:r>
      <w:r>
        <w:t xml:space="preserve"> </w:t>
      </w:r>
      <w:r>
        <w:t xml:space="preserve">Sub-investment grade</w:t>
      </w:r>
      <w:r>
        <w:t xml:space="preserve"> </w:t>
      </w:r>
      <w:r>
        <w:t xml:space="preserve">Further dimensions of securitisations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Primary or secondary market investment</w:t>
      </w:r>
      <w:r>
        <w:t xml:space="preserve"> </w:t>
      </w:r>
      <w:r>
        <w:t xml:space="preserve">To account for the specifics of the securitisation market, the following estimation approach has</w:t>
      </w:r>
      <w:r>
        <w:t xml:space="preserve"> </w:t>
      </w:r>
      <w:r>
        <w:t xml:space="preserve">been taken to consider on the one hand to a maximum extent possible the cost drivers and on</w:t>
      </w:r>
      <w:r>
        <w:t xml:space="preserve"> </w:t>
      </w:r>
      <w:r>
        <w:t xml:space="preserve">the other hand the structure of available market data to scale-up the sample obtained in the</w:t>
      </w:r>
      <w:r>
        <w:t xml:space="preserve"> </w:t>
      </w:r>
      <w:r>
        <w:t xml:space="preserve">stakeholder consultation:</w:t>
      </w:r>
      <w:r>
        <w:br/>
      </w:r>
      <w:r>
        <w:t xml:space="preserve">(1) One-off costs due diligence:</w:t>
      </w:r>
    </w:p>
    <w:p>
      <w:pPr>
        <w:pStyle w:val="BodyText"/>
      </w:pPr>
      <w:r>
        <w:t xml:space="preserve"> Estimate of number of investors: The estimate has been obtained based on data</w:t>
      </w:r>
      <w:r>
        <w:t xml:space="preserve"> </w:t>
      </w:r>
      <w:r>
        <w:t xml:space="preserve">collected by the EBA in its COREP statistics on the number of bank with the role:</w:t>
      </w:r>
      <w:r>
        <w:t xml:space="preserve"> </w:t>
      </w:r>
      <w:r>
        <w:t xml:space="preserve">investor in securitisations, data from AFME on the estimated number of asset managers</w:t>
      </w:r>
      <w:r>
        <w:t xml:space="preserve"> </w:t>
      </w:r>
      <w:r>
        <w:t xml:space="preserve">in the market112 and numbers of the ECB on the relative shares of different investor</w:t>
      </w:r>
      <w:r>
        <w:t xml:space="preserve"> </w:t>
      </w:r>
      <w:r>
        <w:t xml:space="preserve">types including asset managers, funds, insurance companies, pension funds,</w:t>
      </w:r>
      <w:r>
        <w:t xml:space="preserve"> </w:t>
      </w:r>
      <w:r>
        <w:t xml:space="preserve">supranationals and public development funds for the SRT market113 and assuming that</w:t>
      </w:r>
      <w:r>
        <w:t xml:space="preserve"> </w:t>
      </w:r>
      <w:r>
        <w:t xml:space="preserve">the shares are similar for the SRT and non-SRT market segments. As there is no</w:t>
      </w:r>
      <w:r>
        <w:t xml:space="preserve"> </w:t>
      </w:r>
      <w:r>
        <w:t xml:space="preserve">statistical tracking of securitisation investors, it should be noted that this is an estimation</w:t>
      </w:r>
      <w:r>
        <w:t xml:space="preserve"> </w:t>
      </w:r>
      <w:r>
        <w:t xml:space="preserve">on a best effort basis.</w:t>
      </w:r>
      <w:r>
        <w:t xml:space="preserve"> </w:t>
      </w:r>
      <w:r>
        <w:t xml:space="preserve"> Estimated cost per investor: As only very few stakeholder replies were available, the</w:t>
      </w:r>
      <w:r>
        <w:t xml:space="preserve"> </w:t>
      </w:r>
      <w:r>
        <w:t xml:space="preserve">one-off diligence costs were based on an estimate provided by AFME as supporting</w:t>
      </w:r>
      <w:r>
        <w:t xml:space="preserve"> </w:t>
      </w:r>
      <w:r>
        <w:t xml:space="preserve">material to the stakeholder consultation.</w:t>
      </w:r>
      <w:r>
        <w:br/>
      </w:r>
      <w:r>
        <w:t xml:space="preserve">(2) One-off costs transparency</w:t>
      </w:r>
    </w:p>
    <w:p>
      <w:pPr>
        <w:pStyle w:val="BodyText"/>
      </w:pPr>
      <w:r>
        <w:t xml:space="preserve"> Estimated number of issuers in the market: The estimated number of issuers in the</w:t>
      </w:r>
      <w:r>
        <w:t xml:space="preserve"> </w:t>
      </w:r>
      <w:r>
        <w:t xml:space="preserve">market is based on the number of active issuers in the public securitisation market that</w:t>
      </w:r>
      <w:r>
        <w:t xml:space="preserve"> </w:t>
      </w:r>
      <w:r>
        <w:t xml:space="preserve">was provided by the European DataWarehouse and COREP statistics of the EBA on</w:t>
      </w:r>
      <w:r>
        <w:t xml:space="preserve"> </w:t>
      </w:r>
      <w:r>
        <w:t xml:space="preserve">banks with the role Original lender, Originator or Sponsor of a securitisations.</w:t>
      </w:r>
      <w:r>
        <w:t xml:space="preserve"> </w:t>
      </w:r>
      <w:r>
        <w:t xml:space="preserve"> Estimated cost per issuer: The one-off costs for transparency were estimated based on</w:t>
      </w:r>
      <w:r>
        <w:t xml:space="preserve"> </w:t>
      </w:r>
      <w:r>
        <w:t xml:space="preserve">the replies received in the stakeholder consultation they are based on the median value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AFME,</w:t>
      </w:r>
      <w:r>
        <w:t xml:space="preserve"> </w:t>
      </w:r>
      <w:r>
        <w:t xml:space="preserve">Article</w:t>
      </w:r>
      <w:r>
        <w:t xml:space="preserve"> </w:t>
      </w:r>
      <w:r>
        <w:t xml:space="preserve">5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securitisation</w:t>
      </w:r>
      <w:r>
        <w:t xml:space="preserve"> </w:t>
      </w:r>
      <w:r>
        <w:t xml:space="preserve">regulation :</w:t>
      </w:r>
      <w:r>
        <w:t xml:space="preserve"> </w:t>
      </w:r>
      <w:r>
        <w:t xml:space="preserve">Impact</w:t>
      </w:r>
      <w:r>
        <w:t xml:space="preserve"> </w:t>
      </w:r>
      <w:r>
        <w:t xml:space="preserve">Analysis,</w:t>
      </w:r>
      <w:r>
        <w:t xml:space="preserve"> </w:t>
      </w:r>
      <w:r>
        <w:t xml:space="preserve">p.3.</w:t>
      </w:r>
      <w:r>
        <w:t xml:space="preserve"> </w:t>
      </w:r>
      <w:r>
        <w:t xml:space="preserve">https://www.afme.eu/Portals/0/DispatchFeaturedImages/Article%205%20presentation%20for%20Commission</w:t>
      </w:r>
      <w:r>
        <w:t xml:space="preserve"> </w:t>
      </w:r>
      <w:r>
        <w:t xml:space="preserve">%2015.1.25.pdf</w:t>
      </w:r>
      <w:r>
        <w:t xml:space="preserve"> </w:t>
      </w:r>
      <w:r>
        <w:t xml:space="preserve">113 Fernando Gonzalez and Cristina Morar Triandafil, European Systemic Risk Board, Occasional Paper Series,</w:t>
      </w:r>
      <w:r>
        <w:t xml:space="preserve"> </w:t>
      </w:r>
      <w:r>
        <w:t xml:space="preserve">No 23, 2023, The European significant risk transfer securitisation market.</w:t>
      </w:r>
      <w:r>
        <w:t xml:space="preserve"> </w:t>
      </w:r>
      <w:r>
        <w:t xml:space="preserve">Estimated number of</w:t>
      </w:r>
      <w:r>
        <w:t xml:space="preserve"> </w:t>
      </w:r>
      <w:r>
        <w:t xml:space="preserve">investors in the market</w:t>
      </w:r>
      <w:r>
        <w:t xml:space="preserve"> </w:t>
      </w:r>
      <w:r>
        <w:t xml:space="preserve">x</w:t>
      </w:r>
      <w:r>
        <w:t xml:space="preserve"> </w:t>
      </w:r>
      <w:r>
        <w:t xml:space="preserve">Estimated</w:t>
      </w:r>
      <w:r>
        <w:t xml:space="preserve"> </w:t>
      </w:r>
      <w:r>
        <w:t xml:space="preserve">cost</w:t>
      </w:r>
      <w:r>
        <w:t xml:space="preserve"> </w:t>
      </w:r>
      <w:r>
        <w:t xml:space="preserve">per</w:t>
      </w:r>
      <w:r>
        <w:t xml:space="preserve"> </w:t>
      </w:r>
      <w:r>
        <w:t xml:space="preserve">investor</w:t>
      </w:r>
      <w:r>
        <w:t xml:space="preserve"> </w:t>
      </w:r>
      <w:r>
        <w:t xml:space="preserve">Estimated number of</w:t>
      </w:r>
      <w:r>
        <w:t xml:space="preserve"> </w:t>
      </w:r>
      <w:r>
        <w:t xml:space="preserve">issuers in the market</w:t>
      </w:r>
      <w:r>
        <w:t xml:space="preserve"> </w:t>
      </w:r>
      <w:r>
        <w:t xml:space="preserve">x</w:t>
      </w:r>
      <w:r>
        <w:t xml:space="preserve"> </w:t>
      </w:r>
      <w:r>
        <w:t xml:space="preserve">Estimated</w:t>
      </w:r>
      <w:r>
        <w:t xml:space="preserve"> </w:t>
      </w:r>
      <w:r>
        <w:t xml:space="preserve">cost per issuer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that was obtained from 12 individual contributions and 8 contributions of business</w:t>
      </w:r>
      <w:r>
        <w:t xml:space="preserve"> </w:t>
      </w:r>
      <w:r>
        <w:t xml:space="preserve">associations, where the median value of the pooled sample (N=20) coincides with the</w:t>
      </w:r>
      <w:r>
        <w:t xml:space="preserve"> </w:t>
      </w:r>
      <w:r>
        <w:t xml:space="preserve">median value of the contributions of business associations.</w:t>
      </w:r>
      <w:r>
        <w:br/>
      </w:r>
      <w:r>
        <w:t xml:space="preserve">(3) Recurring costs due diligence</w:t>
      </w:r>
    </w:p>
    <w:p>
      <w:pPr>
        <w:pStyle w:val="BodyText"/>
      </w:pPr>
      <w:r>
        <w:t xml:space="preserve"> Market size expressed in outstanding amount of underlying assets: The market size has</w:t>
      </w:r>
      <w:r>
        <w:t xml:space="preserve"> </w:t>
      </w:r>
      <w:r>
        <w:t xml:space="preserve">been assessed based on AFME data for the public market115 and on EBA COREP</w:t>
      </w:r>
      <w:r>
        <w:t xml:space="preserve"> </w:t>
      </w:r>
      <w:r>
        <w:t xml:space="preserve">statistics for the private market. More details on the market data can be found in Annex</w:t>
      </w:r>
      <w:r>
        <w:t xml:space="preserve"> </w:t>
      </w:r>
      <w:r>
        <w:t xml:space="preserve">III.</w:t>
      </w:r>
      <w:r>
        <w:t xml:space="preserve"> </w:t>
      </w:r>
      <w:r>
        <w:t xml:space="preserve"> Costs expressed in basis points of the deal amount: The annual recurring costs have</w:t>
      </w:r>
      <w:r>
        <w:t xml:space="preserve"> </w:t>
      </w:r>
      <w:r>
        <w:t xml:space="preserve">been estimated based on the replies of the stakeholder consultation and several follow-</w:t>
      </w:r>
      <w:r>
        <w:t xml:space="preserve"> </w:t>
      </w:r>
      <w:r>
        <w:t xml:space="preserve">up interviews with the business associations: AFME, IACPM and TrueSale</w:t>
      </w:r>
      <w:r>
        <w:t xml:space="preserve"> </w:t>
      </w:r>
      <w:r>
        <w:t xml:space="preserve">International/The German Banking Association that were accompanied by further</w:t>
      </w:r>
      <w:r>
        <w:t xml:space="preserve"> </w:t>
      </w:r>
      <w:r>
        <w:t xml:space="preserve">supporting materials. If the costs were provided as annual recurring cost per transaction</w:t>
      </w:r>
      <w:r>
        <w:t xml:space="preserve"> </w:t>
      </w:r>
      <w:r>
        <w:t xml:space="preserve">without the transaction size for which the costs have been incurred, they were translated</w:t>
      </w:r>
      <w:r>
        <w:t xml:space="preserve"> </w:t>
      </w:r>
      <w:r>
        <w:t xml:space="preserve">into basis points by assuming the typical transaction size and investment period or</w:t>
      </w:r>
      <w:r>
        <w:t xml:space="preserve"> </w:t>
      </w:r>
      <w:r>
        <w:t xml:space="preserve">average life for the relevant market segment.</w:t>
      </w:r>
      <w:r>
        <w:br/>
      </w:r>
      <w:r>
        <w:t xml:space="preserve">(4) Recurring costs Transparency:</w:t>
      </w:r>
    </w:p>
    <w:p>
      <w:pPr>
        <w:pStyle w:val="BodyText"/>
      </w:pPr>
      <w:r>
        <w:t xml:space="preserve"> Estimated number of issued transactions for the market: The estimated number of issued</w:t>
      </w:r>
      <w:r>
        <w:t xml:space="preserve"> </w:t>
      </w:r>
      <w:r>
        <w:t xml:space="preserve">transactions has been estimated by taking the market volume (see Annex III) and</w:t>
      </w:r>
      <w:r>
        <w:t xml:space="preserve"> </w:t>
      </w:r>
      <w:r>
        <w:t xml:space="preserve">dividing it by the average deal size of the relevant market segment, where the deal size</w:t>
      </w:r>
      <w:r>
        <w:t xml:space="preserve"> </w:t>
      </w:r>
      <w:r>
        <w:t xml:space="preserve">has been estimated based on the following sources:</w:t>
      </w:r>
      <w:r>
        <w:br/>
      </w:r>
      <w:r>
        <w:t xml:space="preserve">1. Public transaction: European DataWarehouse: average transaction size for data</w:t>
      </w:r>
      <w:r>
        <w:t xml:space="preserve"> </w:t>
      </w:r>
      <w:r>
        <w:t xml:space="preserve">covering approx. 90% of the market volume of outstanding public transactions (ex.</w:t>
      </w:r>
      <w:r>
        <w:t xml:space="preserve"> </w:t>
      </w:r>
      <w:r>
        <w:t xml:space="preserve">CLO and ABCP)</w:t>
      </w:r>
    </w:p>
    <w:p>
      <w:pPr>
        <w:pStyle w:val="BodyText"/>
      </w:pPr>
      <w:r>
        <w:t xml:space="preserve">114 One basis point is a percentage expressed as one hundredth of one percentage point.</w:t>
      </w:r>
      <w:r>
        <w:t xml:space="preserve"> </w:t>
      </w:r>
      <w:r>
        <w:t xml:space="preserve">115 Securitisation Data Report Q3 2024.</w:t>
      </w:r>
      <w:r>
        <w:t xml:space="preserve"> </w:t>
      </w:r>
      <w:r>
        <w:t xml:space="preserve">116 One basis point is a percentage expressed as one hundredth of one percentage point.</w:t>
      </w:r>
      <w:r>
        <w:t xml:space="preserve"> </w:t>
      </w:r>
      <w:r>
        <w:t xml:space="preserve">Costs expressed in</w:t>
      </w:r>
      <w:r>
        <w:t xml:space="preserve"> </w:t>
      </w:r>
      <w:r>
        <w:t xml:space="preserve">basis points of the</w:t>
      </w:r>
      <w:r>
        <w:t xml:space="preserve"> </w:t>
      </w:r>
      <w:r>
        <w:t xml:space="preserve">deal amount114</w:t>
      </w:r>
      <w:r>
        <w:t xml:space="preserve"> </w:t>
      </w:r>
      <w:r>
        <w:t xml:space="preserve">x</w:t>
      </w:r>
      <w:r>
        <w:t xml:space="preserve"> </w:t>
      </w:r>
      <w:r>
        <w:t xml:space="preserve">Market size expressed</w:t>
      </w:r>
      <w:r>
        <w:t xml:space="preserve"> </w:t>
      </w:r>
      <w:r>
        <w:t xml:space="preserve">in outstanding amount</w:t>
      </w:r>
      <w:r>
        <w:t xml:space="preserve"> </w:t>
      </w:r>
      <w:r>
        <w:t xml:space="preserve">of underlying assets</w:t>
      </w:r>
      <w:r>
        <w:t xml:space="preserve"> </w:t>
      </w:r>
      <w:r>
        <w:t xml:space="preserve">Costs expressed in</w:t>
      </w:r>
      <w:r>
        <w:t xml:space="preserve"> </w:t>
      </w:r>
      <w:r>
        <w:t xml:space="preserve">annual recurring</w:t>
      </w:r>
      <w:r>
        <w:t xml:space="preserve"> </w:t>
      </w:r>
      <w:r>
        <w:t xml:space="preserve">cost per</w:t>
      </w:r>
      <w:r>
        <w:t xml:space="preserve"> </w:t>
      </w:r>
      <w:r>
        <w:t xml:space="preserve">transaction116</w:t>
      </w:r>
      <w:r>
        <w:t xml:space="preserve"> </w:t>
      </w:r>
      <w:r>
        <w:t xml:space="preserve">x</w:t>
      </w:r>
      <w:r>
        <w:t xml:space="preserve"> </w:t>
      </w:r>
      <w:r>
        <w:t xml:space="preserve">Estimated number of</w:t>
      </w:r>
      <w:r>
        <w:t xml:space="preserve"> </w:t>
      </w:r>
      <w:r>
        <w:t xml:space="preserve">issued transactions for</w:t>
      </w:r>
      <w:r>
        <w:t xml:space="preserve"> </w:t>
      </w:r>
      <w:r>
        <w:t xml:space="preserve">the market</w:t>
      </w:r>
    </w:p>
    <w:p>
      <w:pPr>
        <w:pStyle w:val="BodyText"/>
      </w:pPr>
      <w:r>
        <w:t xml:space="preserve">131</w:t>
      </w:r>
    </w:p>
    <w:p>
      <w:pPr>
        <w:pStyle w:val="Compact"/>
        <w:numPr>
          <w:ilvl w:val="0"/>
          <w:numId w:val="1009"/>
        </w:numPr>
      </w:pPr>
      <w:r>
        <w:t xml:space="preserve">Private transactions: It has been assumed that private traditional transactions have</w:t>
      </w:r>
      <w:r>
        <w:t xml:space="preserve"> </w:t>
      </w:r>
      <w:r>
        <w:t xml:space="preserve">a similar transaction size as public traditional transactions on average. The same</w:t>
      </w:r>
      <w:r>
        <w:t xml:space="preserve"> </w:t>
      </w:r>
      <w:r>
        <w:t xml:space="preserve">has been assumed for private synthetic transactions.117</w:t>
      </w:r>
    </w:p>
    <w:p>
      <w:pPr>
        <w:pStyle w:val="Compact"/>
        <w:numPr>
          <w:ilvl w:val="0"/>
          <w:numId w:val="1009"/>
        </w:numPr>
      </w:pPr>
      <w:r>
        <w:t xml:space="preserve">ABCP transactions: Study performed by TrueSale International in cooperation with</w:t>
      </w:r>
      <w:r>
        <w:t xml:space="preserve"> </w:t>
      </w:r>
      <w:r>
        <w:t xml:space="preserve">the German Banking Association for the private ABCP market.118Assumption of a</w:t>
      </w:r>
      <w:r>
        <w:t xml:space="preserve"> </w:t>
      </w:r>
      <w:r>
        <w:t xml:space="preserve">comparable transaction size in the public ABCP market segment.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CLO transactions: Data published by the Alternative Credit Investor for 2024.119</w:t>
      </w:r>
    </w:p>
    <w:p>
      <w:pPr>
        <w:pStyle w:val="Compact"/>
        <w:numPr>
          <w:ilvl w:val="0"/>
          <w:numId w:val="1010"/>
        </w:numPr>
      </w:pPr>
      <w:r>
        <w:t xml:space="preserve">Estimated cost savings linked to the proposed options</w:t>
      </w:r>
      <w:r>
        <w:t xml:space="preserve"> </w:t>
      </w:r>
      <w:r>
        <w:t xml:space="preserve"> Potential savings transparency costs: Values obtained in the stakeholder</w:t>
      </w:r>
      <w:r>
        <w:t xml:space="preserve"> </w:t>
      </w:r>
      <w:r>
        <w:t xml:space="preserve">consultation</w:t>
      </w:r>
      <w:r>
        <w:t xml:space="preserve"> </w:t>
      </w:r>
      <w:r>
        <w:t xml:space="preserve"> Potential savings due diligence costs: Values obtained in the stakeholder</w:t>
      </w:r>
      <w:r>
        <w:t xml:space="preserve"> </w:t>
      </w:r>
      <w:r>
        <w:t xml:space="preserve">consultation</w:t>
      </w:r>
      <w:r>
        <w:t xml:space="preserve"> </w:t>
      </w:r>
      <w:r>
        <w:t xml:space="preserve">Nature of costs and separation of business-as-usual costs from regulatory cost: The standard</w:t>
      </w:r>
      <w:r>
        <w:t xml:space="preserve"> </w:t>
      </w:r>
      <w:r>
        <w:t xml:space="preserve">cost model requires to collect information that links only to the regulatory share of the cost, i.e. </w:t>
      </w:r>
      <w:r>
        <w:t xml:space="preserve"> </w:t>
      </w:r>
      <w:r>
        <w:t xml:space="preserve">the part of the cost that is linked to the regulation and not incurred as part of the business-as-</w:t>
      </w:r>
      <w:r>
        <w:t xml:space="preserve"> </w:t>
      </w:r>
      <w:r>
        <w:t xml:space="preserve">usual costs that the stakeholder would incur anyway even in the absence of the relevant</w:t>
      </w:r>
      <w:r>
        <w:t xml:space="preserve"> </w:t>
      </w:r>
      <w:r>
        <w:t xml:space="preserve">regulation. To give an example, an asset manager that had very sophisticated due diligence</w:t>
      </w:r>
      <w:r>
        <w:t xml:space="preserve"> </w:t>
      </w:r>
      <w:r>
        <w:t xml:space="preserve">procedures in place already before the SECR applied, may have only marginal additional costs</w:t>
      </w:r>
      <w:r>
        <w:t xml:space="preserve"> </w:t>
      </w:r>
      <w:r>
        <w:t xml:space="preserve">to adapt to SECR whereas a new investor without any procedures in place may have higher</w:t>
      </w:r>
      <w:r>
        <w:t xml:space="preserve"> </w:t>
      </w:r>
      <w:r>
        <w:t xml:space="preserve">purely regulation incurred costs. The costs analysed in this section refer to the regulatory, also</w:t>
      </w:r>
      <w:r>
        <w:t xml:space="preserve"> </w:t>
      </w:r>
      <w:r>
        <w:t xml:space="preserve">referred to as incremental share, only.</w:t>
      </w:r>
      <w:r>
        <w:t xml:space="preserve"> </w:t>
      </w:r>
      <w:r>
        <w:t xml:space="preserve">Usually, the cost estimations provided by stakeholders in the consultation procedure are</w:t>
      </w:r>
      <w:r>
        <w:t xml:space="preserve"> </w:t>
      </w:r>
      <w:r>
        <w:t xml:space="preserve">compared to the initial estimations that were made at the time the regulation has been set-up</w:t>
      </w:r>
      <w:r>
        <w:t xml:space="preserve"> </w:t>
      </w:r>
      <w:r>
        <w:t xml:space="preserve">and impact assessed for the first time. However, in the initial impact assessment for the</w:t>
      </w:r>
      <w:r>
        <w:t xml:space="preserve"> </w:t>
      </w:r>
      <w:r>
        <w:t xml:space="preserve">SECR120, such estimations have not been made. Therefore, the estimations of the current cost</w:t>
      </w:r>
    </w:p>
    <w:p>
      <w:pPr>
        <w:pStyle w:val="FirstParagraph"/>
      </w:pPr>
      <w:r>
        <w:t xml:space="preserve">117 The assumption for the private synthetic market has been discussed with IACPM (a business association with</w:t>
      </w:r>
      <w:r>
        <w:t xml:space="preserve"> </w:t>
      </w:r>
      <w:r>
        <w:t xml:space="preserve">expertise for the private synthetic SRT market), where it is important to note that a typical public transaction is</w:t>
      </w:r>
      <w:r>
        <w:t xml:space="preserve"> </w:t>
      </w:r>
      <w:r>
        <w:t xml:space="preserve">usually significantly smaller than a typical SRT transaction. However, due to some extremely large public</w:t>
      </w:r>
      <w:r>
        <w:t xml:space="preserve"> </w:t>
      </w:r>
      <w:r>
        <w:t xml:space="preserve">transactions, e.g. in the RMBS segment the average deal size of the public market comes close to the average pool</w:t>
      </w:r>
      <w:r>
        <w:t xml:space="preserve"> </w:t>
      </w:r>
      <w:r>
        <w:t xml:space="preserve">size of a deal in the private synthetic SRT market, whereas a typical transaction (e.g. represented by the median)</w:t>
      </w:r>
      <w:r>
        <w:t xml:space="preserve"> </w:t>
      </w:r>
      <w:r>
        <w:t xml:space="preserve">is significantly smaller in the public market.</w:t>
      </w:r>
      <w:r>
        <w:t xml:space="preserve"> </w:t>
      </w:r>
      <w:r>
        <w:t xml:space="preserve">118</w:t>
      </w:r>
      <w:r>
        <w:t xml:space="preserve"> </w:t>
      </w:r>
      <w:r>
        <w:t xml:space="preserve">The</w:t>
      </w:r>
      <w:r>
        <w:t xml:space="preserve"> </w:t>
      </w:r>
      <w:r>
        <w:t xml:space="preserve">TSI/Bankenverband</w:t>
      </w:r>
      <w:r>
        <w:t xml:space="preserve"> </w:t>
      </w:r>
      <w:r>
        <w:t xml:space="preserve">study:</w:t>
      </w:r>
      <w:r>
        <w:t xml:space="preserve"> </w:t>
      </w:r>
      <w:r>
        <w:t xml:space="preserve">https://www.true-sale-international.de/fileadmin/tsi-</w:t>
      </w:r>
      <w:r>
        <w:t xml:space="preserve"> </w:t>
      </w:r>
      <w:r>
        <w:t xml:space="preserve">gmbh/tsi_downloads/aktuelles/TSI_BdB_Addendum_Cost_Estimation.pdf.</w:t>
      </w:r>
      <w:r>
        <w:t xml:space="preserve"> </w:t>
      </w:r>
      <w:r>
        <w:t xml:space="preserve">119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</w:t>
      </w:r>
      <w:r>
        <w:t xml:space="preserve"> </w:t>
      </w:r>
      <w:r>
        <w:t xml:space="preserve">Credit</w:t>
      </w:r>
      <w:r>
        <w:t xml:space="preserve"> </w:t>
      </w:r>
      <w:r>
        <w:t xml:space="preserve">Investor</w:t>
      </w:r>
      <w:r>
        <w:t xml:space="preserve"> </w:t>
      </w:r>
      <w:r>
        <w:t xml:space="preserve">Magazine</w:t>
      </w:r>
      <w:r>
        <w:t xml:space="preserve"> </w:t>
      </w:r>
      <w:r>
        <w:t xml:space="preserve">(March</w:t>
      </w:r>
      <w:r>
        <w:t xml:space="preserve"> </w:t>
      </w:r>
      <w:r>
        <w:t xml:space="preserve">10</w:t>
      </w:r>
      <w:r>
        <w:t xml:space="preserve"> </w:t>
      </w:r>
      <w:r>
        <w:t xml:space="preserve">2025).</w:t>
      </w:r>
      <w:r>
        <w:t xml:space="preserve"> </w:t>
      </w:r>
      <w:r>
        <w:t xml:space="preserve">https://alternativecreditinvestor.com/2025/03/10/clo-issuance-volumes-hit-e10-8bn-in-february/</w:t>
      </w:r>
      <w:r>
        <w:br/>
      </w:r>
      <w:r>
        <w:t xml:space="preserve">120 eur-lex.europa.eu/legal-content/EN/TXT/PDF/?uri=CELEX:52015SC0185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constitute the starting point for our baseline scenario and will not be further assessed or</w:t>
      </w:r>
      <w:r>
        <w:t xml:space="preserve"> </w:t>
      </w:r>
      <w:r>
        <w:t xml:space="preserve">compared to a previous estimation.</w:t>
      </w:r>
      <w:r>
        <w:t xml:space="preserve"> </w:t>
      </w:r>
      <w:r>
        <w:t xml:space="preserve">Dynamic nature: There were no forecasts available for the securitisation market going forward,</w:t>
      </w:r>
      <w:r>
        <w:t xml:space="preserve"> </w:t>
      </w:r>
      <w:r>
        <w:t xml:space="preserve">therefore a static approach has been taken, i.e. assuming that the volume and structure of the</w:t>
      </w:r>
      <w:r>
        <w:t xml:space="preserve"> </w:t>
      </w:r>
      <w:r>
        <w:t xml:space="preserve">securitisation market stays constant.</w:t>
      </w:r>
      <w:r>
        <w:t xml:space="preserve"> </w:t>
      </w:r>
      <w:r>
        <w:t xml:space="preserve">Further details on the operational cost estimations can be found in Annex 3 and the references</w:t>
      </w:r>
      <w:r>
        <w:t xml:space="preserve"> </w:t>
      </w:r>
      <w:r>
        <w:t xml:space="preserve">therein.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ANNEX V: EVALUATION</w:t>
      </w:r>
      <w:r>
        <w:t xml:space="preserve"> </w:t>
      </w:r>
      <w:r>
        <w:t xml:space="preserve">1. Introduction</w:t>
      </w:r>
      <w:r>
        <w:br/>
      </w:r>
      <w:r>
        <w:t xml:space="preserve">The Securitisation Framework, introduced to revive a safer securitisation market to improve the</w:t>
      </w:r>
      <w:r>
        <w:t xml:space="preserve"> </w:t>
      </w:r>
      <w:r>
        <w:t xml:space="preserve">financing of the EU economy (see section 2.1 for more details), entered into force in 2019. It</w:t>
      </w:r>
      <w:r>
        <w:t xml:space="preserve"> </w:t>
      </w:r>
      <w:r>
        <w:t xml:space="preserve">comprises a new Securitisation Regulation, alongside certain provisions in the Capital</w:t>
      </w:r>
      <w:r>
        <w:t xml:space="preserve"> </w:t>
      </w:r>
      <w:r>
        <w:t xml:space="preserve">Requirements Regulation (CRR), the Liquidity Coverage Ratio Delegated Regulation (LCR), and</w:t>
      </w:r>
      <w:r>
        <w:t xml:space="preserve"> </w:t>
      </w:r>
      <w:r>
        <w:t xml:space="preserve">the Solvency II (SII) Delegated Regulation.</w:t>
      </w:r>
      <w:r>
        <w:br/>
      </w:r>
      <w:r>
        <w:t xml:space="preserve">1.1. Purpose of the evaluation of the Securitisation Framework</w:t>
      </w:r>
      <w:r>
        <w:t xml:space="preserve"> </w:t>
      </w:r>
      <w:r>
        <w:t xml:space="preserve">The evaluation covers the period from the entry into application of the Securitisation Framework</w:t>
      </w:r>
      <w:r>
        <w:t xml:space="preserve"> </w:t>
      </w:r>
      <w:r>
        <w:t xml:space="preserve">(1 January 2019) until present. In line with the Better Regulation Toolbox, it examines whether</w:t>
      </w:r>
      <w:r>
        <w:t xml:space="preserve"> </w:t>
      </w:r>
      <w:r>
        <w:t xml:space="preserve">the objectives of the Securitisation Framework were met during the period of its application</w:t>
      </w:r>
      <w:r>
        <w:t xml:space="preserve"> </w:t>
      </w:r>
      <w:r>
        <w:t xml:space="preserve">(effectiveness) and continue to be appropriate (relevance) and whether the Framework, taking</w:t>
      </w:r>
      <w:r>
        <w:t xml:space="preserve"> </w:t>
      </w:r>
      <w:r>
        <w:t xml:space="preserve">account of the costs and benefits associated with applying it, was efficient in achieving its</w:t>
      </w:r>
      <w:r>
        <w:t xml:space="preserve"> </w:t>
      </w:r>
      <w:r>
        <w:t xml:space="preserve">objectives (efficiency). The evaluation also considers whether the Securitisation Framework, as</w:t>
      </w:r>
      <w:r>
        <w:t xml:space="preserve"> </w:t>
      </w:r>
      <w:r>
        <w:t xml:space="preserve">legislation at EU level, provided added value (EU added value) and whether it is consistent with</w:t>
      </w:r>
      <w:r>
        <w:t xml:space="preserve"> </w:t>
      </w:r>
      <w:r>
        <w:t xml:space="preserve">other related pieces of legislation (coherence).</w:t>
      </w:r>
      <w:r>
        <w:t xml:space="preserve"> </w:t>
      </w:r>
      <w:r>
        <w:t xml:space="preserve">The evaluation has been conducted in parallel with (‘back-to-back’) the impact assessment</w:t>
      </w:r>
      <w:r>
        <w:t xml:space="preserve"> </w:t>
      </w:r>
      <w:r>
        <w:t xml:space="preserve">accompanying the proposal revising the Securitisation Framework. The results of this evaluation</w:t>
      </w:r>
      <w:r>
        <w:t xml:space="preserve"> </w:t>
      </w:r>
      <w:r>
        <w:t xml:space="preserve">have been incorporated in the problem definition of the impact assessment.</w:t>
      </w:r>
      <w:r>
        <w:t xml:space="preserve"> </w:t>
      </w:r>
      <w:r>
        <w:t xml:space="preserve">1.2. Scope of the evaluation</w:t>
      </w:r>
      <w:r>
        <w:t xml:space="preserve"> </w:t>
      </w:r>
      <w:r>
        <w:t xml:space="preserve">The scope of the present evaluation includes the legal framework in its entirety (SECR, relevant</w:t>
      </w:r>
      <w:r>
        <w:t xml:space="preserve"> </w:t>
      </w:r>
      <w:r>
        <w:t xml:space="preserve">parts to the CRR121, LCR122 and SII123 legislative acts that pertain to securitisation transactions).</w:t>
      </w:r>
      <w:r>
        <w:t xml:space="preserve"> </w:t>
      </w:r>
      <w:r>
        <w:t xml:space="preserve">The geographical scope of the evaluation extends to all EU Member States.</w:t>
      </w:r>
      <w:r>
        <w:br/>
      </w:r>
      <w:r>
        <w:t xml:space="preserve">1.3. Description of the methodology</w:t>
      </w:r>
      <w:r>
        <w:t xml:space="preserve"> </w:t>
      </w:r>
      <w:r>
        <w:t xml:space="preserve">The evaluation was supported by numerous inputs, including stakeholder consultations,</w:t>
      </w:r>
      <w:r>
        <w:t xml:space="preserve"> </w:t>
      </w:r>
      <w:r>
        <w:t xml:space="preserve">stakeholder meetings and analytical work carried out by the ESAs, as well as other sources. Two</w:t>
      </w:r>
      <w:r>
        <w:t xml:space="preserve"> </w:t>
      </w:r>
      <w:r>
        <w:t xml:space="preserve">targeted consultations were held. The first one124 in 2021, informed the preparation of the 2022</w:t>
      </w:r>
    </w:p>
    <w:p>
      <w:pPr>
        <w:pStyle w:val="BodyText"/>
      </w:pPr>
      <w:r>
        <w:t xml:space="preserve">121 For the CRR, the relevant chapter is Chapter 5 of Title II of Part III of Regulation 575/2013: EUR-Lex -</w:t>
      </w:r>
      <w:r>
        <w:t xml:space="preserve"> </w:t>
      </w:r>
      <w:r>
        <w:t xml:space="preserve">02013R0575-20240709 - EN - EUR-Lex</w:t>
      </w:r>
      <w:r>
        <w:t xml:space="preserve"> </w:t>
      </w:r>
      <w:r>
        <w:t xml:space="preserve">122For the LCR, the relevant provision is Article 13 of Commission Delegated Regulation (EU) 2015/61, as amended.</w:t>
      </w:r>
      <w:r>
        <w:t xml:space="preserve"> </w:t>
      </w:r>
      <w:r>
        <w:t xml:space="preserve">123 For Solvency II, the relevant provision is Article 178 of Delegated Regulation (EU) 2015/35.</w:t>
      </w:r>
      <w:r>
        <w:t xml:space="preserve"> </w:t>
      </w:r>
      <w:r>
        <w:t xml:space="preserve">124 https://finance.ec.europa.eu/regulation-and-supervision/consultations/2021-eu-securitisation-framework_en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Commission Report125 on the functioning of the SECR. A more recent targeted consultation126 on</w:t>
      </w:r>
      <w:r>
        <w:t xml:space="preserve"> </w:t>
      </w:r>
      <w:r>
        <w:t xml:space="preserve">the functioning of the EU securitisation framework (hereafter ‘the targeted consultation’) was</w:t>
      </w:r>
      <w:r>
        <w:t xml:space="preserve"> </w:t>
      </w:r>
      <w:r>
        <w:t xml:space="preserve">launched in October 2024. The targeted consultation sought stakeholders’ feedback on a broad</w:t>
      </w:r>
      <w:r>
        <w:t xml:space="preserve"> </w:t>
      </w:r>
      <w:r>
        <w:t xml:space="preserve">range of issues, including the effectiveness and scope of application of the existing framework,</w:t>
      </w:r>
      <w:r>
        <w:t xml:space="preserve"> </w:t>
      </w:r>
      <w:r>
        <w:t xml:space="preserve">supervisory issues, the STS standard, the possible introduction of a securitisation platform(s), non-</w:t>
      </w:r>
      <w:r>
        <w:t xml:space="preserve"> </w:t>
      </w:r>
      <w:r>
        <w:t xml:space="preserve">prudential aspects including transparency and due diligence requirements, and prudential issues</w:t>
      </w:r>
      <w:r>
        <w:t xml:space="preserve"> </w:t>
      </w:r>
      <w:r>
        <w:t xml:space="preserve">for banks, insurers, and IORPs/pension funds. Following an 8-week consultation period, the</w:t>
      </w:r>
      <w:r>
        <w:t xml:space="preserve"> </w:t>
      </w:r>
      <w:r>
        <w:t xml:space="preserve">targeted consultation received 133 responses127 from a variety of stakeholders, mostly representing</w:t>
      </w:r>
      <w:r>
        <w:t xml:space="preserve"> </w:t>
      </w:r>
      <w:r>
        <w:t xml:space="preserve">industry (associations and individual market participants) and supervisors. DG FISMA analysed</w:t>
      </w:r>
      <w:r>
        <w:t xml:space="preserve"> </w:t>
      </w:r>
      <w:r>
        <w:t xml:space="preserve">the submitted responses, which informed both this evaluation and the forward-looking impact</w:t>
      </w:r>
      <w:r>
        <w:t xml:space="preserve"> </w:t>
      </w:r>
      <w:r>
        <w:t xml:space="preserve">assessment128. In addition, DG FISMA held many bilateral and multilateral meetings with</w:t>
      </w:r>
      <w:r>
        <w:t xml:space="preserve"> </w:t>
      </w:r>
      <w:r>
        <w:t xml:space="preserve">stakeholders and organised a workshop with market participants in 2024.</w:t>
      </w:r>
      <w:r>
        <w:t xml:space="preserve"> </w:t>
      </w:r>
      <w:r>
        <w:t xml:space="preserve">This evaluation also benefits from the analytical work undertaken by the ESAs. In particular, it</w:t>
      </w:r>
      <w:r>
        <w:t xml:space="preserve"> </w:t>
      </w:r>
      <w:r>
        <w:t xml:space="preserve">takes into account the 2021 Joint Committee report on the implementation and functioning of the</w:t>
      </w:r>
      <w:r>
        <w:t xml:space="preserve"> </w:t>
      </w:r>
      <w:r>
        <w:t xml:space="preserve">SECR129, which focused on the implementation of the general requirements applicable to</w:t>
      </w:r>
      <w:r>
        <w:t xml:space="preserve"> </w:t>
      </w:r>
      <w:r>
        <w:t xml:space="preserve">securitisations, including the risk retention, due-diligence and transparency requirements as well</w:t>
      </w:r>
      <w:r>
        <w:t xml:space="preserve"> </w:t>
      </w:r>
      <w:r>
        <w:t xml:space="preserve">as on the specific requirements related to STS securitisations. The Joint Committee has been</w:t>
      </w:r>
      <w:r>
        <w:t xml:space="preserve"> </w:t>
      </w:r>
      <w:r>
        <w:t xml:space="preserve">working on its second report due for publication by early 2025130. The expert discussions that took</w:t>
      </w:r>
      <w:r>
        <w:t xml:space="preserve"> </w:t>
      </w:r>
      <w:r>
        <w:t xml:space="preserve">place in the preparation and drafting of this document have also informed the evaluation. This</w:t>
      </w:r>
      <w:r>
        <w:t xml:space="preserve"> </w:t>
      </w:r>
      <w:r>
        <w:t xml:space="preserve">evaluation also draws from the findings of the ESAs opinion on the jurisdictional scope of the</w:t>
      </w:r>
      <w:r>
        <w:t xml:space="preserve"> </w:t>
      </w:r>
      <w:r>
        <w:t xml:space="preserve">SECR131 and the compliance challenges that such jurisdictional scope posed for market</w:t>
      </w:r>
      <w:r>
        <w:t xml:space="preserve"> </w:t>
      </w:r>
      <w:r>
        <w:t xml:space="preserve">participants.</w:t>
      </w:r>
      <w:r>
        <w:br/>
      </w:r>
      <w:r>
        <w:t xml:space="preserve">Another input to the evaluation has been the ESAs’ Joint Committee advice on the review of the</w:t>
      </w:r>
      <w:r>
        <w:t xml:space="preserve"> </w:t>
      </w:r>
      <w:r>
        <w:t xml:space="preserve">securitisation prudential framework132, published in December 2022 in response to the call for</w:t>
      </w:r>
      <w:r>
        <w:t xml:space="preserve"> </w:t>
      </w:r>
      <w:r>
        <w:t xml:space="preserve">advice from the European Commission of October 2021. The Joint Committee report assesses the</w:t>
      </w:r>
    </w:p>
    <w:p>
      <w:pPr>
        <w:pStyle w:val="BodyText"/>
      </w:pPr>
      <w:r>
        <w:t xml:space="preserve">125 https://eur-lex.europa.eu/legal-content/EN/TXT/PDF/?uri=CELEX:52022DC0517</w:t>
      </w:r>
      <w:r>
        <w:br/>
      </w:r>
      <w:r>
        <w:t xml:space="preserve">126 Targeted consultation on the functioning of the EU securitisation framework 2024 - European Commission</w:t>
      </w:r>
      <w:r>
        <w:t xml:space="preserve"> </w:t>
      </w:r>
      <w:r>
        <w:t xml:space="preserve">127 Of the 133 responses, 131 were submitted via the EU Survey online questionnaire and are therefore taken into</w:t>
      </w:r>
      <w:r>
        <w:t xml:space="preserve"> </w:t>
      </w:r>
      <w:r>
        <w:t xml:space="preserve">account for the statistical calculation of survey results. Two other responses were submitted by email – these are</w:t>
      </w:r>
      <w:r>
        <w:t xml:space="preserve"> </w:t>
      </w:r>
      <w:r>
        <w:t xml:space="preserve">considered in the qualitative analysis of replies but not the statistical summary.</w:t>
      </w:r>
      <w:r>
        <w:t xml:space="preserve"> </w:t>
      </w:r>
      <w:r>
        <w:t xml:space="preserve">128 Responses to the public consultation which were authorised for publication can be found at:</w:t>
      </w:r>
      <w:r>
        <w:t xml:space="preserve"> </w:t>
      </w:r>
      <w:r>
        <w:t xml:space="preserve">https://finance.ec.europa.eu/regulation-and-supervision/consultations-0/targeted-consultation-functioning-eu-</w:t>
      </w:r>
      <w:r>
        <w:t xml:space="preserve"> </w:t>
      </w:r>
      <w:r>
        <w:t xml:space="preserve">securitisation-framework-2024_en#contributions. A factual summary of the consultation will be published in due</w:t>
      </w:r>
      <w:r>
        <w:t xml:space="preserve"> </w:t>
      </w:r>
      <w:r>
        <w:t xml:space="preserve">course.</w:t>
      </w:r>
      <w:r>
        <w:t xml:space="preserve"> </w:t>
      </w:r>
      <w:r>
        <w:t xml:space="preserve">129</w:t>
      </w:r>
      <w:r>
        <w:t xml:space="preserve"> </w:t>
      </w:r>
      <w:r>
        <w:t xml:space="preserve">https://www.eiopa.europa.eu/system/files/2021-05/jc-2021-31-jc-report-on-the-implementation-and-</w:t>
      </w:r>
      <w:r>
        <w:t xml:space="preserve"> </w:t>
      </w:r>
      <w:r>
        <w:t xml:space="preserve">functioning-of-the-securitisation-regulation.pdf</w:t>
      </w:r>
      <w:r>
        <w:t xml:space="preserve"> </w:t>
      </w:r>
      <w:r>
        <w:t xml:space="preserve">130 At the time of the submission of this evaluation, the report has not been adopted.</w:t>
      </w:r>
      <w:r>
        <w:t xml:space="preserve"> </w:t>
      </w:r>
      <w:r>
        <w:t xml:space="preserve">131</w:t>
      </w:r>
      <w:r>
        <w:t xml:space="preserve"> </w:t>
      </w:r>
      <w:r>
        <w:t xml:space="preserve">https://www.esma.europa.eu/sites/default/files/library/jc_2021_16_-</w:t>
      </w:r>
      <w:r>
        <w:t xml:space="preserve"> </w:t>
      </w:r>
      <w:r>
        <w:t xml:space="preserve">_esas_opinion_on_jurisdictional_scope_of_application_of_the_securitisation_regulation_003.pdf</w:t>
      </w:r>
      <w:r>
        <w:t xml:space="preserve"> </w:t>
      </w:r>
      <w:r>
        <w:t xml:space="preserve">132 ESAs publish joint advice to the EU Commission on the review of the securitisation prudential framework |</w:t>
      </w:r>
      <w:r>
        <w:t xml:space="preserve"> </w:t>
      </w:r>
      <w:r>
        <w:t xml:space="preserve">European Banking Authority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recent performance of the rules on capital requirements (for banks, insurance and reinsurance</w:t>
      </w:r>
      <w:r>
        <w:t xml:space="preserve"> </w:t>
      </w:r>
      <w:r>
        <w:t xml:space="preserve">undertakings) and liquidity requirements (for banks) with respect to the framework’s original</w:t>
      </w:r>
      <w:r>
        <w:t xml:space="preserve"> </w:t>
      </w:r>
      <w:r>
        <w:t xml:space="preserve">objective of contributing to the sound revival of the EU securitisation framework. The findings of</w:t>
      </w:r>
      <w:r>
        <w:t xml:space="preserve"> </w:t>
      </w:r>
      <w:r>
        <w:t xml:space="preserve">the EBA report on the significant risk transfer in securitisation published in November 2020133</w:t>
      </w:r>
      <w:r>
        <w:t xml:space="preserve"> </w:t>
      </w:r>
      <w:r>
        <w:t xml:space="preserve">have also contributed to the evaluation.</w:t>
      </w:r>
      <w:r>
        <w:br/>
      </w:r>
      <w:r>
        <w:t xml:space="preserve">Finally, the evaluation draws on the insights from the 2022 European Systemic Risk Board’ report</w:t>
      </w:r>
      <w:r>
        <w:t xml:space="preserve"> </w:t>
      </w:r>
      <w:r>
        <w:t xml:space="preserve">“Monitoring systemic risks in the EU securitisation market”134 on the financial stability</w:t>
      </w:r>
      <w:r>
        <w:t xml:space="preserve"> </w:t>
      </w:r>
      <w:r>
        <w:t xml:space="preserve">implications of the EU securitisation market.</w:t>
      </w:r>
      <w:r>
        <w:br/>
      </w:r>
      <w:r>
        <w:t xml:space="preserve">1.4. Limitations and robustness of the methodology</w:t>
      </w:r>
      <w:r>
        <w:t xml:space="preserve"> </w:t>
      </w:r>
      <w:r>
        <w:t xml:space="preserve">The analysis of the performance of the Framework comes with limitations and uncertainties.</w:t>
      </w:r>
      <w:r>
        <w:br/>
      </w:r>
      <w:r>
        <w:t xml:space="preserve">First, the reporting of EU securitisation market transactions to an official securitisation repository</w:t>
      </w:r>
      <w:r>
        <w:t xml:space="preserve"> </w:t>
      </w:r>
      <w:r>
        <w:t xml:space="preserve">is limited to public transactions (i.e. transactions for which a prospectus in compliance with</w:t>
      </w:r>
      <w:r>
        <w:t xml:space="preserve"> </w:t>
      </w:r>
      <w:r>
        <w:t xml:space="preserve">Directive 2003/71/EC has been issued). By contrast, private transactions are under no obligation</w:t>
      </w:r>
      <w:r>
        <w:t xml:space="preserve"> </w:t>
      </w:r>
      <w:r>
        <w:t xml:space="preserve">to report to a repository and are often conducted directly between the parties undertaking the</w:t>
      </w:r>
      <w:r>
        <w:t xml:space="preserve"> </w:t>
      </w:r>
      <w:r>
        <w:t xml:space="preserve">securitisation without public announcement. As a result, it is challenging to obtain a</w:t>
      </w:r>
      <w:r>
        <w:t xml:space="preserve"> </w:t>
      </w:r>
      <w:r>
        <w:t xml:space="preserve">comprehensive view of the EU securitisation market’s size and scope. To address this data</w:t>
      </w:r>
      <w:r>
        <w:t xml:space="preserve"> </w:t>
      </w:r>
      <w:r>
        <w:t xml:space="preserve">limitation, estimates of the private securitisation market have been derived from various alternative</w:t>
      </w:r>
      <w:r>
        <w:t xml:space="preserve"> </w:t>
      </w:r>
      <w:r>
        <w:t xml:space="preserve">sources, including supervisory reporting135 and market estimates by industry associations. By</w:t>
      </w:r>
      <w:r>
        <w:t xml:space="preserve"> </w:t>
      </w:r>
      <w:r>
        <w:t xml:space="preserve">combining these data points, a more accurate picture of the EU securitisation market can be</w:t>
      </w:r>
      <w:r>
        <w:t xml:space="preserve"> </w:t>
      </w:r>
      <w:r>
        <w:t xml:space="preserve">obtained. It is not possible to empirically assess the effectiveness of previous measures in reducing</w:t>
      </w:r>
      <w:r>
        <w:t xml:space="preserve"> </w:t>
      </w:r>
      <w:r>
        <w:t xml:space="preserve">operational costs since quantitative information on operational costs was not collected in the</w:t>
      </w:r>
      <w:r>
        <w:t xml:space="preserve"> </w:t>
      </w:r>
      <w:r>
        <w:t xml:space="preserve">previous impact assessment.</w:t>
      </w:r>
      <w:r>
        <w:t xml:space="preserve"> </w:t>
      </w:r>
      <w:r>
        <w:t xml:space="preserve">Second, drawing causal links between the implementation of the EU securitisation framework and</w:t>
      </w:r>
      <w:r>
        <w:t xml:space="preserve"> </w:t>
      </w:r>
      <w:r>
        <w:t xml:space="preserve">the subsequent market developments is a complex task. This is due to the multifaceted nature of</w:t>
      </w:r>
      <w:r>
        <w:t xml:space="preserve"> </w:t>
      </w:r>
      <w:r>
        <w:t xml:space="preserve">the framework, which has undergone various updates over the years, making it challenging to</w:t>
      </w:r>
      <w:r>
        <w:t xml:space="preserve"> </w:t>
      </w:r>
      <w:r>
        <w:t xml:space="preserve">isolate the specific impact of each change. The interpretation is all the more challenging due to the</w:t>
      </w:r>
      <w:r>
        <w:t xml:space="preserve"> </w:t>
      </w:r>
      <w:r>
        <w:t xml:space="preserve">overlap of the framework implementation and the Covid-19 pandemic, which can act as a</w:t>
      </w:r>
      <w:r>
        <w:t xml:space="preserve"> </w:t>
      </w:r>
      <w:r>
        <w:t xml:space="preserve">confounding factor.</w:t>
      </w:r>
      <w:r>
        <w:br/>
      </w:r>
      <w:r>
        <w:t xml:space="preserve">Furthermore, the framework’s interaction with other regulatory and economic factors, makes it</w:t>
      </w:r>
      <w:r>
        <w:t xml:space="preserve"> </w:t>
      </w:r>
      <w:r>
        <w:t xml:space="preserve">difficult to determine the framework’s unique contribution. Additionally, the time lag between the</w:t>
      </w:r>
      <w:r>
        <w:t xml:space="preserve"> </w:t>
      </w:r>
      <w:r>
        <w:t xml:space="preserve">implementation of a regulatory change and the observed market reaction can be significant, which</w:t>
      </w:r>
    </w:p>
    <w:p>
      <w:pPr>
        <w:pStyle w:val="BodyText"/>
      </w:pPr>
      <w:r>
        <w:t xml:space="preserve">133 Microsoft Word - EBA Report on SRT.docx</w:t>
      </w:r>
      <w:r>
        <w:t xml:space="preserve"> </w:t>
      </w:r>
      <w:r>
        <w:t xml:space="preserve">134 https://www.esrb.europa.eu/pub/pdf/reports/esrb.report_securisation.20220701~27958382b5.en.pdf</w:t>
      </w:r>
      <w:r>
        <w:t xml:space="preserve"> </w:t>
      </w:r>
      <w:r>
        <w:t xml:space="preserve">135 The EBA’s common reporting framework (COREP) applies to credit institutions and investment firms and allows</w:t>
      </w:r>
      <w:r>
        <w:t xml:space="preserve"> </w:t>
      </w:r>
      <w:r>
        <w:t xml:space="preserve">us to gather data on private securitisations where such institutions are involved as issuers or investors.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may lead to attribution errors and obscure causal relationships. As a result, any attempts to draw</w:t>
      </w:r>
      <w:r>
        <w:t xml:space="preserve"> </w:t>
      </w:r>
      <w:r>
        <w:t xml:space="preserve">causal links between the EU securitisation framework and market developments must be</w:t>
      </w:r>
      <w:r>
        <w:t xml:space="preserve"> </w:t>
      </w:r>
      <w:r>
        <w:t xml:space="preserve">approached with caution to avoid over-simplification or misattribution of causality.</w:t>
      </w:r>
      <w:r>
        <w:t xml:space="preserve"> </w:t>
      </w:r>
      <w:r>
        <w:t xml:space="preserve">Thirdly, some of the objectives of the intervention, such as the removal of stigma from investors,</w:t>
      </w:r>
      <w:r>
        <w:t xml:space="preserve"> </w:t>
      </w:r>
      <w:r>
        <w:t xml:space="preserve">increasing market standardisation or tackling regulatory inconsistencies, are not precisely defined</w:t>
      </w:r>
      <w:r>
        <w:t xml:space="preserve"> </w:t>
      </w:r>
      <w:r>
        <w:t xml:space="preserve">and are not directly measurable. Therefore, the evaluation relies on the responses to the targeted</w:t>
      </w:r>
      <w:r>
        <w:t xml:space="preserve"> </w:t>
      </w:r>
      <w:r>
        <w:t xml:space="preserve">consultation to gauge stakeholders’ views with respect to the attainment of these objectives.</w:t>
      </w:r>
      <w:r>
        <w:t xml:space="preserve"> </w:t>
      </w:r>
      <w:r>
        <w:t xml:space="preserve">However, responses should be interpreted with caution as respondents may have a different</w:t>
      </w:r>
      <w:r>
        <w:t xml:space="preserve"> </w:t>
      </w:r>
      <w:r>
        <w:t xml:space="preserve">understanding of what a given policy objective means.</w:t>
      </w:r>
      <w:r>
        <w:t xml:space="preserve"> </w:t>
      </w:r>
      <w:r>
        <w:t xml:space="preserve">2. What was the expected outcome of the intervention?</w:t>
      </w:r>
      <w:r>
        <w:t xml:space="preserve"> </w:t>
      </w:r>
      <w:r>
        <w:t xml:space="preserve">2.1. Description of the intervention and its objectives</w:t>
      </w:r>
      <w:r>
        <w:t xml:space="preserve"> </w:t>
      </w:r>
      <w:r>
        <w:t xml:space="preserve">Before the introduction of the Securitisation Framework, the EU securitisation market was</w:t>
      </w:r>
      <w:r>
        <w:t xml:space="preserve"> </w:t>
      </w:r>
      <w:r>
        <w:t xml:space="preserve">suffering from the following main problems (see 2015 Impact Assessment136 for more details).</w:t>
      </w:r>
      <w:r>
        <w:t xml:space="preserve"> </w:t>
      </w:r>
      <w:r>
        <w:t xml:space="preserve">First, during the GFC complex and opaque securitisations led to severe losses for investors. The</w:t>
      </w:r>
      <w:r>
        <w:t xml:space="preserve"> </w:t>
      </w:r>
      <w:r>
        <w:t xml:space="preserve">resulting lingering stigma attached to securitisation products has been reflected in subdued investor</w:t>
      </w:r>
      <w:r>
        <w:t xml:space="preserve"> </w:t>
      </w:r>
      <w:r>
        <w:t xml:space="preserve">demand. These practices and the subsequent high losses were, however, mostly limited to</w:t>
      </w:r>
      <w:r>
        <w:t xml:space="preserve"> </w:t>
      </w:r>
      <w:r>
        <w:t xml:space="preserve">securitisations originated in the US market. Second, insufficient risk-sensitivity (i.e. the pre-2019</w:t>
      </w:r>
      <w:r>
        <w:t xml:space="preserve"> </w:t>
      </w:r>
      <w:r>
        <w:t xml:space="preserve">framework applied the same capital requirements for all types of transactions, regardless of their</w:t>
      </w:r>
      <w:r>
        <w:t xml:space="preserve"> </w:t>
      </w:r>
      <w:r>
        <w:t xml:space="preserve">complexity or level of transparency in the regulatory framework disadvantaged simple and</w:t>
      </w:r>
      <w:r>
        <w:t xml:space="preserve"> </w:t>
      </w:r>
      <w:r>
        <w:t xml:space="preserve">transparent securitisation products. Third, a lack of consistency and standardisation across</w:t>
      </w:r>
      <w:r>
        <w:t xml:space="preserve"> </w:t>
      </w:r>
      <w:r>
        <w:t xml:space="preserve">legislation led to high operational costs for investors and issuers. The Securitisation Framework</w:t>
      </w:r>
      <w:r>
        <w:t xml:space="preserve"> </w:t>
      </w:r>
      <w:r>
        <w:t xml:space="preserve">was created to address these key problems/needs.</w:t>
      </w:r>
      <w:r>
        <w:br/>
      </w:r>
      <w:r>
        <w:t xml:space="preserve">Its general objective was the revival of a safer EU securitisation market that would improve the</w:t>
      </w:r>
      <w:r>
        <w:t xml:space="preserve"> </w:t>
      </w:r>
      <w:r>
        <w:t xml:space="preserve">financing of the EU economy, weakening the possible link between banks’ deleveraging needs</w:t>
      </w:r>
      <w:r>
        <w:t xml:space="preserve"> </w:t>
      </w:r>
      <w:r>
        <w:t xml:space="preserve">and credit tightening in the short run, and creating a more balanced and stable funding structure of</w:t>
      </w:r>
      <w:r>
        <w:t xml:space="preserve"> </w:t>
      </w:r>
      <w:r>
        <w:t xml:space="preserve">the EU economy in the long run.</w:t>
      </w:r>
      <w:r>
        <w:br/>
      </w:r>
      <w:r>
        <w:t xml:space="preserve">To achieve this general objective, the 2015 Impact Assessment identified three specific</w:t>
      </w:r>
      <w:r>
        <w:t xml:space="preserve"> </w:t>
      </w:r>
      <w:r>
        <w:t xml:space="preserve">objectives:</w:t>
      </w:r>
      <w:r>
        <w:t xml:space="preserve"> </w:t>
      </w:r>
      <w:r>
        <w:t xml:space="preserve">• Remove stigma towards securitisation;</w:t>
      </w:r>
      <w:r>
        <w:t xml:space="preserve"> </w:t>
      </w:r>
      <w:r>
        <w:t xml:space="preserve">• Remove regulatory disadvantages for simple and transparent securitisation (STS) products;</w:t>
      </w:r>
      <w:r>
        <w:t xml:space="preserve"> </w:t>
      </w:r>
      <w:r>
        <w:t xml:space="preserve">• Reduce/eliminate unduly high operational costs for issuers and investors.</w:t>
      </w:r>
      <w:r>
        <w:t xml:space="preserve"> </w:t>
      </w:r>
      <w:r>
        <w:t xml:space="preserve">To achieve these objectives the Securitisation Framework (input) was adopted: the SECR defined</w:t>
      </w:r>
      <w:r>
        <w:t xml:space="preserve"> </w:t>
      </w:r>
      <w:r>
        <w:t xml:space="preserve">(i) disclosure, (ii) due diligence and (iii) risk retention rules for all EU securitisations, (iv)</w:t>
      </w:r>
    </w:p>
    <w:p>
      <w:pPr>
        <w:pStyle w:val="BodyText"/>
      </w:pPr>
      <w:r>
        <w:t xml:space="preserve">136 EUR-Lex - 52015SC0185 - EN - EUR-Lex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introduced specific criteria to identify simple, transparent and standardised securitisation (STS),</w:t>
      </w:r>
      <w:r>
        <w:t xml:space="preserve"> </w:t>
      </w:r>
      <w:r>
        <w:t xml:space="preserve">and (v) banned re-securitisations. In addition, more risk sensitivity was introduced in the prudential</w:t>
      </w:r>
      <w:r>
        <w:t xml:space="preserve"> </w:t>
      </w:r>
      <w:r>
        <w:t xml:space="preserve">frameworks for banks (in the CRR) and insurers for STS securitisations (SII Delegated</w:t>
      </w:r>
      <w:r>
        <w:t xml:space="preserve"> </w:t>
      </w:r>
      <w:r>
        <w:t xml:space="preserve">Regulation).</w:t>
      </w:r>
      <w:r>
        <w:br/>
      </w:r>
      <w:r>
        <w:t xml:space="preserve">The Securitisation Framework was expected to achieve the following outputs:</w:t>
      </w:r>
      <w:r>
        <w:br/>
      </w:r>
      <w:r>
        <w:t xml:space="preserve">• Differentiate simple, transparent and standardised securitisation products from more opaque</w:t>
      </w:r>
      <w:r>
        <w:t xml:space="preserve"> </w:t>
      </w:r>
      <w:r>
        <w:t xml:space="preserve">and complex ones;</w:t>
      </w:r>
      <w:r>
        <w:br/>
      </w:r>
      <w:r>
        <w:t xml:space="preserve">• Support standardisation in the market;</w:t>
      </w:r>
      <w:r>
        <w:br/>
      </w:r>
      <w:r>
        <w:t xml:space="preserve">• Remove regulatory inconsistencies in the treatment of securitisations.</w:t>
      </w:r>
      <w:r>
        <w:br/>
      </w:r>
      <w:r>
        <w:t xml:space="preserve">The implementation of the inputs and achievement of the outputs mentioned above were expected</w:t>
      </w:r>
      <w:r>
        <w:t xml:space="preserve"> </w:t>
      </w:r>
      <w:r>
        <w:t xml:space="preserve">to have the following results: first, increased supply of STS securitisations in comparison to non-</w:t>
      </w:r>
      <w:r>
        <w:t xml:space="preserve"> </w:t>
      </w:r>
      <w:r>
        <w:t xml:space="preserve">STS securitisations – with a growth rate expected to be higher for STS products than for non-STS</w:t>
      </w:r>
      <w:r>
        <w:t xml:space="preserve"> </w:t>
      </w:r>
      <w:r>
        <w:t xml:space="preserve">products. Second, higher prices137 of STS vs. non-STS products due to their increased</w:t>
      </w:r>
      <w:r>
        <w:t xml:space="preserve"> </w:t>
      </w:r>
      <w:r>
        <w:t xml:space="preserve">attractiveness for investors. Third, standardised marketing and reporting material. Finally, a</w:t>
      </w:r>
      <w:r>
        <w:t xml:space="preserve"> </w:t>
      </w:r>
      <w:r>
        <w:t xml:space="preserve">reduction of unduly high costs for issuers and investors. These results should have ultimately had</w:t>
      </w:r>
      <w:r>
        <w:t xml:space="preserve"> </w:t>
      </w:r>
      <w:r>
        <w:t xml:space="preserve">long-term impacts in the form of increased investor trust in securitisation products (particularly</w:t>
      </w:r>
      <w:r>
        <w:t xml:space="preserve"> </w:t>
      </w:r>
      <w:r>
        <w:t xml:space="preserve">STS), and in promoting securitisation as an improved financing channel for the economy. To</w:t>
      </w:r>
      <w:r>
        <w:t xml:space="preserve"> </w:t>
      </w:r>
      <w:r>
        <w:t xml:space="preserve">measure these results, the 2015 Impact Assessment identified the following indicators: 1) STS</w:t>
      </w:r>
      <w:r>
        <w:t xml:space="preserve"> </w:t>
      </w:r>
      <w:r>
        <w:t xml:space="preserve">products’ price and issuance, 2) the degree of standardisation of marketing and reporting material</w:t>
      </w:r>
      <w:r>
        <w:t xml:space="preserve"> </w:t>
      </w:r>
      <w:r>
        <w:t xml:space="preserve">and 3) feedback from market practitioners on operational costs’ evolution.</w:t>
      </w:r>
      <w:r>
        <w:br/>
      </w:r>
      <w:r>
        <w:t xml:space="preserve">When assessing the framework, it is important to keep in mind that there are several external</w:t>
      </w:r>
      <w:r>
        <w:t xml:space="preserve"> </w:t>
      </w:r>
      <w:r>
        <w:t xml:space="preserve">factors outside the remit of the Framework that also influenced the performance of the EU</w:t>
      </w:r>
      <w:r>
        <w:t xml:space="preserve"> </w:t>
      </w:r>
      <w:r>
        <w:t xml:space="preserve">intervention. These include monetary policy, the level of interest rates, Brexit, the level of demand</w:t>
      </w:r>
      <w:r>
        <w:t xml:space="preserve"> </w:t>
      </w:r>
      <w:r>
        <w:t xml:space="preserve">for credit in the economy and developments on the supply side regarding alternative funding</w:t>
      </w:r>
      <w:r>
        <w:t xml:space="preserve"> </w:t>
      </w:r>
      <w:r>
        <w:t xml:space="preserve">channels (i.e. covered bonds, non-bank lending, unsecured credit, etc.). By injecting liquidity into</w:t>
      </w:r>
      <w:r>
        <w:t xml:space="preserve"> </w:t>
      </w:r>
      <w:r>
        <w:t xml:space="preserve">the economy at a very low price, loose monetary policy can make wholesale funding in general,</w:t>
      </w:r>
      <w:r>
        <w:t xml:space="preserve"> </w:t>
      </w:r>
      <w:r>
        <w:t xml:space="preserve">and securitisation in particular, less competitive and attractive. The ECB launched its ABS</w:t>
      </w:r>
      <w:r>
        <w:t xml:space="preserve"> </w:t>
      </w:r>
      <w:r>
        <w:t xml:space="preserve">purchase programme in 2014, to further enhance the transmission of monetary policy (as of July</w:t>
      </w:r>
      <w:r>
        <w:t xml:space="preserve"> </w:t>
      </w:r>
      <w:r>
        <w:t xml:space="preserve">2023, it has stopped conducting further direct purchases). While a low interest rate could also</w:t>
      </w:r>
      <w:r>
        <w:t xml:space="preserve"> </w:t>
      </w:r>
      <w:r>
        <w:t xml:space="preserve">support securitisation activity by inducing banks to take on more risk in general138, banks could</w:t>
      </w:r>
    </w:p>
    <w:p>
      <w:pPr>
        <w:pStyle w:val="BodyText"/>
      </w:pPr>
      <w:r>
        <w:t xml:space="preserve">137 The price of a financial bond is inversely related to its yield. Because of the higher quality of the STS securitisation,</w:t>
      </w:r>
      <w:r>
        <w:t xml:space="preserve"> </w:t>
      </w:r>
      <w:r>
        <w:t xml:space="preserve">it is expected that there would be more investor demand and therefore that investors would accept a lower yield. This</w:t>
      </w:r>
      <w:r>
        <w:t xml:space="preserve"> </w:t>
      </w:r>
      <w:r>
        <w:t xml:space="preserve">would mean an STS bond would obtain a higher price than a non-STS one.</w:t>
      </w:r>
      <w:r>
        <w:t xml:space="preserve"> </w:t>
      </w:r>
      <w:r>
        <w:t xml:space="preserve">138 Zhang, J. and Xu, X. (2019) ‘Securitization as a response to monetary policy’, International Journal of Finance</w:t>
      </w:r>
      <w:r>
        <w:t xml:space="preserve"> </w:t>
      </w:r>
      <w:r>
        <w:t xml:space="preserve">&amp; Economics, 24(3), pp. 1333–1344. doi:10.1002/ijfe.1721 and Maddaloni, A. and Peydro, J.-L. (2010) Evidence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euro</w:t>
      </w:r>
      <w:r>
        <w:t xml:space="preserve"> </w:t>
      </w:r>
      <w:r>
        <w:t xml:space="preserve">area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lending</w:t>
      </w:r>
      <w:r>
        <w:t xml:space="preserve"> </w:t>
      </w:r>
      <w:r>
        <w:t xml:space="preserve">standards,</w:t>
      </w:r>
      <w:r>
        <w:t xml:space="preserve"> </w:t>
      </w:r>
      <w:r>
        <w:t xml:space="preserve">European</w:t>
      </w:r>
      <w:r>
        <w:t xml:space="preserve"> </w:t>
      </w:r>
      <w:r>
        <w:t xml:space="preserve">Central</w:t>
      </w:r>
      <w:r>
        <w:t xml:space="preserve"> </w:t>
      </w:r>
      <w:r>
        <w:t xml:space="preserve">Bank.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https://www.ecb.europa.eu/pub/pdf/scpwps/ecbwp1248.pdf (Accessed: 10AD).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rely more on traditional funding sources and therefore reduce their securitisation activities139. In</w:t>
      </w:r>
      <w:r>
        <w:t xml:space="preserve"> </w:t>
      </w:r>
      <w:r>
        <w:t xml:space="preserve">such low-interest rate environment, securitisation - a relatively complex and less accessible</w:t>
      </w:r>
      <w:r>
        <w:t xml:space="preserve"> </w:t>
      </w:r>
      <w:r>
        <w:t xml:space="preserve">instrument - is one of the first ones to be crowded out by cheaper and easier to access alternatives.</w:t>
      </w:r>
      <w:r>
        <w:t xml:space="preserve"> </w:t>
      </w:r>
      <w:r>
        <w:t xml:space="preserve">The impact of Brexit on the EU securitisation market was expected to be negative since it involved</w:t>
      </w:r>
      <w:r>
        <w:t xml:space="preserve"> </w:t>
      </w:r>
      <w:r>
        <w:t xml:space="preserve">the fragmentation of a previously harmonised market, and therefore it resulted in additional</w:t>
      </w:r>
      <w:r>
        <w:t xml:space="preserve"> </w:t>
      </w:r>
      <w:r>
        <w:t xml:space="preserve">regulatory costs for market participants140.</w:t>
      </w:r>
    </w:p>
    <w:p>
      <w:pPr>
        <w:pStyle w:val="BodyText"/>
      </w:pPr>
      <w:r>
        <w:t xml:space="preserve">139 Bakoush, M., Mishra, T. and Wolfe, S. (2018) ‘Securitization, monetary policy and bank stability’, SSRN</w:t>
      </w:r>
      <w:r>
        <w:t xml:space="preserve"> </w:t>
      </w:r>
      <w:r>
        <w:t xml:space="preserve">Electronic Journal [Preprint]. doi:10.2139/ssrn.3630704.</w:t>
      </w:r>
      <w:r>
        <w:t xml:space="preserve"> </w:t>
      </w:r>
      <w:r>
        <w:t xml:space="preserve">140 For a more detailed discussion on how Brexit impacted the securitisation industry, see for example Brexit-and-</w:t>
      </w:r>
      <w:r>
        <w:t xml:space="preserve"> </w:t>
      </w:r>
      <w:r>
        <w:t xml:space="preserve">Securitisation-the-rubber-hits-the-road.pdf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2.2. Intervention Logic: EU Securitisation Framework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2.3. Description of the situation before the intervention</w:t>
      </w:r>
      <w:r>
        <w:t xml:space="preserve"> </w:t>
      </w:r>
      <w:r>
        <w:t xml:space="preserve">The present evaluation assesses the Securitisation Framework against the baseline scenario</w:t>
      </w:r>
      <w:r>
        <w:t xml:space="preserve"> </w:t>
      </w:r>
      <w:r>
        <w:t xml:space="preserve">included in the Impact Assessment141 accompanying the proposal on the EU securitisation</w:t>
      </w:r>
      <w:r>
        <w:t xml:space="preserve"> </w:t>
      </w:r>
      <w:r>
        <w:t xml:space="preserve">framework in September 2015.</w:t>
      </w:r>
      <w:r>
        <w:t xml:space="preserve"> </w:t>
      </w:r>
      <w:r>
        <w:t xml:space="preserve">2.3.1. Non-prudential rules</w:t>
      </w:r>
      <w:r>
        <w:t xml:space="preserve"> </w:t>
      </w:r>
      <w:r>
        <w:t xml:space="preserve">Prior to the introduction of the SECR, non-prudential rules for securitisations were scattered across</w:t>
      </w:r>
      <w:r>
        <w:t xml:space="preserve"> </w:t>
      </w:r>
      <w:r>
        <w:t xml:space="preserve">different sectoral legislations. These legislations included the CRR for banks, the SII Directive and</w:t>
      </w:r>
      <w:r>
        <w:t xml:space="preserve"> </w:t>
      </w:r>
      <w:r>
        <w:t xml:space="preserve">Delegated Regulation for insurers and reinsurers, and the UCITS and AIFMD Directives for asset</w:t>
      </w:r>
      <w:r>
        <w:t xml:space="preserve"> </w:t>
      </w:r>
      <w:r>
        <w:t xml:space="preserve">managers. Legal provisions on information disclosure and transparency were also laid down in the</w:t>
      </w:r>
      <w:r>
        <w:t xml:space="preserve"> </w:t>
      </w:r>
      <w:r>
        <w:t xml:space="preserve">Credit Rating Agency Regulation (CRAIII) and in the Prospectus Directive. The 2015 Impact</w:t>
      </w:r>
      <w:r>
        <w:t xml:space="preserve"> </w:t>
      </w:r>
      <w:r>
        <w:t xml:space="preserve">Assessment concluded that inconsistencies regarding originators’ disclosure and investors’ due</w:t>
      </w:r>
      <w:r>
        <w:t xml:space="preserve"> </w:t>
      </w:r>
      <w:r>
        <w:t xml:space="preserve">diligence requirements, as highlighted by the ESAs Joint Committee, resulted in overlaps and</w:t>
      </w:r>
      <w:r>
        <w:t xml:space="preserve"> </w:t>
      </w:r>
      <w:r>
        <w:t xml:space="preserve">inconsistencies across different financial services regulations and sometimes within the same</w:t>
      </w:r>
      <w:r>
        <w:t xml:space="preserve"> </w:t>
      </w:r>
      <w:r>
        <w:t xml:space="preserve">sector142.</w:t>
      </w:r>
      <w:r>
        <w:br/>
      </w:r>
      <w:r>
        <w:t xml:space="preserve">This patchwork of rules was deemed to be too costly and did not ensure a level playing field.</w:t>
      </w:r>
      <w:r>
        <w:t xml:space="preserve"> </w:t>
      </w:r>
      <w:r>
        <w:t xml:space="preserve">Greater consistency in the regulatory framework and standardisation of EU securitisations was</w:t>
      </w:r>
      <w:r>
        <w:t xml:space="preserve"> </w:t>
      </w:r>
      <w:r>
        <w:t xml:space="preserve">expected to increase legal clarity and comparability across asset classes, ease investors’</w:t>
      </w:r>
      <w:r>
        <w:t xml:space="preserve"> </w:t>
      </w:r>
      <w:r>
        <w:t xml:space="preserve">assessments, facilitate issuance, and reduce issuance costs for originators. In addition, greater</w:t>
      </w:r>
      <w:r>
        <w:t xml:space="preserve"> </w:t>
      </w:r>
      <w:r>
        <w:t xml:space="preserve">standardisation of the instruments was expected to increase market liquidity and help the</w:t>
      </w:r>
      <w:r>
        <w:t xml:space="preserve"> </w:t>
      </w:r>
      <w:r>
        <w:t xml:space="preserve">development of secondary markets143. As such, the 2015 Impact Assessment proposed a unified</w:t>
      </w:r>
      <w:r>
        <w:t xml:space="preserve"> </w:t>
      </w:r>
      <w:r>
        <w:t xml:space="preserve">legislative framework for non-prudential securitisation provisions – the Securitisation Regulation</w:t>
      </w:r>
      <w:r>
        <w:t xml:space="preserve"> </w:t>
      </w:r>
      <w:r>
        <w:t xml:space="preserve">– with the aim of simplifying and standardising the regulatory environment. Greater consistency</w:t>
      </w:r>
      <w:r>
        <w:t xml:space="preserve"> </w:t>
      </w:r>
      <w:r>
        <w:t xml:space="preserve">was also expected to help supervisory authorities to monitor macro-prudential risks and the risk</w:t>
      </w:r>
      <w:r>
        <w:t xml:space="preserve"> </w:t>
      </w:r>
      <w:r>
        <w:t xml:space="preserve">profile of financial intermediaries.</w:t>
      </w:r>
      <w:r>
        <w:br/>
      </w:r>
      <w:r>
        <w:t xml:space="preserve">2.3.2. Banking prudential rules</w:t>
      </w:r>
      <w:r>
        <w:t xml:space="preserve"> </w:t>
      </w:r>
      <w:r>
        <w:t xml:space="preserve">The CRR sets out detailed rules on how to calculate the capital requirements for banks’</w:t>
      </w:r>
      <w:r>
        <w:t xml:space="preserve"> </w:t>
      </w:r>
      <w:r>
        <w:t xml:space="preserve">securitisation exposures, whether as originator (for the securitisation positions the bank retains),</w:t>
      </w:r>
      <w:r>
        <w:t xml:space="preserve"> </w:t>
      </w:r>
      <w:r>
        <w:t xml:space="preserve">investor (for the securitisation positions that bank invests in) or sponsor (for the securitisation</w:t>
      </w:r>
      <w:r>
        <w:t xml:space="preserve"> </w:t>
      </w:r>
      <w:r>
        <w:t xml:space="preserve">positions the bank is exposed to as sponsor).</w:t>
      </w:r>
    </w:p>
    <w:p>
      <w:pPr>
        <w:pStyle w:val="BodyText"/>
      </w:pPr>
      <w:r>
        <w:t xml:space="preserve">141 EUR-Lex - 52015SC0185 - EN - EUR-Lex</w:t>
      </w:r>
      <w:r>
        <w:br/>
      </w:r>
      <w:r>
        <w:t xml:space="preserve">142 2015 Impact Assessment, p. 61</w:t>
      </w:r>
      <w:r>
        <w:t xml:space="preserve"> </w:t>
      </w:r>
      <w:r>
        <w:t xml:space="preserve">143 2015 Impact Assessment, p. 60.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Prior to the introduction of the Securitisation Framework in 2019, there was no STS standard.</w:t>
      </w:r>
      <w:r>
        <w:t xml:space="preserve"> </w:t>
      </w:r>
      <w:r>
        <w:t xml:space="preserve">Capital requirements for all securitisations, including those that would be considered as STS under</w:t>
      </w:r>
      <w:r>
        <w:t xml:space="preserve"> </w:t>
      </w:r>
      <w:r>
        <w:t xml:space="preserve">the current framework, were generally lower than those under the current regime.</w:t>
      </w:r>
      <w:r>
        <w:br/>
      </w:r>
      <w:r>
        <w:t xml:space="preserve">In addition, the calculation of bank capital requirements for securitisation positions was heavily</w:t>
      </w:r>
      <w:r>
        <w:t xml:space="preserve"> </w:t>
      </w:r>
      <w:r>
        <w:t xml:space="preserve">reliant on external credit ratings. The framework did not sufficiently consider the relative</w:t>
      </w:r>
      <w:r>
        <w:t xml:space="preserve"> </w:t>
      </w:r>
      <w:r>
        <w:t xml:space="preserve">complexities of the structural features of the transactions, which were not always properly reflected</w:t>
      </w:r>
      <w:r>
        <w:t xml:space="preserve"> </w:t>
      </w:r>
      <w:r>
        <w:t xml:space="preserve">in the external ratings and hence also not in the resulting capital requirements for those</w:t>
      </w:r>
      <w:r>
        <w:t xml:space="preserve"> </w:t>
      </w:r>
      <w:r>
        <w:t xml:space="preserve">securitisations. In this vein, the 2015 Impact Assessment noted that the securitisation capital</w:t>
      </w:r>
      <w:r>
        <w:t xml:space="preserve"> </w:t>
      </w:r>
      <w:r>
        <w:t xml:space="preserve">framework in the CRR did not adequately address the risks that materialised during the GFC, in</w:t>
      </w:r>
      <w:r>
        <w:t xml:space="preserve"> </w:t>
      </w:r>
      <w:r>
        <w:t xml:space="preserve">particular for complex securitisations that were originated in the US. Also, the absence of a clear</w:t>
      </w:r>
      <w:r>
        <w:t xml:space="preserve"> </w:t>
      </w:r>
      <w:r>
        <w:t xml:space="preserve">regulatory distinction between STS and non-STS transactions made it more difficult for investors</w:t>
      </w:r>
      <w:r>
        <w:t xml:space="preserve"> </w:t>
      </w:r>
      <w:r>
        <w:t xml:space="preserve">to identify simple and transparent transactions that performed strongly compared to more complex</w:t>
      </w:r>
      <w:r>
        <w:t xml:space="preserve"> </w:t>
      </w:r>
      <w:r>
        <w:t xml:space="preserve">transactions. This lack of differentiation contributed to the investor stigma associated with all types</w:t>
      </w:r>
      <w:r>
        <w:t xml:space="preserve"> </w:t>
      </w:r>
      <w:r>
        <w:t xml:space="preserve">of securitisation144.</w:t>
      </w:r>
      <w:r>
        <w:br/>
      </w:r>
      <w:r>
        <w:t xml:space="preserve">The 2015 Impact Assessment therefore recommended to increase the capital charges for more</w:t>
      </w:r>
      <w:r>
        <w:t xml:space="preserve"> </w:t>
      </w:r>
      <w:r>
        <w:t xml:space="preserve">complex securitisations to address supervisors’ concerns regarding the insufficient</w:t>
      </w:r>
      <w:r>
        <w:t xml:space="preserve"> </w:t>
      </w:r>
      <w:r>
        <w:t xml:space="preserve">conservativeness of the capital treatment for such securitisations. It also recommended to develop</w:t>
      </w:r>
      <w:r>
        <w:t xml:space="preserve"> </w:t>
      </w:r>
      <w:r>
        <w:t xml:space="preserve">a preferential capital treatment for the new class of simple securitisations (STS) compared to non-</w:t>
      </w:r>
      <w:r>
        <w:t xml:space="preserve"> </w:t>
      </w:r>
      <w:r>
        <w:t xml:space="preserve">STS securitisations.</w:t>
      </w:r>
      <w:r>
        <w:t xml:space="preserve"> </w:t>
      </w:r>
      <w:r>
        <w:t xml:space="preserve">In particular, the new Securitisation Framework provided that transactions that are compliant with</w:t>
      </w:r>
      <w:r>
        <w:t xml:space="preserve"> </w:t>
      </w:r>
      <w:r>
        <w:t xml:space="preserve">both the STS criteria (which focus on capturing and mitigating the major drivers of risk of a</w:t>
      </w:r>
      <w:r>
        <w:t xml:space="preserve"> </w:t>
      </w:r>
      <w:r>
        <w:t xml:space="preserve">securitisation related to modelling and agency risks, as revealed during the GFC) and the additional</w:t>
      </w:r>
      <w:r>
        <w:t xml:space="preserve"> </w:t>
      </w:r>
      <w:r>
        <w:t xml:space="preserve">criteria specified in the CRR (which focus on the minimum credit quality of the underlying</w:t>
      </w:r>
      <w:r>
        <w:t xml:space="preserve"> </w:t>
      </w:r>
      <w:r>
        <w:t xml:space="preserve">exposures) benefit from preferential capital treatment.</w:t>
      </w:r>
      <w:r>
        <w:br/>
      </w:r>
      <w:r>
        <w:t xml:space="preserve">Another core element of the securitisation prudential framework are the rules on ‘significant risk</w:t>
      </w:r>
      <w:r>
        <w:t xml:space="preserve"> </w:t>
      </w:r>
      <w:r>
        <w:t xml:space="preserve">transfer’ (SRT). SRT refers to a process where a bank transfers a substantial portion of credit risk</w:t>
      </w:r>
      <w:r>
        <w:t xml:space="preserve"> </w:t>
      </w:r>
      <w:r>
        <w:t xml:space="preserve">associated with a portfolio of assets to external investors. This transfer of risk allows the bank to</w:t>
      </w:r>
      <w:r>
        <w:t xml:space="preserve"> </w:t>
      </w:r>
      <w:r>
        <w:t xml:space="preserve">reduce the capital requirement linked to those assets. To qualify for SRT, the transfer must meet</w:t>
      </w:r>
      <w:r>
        <w:t xml:space="preserve"> </w:t>
      </w:r>
      <w:r>
        <w:t xml:space="preserve">specific CRR-specified criteria, ensuring that the risk transfer is sufficient and genuine. The EU</w:t>
      </w:r>
      <w:r>
        <w:t xml:space="preserve"> </w:t>
      </w:r>
      <w:r>
        <w:t xml:space="preserve">has had a comprehensive SRT framework in place since 2006, according to which the competent</w:t>
      </w:r>
      <w:r>
        <w:t xml:space="preserve"> </w:t>
      </w:r>
      <w:r>
        <w:t xml:space="preserve">authorities assess the compliance of individual securities transactions against quantitative tests and</w:t>
      </w:r>
      <w:r>
        <w:t xml:space="preserve"> </w:t>
      </w:r>
      <w:r>
        <w:t xml:space="preserve">qualitative criteria. If approved, the bank benefits from lower capital requirements, improving its</w:t>
      </w:r>
      <w:r>
        <w:t xml:space="preserve"> </w:t>
      </w:r>
      <w:r>
        <w:t xml:space="preserve">balance sheet and lending capacity. The Securitisation Framework under assessment introduced</w:t>
      </w:r>
      <w:r>
        <w:t xml:space="preserve"> </w:t>
      </w:r>
      <w:r>
        <w:t xml:space="preserve">no substantial changes to these rules, compared to the previous regime.</w:t>
      </w:r>
    </w:p>
    <w:p>
      <w:pPr>
        <w:pStyle w:val="BodyText"/>
      </w:pPr>
      <w:r>
        <w:t xml:space="preserve">144 This was noted in the 2015 Impact Assessment.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Finally, the LCR Delegated Act sets out how securitised assets are to be classified and treated for</w:t>
      </w:r>
      <w:r>
        <w:t xml:space="preserve"> </w:t>
      </w:r>
      <w:r>
        <w:t xml:space="preserve">liquidity purposes. It requires banks to hold sufficient liquid assets (High-Quality Liquid Assets,</w:t>
      </w:r>
      <w:r>
        <w:t xml:space="preserve"> </w:t>
      </w:r>
      <w:r>
        <w:t xml:space="preserve">or HQLA) in the form of a “buffer” that can be sold quickly for cash, if needed. This aims to ensure</w:t>
      </w:r>
      <w:r>
        <w:t xml:space="preserve"> </w:t>
      </w:r>
      <w:r>
        <w:t xml:space="preserve">banks can withstand short-term stress scenarios while maintaining access to funding. To support</w:t>
      </w:r>
      <w:r>
        <w:t xml:space="preserve"> </w:t>
      </w:r>
      <w:r>
        <w:t xml:space="preserve">diversification within the liquidity buffers of banks and to facilitate the financing of the real</w:t>
      </w:r>
      <w:r>
        <w:t xml:space="preserve"> </w:t>
      </w:r>
      <w:r>
        <w:t xml:space="preserve">economy, the LCR Delegated Act expanded the list of HQLA (i.e. assets eligible in the liquidity</w:t>
      </w:r>
      <w:r>
        <w:t xml:space="preserve"> </w:t>
      </w:r>
      <w:r>
        <w:t xml:space="preserve">buffers), beyond Residential Mortgage-Based Securities (RMBS) (which are included in Basel</w:t>
      </w:r>
      <w:r>
        <w:t xml:space="preserve"> </w:t>
      </w:r>
      <w:r>
        <w:t xml:space="preserve">standards), to certain other forms of securitisation, namely those backed by auto loans, consumer</w:t>
      </w:r>
      <w:r>
        <w:t xml:space="preserve"> </w:t>
      </w:r>
      <w:r>
        <w:t xml:space="preserve">credit and SME loans. Before the adoption of the framework, there was no differentiation between</w:t>
      </w:r>
      <w:r>
        <w:t xml:space="preserve"> </w:t>
      </w:r>
      <w:r>
        <w:t xml:space="preserve">simple and complex transactions and both types of securitisations were eligible for the LCR</w:t>
      </w:r>
      <w:r>
        <w:t xml:space="preserve"> </w:t>
      </w:r>
      <w:r>
        <w:t xml:space="preserve">liquidity buffer. The framework clarified that only STS securitisation of high credit quality can be</w:t>
      </w:r>
      <w:r>
        <w:t xml:space="preserve"> </w:t>
      </w:r>
      <w:r>
        <w:t xml:space="preserve">included in the banks’ liquidity buffers, thereby limiting the use of securitisations for the liquidity</w:t>
      </w:r>
      <w:r>
        <w:t xml:space="preserve"> </w:t>
      </w:r>
      <w:r>
        <w:t xml:space="preserve">buffer.</w:t>
      </w:r>
      <w:r>
        <w:br/>
      </w:r>
      <w:r>
        <w:t xml:space="preserve">2.3.3. Insurance prudential rules</w:t>
      </w:r>
      <w:r>
        <w:t xml:space="preserve"> </w:t>
      </w:r>
      <w:r>
        <w:t xml:space="preserve">Insurance companies are subject to the SII Directive145 and the SII Delegated Regulation146, which</w:t>
      </w:r>
      <w:r>
        <w:t xml:space="preserve"> </w:t>
      </w:r>
      <w:r>
        <w:t xml:space="preserve">regulate how much capital insurers should set aside to cater for the risks arising from their</w:t>
      </w:r>
      <w:r>
        <w:t xml:space="preserve"> </w:t>
      </w:r>
      <w:r>
        <w:t xml:space="preserve">investment activities147. Prior to the initiative, SII included standard formula capital requirements</w:t>
      </w:r>
      <w:r>
        <w:t xml:space="preserve"> </w:t>
      </w:r>
      <w:r>
        <w:t xml:space="preserve">for securitisation investments. These capital requirements distinguished simple securitisations (so-</w:t>
      </w:r>
      <w:r>
        <w:t xml:space="preserve"> </w:t>
      </w:r>
      <w:r>
        <w:t xml:space="preserve">called ‘type 1’, following a logic like the one underlying the later introduction of the STS category)</w:t>
      </w:r>
      <w:r>
        <w:t xml:space="preserve"> </w:t>
      </w:r>
      <w:r>
        <w:t xml:space="preserve">from other securitisations (‘type 2’) which were subject to higher capital requirements148.</w:t>
      </w:r>
      <w:r>
        <w:br/>
      </w:r>
      <w:r>
        <w:t xml:space="preserve">The 2015 Impact Assessment concluded that substantial differences between the capital treatment</w:t>
      </w:r>
      <w:r>
        <w:t xml:space="preserve"> </w:t>
      </w:r>
      <w:r>
        <w:t xml:space="preserve">of banks and insurance companies investing in the same product were documented and suggested</w:t>
      </w:r>
      <w:r>
        <w:t xml:space="preserve"> </w:t>
      </w:r>
      <w:r>
        <w:t xml:space="preserve">greater convergence149.</w:t>
      </w:r>
    </w:p>
    <w:p>
      <w:pPr>
        <w:pStyle w:val="BodyText"/>
      </w:pPr>
      <w:r>
        <w:t xml:space="preserve">145 Directive 2009/138/EC</w:t>
      </w:r>
      <w:r>
        <w:t xml:space="preserve"> </w:t>
      </w:r>
      <w:r>
        <w:t xml:space="preserve">146 Delegated Regulation 2015/35</w:t>
      </w:r>
      <w:r>
        <w:t xml:space="preserve"> </w:t>
      </w:r>
      <w:r>
        <w:t xml:space="preserve">147 While larger insurers generally use risk modelling tailored to the specificities of their risk profile (‘internal</w:t>
      </w:r>
      <w:r>
        <w:t xml:space="preserve"> </w:t>
      </w:r>
      <w:r>
        <w:t xml:space="preserve">models’), smaller ones (which make up over 86% of insurance firms) use the ‘standard formula’ which prescribes</w:t>
      </w:r>
      <w:r>
        <w:t xml:space="preserve"> </w:t>
      </w:r>
      <w:r>
        <w:t xml:space="preserve">capital requirements. For the purpose of computing capital requirements for securitisations, insurers using an internal</w:t>
      </w:r>
      <w:r>
        <w:t xml:space="preserve"> </w:t>
      </w:r>
      <w:r>
        <w:t xml:space="preserve">model are relatively autonomous in their assessment of market and credit risks (subject to prior supervisory approval),</w:t>
      </w:r>
      <w:r>
        <w:t xml:space="preserve"> </w:t>
      </w:r>
      <w:r>
        <w:t xml:space="preserve">while “standard formula” insurers have no discretion.</w:t>
      </w:r>
      <w:r>
        <w:t xml:space="preserve"> </w:t>
      </w:r>
      <w:r>
        <w:t xml:space="preserve">148 The capital requirements for ‘type 2’ securitisations were in line with EIOPA’s proposed calibration in 2013. See</w:t>
      </w:r>
      <w:r>
        <w:t xml:space="preserve"> </w:t>
      </w:r>
      <w:r>
        <w:t xml:space="preserve">EIOPA Technical Report on Standard Formula Design and Calibration for Certain Long-Term Investments –</w:t>
      </w:r>
      <w:r>
        <w:br/>
      </w:r>
      <w:r>
        <w:t xml:space="preserve">https://register.eiopa.europa.eu/Publications/Reports/EIOPA_Technical_Report_on_Standard_Formula_Design_and</w:t>
      </w:r>
      <w:r>
        <w:t xml:space="preserve"> </w:t>
      </w:r>
      <w:r>
        <w:t xml:space="preserve">_Calibration_for_certain_Long-Term_Investments__2_.pdf</w:t>
      </w:r>
    </w:p>
    <w:p>
      <w:pPr>
        <w:pStyle w:val="BodyText"/>
      </w:pPr>
      <w:r>
        <w:t xml:space="preserve">149 At the time of drafting the initial Impact Assessment, a comparative study of the applicable Basel 2.5 (for banks)</w:t>
      </w:r>
      <w:r>
        <w:t xml:space="preserve"> </w:t>
      </w:r>
      <w:r>
        <w:t xml:space="preserve">and Solvency II (for insurers) frameworks showed that</w:t>
      </w:r>
      <w:r>
        <w:t xml:space="preserve"> </w:t>
      </w:r>
      <w:r>
        <w:t xml:space="preserve">“considerable differences in required capital for the same type</w:t>
      </w:r>
      <w:r>
        <w:t xml:space="preserve"> </w:t>
      </w:r>
      <w:r>
        <w:t xml:space="preserve">and amount of asset risk [existed], burdening insurers with almost twice as high capital requirements than banks.”</w:t>
      </w:r>
      <w:r>
        <w:t xml:space="preserve"> </w:t>
      </w:r>
      <w:r>
        <w:t xml:space="preserve">(see</w:t>
      </w:r>
      <w:r>
        <w:t xml:space="preserve"> </w:t>
      </w:r>
      <w:r>
        <w:t xml:space="preserve">Laas and Siegle, 2014).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To enhance the coherence of the capital treatment for banks and insurers, as well as to better</w:t>
      </w:r>
      <w:r>
        <w:t xml:space="preserve"> </w:t>
      </w:r>
      <w:r>
        <w:t xml:space="preserve">differentiate simple and transparent transactions from more complex and opaque ones, the 2015</w:t>
      </w:r>
      <w:r>
        <w:t xml:space="preserve"> </w:t>
      </w:r>
      <w:r>
        <w:t xml:space="preserve">Assessment recommended to update SII to reflect the introduction of the newly created STS</w:t>
      </w:r>
      <w:r>
        <w:t xml:space="preserve"> </w:t>
      </w:r>
      <w:r>
        <w:t xml:space="preserve">standard and to introduce preferential capital charges for STS securitisations. These would be</w:t>
      </w:r>
      <w:r>
        <w:t xml:space="preserve"> </w:t>
      </w:r>
      <w:r>
        <w:t xml:space="preserve">differentiated between ‘senior’ and ‘non-senior’ tranches150 to address the concern that if insurers</w:t>
      </w:r>
      <w:r>
        <w:t xml:space="preserve"> </w:t>
      </w:r>
      <w:r>
        <w:t xml:space="preserve">only invest in senior STS tranches, this may not be enough to stimulate the development of STS</w:t>
      </w:r>
      <w:r>
        <w:t xml:space="preserve"> </w:t>
      </w:r>
      <w:r>
        <w:t xml:space="preserve">securitisation deals. This differentiation between ‘senior’ and ‘non-senior’ tranches has made the</w:t>
      </w:r>
      <w:r>
        <w:t xml:space="preserve"> </w:t>
      </w:r>
      <w:r>
        <w:t xml:space="preserve">framework more risk sensitive in a way that riskier (i.e. non-senior) tranches can attract a higher</w:t>
      </w:r>
      <w:r>
        <w:t xml:space="preserve"> </w:t>
      </w:r>
      <w:r>
        <w:t xml:space="preserve">capital charge than less risky (more senior) ones.</w:t>
      </w:r>
      <w:r>
        <w:t xml:space="preserve"> </w:t>
      </w:r>
      <w:r>
        <w:t xml:space="preserve">3. How has the situation evolved over the evaluation period?</w:t>
      </w:r>
      <w:r>
        <w:br/>
      </w:r>
      <w:r>
        <w:t xml:space="preserve">3.1. Current state of play</w:t>
      </w:r>
      <w:r>
        <w:t xml:space="preserve"> </w:t>
      </w:r>
      <w:r>
        <w:t xml:space="preserve">The following section presents the changes introduced by the Securitisation Framework.</w:t>
      </w:r>
      <w:r>
        <w:t xml:space="preserve"> </w:t>
      </w:r>
      <w:r>
        <w:t xml:space="preserve">3.1.1 Securitisation Regulation</w:t>
      </w:r>
      <w:r>
        <w:t xml:space="preserve"> </w:t>
      </w:r>
      <w:r>
        <w:t xml:space="preserve">As explained in Section 2, the SECR built on several provisions that were scattered across various</w:t>
      </w:r>
      <w:r>
        <w:t xml:space="preserve"> </w:t>
      </w:r>
      <w:r>
        <w:t xml:space="preserve">sectoral legal acts that applied to different market entities. It defined (i) disclosure obligations for</w:t>
      </w:r>
      <w:r>
        <w:t xml:space="preserve"> </w:t>
      </w:r>
      <w:r>
        <w:t xml:space="preserve">the issuers of securitisations, (ii) due diligence obligations for investors, (iii) risk retention rules</w:t>
      </w:r>
      <w:r>
        <w:t xml:space="preserve"> </w:t>
      </w:r>
      <w:r>
        <w:t xml:space="preserve">for all EU securitisations, (iv) introduced specific criteria to identify simple, transparent and</w:t>
      </w:r>
      <w:r>
        <w:t xml:space="preserve"> </w:t>
      </w:r>
      <w:r>
        <w:t xml:space="preserve">standardised securitisation (STS), and (v) banned re-securitisations. It created a single and</w:t>
      </w:r>
      <w:r>
        <w:t xml:space="preserve"> </w:t>
      </w:r>
      <w:r>
        <w:t xml:space="preserve">harmonised legal framework directly applicable to the main parties involved in a securitisation</w:t>
      </w:r>
      <w:r>
        <w:t xml:space="preserve"> </w:t>
      </w:r>
      <w:r>
        <w:t xml:space="preserve">transaction. This framework also includes regulatory and implementing technical standards and</w:t>
      </w:r>
      <w:r>
        <w:t xml:space="preserve"> </w:t>
      </w:r>
      <w:r>
        <w:t xml:space="preserve">supervisory guidelines (see Table 2 at the end of this section). In addition, it introduced a common</w:t>
      </w:r>
      <w:r>
        <w:t xml:space="preserve"> </w:t>
      </w:r>
      <w:r>
        <w:t xml:space="preserve">set of reporting templates for both private and public securitisations and ESMA was tasked with</w:t>
      </w:r>
      <w:r>
        <w:t xml:space="preserve"> </w:t>
      </w:r>
      <w:r>
        <w:t xml:space="preserve">the development of Regulatory Technical Standards to specify precise information and formats for</w:t>
      </w:r>
      <w:r>
        <w:t xml:space="preserve"> </w:t>
      </w:r>
      <w:r>
        <w:t xml:space="preserve">these disclosures. Over time, ESMA has continued to review and refine these templates151.</w:t>
      </w:r>
      <w:r>
        <w:br/>
      </w:r>
      <w:r>
        <w:t xml:space="preserve">Building on the practice of disclosure of derivative transactions, the SECR established</w:t>
      </w:r>
      <w:r>
        <w:t xml:space="preserve"> </w:t>
      </w:r>
      <w:r>
        <w:t xml:space="preserve">securitisation repositories to serve as centralised hubs for information on public securitisations,</w:t>
      </w:r>
      <w:r>
        <w:t xml:space="preserve"> </w:t>
      </w:r>
      <w:r>
        <w:t xml:space="preserve">making it easier for investors and supervisors to access information. Since the entry into force of</w:t>
      </w:r>
      <w:r>
        <w:t xml:space="preserve"> </w:t>
      </w:r>
      <w:r>
        <w:t xml:space="preserve">the SECR, two entities have been registered as securitisation repositories for the European Union:</w:t>
      </w:r>
      <w:r>
        <w:t xml:space="preserve"> </w:t>
      </w:r>
      <w:r>
        <w:t xml:space="preserve">European DataWarehouse GmbH (based in Germany), and SecRep B.V. (based in the</w:t>
      </w:r>
      <w:r>
        <w:t xml:space="preserve"> </w:t>
      </w:r>
      <w:r>
        <w:t xml:space="preserve">Netherlands)152.</w:t>
      </w:r>
    </w:p>
    <w:p>
      <w:pPr>
        <w:pStyle w:val="BodyText"/>
      </w:pPr>
      <w:r>
        <w:t xml:space="preserve">150 Instead of applying the preferential treatment to senior tranches only, while the non-senior tranches would remain</w:t>
      </w:r>
      <w:r>
        <w:t xml:space="preserve"> </w:t>
      </w:r>
      <w:r>
        <w:t xml:space="preserve">subject to the same risk factors as non-STS securitisations</w:t>
      </w:r>
      <w:r>
        <w:t xml:space="preserve"> </w:t>
      </w:r>
      <w:r>
        <w:t xml:space="preserve">151 E.g. ESMA’s December 2023 consultation seeking market feedback on potential improvements to the Article 7</w:t>
      </w:r>
      <w:r>
        <w:t xml:space="preserve"> </w:t>
      </w:r>
      <w:r>
        <w:t xml:space="preserve">disclosure templates and the February 2025 one on disclosure requirements for private securitisations</w:t>
      </w:r>
      <w:r>
        <w:t xml:space="preserve"> </w:t>
      </w:r>
      <w:r>
        <w:t xml:space="preserve">152 ESMA registers European DataWarehouse GmbH and SecRep B.V. as Securitisation Repositories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The pre-existing risk-retention requirement, which was designed to ensure that issuers retain a</w:t>
      </w:r>
      <w:r>
        <w:t xml:space="preserve"> </w:t>
      </w:r>
      <w:r>
        <w:t xml:space="preserve">sufficient economic interest in a securitisation, was kept in substance but extended in scope. The</w:t>
      </w:r>
      <w:r>
        <w:t xml:space="preserve"> </w:t>
      </w:r>
      <w:r>
        <w:t xml:space="preserve">Securitisation Regulation requires not only that investors verify that the securitisation positions</w:t>
      </w:r>
      <w:r>
        <w:t xml:space="preserve"> </w:t>
      </w:r>
      <w:r>
        <w:t xml:space="preserve">they hold comply with risk retention (the pre-existing indirect approach), but also directly requires</w:t>
      </w:r>
      <w:r>
        <w:t xml:space="preserve"> </w:t>
      </w:r>
      <w:r>
        <w:t xml:space="preserve">all EU issuers to apply risk retention to the securitisations they issue. This helps to prevent</w:t>
      </w:r>
      <w:r>
        <w:t xml:space="preserve"> </w:t>
      </w:r>
      <w:r>
        <w:t xml:space="preserve">excessive risk-taking and promotes more responsible securitisation practices.</w:t>
      </w:r>
      <w:r>
        <w:br/>
      </w:r>
      <w:r>
        <w:t xml:space="preserve">Drawing heavily on the work of the international supervisory community, the SECR created the</w:t>
      </w:r>
      <w:r>
        <w:t xml:space="preserve"> </w:t>
      </w:r>
      <w:r>
        <w:t xml:space="preserve">STS standard for a new class of high-quality securitisations. This standard allows investors to</w:t>
      </w:r>
      <w:r>
        <w:t xml:space="preserve"> </w:t>
      </w:r>
      <w:r>
        <w:t xml:space="preserve">easily distinguish between simple and transparent securitisations and more complex ones.</w:t>
      </w:r>
      <w:r>
        <w:br/>
      </w:r>
      <w:r>
        <w:t xml:space="preserve">To facilitate assessment of compliance with the STS criteria, the SECR provided for Third-Party</w:t>
      </w:r>
      <w:r>
        <w:t xml:space="preserve"> </w:t>
      </w:r>
      <w:r>
        <w:t xml:space="preserve">Verifiers (TPVs). These independent entities verify that a securitisation meets the STS</w:t>
      </w:r>
      <w:r>
        <w:t xml:space="preserve"> </w:t>
      </w:r>
      <w:r>
        <w:t xml:space="preserve">requirements, providing an additional layer of assurance and trust in the market. To operate as a</w:t>
      </w:r>
      <w:r>
        <w:t xml:space="preserve"> </w:t>
      </w:r>
      <w:r>
        <w:t xml:space="preserve">TPV, an entity must obtain authorisation from ESMA - two such entities have been authorised to</w:t>
      </w:r>
      <w:r>
        <w:t xml:space="preserve"> </w:t>
      </w:r>
      <w:r>
        <w:t xml:space="preserve">date: PCS Europe ASBL, and STS Verification International GmbH. Most STS transactions have</w:t>
      </w:r>
      <w:r>
        <w:t xml:space="preserve"> </w:t>
      </w:r>
      <w:r>
        <w:t xml:space="preserve">used the services of one of these entities153.</w:t>
      </w:r>
      <w:r>
        <w:br/>
      </w:r>
      <w:r>
        <w:t xml:space="preserve">Finally, the SECR introduced a ban on re-securitisation, subject to a limited set of exceptions. This</w:t>
      </w:r>
      <w:r>
        <w:t xml:space="preserve"> </w:t>
      </w:r>
      <w:r>
        <w:t xml:space="preserve">ban is intended to prevent the creation of complex and opaque financial instruments, which can be</w:t>
      </w:r>
      <w:r>
        <w:t xml:space="preserve"> </w:t>
      </w:r>
      <w:r>
        <w:t xml:space="preserve">very susceptible to changes in market conditions, making them difficult to value and manage. The</w:t>
      </w:r>
      <w:r>
        <w:t xml:space="preserve"> </w:t>
      </w:r>
      <w:r>
        <w:t xml:space="preserve">ban has been consistently enforced and there does not appear to be any notable re-securitisation</w:t>
      </w:r>
      <w:r>
        <w:t xml:space="preserve"> </w:t>
      </w:r>
      <w:r>
        <w:t xml:space="preserve">activity on the European market since entry into force of the Framework.</w:t>
      </w:r>
      <w:r>
        <w:br/>
      </w:r>
      <w:r>
        <w:t xml:space="preserve">One of objectives of these regulatory requirements was to address and mitigate the specific risks</w:t>
      </w:r>
      <w:r>
        <w:t xml:space="preserve"> </w:t>
      </w:r>
      <w:r>
        <w:t xml:space="preserve">that may result due to the structuring process of a securitisation, notably the agency and model</w:t>
      </w:r>
      <w:r>
        <w:t xml:space="preserve"> </w:t>
      </w:r>
      <w:r>
        <w:t xml:space="preserve">risks. Agency risk results from the information asymmetry and the potential misalignment of</w:t>
      </w:r>
      <w:r>
        <w:t xml:space="preserve"> </w:t>
      </w:r>
      <w:r>
        <w:t xml:space="preserve">interests between the originator and the investor in a securitisation, whereby the investor, unlike</w:t>
      </w:r>
      <w:r>
        <w:t xml:space="preserve"> </w:t>
      </w:r>
      <w:r>
        <w:t xml:space="preserve">the originator, may have limited knowledge and understanding of the underlying portfolio. This</w:t>
      </w:r>
      <w:r>
        <w:t xml:space="preserve"> </w:t>
      </w:r>
      <w:r>
        <w:t xml:space="preserve">misalignment of interest or information asymmetry can lead to poor outcomes. Model risk arises</w:t>
      </w:r>
      <w:r>
        <w:t xml:space="preserve"> </w:t>
      </w:r>
      <w:r>
        <w:t xml:space="preserve">when the financial models used to predict cash flows at the portfolio level or the assumptions</w:t>
      </w:r>
      <w:r>
        <w:t xml:space="preserve"> </w:t>
      </w:r>
      <w:r>
        <w:t xml:space="preserve">underpinning the tranching of the credit risk under these models are wrong or inaccurate. In such</w:t>
      </w:r>
      <w:r>
        <w:t xml:space="preserve"> </w:t>
      </w:r>
      <w:r>
        <w:t xml:space="preserve">a scenario, the securitised product could turn out riskier than expected.</w:t>
      </w:r>
      <w:r>
        <w:br/>
      </w:r>
      <w:r>
        <w:t xml:space="preserve">The SECR was first amended in 2021154 as part of the effort to help the EU economy to recover</w:t>
      </w:r>
      <w:r>
        <w:t xml:space="preserve"> </w:t>
      </w:r>
      <w:r>
        <w:t xml:space="preserve">from the COVID-19 pandemic. The amendments expanded the scope of the STS regime to on-</w:t>
      </w:r>
    </w:p>
    <w:p>
      <w:pPr>
        <w:pStyle w:val="BodyText"/>
      </w:pPr>
      <w:r>
        <w:t xml:space="preserve">153 2022 Report on the Functioning of the Securitisation Regulation</w:t>
      </w:r>
      <w:r>
        <w:t xml:space="preserve"> </w:t>
      </w:r>
      <w:r>
        <w:t xml:space="preserve">154 Regulation (EU) 2021/557 of the European Parliament and of the Council of 31 March 2021 amending Regulation</w:t>
      </w:r>
      <w:r>
        <w:t xml:space="preserve"> </w:t>
      </w:r>
      <w:r>
        <w:t xml:space="preserve">(EU) 2017/2402 laying down a general framework for securitisation and creating a specific framework for simple,</w:t>
      </w:r>
      <w:r>
        <w:t xml:space="preserve"> </w:t>
      </w:r>
      <w:r>
        <w:t xml:space="preserve">transparent and standardised securitisation to help the recovery from the COVID-19 crisis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balance-sheet synthetic securitisations and removed certain regulatory impediments to the</w:t>
      </w:r>
      <w:r>
        <w:t xml:space="preserve"> </w:t>
      </w:r>
      <w:r>
        <w:t xml:space="preserve">securitisation of non-performing loans.</w:t>
      </w:r>
      <w:r>
        <w:br/>
      </w:r>
      <w:r>
        <w:t xml:space="preserve">More than three years after the entry into application of the Securitisation Framework, in line with</w:t>
      </w:r>
      <w:r>
        <w:t xml:space="preserve"> </w:t>
      </w:r>
      <w:r>
        <w:t xml:space="preserve">the legal mandate under Article 46 of the SECR, the Commission adopted a report taking stock of</w:t>
      </w:r>
      <w:r>
        <w:t xml:space="preserve"> </w:t>
      </w:r>
      <w:r>
        <w:t xml:space="preserve">the development of the market in 2022. The report highlighted that while the SECR seemed to</w:t>
      </w:r>
      <w:r>
        <w:t xml:space="preserve"> </w:t>
      </w:r>
      <w:r>
        <w:t xml:space="preserve">have positively contributed to achieving its original objectives, there were issues in certain areas</w:t>
      </w:r>
      <w:r>
        <w:t xml:space="preserve"> </w:t>
      </w:r>
      <w:r>
        <w:t xml:space="preserve">where problems were observed (e.g. disclosure, due diligence, prudential treatment) and concluded</w:t>
      </w:r>
      <w:r>
        <w:t xml:space="preserve"> </w:t>
      </w:r>
      <w:r>
        <w:t xml:space="preserve">that more time was needed to get a full picture of the impact of the new Securitisation Framework</w:t>
      </w:r>
      <w:r>
        <w:t xml:space="preserve"> </w:t>
      </w:r>
      <w:r>
        <w:t xml:space="preserve">in light of the new elements added in April 2021. The report also provided guidance on some</w:t>
      </w:r>
      <w:r>
        <w:t xml:space="preserve"> </w:t>
      </w:r>
      <w:r>
        <w:t xml:space="preserve">aspects of the legal framework.</w:t>
      </w:r>
      <w:r>
        <w:br/>
      </w:r>
      <w:r>
        <w:t xml:space="preserve">In 2024, a dedicated regime for green securitisations was introduced as part of the EUGBS,</w:t>
      </w:r>
      <w:r>
        <w:t xml:space="preserve"> </w:t>
      </w:r>
      <w:r>
        <w:t xml:space="preserve">following the recommendations of a report from the EBA155. The EUGBS, applicable as of</w:t>
      </w:r>
      <w:r>
        <w:t xml:space="preserve"> </w:t>
      </w:r>
      <w:r>
        <w:t xml:space="preserve">December 2024, focuses on the use of proceeds arising from the issue of the bonds, with a view to</w:t>
      </w:r>
      <w:r>
        <w:t xml:space="preserve"> </w:t>
      </w:r>
      <w:r>
        <w:t xml:space="preserve">ensure that these proceeds are used towards a sustainable activity within the meaning of the</w:t>
      </w:r>
      <w:r>
        <w:t xml:space="preserve"> </w:t>
      </w:r>
      <w:r>
        <w:t xml:space="preserve">Taxonomy Regulation. The EUGBS introduces a voluntary standard that provides a specific legal</w:t>
      </w:r>
      <w:r>
        <w:t xml:space="preserve"> </w:t>
      </w:r>
      <w:r>
        <w:t xml:space="preserve">framework for bonds that want to be labelled as green. To qualify as a EUGBS securitisation bond,</w:t>
      </w:r>
      <w:r>
        <w:t xml:space="preserve"> </w:t>
      </w:r>
      <w:r>
        <w:t xml:space="preserve">the bond’s originator must use the proceeds from the issue of the securitisation bond to refinancing</w:t>
      </w:r>
      <w:r>
        <w:t xml:space="preserve"> </w:t>
      </w:r>
      <w:r>
        <w:t xml:space="preserve">or financing of Taxonomy-aligned assets and the securitised exposures must comply with</w:t>
      </w:r>
      <w:r>
        <w:t xml:space="preserve"> </w:t>
      </w:r>
      <w:r>
        <w:t xml:space="preserve">minimum sustainability requirement. For the moment, synthetics securitisations are excluded from</w:t>
      </w:r>
      <w:r>
        <w:t xml:space="preserve"> </w:t>
      </w:r>
      <w:r>
        <w:t xml:space="preserve">the scope.</w:t>
      </w:r>
      <w:r>
        <w:br/>
      </w:r>
      <w:r>
        <w:t xml:space="preserve">Since the SECR is a binding legal act that must be applied in its entirety across the EU, no</w:t>
      </w:r>
      <w:r>
        <w:t xml:space="preserve"> </w:t>
      </w:r>
      <w:r>
        <w:t xml:space="preserve">transposition issues have arisen. That being said, the regulation’s application has suffered of a lack</w:t>
      </w:r>
      <w:r>
        <w:t xml:space="preserve"> </w:t>
      </w:r>
      <w:r>
        <w:t xml:space="preserve">of supervisory convergence. According to the findings from the peer review carried out by ESMA</w:t>
      </w:r>
      <w:r>
        <w:t xml:space="preserve"> </w:t>
      </w:r>
      <w:r>
        <w:t xml:space="preserve">for the supervision of STS transactions in 2024156, there are different supervisory practices</w:t>
      </w:r>
      <w:r>
        <w:t xml:space="preserve"> </w:t>
      </w:r>
      <w:r>
        <w:t xml:space="preserve">affecting the sound and consistent level of supervision. Moreover, there have been delays in the</w:t>
      </w:r>
      <w:r>
        <w:t xml:space="preserve"> </w:t>
      </w:r>
      <w:r>
        <w:t xml:space="preserve">designation of the supervisor by some countries despite the entry into force of the regulation more</w:t>
      </w:r>
      <w:r>
        <w:t xml:space="preserve"> </w:t>
      </w:r>
      <w:r>
        <w:t xml:space="preserve">than five years ago but the situation is on track now. The 2022 Report on the functioning of the</w:t>
      </w:r>
      <w:r>
        <w:t xml:space="preserve"> </w:t>
      </w:r>
      <w:r>
        <w:t xml:space="preserve">SECR reported feedback from some market participants about differences in the supervisory</w:t>
      </w:r>
      <w:r>
        <w:t xml:space="preserve"> </w:t>
      </w:r>
      <w:r>
        <w:t xml:space="preserve">approaches of Member States and also flagged that greater convergence and better coordination</w:t>
      </w:r>
      <w:r>
        <w:t xml:space="preserve"> </w:t>
      </w:r>
      <w:r>
        <w:t xml:space="preserve">between supervisors would be beneficial.</w:t>
      </w:r>
      <w:r>
        <w:t xml:space="preserve"> </w:t>
      </w:r>
      <w:r>
        <w:t xml:space="preserve">Table 2: List of mandates for regulatory technical standards, Implementing technical standards,</w:t>
      </w:r>
      <w:r>
        <w:t xml:space="preserve"> </w:t>
      </w:r>
      <w:r>
        <w:t xml:space="preserve">Delegated Regulation or Guidelines in the Securitisation Regulation</w:t>
      </w:r>
      <w:r>
        <w:t xml:space="preserve"> </w:t>
      </w:r>
      <w:r>
        <w:t xml:space="preserve">Type of Act: Regulatory technical</w:t>
      </w:r>
      <w:r>
        <w:t xml:space="preserve"> </w:t>
      </w:r>
      <w:r>
        <w:t xml:space="preserve">standard (RTS), Implementing technical</w:t>
      </w:r>
      <w:r>
        <w:t xml:space="preserve"> </w:t>
      </w:r>
      <w:r>
        <w:t xml:space="preserve">Short name</w:t>
      </w:r>
    </w:p>
    <w:p>
      <w:pPr>
        <w:pStyle w:val="BodyText"/>
      </w:pPr>
      <w:r>
        <w:t xml:space="preserve">155https://www.eba.europa.eu/sites/default/files/document_library/Publications/Reports/2022/1027593/EBA%20rep</w:t>
      </w:r>
      <w:r>
        <w:t xml:space="preserve"> </w:t>
      </w:r>
      <w:r>
        <w:t xml:space="preserve">ort%20on%20sustainable%20securitisation.pdf</w:t>
      </w:r>
      <w:r>
        <w:t xml:space="preserve"> </w:t>
      </w:r>
      <w:r>
        <w:t xml:space="preserve">156 At the time of the submission of this evaluation, the report has not been adopted.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standard (ITS), Delegated Regulation</w:t>
      </w:r>
      <w:r>
        <w:t xml:space="preserve"> </w:t>
      </w:r>
      <w:r>
        <w:t xml:space="preserve">(DR) or Guidelines (GL)</w:t>
      </w:r>
      <w:r>
        <w:t xml:space="preserve"> </w:t>
      </w:r>
      <w:r>
        <w:t xml:space="preserve">RTS</w:t>
      </w:r>
      <w:r>
        <w:t xml:space="preserve"> </w:t>
      </w:r>
      <w:r>
        <w:t xml:space="preserve">Authorisation of third-party verifiers of STS</w:t>
      </w:r>
      <w:r>
        <w:t xml:space="preserve"> </w:t>
      </w:r>
      <w:r>
        <w:t xml:space="preserve">transactions</w:t>
      </w:r>
      <w:r>
        <w:t xml:space="preserve"> </w:t>
      </w:r>
      <w:r>
        <w:t xml:space="preserve">RTS</w:t>
      </w:r>
      <w:r>
        <w:t xml:space="preserve"> </w:t>
      </w:r>
      <w:r>
        <w:t xml:space="preserve">Homogeneity of underlying exposures</w:t>
      </w:r>
      <w:r>
        <w:t xml:space="preserve"> </w:t>
      </w:r>
      <w:r>
        <w:t xml:space="preserve">RTS</w:t>
      </w:r>
      <w:r>
        <w:t xml:space="preserve"> </w:t>
      </w:r>
      <w:r>
        <w:t xml:space="preserve">Transparency requirements</w:t>
      </w:r>
      <w:r>
        <w:t xml:space="preserve"> </w:t>
      </w:r>
      <w:r>
        <w:t xml:space="preserve">RTS</w:t>
      </w:r>
      <w:r>
        <w:t xml:space="preserve"> </w:t>
      </w:r>
      <w:r>
        <w:t xml:space="preserve">STS notification</w:t>
      </w:r>
      <w:r>
        <w:t xml:space="preserve"> </w:t>
      </w:r>
      <w:r>
        <w:t xml:space="preserve">RTS</w:t>
      </w:r>
      <w:r>
        <w:t xml:space="preserve"> </w:t>
      </w:r>
      <w:r>
        <w:t xml:space="preserve">Registration of securitisation repositories</w:t>
      </w:r>
      <w:r>
        <w:t xml:space="preserve"> </w:t>
      </w:r>
      <w:r>
        <w:t xml:space="preserve">RTS</w:t>
      </w:r>
      <w:r>
        <w:t xml:space="preserve"> </w:t>
      </w:r>
      <w:r>
        <w:t xml:space="preserve">Operational</w:t>
      </w:r>
      <w:r>
        <w:t xml:space="preserve"> </w:t>
      </w:r>
      <w:r>
        <w:t xml:space="preserve">guidelines</w:t>
      </w:r>
      <w:r>
        <w:t xml:space="preserve"> </w:t>
      </w:r>
      <w:r>
        <w:t xml:space="preserve">for</w:t>
      </w:r>
      <w:r>
        <w:t xml:space="preserve"> </w:t>
      </w:r>
      <w:r>
        <w:t xml:space="preserve">securitisation</w:t>
      </w:r>
      <w:r>
        <w:t xml:space="preserve"> </w:t>
      </w:r>
      <w:r>
        <w:t xml:space="preserve">repositories</w:t>
      </w:r>
      <w:r>
        <w:t xml:space="preserve"> </w:t>
      </w:r>
      <w:r>
        <w:t xml:space="preserve">RTS</w:t>
      </w:r>
      <w:r>
        <w:t xml:space="preserve"> </w:t>
      </w:r>
      <w:r>
        <w:t xml:space="preserve">Cooperation and exchange of information between</w:t>
      </w:r>
      <w:r>
        <w:t xml:space="preserve"> </w:t>
      </w:r>
      <w:r>
        <w:t xml:space="preserve">National Competent Authorities and the ESAs</w:t>
      </w:r>
      <w:r>
        <w:t xml:space="preserve"> </w:t>
      </w:r>
      <w:r>
        <w:t xml:space="preserve">DR</w:t>
      </w:r>
      <w:r>
        <w:t xml:space="preserve"> </w:t>
      </w:r>
      <w:r>
        <w:t xml:space="preserve">Fees to be charged by ESMA to securitisation</w:t>
      </w:r>
      <w:r>
        <w:t xml:space="preserve"> </w:t>
      </w:r>
      <w:r>
        <w:t xml:space="preserve">repositories</w:t>
      </w:r>
      <w:r>
        <w:t xml:space="preserve"> </w:t>
      </w:r>
      <w:r>
        <w:t xml:space="preserve">RTS</w:t>
      </w:r>
      <w:r>
        <w:t xml:space="preserve"> </w:t>
      </w:r>
      <w:r>
        <w:t xml:space="preserve">Risk retention</w:t>
      </w:r>
      <w:r>
        <w:t xml:space="preserve"> </w:t>
      </w:r>
      <w:r>
        <w:t xml:space="preserve">RTS</w:t>
      </w:r>
      <w:r>
        <w:t xml:space="preserve"> </w:t>
      </w:r>
      <w:r>
        <w:t xml:space="preserve">Disclosure of principal adverse impacts</w:t>
      </w:r>
      <w:r>
        <w:t xml:space="preserve"> </w:t>
      </w:r>
      <w:r>
        <w:t xml:space="preserve">RTS</w:t>
      </w:r>
      <w:r>
        <w:t xml:space="preserve"> </w:t>
      </w:r>
      <w:r>
        <w:t xml:space="preserve">Specification of the performance-related triggers</w:t>
      </w:r>
      <w:r>
        <w:t xml:space="preserve"> </w:t>
      </w:r>
      <w:r>
        <w:t xml:space="preserve">GL</w:t>
      </w:r>
      <w:r>
        <w:t xml:space="preserve"> </w:t>
      </w:r>
      <w:r>
        <w:t xml:space="preserve">STS criteria</w:t>
      </w:r>
      <w:r>
        <w:t xml:space="preserve"> </w:t>
      </w:r>
      <w:r>
        <w:t xml:space="preserve">GL</w:t>
      </w:r>
      <w:r>
        <w:t xml:space="preserve"> </w:t>
      </w:r>
      <w:r>
        <w:t xml:space="preserve">Portability of Information between Securitisation</w:t>
      </w:r>
      <w:r>
        <w:t xml:space="preserve"> </w:t>
      </w:r>
      <w:r>
        <w:t xml:space="preserve">Repositories</w:t>
      </w:r>
      <w:r>
        <w:t xml:space="preserve"> </w:t>
      </w:r>
      <w:r>
        <w:t xml:space="preserve">GL</w:t>
      </w:r>
      <w:r>
        <w:t xml:space="preserve"> </w:t>
      </w:r>
      <w:r>
        <w:t xml:space="preserve">Data completeness and consistency thresholds</w:t>
      </w:r>
      <w:r>
        <w:t xml:space="preserve"> </w:t>
      </w:r>
      <w:r>
        <w:t xml:space="preserve">3.1.2. Capital requirements for banks</w:t>
      </w:r>
      <w:r>
        <w:t xml:space="preserve"> </w:t>
      </w:r>
      <w:r>
        <w:t xml:space="preserve">The current prudential securitisation framework for banks (set out in the CRR) implements the</w:t>
      </w:r>
      <w:r>
        <w:t xml:space="preserve"> </w:t>
      </w:r>
      <w:r>
        <w:t xml:space="preserve">Basel III securitisation framework157 and introduced significant changes relative to the previous</w:t>
      </w:r>
      <w:r>
        <w:t xml:space="preserve"> </w:t>
      </w:r>
      <w:r>
        <w:t xml:space="preserve">framework. It aimed to address the weaknesses that were revealed during the GFC. As a result of</w:t>
      </w:r>
      <w:r>
        <w:t xml:space="preserve"> </w:t>
      </w:r>
      <w:r>
        <w:t xml:space="preserve">the amendments, the prudential framework is now simpler, more risk sensitive, more prudently</w:t>
      </w:r>
      <w:r>
        <w:t xml:space="preserve"> </w:t>
      </w:r>
      <w:r>
        <w:t xml:space="preserve">calibrated and more consistent with the underlying credit risk framework.</w:t>
      </w:r>
      <w:r>
        <w:br/>
      </w:r>
      <w:r>
        <w:t xml:space="preserve">In terms of risk sensitivity and prudence, the intervention significantly increased capital</w:t>
      </w:r>
      <w:r>
        <w:t xml:space="preserve"> </w:t>
      </w:r>
      <w:r>
        <w:t xml:space="preserve">requirements for banks’ securitisation exposures compared to the previous regime: as a measure</w:t>
      </w:r>
      <w:r>
        <w:t xml:space="preserve"> </w:t>
      </w:r>
      <w:r>
        <w:t xml:space="preserve">of prudence a considerable level of overcapitalisation was introduced, to address the agency and</w:t>
      </w:r>
      <w:r>
        <w:t xml:space="preserve"> </w:t>
      </w:r>
      <w:r>
        <w:t xml:space="preserve">model risks inherent to securitisation transactions.</w:t>
      </w:r>
      <w:r>
        <w:br/>
      </w:r>
      <w:r>
        <w:t xml:space="preserve">More specifically, there are two correction factors in the CRR capital framework that safeguard</w:t>
      </w:r>
      <w:r>
        <w:t xml:space="preserve"> </w:t>
      </w:r>
      <w:r>
        <w:t xml:space="preserve">and ensure the capital ‘non-neutrality’158, of the framework: (i) a risk weight floor for exposures</w:t>
      </w:r>
    </w:p>
    <w:p>
      <w:pPr>
        <w:pStyle w:val="BodyText"/>
      </w:pPr>
      <w:r>
        <w:t xml:space="preserve">157 Revisions to the securitisation framework - Basel III document</w:t>
      </w:r>
      <w:r>
        <w:t xml:space="preserve"> </w:t>
      </w:r>
      <w:r>
        <w:t xml:space="preserve">158 ‘Non-neutrality’ of capital requirements means that holding all the securitisation tranches in a securitisation is</w:t>
      </w:r>
      <w:r>
        <w:t xml:space="preserve"> </w:t>
      </w:r>
      <w:r>
        <w:t xml:space="preserve">subject to a higher capital charge than in a counterfactual where the bank has a direct holding of all the underlying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to the senior tranche – which defines an absolute minimum risk weight for banks’ exposures to the</w:t>
      </w:r>
      <w:r>
        <w:t xml:space="preserve"> </w:t>
      </w:r>
      <w:r>
        <w:t xml:space="preserve">senior tranche of securitisation; and (ii) a (p) factor (‘penalty factor’) which defines the relative</w:t>
      </w:r>
      <w:r>
        <w:t xml:space="preserve"> </w:t>
      </w:r>
      <w:r>
        <w:t xml:space="preserve">capital surcharge for all securitisation exposures, compared to the capital requirement for the</w:t>
      </w:r>
      <w:r>
        <w:t xml:space="preserve"> </w:t>
      </w:r>
      <w:r>
        <w:t xml:space="preserve">underlying pool of exposures. Each bank needs to reflect the risk weight floor and the (p) factor in</w:t>
      </w:r>
      <w:r>
        <w:t xml:space="preserve"> </w:t>
      </w:r>
      <w:r>
        <w:t xml:space="preserve">the calculation of the minimum capital requirement that applies to their securitisation exposures.</w:t>
      </w:r>
      <w:r>
        <w:t xml:space="preserve"> </w:t>
      </w:r>
      <w:r>
        <w:t xml:space="preserve">The current framework allows securitisations, that comply with the STS criteria and with some</w:t>
      </w:r>
      <w:r>
        <w:t xml:space="preserve"> </w:t>
      </w:r>
      <w:r>
        <w:t xml:space="preserve">additional specific requirements to minimise credit risk of the underlying exposures, to be eligible</w:t>
      </w:r>
      <w:r>
        <w:t xml:space="preserve"> </w:t>
      </w:r>
      <w:r>
        <w:t xml:space="preserve">for a more favourable capital treatment compared to non-STS securitisations. At the same time,</w:t>
      </w:r>
      <w:r>
        <w:t xml:space="preserve"> </w:t>
      </w:r>
      <w:r>
        <w:t xml:space="preserve">the capital requirements for STS are still generally higher than capital requirements applied to</w:t>
      </w:r>
      <w:r>
        <w:t xml:space="preserve"> </w:t>
      </w:r>
      <w:r>
        <w:t xml:space="preserve">comparable transactions under the previous regime.</w:t>
      </w:r>
      <w:r>
        <w:br/>
      </w:r>
      <w:r>
        <w:t xml:space="preserve">Other significant revisions with respect to the previous framework relate to changes in the so-</w:t>
      </w:r>
      <w:r>
        <w:t xml:space="preserve"> </w:t>
      </w:r>
      <w:r>
        <w:t xml:space="preserve">called ‘hierarchy of approaches’ that banks must use for calculating capital requirements for their</w:t>
      </w:r>
      <w:r>
        <w:t xml:space="preserve"> </w:t>
      </w:r>
      <w:r>
        <w:t xml:space="preserve">securitisation exposures159. The new framework reduced complexity by reducing the number of</w:t>
      </w:r>
      <w:r>
        <w:t xml:space="preserve"> </w:t>
      </w:r>
      <w:r>
        <w:t xml:space="preserve">the approaches allowed for determining capital charges, reduced mechanistic reliance on external</w:t>
      </w:r>
      <w:r>
        <w:t xml:space="preserve"> </w:t>
      </w:r>
      <w:r>
        <w:t xml:space="preserve">ratings and improved the overall calibration of the capital requirements. Additionally, the</w:t>
      </w:r>
      <w:r>
        <w:t xml:space="preserve"> </w:t>
      </w:r>
      <w:r>
        <w:t xml:space="preserve">framework revised the risk drivers used in each approach – the calculation of capital requirements</w:t>
      </w:r>
      <w:r>
        <w:t xml:space="preserve"> </w:t>
      </w:r>
      <w:r>
        <w:t xml:space="preserve">is now more risk sensitive and allows to capture some of the risk drivers not reflected in the</w:t>
      </w:r>
      <w:r>
        <w:t xml:space="preserve"> </w:t>
      </w:r>
      <w:r>
        <w:t xml:space="preserve">previous framework.</w:t>
      </w:r>
      <w:r>
        <w:br/>
      </w:r>
      <w:r>
        <w:t xml:space="preserve">3.1.3. Liquidity requirements for banks</w:t>
      </w:r>
      <w:r>
        <w:t xml:space="preserve"> </w:t>
      </w:r>
      <w:r>
        <w:t xml:space="preserve">The liquidity requirements for banks securitisations specified in the LCR Delegated Act implement</w:t>
      </w:r>
      <w:r>
        <w:t xml:space="preserve"> </w:t>
      </w:r>
      <w:r>
        <w:t xml:space="preserve">the Basel III international standards that the EU agreed to implement as part of the wide-ranging</w:t>
      </w:r>
      <w:r>
        <w:t xml:space="preserve"> </w:t>
      </w:r>
      <w:r>
        <w:t xml:space="preserve">reform of the prudential framework for banks. Only STS securitisations are currently eligible to</w:t>
      </w:r>
      <w:r>
        <w:t xml:space="preserve"> </w:t>
      </w:r>
      <w:r>
        <w:t xml:space="preserve">qualify as HQLA under the LCR Delegated Act.</w:t>
      </w:r>
      <w:r>
        <w:br/>
      </w:r>
      <w:r>
        <w:t xml:space="preserve">3.1.4. Solvency II / insurance prudential rules</w:t>
      </w:r>
      <w:r>
        <w:t xml:space="preserve"> </w:t>
      </w:r>
      <w:r>
        <w:t xml:space="preserve">In line with the preferred policy option of the latest impact assessment, differentiated capital</w:t>
      </w:r>
      <w:r>
        <w:t xml:space="preserve"> </w:t>
      </w:r>
      <w:r>
        <w:t xml:space="preserve">requirements for senior STS and non-senior STS securitisations were introduced, replacing the</w:t>
      </w:r>
      <w:r>
        <w:t xml:space="preserve"> </w:t>
      </w:r>
      <w:r>
        <w:t xml:space="preserve">existing ‘type 1’ securitisation capital charges. Under the new framework, such capital charges</w:t>
      </w:r>
      <w:r>
        <w:t xml:space="preserve"> </w:t>
      </w:r>
      <w:r>
        <w:t xml:space="preserve">depend on credit quality (rating) and duration of the asset. Finally, transitional arrangements were</w:t>
      </w:r>
    </w:p>
    <w:p>
      <w:pPr>
        <w:pStyle w:val="BodyText"/>
      </w:pPr>
      <w:r>
        <w:t xml:space="preserve">non-securitised assets. Only by transferring a sufficient amount of risk (by selling tranches to an external investor or</w:t>
      </w:r>
      <w:r>
        <w:t xml:space="preserve"> </w:t>
      </w:r>
      <w:r>
        <w:t xml:space="preserve">obtaining a credit protection for certain tranches) can an originator bank achieve capital requirements which are the</w:t>
      </w:r>
      <w:r>
        <w:t xml:space="preserve"> </w:t>
      </w:r>
      <w:r>
        <w:t xml:space="preserve">same or lower than those previously held against the underlying assets.</w:t>
      </w:r>
      <w:r>
        <w:t xml:space="preserve"> </w:t>
      </w:r>
      <w:r>
        <w:t xml:space="preserve">159 Banks use one of the CRR-prescribed ’approaches’ when calculating the capital requirements for their</w:t>
      </w:r>
      <w:r>
        <w:t xml:space="preserve"> </w:t>
      </w:r>
      <w:r>
        <w:t xml:space="preserve">securitisation position, following the ’hierarchy’ or approaches prescribed in the CRR (i.e. the selection of an approach</w:t>
      </w:r>
      <w:r>
        <w:t xml:space="preserve"> </w:t>
      </w:r>
      <w:r>
        <w:t xml:space="preserve">is not discretionary). The previous framework contained a number of approaches and several exceptional treatments.</w:t>
      </w:r>
      <w:r>
        <w:t xml:space="preserve"> </w:t>
      </w:r>
      <w:r>
        <w:t xml:space="preserve">The current framework includes three hierarchical approaches: SEC-IRBA (Securitisation Internal Ratings-Based</w:t>
      </w:r>
      <w:r>
        <w:t xml:space="preserve"> </w:t>
      </w:r>
      <w:r>
        <w:t xml:space="preserve">Approach) is at the top of the revised hierarchy. When SEC-IRBA cannot be used, SEC-SA (Securitisation</w:t>
      </w:r>
      <w:r>
        <w:t xml:space="preserve"> </w:t>
      </w:r>
      <w:r>
        <w:t xml:space="preserve">Standardised Approach) and SEC-ERBA (Securitisation External Ratings-Based Approach) have to be used.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introduced to ensure that insurers holding ‘type 1’ securitisations would not be subject to a</w:t>
      </w:r>
      <w:r>
        <w:t xml:space="preserve"> </w:t>
      </w:r>
      <w:r>
        <w:t xml:space="preserve">significant increase in capital requirements if such investments did not meet the newly introduced</w:t>
      </w:r>
      <w:r>
        <w:t xml:space="preserve"> </w:t>
      </w:r>
      <w:r>
        <w:t xml:space="preserve">STS criteria. As a result, capital requirements for senior STS securitisation are two to three times</w:t>
      </w:r>
      <w:r>
        <w:t xml:space="preserve"> </w:t>
      </w:r>
      <w:r>
        <w:t xml:space="preserve">lower than former type 1 capital requirements, and non-senior STS capital requirements are</w:t>
      </w:r>
      <w:r>
        <w:t xml:space="preserve"> </w:t>
      </w:r>
      <w:r>
        <w:t xml:space="preserve">broadly comparable to the former type 1 capital requirements. By contrast, capital requirements</w:t>
      </w:r>
      <w:r>
        <w:t xml:space="preserve"> </w:t>
      </w:r>
      <w:r>
        <w:t xml:space="preserve">for ‘type 2’ securitisations (now called ‘non-STS’ securitisations) were not amended and remain</w:t>
      </w:r>
      <w:r>
        <w:t xml:space="preserve"> </w:t>
      </w:r>
      <w:r>
        <w:t xml:space="preserve">applicable.</w:t>
      </w:r>
      <w:r>
        <w:br/>
      </w:r>
      <w:r>
        <w:t xml:space="preserve">3.2. Market context</w:t>
      </w:r>
      <w:r>
        <w:br/>
      </w:r>
      <w:r>
        <w:t xml:space="preserve">The market is gradually growing but continues to operate below its potential when looking at the</w:t>
      </w:r>
      <w:r>
        <w:t xml:space="preserve"> </w:t>
      </w:r>
      <w:r>
        <w:t xml:space="preserve">limited share of placed traditional securitisation and limited investor base, as well as in comparison</w:t>
      </w:r>
      <w:r>
        <w:t xml:space="preserve"> </w:t>
      </w:r>
      <w:r>
        <w:t xml:space="preserve">with other major jurisdictions. The geographical distribution of the EU securitisation market is</w:t>
      </w:r>
      <w:r>
        <w:t xml:space="preserve"> </w:t>
      </w:r>
      <w:r>
        <w:t xml:space="preserve">uneven, and banks in many Member States prefer alternative instruments, such as covered bonds.</w:t>
      </w:r>
      <w:r>
        <w:t xml:space="preserve"> </w:t>
      </w:r>
      <w:r>
        <w:t xml:space="preserve">While we estimate the combined EU public and private market to at least EUR 1.6 trillion by the</w:t>
      </w:r>
      <w:r>
        <w:t xml:space="preserve"> </w:t>
      </w:r>
      <w:r>
        <w:t xml:space="preserve">end of 2023160, we focus in the following on the part of the EU market where banks are involved</w:t>
      </w:r>
      <w:r>
        <w:t xml:space="preserve"> </w:t>
      </w:r>
      <w:r>
        <w:t xml:space="preserve">as issuers (originators or sponsors or original lenders) or as investors.161 This part of the EU</w:t>
      </w:r>
      <w:r>
        <w:t xml:space="preserve"> </w:t>
      </w:r>
      <w:r>
        <w:t xml:space="preserve">securitisation market stood at approximately EUR 1.2 trillion in terms of outstanding volumes at</w:t>
      </w:r>
      <w:r>
        <w:t xml:space="preserve"> </w:t>
      </w:r>
      <w:r>
        <w:t xml:space="preserve">the end of 2023 (see Figure 1). It is composed of 68% traditional, 25% synthetic and 7% asset-</w:t>
      </w:r>
      <w:r>
        <w:t xml:space="preserve"> </w:t>
      </w:r>
      <w:r>
        <w:t xml:space="preserve">backed commercial paper securitisations. There has been a change of composition in recent years,</w:t>
      </w:r>
      <w:r>
        <w:t xml:space="preserve"> </w:t>
      </w:r>
      <w:r>
        <w:t xml:space="preserve">with the share of traditional securitisation decreasing from 77% in the first half of 2020, mainly as</w:t>
      </w:r>
      <w:r>
        <w:t xml:space="preserve"> </w:t>
      </w:r>
      <w:r>
        <w:t xml:space="preserve">a result of an expanding share of synthetic securitisation.</w:t>
      </w:r>
    </w:p>
    <w:p>
      <w:pPr>
        <w:pStyle w:val="BodyText"/>
      </w:pPr>
      <w:r>
        <w:t xml:space="preserve">160 Details in Annex III. Please note that in particular the private market segment might be incomplete as there is no</w:t>
      </w:r>
      <w:r>
        <w:t xml:space="preserve"> </w:t>
      </w:r>
      <w:r>
        <w:t xml:space="preserve">systematic public reporting due to the private nature of the transactions in this segment.</w:t>
      </w:r>
      <w:r>
        <w:t xml:space="preserve"> </w:t>
      </w:r>
      <w:r>
        <w:t xml:space="preserve">161 Reason for this focus is that the EBA has the most comprehensive dataset (CoREP statistics) that allows breaking</w:t>
      </w:r>
      <w:r>
        <w:t xml:space="preserve"> </w:t>
      </w:r>
      <w:r>
        <w:t xml:space="preserve">down the market with consistent definitions across the different dimensions (i.e. STS/non-STS; public/private;</w:t>
      </w:r>
      <w:r>
        <w:t xml:space="preserve"> </w:t>
      </w:r>
      <w:r>
        <w:t xml:space="preserve">SRT/non-SRT; synthetic/traditional and across asset classes). However, the limitation of the EBA dataset is that</w:t>
      </w:r>
      <w:r>
        <w:t xml:space="preserve"> </w:t>
      </w:r>
      <w:r>
        <w:t xml:space="preserve">certain transactions without bank involvement cannot be covered.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Figure 1: Outstanding volumes of transactions by type</w:t>
      </w:r>
    </w:p>
    <w:p>
      <w:pPr>
        <w:pStyle w:val="BodyText"/>
      </w:pPr>
      <w:r>
        <w:t xml:space="preserve">Source: EBA COREP, S1 refers to the first half of the year. S2 refers to the second half of the year.</w:t>
      </w:r>
      <w:r>
        <w:t xml:space="preserve"> </w:t>
      </w:r>
      <w:r>
        <w:t xml:space="preserve">Looking at the composition of securitised exposures, the most commonly securitised asset class is</w:t>
      </w:r>
      <w:r>
        <w:t xml:space="preserve"> </w:t>
      </w:r>
      <w:r>
        <w:t xml:space="preserve">corporate loans (see Figure 2). This reflects the ongoing change in market composition from</w:t>
      </w:r>
      <w:r>
        <w:t xml:space="preserve"> </w:t>
      </w:r>
      <w:r>
        <w:t xml:space="preserve">traditional to synthetic securitisation, as well as the rise in collateralised loan obligations162.</w:t>
      </w:r>
      <w:r>
        <w:t xml:space="preserve"> </w:t>
      </w:r>
      <w:r>
        <w:t xml:space="preserve">Corporate loans make up nearly 80% of the assets securitised in synthetic transactions, compared</w:t>
      </w:r>
      <w:r>
        <w:t xml:space="preserve"> </w:t>
      </w:r>
      <w:r>
        <w:t xml:space="preserve">to about 25% in traditional securitisations.</w:t>
      </w:r>
      <w:r>
        <w:t xml:space="preserve"> </w:t>
      </w:r>
      <w:r>
        <w:t xml:space="preserve">At the same time, the share of residential mortgage-backed securities, formerly the dominant asset</w:t>
      </w:r>
      <w:r>
        <w:t xml:space="preserve"> </w:t>
      </w:r>
      <w:r>
        <w:t xml:space="preserve">class in the EU and by far the most commonly securitised asset in other jurisdictions, shrank from</w:t>
      </w:r>
      <w:r>
        <w:t xml:space="preserve"> </w:t>
      </w:r>
      <w:r>
        <w:t xml:space="preserve">46% in the first half of 2020 to 33% by end 2023 and remains in second place.</w:t>
      </w:r>
    </w:p>
    <w:p>
      <w:pPr>
        <w:pStyle w:val="BodyText"/>
      </w:pPr>
      <w:r>
        <w:t xml:space="preserve">162 See for example European_securitisation_market_–_ready_for_a_comeb.pdf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Figure 2: Outstanding volumes of transactions by asset class</w:t>
      </w:r>
    </w:p>
    <w:p>
      <w:pPr>
        <w:pStyle w:val="BodyText"/>
      </w:pPr>
      <w:r>
        <w:t xml:space="preserve">Source: EBA COREP</w:t>
      </w:r>
      <w:r>
        <w:t xml:space="preserve"> </w:t>
      </w:r>
      <w:r>
        <w:t xml:space="preserve">While the public EU securitisation market remains significantly below its peak in 2008-2009</w:t>
      </w:r>
      <w:r>
        <w:t xml:space="preserve"> </w:t>
      </w:r>
      <w:r>
        <w:t xml:space="preserve">(~EUR 2trn outstanding volume), it shows signs of gradual recovery. Following the entry into</w:t>
      </w:r>
      <w:r>
        <w:t xml:space="preserve"> </w:t>
      </w:r>
      <w:r>
        <w:t xml:space="preserve">force of the new Securitisation Framework in 2019, in particular the outstanding balance of EU</w:t>
      </w:r>
      <w:r>
        <w:t xml:space="preserve"> </w:t>
      </w:r>
      <w:r>
        <w:t xml:space="preserve">securitisations with bank involvement163 has gradually increased from under EUR 800 billion to</w:t>
      </w:r>
      <w:r>
        <w:t xml:space="preserve"> </w:t>
      </w:r>
      <w:r>
        <w:t xml:space="preserve">the level of EUR 1.2 trillion at year-end 2023, while average annual issuance in the period 2020 –</w:t>
      </w:r>
      <w:r>
        <w:t xml:space="preserve"> </w:t>
      </w:r>
      <w:r>
        <w:t xml:space="preserve">2023 amounted to EUR 218.25bn (see Figure 3).</w:t>
      </w:r>
    </w:p>
    <w:p>
      <w:pPr>
        <w:pStyle w:val="BodyText"/>
      </w:pPr>
      <w:r>
        <w:t xml:space="preserve">163 Reflected in CoREP statistics.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Figure 3: Total issuance by type of securitisation (EUR bn)</w:t>
      </w:r>
      <w:r>
        <w:t xml:space="preserve"> </w:t>
      </w:r>
      <w:r>
        <w:t xml:space="preserve">Source: EBA COREP</w:t>
      </w:r>
      <w:r>
        <w:t xml:space="preserve"> </w:t>
      </w:r>
      <w:r>
        <w:t xml:space="preserve">Despite recent market growth, a significant portion of the traditional securitisation transactions</w:t>
      </w:r>
      <w:r>
        <w:t xml:space="preserve"> </w:t>
      </w:r>
      <w:r>
        <w:t xml:space="preserve">remains retained on the balance sheets of the issuing banks rather than placed on the market with</w:t>
      </w:r>
      <w:r>
        <w:t xml:space="preserve"> </w:t>
      </w:r>
      <w:r>
        <w:t xml:space="preserve">external investors164. This means that the bank retains (most of) the securitisation tranches that it</w:t>
      </w:r>
      <w:r>
        <w:t xml:space="preserve"> </w:t>
      </w:r>
      <w:r>
        <w:t xml:space="preserve">issues (and it is the main investor in its own securitisation). Retained traditional securitisations are</w:t>
      </w:r>
      <w:r>
        <w:t xml:space="preserve"> </w:t>
      </w:r>
      <w:r>
        <w:t xml:space="preserve">used primarily to obtain funding, i.e. the senior tranche is used as collateral to obtain liquidity from</w:t>
      </w:r>
      <w:r>
        <w:t xml:space="preserve"> </w:t>
      </w:r>
      <w:r>
        <w:t xml:space="preserve">the ECB. Securitisation is an attractive tool for this purpose because the senior securitisation notes</w:t>
      </w:r>
      <w:r>
        <w:t xml:space="preserve"> </w:t>
      </w:r>
      <w:r>
        <w:t xml:space="preserve">are eligible collateral for the ECB’s liquidity operations, whereas the underlying pools of loans are</w:t>
      </w:r>
      <w:r>
        <w:t xml:space="preserve"> </w:t>
      </w:r>
      <w:r>
        <w:t xml:space="preserve">not eligible. According to the ECB’s database, asset-backed securities represented 19% of the use</w:t>
      </w:r>
      <w:r>
        <w:t xml:space="preserve"> </w:t>
      </w:r>
      <w:r>
        <w:t xml:space="preserve">of collateral and outstanding credit for liquidity operations in the last quarter of 2024 and has the</w:t>
      </w:r>
      <w:r>
        <w:t xml:space="preserve"> </w:t>
      </w:r>
      <w:r>
        <w:t xml:space="preserve">highest utilisation rate among all types of eligible assets, i.e. 46.9% of the eligible asset-backed</w:t>
      </w:r>
      <w:r>
        <w:t xml:space="preserve"> </w:t>
      </w:r>
      <w:r>
        <w:t xml:space="preserve">securities were used as collateral.</w:t>
      </w:r>
      <w:r>
        <w:br/>
      </w:r>
      <w:r>
        <w:t xml:space="preserve">This is also evident in the persistently low rates of placements (see Figure 4). Banks’ retention</w:t>
      </w:r>
      <w:r>
        <w:t xml:space="preserve"> </w:t>
      </w:r>
      <w:r>
        <w:t xml:space="preserve">levels differ for each securitisation type: banks have retained more than 80% of the SME</w:t>
      </w:r>
      <w:r>
        <w:t xml:space="preserve"> </w:t>
      </w:r>
      <w:r>
        <w:t xml:space="preserve">securitisations and more than 70% of RMBSs in Q3 2023; in case of other types of securitisations</w:t>
      </w:r>
      <w:r>
        <w:t xml:space="preserve"> </w:t>
      </w:r>
      <w:r>
        <w:t xml:space="preserve">half of the tranches are still sold to the market.</w:t>
      </w:r>
    </w:p>
    <w:p>
      <w:pPr>
        <w:pStyle w:val="BodyText"/>
      </w:pPr>
      <w:r>
        <w:t xml:space="preserve">164 Bloomberg, ECB calculations.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Figure 4: Share of placed vs retained traditional securitisation (left) and share of outstanding</w:t>
      </w:r>
      <w:r>
        <w:t xml:space="preserve"> </w:t>
      </w:r>
      <w:r>
        <w:t xml:space="preserve">EU securitisation that is retained by banks and that qualifies as STS, Q3 2023 (right)</w:t>
      </w:r>
    </w:p>
    <w:p>
      <w:pPr>
        <w:pStyle w:val="BodyText"/>
      </w:pPr>
      <w:r>
        <w:t xml:space="preserve">Source: Association for Financial Markets in Europe (AFME) (left) and Bloomberg and ECB calculations (right)</w:t>
      </w:r>
      <w:r>
        <w:br/>
      </w:r>
      <w:r>
        <w:t xml:space="preserve">Not placing the tranches with external investors prevents the originating banks from transferring</w:t>
      </w:r>
      <w:r>
        <w:t xml:space="preserve"> </w:t>
      </w:r>
      <w:r>
        <w:t xml:space="preserve">risk and achieving capital relief and hence limits their ability to free up their balance sheets and</w:t>
      </w:r>
      <w:r>
        <w:t xml:space="preserve"> </w:t>
      </w:r>
      <w:r>
        <w:t xml:space="preserve">redeploy released capital and deepen capital markets.</w:t>
      </w:r>
      <w:r>
        <w:br/>
      </w:r>
      <w:r>
        <w:t xml:space="preserve">The limited use of traditional securitisations for capital relief purposes can also be observed in the</w:t>
      </w:r>
      <w:r>
        <w:t xml:space="preserve"> </w:t>
      </w:r>
      <w:r>
        <w:t xml:space="preserve">composition of SRT transactions (see Figure 5 below). Securitisation allows the originating banks</w:t>
      </w:r>
      <w:r>
        <w:t xml:space="preserve"> </w:t>
      </w:r>
      <w:r>
        <w:t xml:space="preserve">to achieve capital relief and free up their balance sheets for further lending on the condition that</w:t>
      </w:r>
      <w:r>
        <w:t xml:space="preserve"> </w:t>
      </w:r>
      <w:r>
        <w:t xml:space="preserve">the securitisation complies with SRT rules in the CRR, i.e. a significant amount of risk associated</w:t>
      </w:r>
      <w:r>
        <w:t xml:space="preserve"> </w:t>
      </w:r>
      <w:r>
        <w:t xml:space="preserve">with the underlying pool of assets is transferred to external investors. A substantial majority of</w:t>
      </w:r>
      <w:r>
        <w:t xml:space="preserve"> </w:t>
      </w:r>
      <w:r>
        <w:t xml:space="preserve">SRT transactions are synthetic transactions. For the traditional securitisation market segment, the</w:t>
      </w:r>
      <w:r>
        <w:t xml:space="preserve"> </w:t>
      </w:r>
      <w:r>
        <w:t xml:space="preserve">share of traditional securitisations that achieve SRT is about 20% of the outstanding volume as</w:t>
      </w:r>
      <w:r>
        <w:t xml:space="preserve"> </w:t>
      </w:r>
      <w:r>
        <w:t xml:space="preserve">traditional securitisations, and 37% of the outstanding volume of EU SRT transactions in general,</w:t>
      </w:r>
      <w:r>
        <w:t xml:space="preserve"> </w:t>
      </w:r>
      <w:r>
        <w:t xml:space="preserve">as of end 2023 (taking into account that the traditional securitisations tend to be used primarily for</w:t>
      </w:r>
      <w:r>
        <w:t xml:space="preserve"> </w:t>
      </w:r>
      <w:r>
        <w:t xml:space="preserve">funding purposes).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Figure 5: Outstanding volumes of all types of transactions by SRT (bn euro, 2023-S2)</w:t>
      </w:r>
    </w:p>
    <w:p>
      <w:pPr>
        <w:pStyle w:val="BodyText"/>
      </w:pPr>
      <w:r>
        <w:t xml:space="preserve">Source: EBA COREP</w:t>
      </w:r>
      <w:r>
        <w:t xml:space="preserve"> </w:t>
      </w:r>
      <w:r>
        <w:t xml:space="preserve">The narrow investor base (i.e. the number of investors typically involved in one transaction) in the</w:t>
      </w:r>
      <w:r>
        <w:t xml:space="preserve"> </w:t>
      </w:r>
      <w:r>
        <w:t xml:space="preserve">EU limits the capacity of banks to place their securitisations on the market and results in a limited</w:t>
      </w:r>
      <w:r>
        <w:t xml:space="preserve"> </w:t>
      </w:r>
      <w:r>
        <w:t xml:space="preserve">capacity to absorb increased supply. Typically, about 30-50 investors are involved in a public</w:t>
      </w:r>
      <w:r>
        <w:t xml:space="preserve"> </w:t>
      </w:r>
      <w:r>
        <w:t xml:space="preserve">traditional transaction, 15-25 investors in a collateralised loan obligations transaction165 and 1-3</w:t>
      </w:r>
      <w:r>
        <w:t xml:space="preserve"> </w:t>
      </w:r>
      <w:r>
        <w:t xml:space="preserve">sponsors in an asset-backed commercial paper (ABCP) securitisation. For synthetic securitisations,</w:t>
      </w:r>
      <w:r>
        <w:t xml:space="preserve"> </w:t>
      </w:r>
      <w:r>
        <w:t xml:space="preserve">the typical investor base is between 1-3 investors (smaller than for traditional securitisations,</w:t>
      </w:r>
      <w:r>
        <w:t xml:space="preserve"> </w:t>
      </w:r>
      <w:r>
        <w:t xml:space="preserve">reflecting primarily the private nature of these transactions)166. Typically, the type of investors</w:t>
      </w:r>
      <w:r>
        <w:t xml:space="preserve"> </w:t>
      </w:r>
      <w:r>
        <w:t xml:space="preserve">involved in senior tranches in traditional securitisations in the EU are banks and asset managers</w:t>
      </w:r>
      <w:r>
        <w:t xml:space="preserve"> </w:t>
      </w:r>
      <w:r>
        <w:t xml:space="preserve">seeking low-risk and highly liquid investment products. By contrast, investors in junior tranches</w:t>
      </w:r>
      <w:r>
        <w:t xml:space="preserve"> </w:t>
      </w:r>
      <w:r>
        <w:t xml:space="preserve">usually look for higher yield. Similarly, the investors in synthetic transactions differ from those in</w:t>
      </w:r>
      <w:r>
        <w:t xml:space="preserve"> </w:t>
      </w:r>
      <w:r>
        <w:t xml:space="preserve">traditional ones. Investors in synthetic securitisations are institutions specialised in assessing credit</w:t>
      </w:r>
      <w:r>
        <w:t xml:space="preserve"> </w:t>
      </w:r>
      <w:r>
        <w:t xml:space="preserve">risk, typically specialised funds, asset managers, insurance and pension companies or</w:t>
      </w:r>
      <w:r>
        <w:t xml:space="preserve"> </w:t>
      </w:r>
      <w:r>
        <w:t xml:space="preserve">supranational institutions, that often seek to establish a longer-term relationship with the</w:t>
      </w:r>
      <w:r>
        <w:t xml:space="preserve"> </w:t>
      </w:r>
      <w:r>
        <w:t xml:space="preserve">originating bank in view of the more demanding due diligence required.167 Banks are typically not</w:t>
      </w:r>
      <w:r>
        <w:t xml:space="preserve"> </w:t>
      </w:r>
      <w:r>
        <w:t xml:space="preserve">directly investing in synthetic securitisations.</w:t>
      </w:r>
    </w:p>
    <w:p>
      <w:pPr>
        <w:pStyle w:val="BodyText"/>
      </w:pPr>
      <w:r>
        <w:t xml:space="preserve">165Structured financial product that pools together a portfolio of corporate loans - typically leveraged loans - and then</w:t>
      </w:r>
      <w:r>
        <w:t xml:space="preserve"> </w:t>
      </w:r>
      <w:r>
        <w:t xml:space="preserve">tranches them into different layers of risk and return for investors.</w:t>
      </w:r>
      <w:r>
        <w:t xml:space="preserve"> </w:t>
      </w:r>
      <w:r>
        <w:t xml:space="preserve">166 Source: TSI_BVB_Final_report_of_the_securitisation_task_force_202409_en.pdf</w:t>
      </w:r>
      <w:r>
        <w:t xml:space="preserve"> </w:t>
      </w:r>
      <w:r>
        <w:t xml:space="preserve">167 ESRB, Fernando Gonzalez, Cristina Morar Triandafil, Occasional Paper Series No. 23, The European significant</w:t>
      </w:r>
      <w:r>
        <w:t xml:space="preserve"> </w:t>
      </w:r>
      <w:r>
        <w:t xml:space="preserve">risk transfer securitisation market Table 2.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The EU investor base is much smaller than the one in the US, with about 80-115 investors in</w:t>
      </w:r>
      <w:r>
        <w:t xml:space="preserve"> </w:t>
      </w:r>
      <w:r>
        <w:t xml:space="preserve">total.168 The investor base for EU securitisations is also much smaller than for other EU fixed</w:t>
      </w:r>
      <w:r>
        <w:t xml:space="preserve"> </w:t>
      </w:r>
      <w:r>
        <w:t xml:space="preserve">income instruments, such as investment grade corporate bonds and covered bonds, with an average</w:t>
      </w:r>
      <w:r>
        <w:t xml:space="preserve"> </w:t>
      </w:r>
      <w:r>
        <w:t xml:space="preserve">of 80-115 investors alone per bond169. Market data points to a particularly narrow investor base</w:t>
      </w:r>
      <w:r>
        <w:t xml:space="preserve"> </w:t>
      </w:r>
      <w:r>
        <w:t xml:space="preserve">for senior (i.e. the best quality) tranches of traditional securitisation instruments, which hinders the</w:t>
      </w:r>
      <w:r>
        <w:t xml:space="preserve"> </w:t>
      </w:r>
      <w:r>
        <w:t xml:space="preserve">ability of issuers to place these traditional securitisation transactions with external investors.</w:t>
      </w:r>
      <w:r>
        <w:br/>
      </w:r>
      <w:r>
        <w:t xml:space="preserve">As a result of the characteristics described above, securitisation currently plays a limited role in</w:t>
      </w:r>
      <w:r>
        <w:t xml:space="preserve"> </w:t>
      </w:r>
      <w:r>
        <w:t xml:space="preserve">the EU economy. Despite its recent growth, securitisation issuance as a percentage of GDP remains</w:t>
      </w:r>
      <w:r>
        <w:t xml:space="preserve"> </w:t>
      </w:r>
      <w:r>
        <w:t xml:space="preserve">much lower in the EU than in other major jurisdictions (see Figure 6). For the US, we use figures</w:t>
      </w:r>
      <w:r>
        <w:t xml:space="preserve"> </w:t>
      </w:r>
      <w:r>
        <w:t xml:space="preserve">which exclude the market supported by Government-Supported Entities, such as Freddie Mac and</w:t>
      </w:r>
      <w:r>
        <w:t xml:space="preserve"> </w:t>
      </w:r>
      <w:r>
        <w:t xml:space="preserve">Fannie Mae, which represents the largest part of the US securitisation market. The exclusion of</w:t>
      </w:r>
      <w:r>
        <w:t xml:space="preserve"> </w:t>
      </w:r>
      <w:r>
        <w:t xml:space="preserve">this segment of the US market makes the data more comparable to the EU securitisation market,</w:t>
      </w:r>
      <w:r>
        <w:t xml:space="preserve"> </w:t>
      </w:r>
      <w:r>
        <w:t xml:space="preserve">where publicly guaranteed securitisation plays a much less prominent role.</w:t>
      </w:r>
      <w:r>
        <w:br/>
      </w:r>
      <w:r>
        <w:t xml:space="preserve">Figure 6: International securitisation issuance as a proportion of GDP (2024H1 vs 5Y and</w:t>
      </w:r>
      <w:r>
        <w:t xml:space="preserve"> </w:t>
      </w:r>
      <w:r>
        <w:t xml:space="preserve">10Y average, %)</w:t>
      </w:r>
    </w:p>
    <w:p>
      <w:pPr>
        <w:pStyle w:val="BodyText"/>
      </w:pPr>
      <w:r>
        <w:t xml:space="preserve">Source: AFME Capital Markets Union Key Performance Indicators – 7th edition (November 2024). US and Australian</w:t>
      </w:r>
      <w:r>
        <w:t xml:space="preserve"> </w:t>
      </w:r>
      <w:r>
        <w:t xml:space="preserve">volumes include ABS, RMBS, CMBS and CDO.</w:t>
      </w:r>
      <w:r>
        <w:br/>
      </w:r>
      <w:r>
        <w:t xml:space="preserve">Moreover, the EU securitisation market is highly concentrated, with 80% of securitisation</w:t>
      </w:r>
      <w:r>
        <w:t xml:space="preserve"> </w:t>
      </w:r>
      <w:r>
        <w:t xml:space="preserve">issuances concentrated in five Member States (Italy, France, Germany, the Netherlands and Spain).</w:t>
      </w:r>
      <w:r>
        <w:t xml:space="preserve"> </w:t>
      </w:r>
      <w:r>
        <w:t xml:space="preserve">Several reasons can explain this high degree of concentration in those Member States, such as:</w:t>
      </w:r>
    </w:p>
    <w:p>
      <w:pPr>
        <w:pStyle w:val="BodyText"/>
      </w:pPr>
      <w:r>
        <w:t xml:space="preserve">168 Details of this estimate can be found in Annex III in the section on one-off due diligence costs.</w:t>
      </w:r>
      <w:r>
        <w:t xml:space="preserve"> </w:t>
      </w:r>
      <w:r>
        <w:t xml:space="preserve">169 Source: AFME</w:t>
      </w:r>
    </w:p>
    <w:p>
      <w:pPr>
        <w:pStyle w:val="BodyText"/>
      </w:pPr>
      <w:r>
        <w:t xml:space="preserve">155</w:t>
      </w:r>
    </w:p>
    <w:p>
      <w:pPr>
        <w:pStyle w:val="Compact"/>
        <w:numPr>
          <w:ilvl w:val="0"/>
          <w:numId w:val="1011"/>
        </w:numPr>
      </w:pPr>
      <w:r>
        <w:t xml:space="preserve">the existence of a stronger institutional originator and investor base and market depth,</w:t>
      </w:r>
      <w:r>
        <w:t xml:space="preserve"> </w:t>
      </w:r>
      <w:r>
        <w:t xml:space="preserve">which creates the necessary conditions to make securitisation more cost-efficient,</w:t>
      </w:r>
    </w:p>
    <w:p>
      <w:pPr>
        <w:pStyle w:val="Compact"/>
        <w:numPr>
          <w:ilvl w:val="0"/>
          <w:numId w:val="1011"/>
        </w:numPr>
      </w:pPr>
      <w:r>
        <w:t xml:space="preserve">more developed mortgage markets which provide banks with a sufficiently large</w:t>
      </w:r>
      <w:r>
        <w:t xml:space="preserve"> </w:t>
      </w:r>
      <w:r>
        <w:t xml:space="preserve">homogenous asset class to securitise,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the existence of public guarantee schemes, e.g. GACS in Italy, which incentivises</w:t>
      </w:r>
      <w:r>
        <w:t xml:space="preserve"> </w:t>
      </w:r>
      <w:r>
        <w:t xml:space="preserve">securitisation of non-performing loans, and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legacy of past financial crises that shaped market developments.</w:t>
      </w:r>
      <w:r>
        <w:br/>
      </w:r>
      <w:r>
        <w:t xml:space="preserve">For example, Italy and Spain saw increased securitisation activity following the sovereign debt</w:t>
      </w:r>
      <w:r>
        <w:t xml:space="preserve"> </w:t>
      </w:r>
      <w:r>
        <w:t xml:space="preserve">crisis, as banks sought alternative funding channels. The table below shows the location of the</w:t>
      </w:r>
      <w:r>
        <w:t xml:space="preserve"> </w:t>
      </w:r>
      <w:r>
        <w:t xml:space="preserve">securitised loans. Securitisation has a wider footprint in terms of jurisdictions than the table below</w:t>
      </w:r>
      <w:r>
        <w:t xml:space="preserve"> </w:t>
      </w:r>
      <w:r>
        <w:t xml:space="preserve">might suggest. For instance, Irish and Luxembourgish securitisation special purpose entities</w:t>
      </w:r>
      <w:r>
        <w:t xml:space="preserve"> </w:t>
      </w:r>
      <w:r>
        <w:t xml:space="preserve">account for nearly half of the total securitised assets in the Euro Area even though the table below</w:t>
      </w:r>
      <w:r>
        <w:t xml:space="preserve"> </w:t>
      </w:r>
      <w:r>
        <w:t xml:space="preserve">shows modest securitisation markets in those Member States. While the securitised loans might be</w:t>
      </w:r>
      <w:r>
        <w:t xml:space="preserve"> </w:t>
      </w:r>
      <w:r>
        <w:t xml:space="preserve">originated in one Member State, other key services necessary for the securitisation transaction to</w:t>
      </w:r>
      <w:r>
        <w:t xml:space="preserve"> </w:t>
      </w:r>
      <w:r>
        <w:t xml:space="preserve">take place, such as legal advisory, corporate service providers, auditors, administrators and trustees</w:t>
      </w:r>
      <w:r>
        <w:t xml:space="preserve"> </w:t>
      </w:r>
      <w:r>
        <w:t xml:space="preserve">might be provided in another Member State.</w:t>
      </w:r>
      <w:r>
        <w:t xml:space="preserve"> </w:t>
      </w:r>
      <w:r>
        <w:t xml:space="preserve">Table 3: Breakdown of the securitised assets by Member State, end-2023</w:t>
      </w:r>
      <w:r>
        <w:t xml:space="preserve"> </w:t>
      </w:r>
      <w:r>
        <w:t xml:space="preserve">Jurisdiction</w:t>
      </w:r>
      <w:r>
        <w:t xml:space="preserve"> </w:t>
      </w:r>
      <w:r>
        <w:t xml:space="preserve">Amount (bn</w:t>
      </w:r>
      <w:r>
        <w:t xml:space="preserve"> </w:t>
      </w:r>
      <w:r>
        <w:t xml:space="preserve">euro)</w:t>
      </w:r>
      <w:r>
        <w:t xml:space="preserve"> </w:t>
      </w:r>
      <w:r>
        <w:t xml:space="preserve">Percentage</w:t>
      </w:r>
      <w:r>
        <w:t xml:space="preserve"> </w:t>
      </w:r>
      <w:r>
        <w:t xml:space="preserve">of</w:t>
      </w:r>
      <w:r>
        <w:t xml:space="preserve"> </w:t>
      </w:r>
      <w:r>
        <w:t xml:space="preserve">total</w:t>
      </w:r>
      <w:r>
        <w:t xml:space="preserve"> </w:t>
      </w:r>
      <w:r>
        <w:t xml:space="preserve">Austria</w:t>
      </w:r>
      <w:r>
        <w:t xml:space="preserve"> </w:t>
      </w:r>
      <w:r>
        <w:t xml:space="preserve">20</w:t>
      </w:r>
      <w:r>
        <w:t xml:space="preserve"> </w:t>
      </w:r>
      <w:r>
        <w:t xml:space="preserve">1.70%</w:t>
      </w:r>
      <w:r>
        <w:t xml:space="preserve"> </w:t>
      </w:r>
      <w:r>
        <w:t xml:space="preserve">Belgium</w:t>
      </w:r>
      <w:r>
        <w:t xml:space="preserve"> </w:t>
      </w:r>
      <w:r>
        <w:t xml:space="preserve">47</w:t>
      </w:r>
      <w:r>
        <w:t xml:space="preserve"> </w:t>
      </w:r>
      <w:r>
        <w:t xml:space="preserve">3.95%</w:t>
      </w:r>
      <w:r>
        <w:t xml:space="preserve"> </w:t>
      </w:r>
      <w:r>
        <w:t xml:space="preserve">Bulgaria</w:t>
      </w:r>
      <w:r>
        <w:t xml:space="preserve"> </w:t>
      </w:r>
      <w:r>
        <w:t xml:space="preserve">1</w:t>
      </w:r>
      <w:r>
        <w:t xml:space="preserve"> </w:t>
      </w:r>
      <w:r>
        <w:t xml:space="preserve">0.12%</w:t>
      </w:r>
      <w:r>
        <w:t xml:space="preserve"> </w:t>
      </w:r>
      <w:r>
        <w:t xml:space="preserve">Croatia</w:t>
      </w:r>
      <w:r>
        <w:t xml:space="preserve"> </w:t>
      </w:r>
      <w:r>
        <w:t xml:space="preserve">1</w:t>
      </w:r>
      <w:r>
        <w:t xml:space="preserve"> </w:t>
      </w:r>
      <w:r>
        <w:t xml:space="preserve">0.09%</w:t>
      </w:r>
      <w:r>
        <w:t xml:space="preserve"> </w:t>
      </w:r>
      <w:r>
        <w:t xml:space="preserve">Cyprus</w:t>
      </w:r>
      <w:r>
        <w:t xml:space="preserve"> </w:t>
      </w:r>
      <w:r>
        <w:t xml:space="preserve">5</w:t>
      </w:r>
      <w:r>
        <w:t xml:space="preserve"> </w:t>
      </w:r>
      <w:r>
        <w:t xml:space="preserve">0.45%</w:t>
      </w:r>
      <w:r>
        <w:t xml:space="preserve"> </w:t>
      </w:r>
      <w:r>
        <w:t xml:space="preserve">Czechia</w:t>
      </w:r>
      <w:r>
        <w:t xml:space="preserve"> </w:t>
      </w:r>
      <w:r>
        <w:t xml:space="preserve">2</w:t>
      </w:r>
      <w:r>
        <w:t xml:space="preserve"> </w:t>
      </w:r>
      <w:r>
        <w:t xml:space="preserve">0.17%</w:t>
      </w:r>
      <w:r>
        <w:t xml:space="preserve"> </w:t>
      </w:r>
      <w:r>
        <w:t xml:space="preserve">Denmark</w:t>
      </w:r>
      <w:r>
        <w:t xml:space="preserve"> </w:t>
      </w:r>
      <w:r>
        <w:t xml:space="preserve">6</w:t>
      </w:r>
      <w:r>
        <w:t xml:space="preserve"> </w:t>
      </w:r>
      <w:r>
        <w:t xml:space="preserve">0.54%</w:t>
      </w:r>
      <w:r>
        <w:t xml:space="preserve"> </w:t>
      </w:r>
      <w:r>
        <w:t xml:space="preserve">Estonia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Finland</w:t>
      </w:r>
      <w:r>
        <w:t xml:space="preserve"> </w:t>
      </w:r>
      <w:r>
        <w:t xml:space="preserve">5</w:t>
      </w:r>
      <w:r>
        <w:t xml:space="preserve"> </w:t>
      </w:r>
      <w:r>
        <w:t xml:space="preserve">0.38%</w:t>
      </w:r>
      <w:r>
        <w:t xml:space="preserve"> </w:t>
      </w:r>
      <w:r>
        <w:t xml:space="preserve">France</w:t>
      </w:r>
      <w:r>
        <w:t xml:space="preserve"> </w:t>
      </w:r>
      <w:r>
        <w:t xml:space="preserve">244</w:t>
      </w:r>
      <w:r>
        <w:t xml:space="preserve"> </w:t>
      </w:r>
      <w:r>
        <w:t xml:space="preserve">20.30%</w:t>
      </w:r>
      <w:r>
        <w:t xml:space="preserve"> </w:t>
      </w:r>
      <w:r>
        <w:t xml:space="preserve">Germany</w:t>
      </w:r>
      <w:r>
        <w:t xml:space="preserve"> </w:t>
      </w:r>
      <w:r>
        <w:t xml:space="preserve">195</w:t>
      </w:r>
      <w:r>
        <w:t xml:space="preserve"> </w:t>
      </w:r>
      <w:r>
        <w:t xml:space="preserve">16.28%</w:t>
      </w:r>
      <w:r>
        <w:t xml:space="preserve"> </w:t>
      </w:r>
      <w:r>
        <w:t xml:space="preserve">Greece</w:t>
      </w:r>
      <w:r>
        <w:t xml:space="preserve"> </w:t>
      </w:r>
      <w:r>
        <w:t xml:space="preserve">64</w:t>
      </w:r>
      <w:r>
        <w:t xml:space="preserve"> </w:t>
      </w:r>
      <w:r>
        <w:t xml:space="preserve">5.33%</w:t>
      </w:r>
      <w:r>
        <w:t xml:space="preserve"> </w:t>
      </w:r>
      <w:r>
        <w:t xml:space="preserve">Hungary</w:t>
      </w:r>
      <w:r>
        <w:t xml:space="preserve"> </w:t>
      </w:r>
      <w:r>
        <w:t xml:space="preserve">1</w:t>
      </w:r>
      <w:r>
        <w:t xml:space="preserve"> </w:t>
      </w:r>
      <w:r>
        <w:t xml:space="preserve">0.05%</w:t>
      </w:r>
      <w:r>
        <w:t xml:space="preserve"> </w:t>
      </w:r>
      <w:r>
        <w:t xml:space="preserve">Ireland</w:t>
      </w:r>
      <w:r>
        <w:t xml:space="preserve"> </w:t>
      </w:r>
      <w:r>
        <w:t xml:space="preserve">22</w:t>
      </w:r>
      <w:r>
        <w:t xml:space="preserve"> </w:t>
      </w:r>
      <w:r>
        <w:t xml:space="preserve">1.80%</w:t>
      </w:r>
      <w:r>
        <w:t xml:space="preserve"> </w:t>
      </w:r>
      <w:r>
        <w:t xml:space="preserve">Italy</w:t>
      </w:r>
      <w:r>
        <w:t xml:space="preserve"> </w:t>
      </w:r>
      <w:r>
        <w:t xml:space="preserve">282</w:t>
      </w:r>
      <w:r>
        <w:t xml:space="preserve"> </w:t>
      </w:r>
      <w:r>
        <w:t xml:space="preserve">23.48%</w:t>
      </w:r>
      <w:r>
        <w:t xml:space="preserve"> </w:t>
      </w:r>
      <w:r>
        <w:t xml:space="preserve">Latvia</w:t>
      </w:r>
      <w:r>
        <w:t xml:space="preserve"> </w:t>
      </w:r>
      <w:r>
        <w:t xml:space="preserve">0</w:t>
      </w:r>
      <w:r>
        <w:t xml:space="preserve"> </w:t>
      </w:r>
      <w:r>
        <w:t xml:space="preserve">0.03%</w:t>
      </w:r>
      <w:r>
        <w:t xml:space="preserve"> </w:t>
      </w:r>
      <w:r>
        <w:t xml:space="preserve">Lithuania</w:t>
      </w:r>
      <w:r>
        <w:t xml:space="preserve"> </w:t>
      </w:r>
      <w:r>
        <w:t xml:space="preserve">1</w:t>
      </w:r>
      <w:r>
        <w:t xml:space="preserve"> </w:t>
      </w:r>
      <w:r>
        <w:t xml:space="preserve">0.05%</w:t>
      </w:r>
      <w:r>
        <w:t xml:space="preserve"> </w:t>
      </w:r>
      <w:r>
        <w:t xml:space="preserve">Luxembourg</w:t>
      </w:r>
      <w:r>
        <w:t xml:space="preserve"> </w:t>
      </w:r>
      <w:r>
        <w:t xml:space="preserve">9</w:t>
      </w:r>
      <w:r>
        <w:t xml:space="preserve"> </w:t>
      </w:r>
      <w:r>
        <w:t xml:space="preserve">0.77%</w:t>
      </w:r>
      <w:r>
        <w:t xml:space="preserve"> </w:t>
      </w:r>
      <w:r>
        <w:t xml:space="preserve">Malta</w:t>
      </w:r>
      <w:r>
        <w:t xml:space="preserve"> </w:t>
      </w:r>
      <w:r>
        <w:t xml:space="preserve">0</w:t>
      </w:r>
      <w:r>
        <w:t xml:space="preserve"> </w:t>
      </w:r>
      <w:r>
        <w:t xml:space="preserve">0.01%</w:t>
      </w:r>
      <w:r>
        <w:t xml:space="preserve"> </w:t>
      </w:r>
      <w:r>
        <w:t xml:space="preserve">Netherlands</w:t>
      </w:r>
      <w:r>
        <w:t xml:space="preserve"> </w:t>
      </w:r>
      <w:r>
        <w:t xml:space="preserve">128</w:t>
      </w:r>
      <w:r>
        <w:t xml:space="preserve"> </w:t>
      </w:r>
      <w:r>
        <w:t xml:space="preserve">10.64%</w:t>
      </w:r>
    </w:p>
    <w:p>
      <w:pPr>
        <w:pStyle w:val="FirstParagraph"/>
      </w:pPr>
      <w:r>
        <w:t xml:space="preserve">156</w:t>
      </w:r>
    </w:p>
    <w:p>
      <w:pPr>
        <w:pStyle w:val="BodyText"/>
      </w:pPr>
      <w:r>
        <w:t xml:space="preserve">Jurisdiction</w:t>
      </w:r>
      <w:r>
        <w:t xml:space="preserve"> </w:t>
      </w:r>
      <w:r>
        <w:t xml:space="preserve">Amount (bn</w:t>
      </w:r>
      <w:r>
        <w:t xml:space="preserve"> </w:t>
      </w:r>
      <w:r>
        <w:t xml:space="preserve">euro)</w:t>
      </w:r>
      <w:r>
        <w:t xml:space="preserve"> </w:t>
      </w:r>
      <w:r>
        <w:t xml:space="preserve">Percentage</w:t>
      </w:r>
      <w:r>
        <w:t xml:space="preserve"> </w:t>
      </w:r>
      <w:r>
        <w:t xml:space="preserve">of</w:t>
      </w:r>
      <w:r>
        <w:t xml:space="preserve"> </w:t>
      </w:r>
      <w:r>
        <w:t xml:space="preserve">total</w:t>
      </w:r>
      <w:r>
        <w:t xml:space="preserve"> </w:t>
      </w:r>
      <w:r>
        <w:t xml:space="preserve">Poland</w:t>
      </w:r>
      <w:r>
        <w:t xml:space="preserve"> </w:t>
      </w:r>
      <w:r>
        <w:t xml:space="preserve">12</w:t>
      </w:r>
      <w:r>
        <w:t xml:space="preserve"> </w:t>
      </w:r>
      <w:r>
        <w:t xml:space="preserve">0.96%</w:t>
      </w:r>
      <w:r>
        <w:t xml:space="preserve"> </w:t>
      </w:r>
      <w:r>
        <w:t xml:space="preserve">Portugal</w:t>
      </w:r>
      <w:r>
        <w:t xml:space="preserve"> </w:t>
      </w:r>
      <w:r>
        <w:t xml:space="preserve">18</w:t>
      </w:r>
      <w:r>
        <w:t xml:space="preserve"> </w:t>
      </w:r>
      <w:r>
        <w:t xml:space="preserve">1.50%</w:t>
      </w:r>
      <w:r>
        <w:t xml:space="preserve"> </w:t>
      </w:r>
      <w:r>
        <w:t xml:space="preserve">Romania</w:t>
      </w:r>
      <w:r>
        <w:t xml:space="preserve"> </w:t>
      </w:r>
      <w:r>
        <w:t xml:space="preserve">0</w:t>
      </w:r>
      <w:r>
        <w:t xml:space="preserve"> </w:t>
      </w:r>
      <w:r>
        <w:t xml:space="preserve">0.03%</w:t>
      </w:r>
      <w:r>
        <w:t xml:space="preserve"> </w:t>
      </w:r>
      <w:r>
        <w:t xml:space="preserve">Slovakia</w:t>
      </w:r>
      <w:r>
        <w:t xml:space="preserve"> </w:t>
      </w:r>
      <w:r>
        <w:t xml:space="preserve">1</w:t>
      </w:r>
      <w:r>
        <w:t xml:space="preserve"> </w:t>
      </w:r>
      <w:r>
        <w:t xml:space="preserve">0.04%</w:t>
      </w:r>
      <w:r>
        <w:t xml:space="preserve"> </w:t>
      </w:r>
      <w:r>
        <w:t xml:space="preserve">Slovenia</w:t>
      </w:r>
      <w:r>
        <w:t xml:space="preserve"> </w:t>
      </w:r>
      <w:r>
        <w:t xml:space="preserve">0</w:t>
      </w:r>
      <w:r>
        <w:t xml:space="preserve"> </w:t>
      </w:r>
      <w:r>
        <w:t xml:space="preserve">0.00%</w:t>
      </w:r>
      <w:r>
        <w:t xml:space="preserve"> </w:t>
      </w:r>
      <w:r>
        <w:t xml:space="preserve">Spain</w:t>
      </w:r>
      <w:r>
        <w:t xml:space="preserve"> </w:t>
      </w:r>
      <w:r>
        <w:t xml:space="preserve">132</w:t>
      </w:r>
      <w:r>
        <w:t xml:space="preserve"> </w:t>
      </w:r>
      <w:r>
        <w:t xml:space="preserve">11.00%</w:t>
      </w:r>
      <w:r>
        <w:t xml:space="preserve"> </w:t>
      </w:r>
      <w:r>
        <w:t xml:space="preserve">Sweden</w:t>
      </w:r>
      <w:r>
        <w:t xml:space="preserve"> </w:t>
      </w:r>
      <w:r>
        <w:t xml:space="preserve">4</w:t>
      </w:r>
      <w:r>
        <w:t xml:space="preserve"> </w:t>
      </w:r>
      <w:r>
        <w:t xml:space="preserve">0.32%</w:t>
      </w:r>
      <w:r>
        <w:t xml:space="preserve"> </w:t>
      </w:r>
      <w:r>
        <w:t xml:space="preserve">TOTAL</w:t>
      </w:r>
      <w:r>
        <w:t xml:space="preserve"> </w:t>
      </w:r>
      <w:r>
        <w:t xml:space="preserve">1,200</w:t>
      </w:r>
      <w:r>
        <w:t xml:space="preserve"> </w:t>
      </w:r>
      <w:r>
        <w:t xml:space="preserve">100.00%</w:t>
      </w:r>
      <w:r>
        <w:t xml:space="preserve"> </w:t>
      </w:r>
      <w:r>
        <w:t xml:space="preserve">Note: Whenever there are more countries of origination, only the major one shall be reported. Therefore, the</w:t>
      </w:r>
      <w:r>
        <w:t xml:space="preserve"> </w:t>
      </w:r>
      <w:r>
        <w:t xml:space="preserve">breakdown may be biased in that some EU countries may not be captured.</w:t>
      </w:r>
      <w:r>
        <w:t xml:space="preserve"> </w:t>
      </w:r>
      <w:r>
        <w:t xml:space="preserve">4. Evaluation findings</w:t>
      </w:r>
      <w:r>
        <w:br/>
      </w:r>
      <w:r>
        <w:t xml:space="preserve">The evaluation of the Securitisation Framework is structured around five assessment criteria</w:t>
      </w:r>
      <w:r>
        <w:t xml:space="preserve"> </w:t>
      </w:r>
      <w:r>
        <w:t xml:space="preserve">defined by the Better Regulation Guidelines (effectiveness, efficiency, coherence, EU added value</w:t>
      </w:r>
      <w:r>
        <w:t xml:space="preserve"> </w:t>
      </w:r>
      <w:r>
        <w:t xml:space="preserve">and relevance). These criteria are individually analysed to assess to what extent the intervention</w:t>
      </w:r>
      <w:r>
        <w:t xml:space="preserve"> </w:t>
      </w:r>
      <w:r>
        <w:t xml:space="preserve">was successful and why.</w:t>
      </w:r>
    </w:p>
    <w:p>
      <w:pPr>
        <w:pStyle w:val="BodyText"/>
      </w:pPr>
      <w:r>
        <w:t xml:space="preserve">4.1. Effectiveness</w:t>
      </w:r>
      <w:r>
        <w:t xml:space="preserve"> </w:t>
      </w:r>
      <w:r>
        <w:t xml:space="preserve">The effectiveness analysis considers how successful the Securitisation Framework has been in</w:t>
      </w:r>
      <w:r>
        <w:t xml:space="preserve"> </w:t>
      </w:r>
      <w:r>
        <w:t xml:space="preserve">achieving the general objective laid out in the 2015 Impact Assessment, namely:</w:t>
      </w:r>
      <w:r>
        <w:t xml:space="preserve"> </w:t>
      </w:r>
      <w:r>
        <w:t xml:space="preserve">“to revive a safer securitisation market that will improve the financing of the EU economy,</w:t>
      </w:r>
      <w:r>
        <w:t xml:space="preserve"> </w:t>
      </w:r>
      <w:r>
        <w:t xml:space="preserve">weakening the link between banks deleveraging needs and credit tightening in the short-run,</w:t>
      </w:r>
      <w:r>
        <w:t xml:space="preserve"> </w:t>
      </w:r>
      <w:r>
        <w:t xml:space="preserve">and creating a more balanced and stable funding structure of the EU economy in the long-</w:t>
      </w:r>
      <w:r>
        <w:t xml:space="preserve"> </w:t>
      </w:r>
      <w:r>
        <w:t xml:space="preserve">run.”</w:t>
      </w:r>
      <w:r>
        <w:t xml:space="preserve"> </w:t>
      </w:r>
      <w:r>
        <w:t xml:space="preserve">To evaluate the general objective, we assess the framework’s success in achieving the following</w:t>
      </w:r>
      <w:r>
        <w:t xml:space="preserve"> </w:t>
      </w:r>
      <w:r>
        <w:t xml:space="preserve">specific and operational objectives outlined in the 2015 Impact Assessment:</w:t>
      </w:r>
      <w:r>
        <w:t xml:space="preserve"> </w:t>
      </w:r>
      <w:r>
        <w:t xml:space="preserve">• Remove stigma from investors;</w:t>
      </w:r>
      <w:r>
        <w:br/>
      </w:r>
      <w:r>
        <w:t xml:space="preserve">• Remove regulatory disadvantages for simple and transparent securitisation products. To</w:t>
      </w:r>
      <w:r>
        <w:t xml:space="preserve"> </w:t>
      </w:r>
      <w:r>
        <w:t xml:space="preserve">enable the achievement of this objective, the intervention aimed to differentiate</w:t>
      </w:r>
      <w:r>
        <w:t xml:space="preserve"> </w:t>
      </w:r>
      <w:r>
        <w:t xml:space="preserve">‘STS’</w:t>
      </w:r>
      <w:r>
        <w:t xml:space="preserve"> </w:t>
      </w:r>
      <w:r>
        <w:t xml:space="preserve">products from more opaque and complex ones;</w:t>
      </w:r>
      <w:r>
        <w:t xml:space="preserve"> </w:t>
      </w:r>
      <w:r>
        <w:t xml:space="preserve">• Reduce/eliminate unduly high operational costs for issuers and investors. To enable the</w:t>
      </w:r>
      <w:r>
        <w:t xml:space="preserve"> </w:t>
      </w:r>
      <w:r>
        <w:t xml:space="preserve">achievement of this objective, the intervention aimed to support the standardisation of</w:t>
      </w:r>
      <w:r>
        <w:t xml:space="preserve"> </w:t>
      </w:r>
      <w:r>
        <w:t xml:space="preserve">processes and practices in securitisation markets and tackle regulatory inconsistencies.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Where the framework is considered to have been effective in achieving these specific and</w:t>
      </w:r>
      <w:r>
        <w:t xml:space="preserve"> </w:t>
      </w:r>
      <w:r>
        <w:t xml:space="preserve">operational objectives, it is also considered as effective in contributing to the general objective.</w:t>
      </w:r>
      <w:r>
        <w:t xml:space="preserve"> </w:t>
      </w:r>
      <w:r>
        <w:t xml:space="preserve">This section will quantitatively and qualitatively consider the effects of the intervention, the</w:t>
      </w:r>
      <w:r>
        <w:t xml:space="preserve"> </w:t>
      </w:r>
      <w:r>
        <w:t xml:space="preserve">external factors affecting progress towards the objectives, and the unexpected or unintended effects</w:t>
      </w:r>
      <w:r>
        <w:t xml:space="preserve"> </w:t>
      </w:r>
      <w:r>
        <w:t xml:space="preserve">driving or hampering progress.</w:t>
      </w:r>
      <w:r>
        <w:t xml:space="preserve"> </w:t>
      </w:r>
      <w:r>
        <w:t xml:space="preserve">4.1.1. How effective was the Securitisation Framework in removing investor stigma</w:t>
      </w:r>
      <w:r>
        <w:t xml:space="preserve"> </w:t>
      </w:r>
      <w:r>
        <w:t xml:space="preserve">towards securitisation</w:t>
      </w:r>
      <w:r>
        <w:t xml:space="preserve"> </w:t>
      </w:r>
      <w:r>
        <w:t xml:space="preserve">In the aftermath of the GFC, global securitisation markets suffered from investor stigma. In 2014,</w:t>
      </w:r>
      <w:r>
        <w:t xml:space="preserve"> </w:t>
      </w:r>
      <w:r>
        <w:t xml:space="preserve">a survey from the BCBS-IOSCO (Basel Committee on Banking Supervision - International</w:t>
      </w:r>
      <w:r>
        <w:t xml:space="preserve"> </w:t>
      </w:r>
      <w:r>
        <w:t xml:space="preserve">Organisation of Securities Commissions) showed that investor perception was the most critical</w:t>
      </w:r>
      <w:r>
        <w:t xml:space="preserve"> </w:t>
      </w:r>
      <w:r>
        <w:t xml:space="preserve">factor driving securitisation market developments. The main concerns were the perceived</w:t>
      </w:r>
      <w:r>
        <w:t xml:space="preserve"> </w:t>
      </w:r>
      <w:r>
        <w:t xml:space="preserve">complexity of securitisations and the potential for conflicts of interest and information asymmetry</w:t>
      </w:r>
      <w:r>
        <w:t xml:space="preserve"> </w:t>
      </w:r>
      <w:r>
        <w:t xml:space="preserve">between issuers and investors.</w:t>
      </w:r>
      <w:r>
        <w:t xml:space="preserve"> </w:t>
      </w:r>
      <w:r>
        <w:t xml:space="preserve">The SECR aimed to reduce the investor stigma associated with securitisation by i) aligning the</w:t>
      </w:r>
      <w:r>
        <w:t xml:space="preserve"> </w:t>
      </w:r>
      <w:r>
        <w:t xml:space="preserve">interests of issuers with those of investors via mandatory risk retention, ii) supporting market</w:t>
      </w:r>
      <w:r>
        <w:t xml:space="preserve"> </w:t>
      </w:r>
      <w:r>
        <w:t xml:space="preserve">transparency (thus reducing information asymmetry), iii) banning complex re-securitisations, iv)</w:t>
      </w:r>
      <w:r>
        <w:t xml:space="preserve"> </w:t>
      </w:r>
      <w:r>
        <w:t xml:space="preserve">differentiating STS securitisations from more complex ones, and v) introducing rules on credit</w:t>
      </w:r>
      <w:r>
        <w:t xml:space="preserve"> </w:t>
      </w:r>
      <w:r>
        <w:t xml:space="preserve">granting standards for securitised exposures.</w:t>
      </w:r>
      <w:r>
        <w:br/>
      </w:r>
      <w:r>
        <w:t xml:space="preserve">Investor stigma is a subjective concept based on the investor’s perception. Therefore, the best way</w:t>
      </w:r>
      <w:r>
        <w:t xml:space="preserve"> </w:t>
      </w:r>
      <w:r>
        <w:t xml:space="preserve">of measuring it is via stakeholder feedback. The feedback suggests that the Securitisation</w:t>
      </w:r>
      <w:r>
        <w:t xml:space="preserve"> </w:t>
      </w:r>
      <w:r>
        <w:t xml:space="preserve">Regulation has been partly effective in reducing investor stigma. Views were largely split in the</w:t>
      </w:r>
      <w:r>
        <w:t xml:space="preserve"> </w:t>
      </w:r>
      <w:r>
        <w:t xml:space="preserve">stakeholder feedback gathered during the latest targeted consultation (December 2024). 44 out of</w:t>
      </w:r>
      <w:r>
        <w:t xml:space="preserve"> </w:t>
      </w:r>
      <w:r>
        <w:t xml:space="preserve">131 respondents reported that the Framework has been effective at reducing investor stigma</w:t>
      </w:r>
      <w:r>
        <w:t xml:space="preserve"> </w:t>
      </w:r>
      <w:r>
        <w:t xml:space="preserve">towards EU securitisations (13 “Fully agree”, 31 “Agree”). 31 respondents disagreed (22:</w:t>
      </w:r>
      <w:r>
        <w:t xml:space="preserve"> </w:t>
      </w:r>
      <w:r>
        <w:t xml:space="preserve">“Somewhat disagree”, 9: “Fully disagree). Notably, amongst the respondents identifying as</w:t>
      </w:r>
      <w:r>
        <w:t xml:space="preserve"> </w:t>
      </w:r>
      <w:r>
        <w:t xml:space="preserve">investors, the ratio of negative responses is higher – 19 out of 51 investors responded that the</w:t>
      </w:r>
      <w:r>
        <w:t xml:space="preserve"> </w:t>
      </w:r>
      <w:r>
        <w:t xml:space="preserve">Framework has not been effective in reducing investor stigma. On the other hand, bilateral contact</w:t>
      </w:r>
      <w:r>
        <w:t xml:space="preserve"> </w:t>
      </w:r>
      <w:r>
        <w:t xml:space="preserve">with investors has seen many speak positively about securitisation.</w:t>
      </w:r>
      <w:r>
        <w:br/>
      </w:r>
      <w:r>
        <w:t xml:space="preserve">Robust credit performance should help to address the investor stigma associated with</w:t>
      </w:r>
      <w:r>
        <w:t xml:space="preserve"> </w:t>
      </w:r>
      <w:r>
        <w:t xml:space="preserve">securitisation. Figure 7 below explains the cumulative five-year average default rates for different</w:t>
      </w:r>
      <w:r>
        <w:t xml:space="preserve"> </w:t>
      </w:r>
      <w:r>
        <w:t xml:space="preserve">asset classes and time periods during the period of past 20 to 40 years (e.g. in the case of European</w:t>
      </w:r>
      <w:r>
        <w:t xml:space="preserve"> </w:t>
      </w:r>
      <w:r>
        <w:t xml:space="preserve">RMBS, it shows the 5-year cumulative default rate between 1988 and 2023). This number is</w:t>
      </w:r>
      <w:r>
        <w:t xml:space="preserve"> </w:t>
      </w:r>
      <w:r>
        <w:t xml:space="preserve">comparable with other fixed income asset classes, like European corporate bonds or global</w:t>
      </w:r>
      <w:r>
        <w:t xml:space="preserve"> </w:t>
      </w:r>
      <w:r>
        <w:t xml:space="preserve">sovereign bonds, reflecting the strong credit performance of RMBSs.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Figure 7: 5-year average cumulative default rates – European ABS, European RMBS,</w:t>
      </w:r>
      <w:r>
        <w:t xml:space="preserve"> </w:t>
      </w:r>
      <w:r>
        <w:t xml:space="preserve">European CLOs, and other fixed income asset classes</w:t>
      </w:r>
    </w:p>
    <w:p>
      <w:pPr>
        <w:pStyle w:val="BodyText"/>
      </w:pPr>
      <w:r>
        <w:t xml:space="preserve">Source: S&amp;P Global Ratings Credit Research &amp; Insights, S&amp;P Global Market Intelligence’s CreditPro, and Fitch</w:t>
      </w:r>
      <w:r>
        <w:t xml:space="preserve"> </w:t>
      </w:r>
      <w:r>
        <w:t xml:space="preserve">Ratings</w:t>
      </w:r>
      <w:r>
        <w:t xml:space="preserve"> </w:t>
      </w:r>
      <w:r>
        <w:t xml:space="preserve">4.1.2. How effective was the Securitisation Framework in differentiating simple,</w:t>
      </w:r>
      <w:r>
        <w:t xml:space="preserve"> </w:t>
      </w:r>
      <w:r>
        <w:t xml:space="preserve">transparent and standardised securitisation products from more opaque and complex ones</w:t>
      </w:r>
      <w:r>
        <w:t xml:space="preserve"> </w:t>
      </w:r>
      <w:r>
        <w:t xml:space="preserve">and in removing regulatory disadvantages for simple and transparent securitisation</w:t>
      </w:r>
      <w:r>
        <w:t xml:space="preserve"> </w:t>
      </w:r>
      <w:r>
        <w:t xml:space="preserve">products?</w:t>
      </w:r>
      <w:r>
        <w:t xml:space="preserve"> </w:t>
      </w:r>
      <w:r>
        <w:t xml:space="preserve">4.1.2.1. Differentiating simple, transparent and standardised securitisation</w:t>
      </w:r>
      <w:r>
        <w:t xml:space="preserve"> </w:t>
      </w:r>
      <w:r>
        <w:t xml:space="preserve">products from more opaque and complex ones</w:t>
      </w:r>
      <w:r>
        <w:t xml:space="preserve"> </w:t>
      </w:r>
      <w:r>
        <w:t xml:space="preserve">The Securitisation Framework aimed to distinguish simple, transparent, and standardised</w:t>
      </w:r>
      <w:r>
        <w:t xml:space="preserve"> </w:t>
      </w:r>
      <w:r>
        <w:t xml:space="preserve">securitisation products from more complex ones through the creation of the STS label. The label</w:t>
      </w:r>
      <w:r>
        <w:t xml:space="preserve"> </w:t>
      </w:r>
      <w:r>
        <w:t xml:space="preserve">outlines specific criteria for simplicity, transparency and standardisation that securitisations must</w:t>
      </w:r>
      <w:r>
        <w:t xml:space="preserve"> </w:t>
      </w:r>
      <w:r>
        <w:t xml:space="preserve">meet to be considered STS. There are distinct STS criteria that apply to longer-term traditional</w:t>
      </w:r>
      <w:r>
        <w:t xml:space="preserve"> </w:t>
      </w:r>
      <w:r>
        <w:t xml:space="preserve">(true-sale) securitisation, to short-term ABCP securitisations, and to synthetic (on-balance-sheet)</w:t>
      </w:r>
      <w:r>
        <w:t xml:space="preserve"> </w:t>
      </w:r>
      <w:r>
        <w:t xml:space="preserve">securitisations. Only when these criteria are fulfilled can securitisations be labelled as STS. This</w:t>
      </w:r>
      <w:r>
        <w:t xml:space="preserve"> </w:t>
      </w:r>
      <w:r>
        <w:t xml:space="preserve">new label therefore makes it straightforward for investors to identify and distinguish STS</w:t>
      </w:r>
      <w:r>
        <w:t xml:space="preserve"> </w:t>
      </w:r>
      <w:r>
        <w:t xml:space="preserve">securitisations from non-STS ones, which are typically less transparent and more complex as they</w:t>
      </w:r>
      <w:r>
        <w:t xml:space="preserve"> </w:t>
      </w:r>
      <w:r>
        <w:t xml:space="preserve">have presumably failed to meet at least one of the STS criteria.</w:t>
      </w:r>
      <w:r>
        <w:t xml:space="preserve"> </w:t>
      </w:r>
      <w:r>
        <w:t xml:space="preserve">Most stakeholders agree that the Framework has been effective in differentiating simple,</w:t>
      </w:r>
      <w:r>
        <w:t xml:space="preserve"> </w:t>
      </w:r>
      <w:r>
        <w:t xml:space="preserve">transparent and standardised securitisations from more opaque and complex ones. 43 out of 131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respondents to the targeted consultation responded positively (16 out of 52 investors), while only</w:t>
      </w:r>
      <w:r>
        <w:t xml:space="preserve"> </w:t>
      </w:r>
      <w:r>
        <w:t xml:space="preserve">21 had a negative assessment. Figure 8 below presents the balance of opinions.</w:t>
      </w:r>
      <w:r>
        <w:br/>
      </w:r>
      <w:r>
        <w:t xml:space="preserve">Figure 8: Responses to the question whether the securitisation framework has been effective in</w:t>
      </w:r>
      <w:r>
        <w:t xml:space="preserve"> </w:t>
      </w:r>
      <w:r>
        <w:t xml:space="preserve">differentiating simple, transparent and standardised securitisation products from more opaque</w:t>
      </w:r>
      <w:r>
        <w:t xml:space="preserve"> </w:t>
      </w:r>
      <w:r>
        <w:t xml:space="preserve">and complex ones (total of 131 respondents)</w:t>
      </w:r>
    </w:p>
    <w:p>
      <w:pPr>
        <w:pStyle w:val="BodyText"/>
      </w:pPr>
      <w:r>
        <w:t xml:space="preserve">Source: European Commission</w:t>
      </w:r>
      <w:r>
        <w:br/>
      </w:r>
      <w:r>
        <w:t xml:space="preserve">Looking at market developments, there is a clear trend pointing to an increasing preference for</w:t>
      </w:r>
      <w:r>
        <w:t xml:space="preserve"> </w:t>
      </w:r>
      <w:r>
        <w:t xml:space="preserve">STS issuance (see Table below). The share of STS issuance has been the highest in the synthetic</w:t>
      </w:r>
      <w:r>
        <w:t xml:space="preserve"> </w:t>
      </w:r>
      <w:r>
        <w:t xml:space="preserve">segment in 2021 and 2022, while in 2023 it was higher in the traditional segment due to the one-</w:t>
      </w:r>
      <w:r>
        <w:t xml:space="preserve"> </w:t>
      </w:r>
      <w:r>
        <w:t xml:space="preserve">off impact of a particularly large, retained transaction. This one-off transaction, however, is not</w:t>
      </w:r>
      <w:r>
        <w:t xml:space="preserve"> </w:t>
      </w:r>
      <w:r>
        <w:t xml:space="preserve">indicative of a general market trend in the direction of higher share of STS issuance in the</w:t>
      </w:r>
      <w:r>
        <w:t xml:space="preserve"> </w:t>
      </w:r>
      <w:r>
        <w:t xml:space="preserve">traditional securitisation segment.</w:t>
      </w:r>
      <w:r>
        <w:t xml:space="preserve"> </w:t>
      </w:r>
      <w:r>
        <w:t xml:space="preserve">Table 4: Share of STS issuance in the EU, placed and retained</w:t>
      </w:r>
    </w:p>
    <w:p>
      <w:pPr>
        <w:pStyle w:val="BodyText"/>
      </w:pPr>
      <w:r>
        <w:t xml:space="preserve">Source: EBA, COREP statistics. Total issuance figures are in EUR bn. ABCP issuance is excluded as there are no</w:t>
      </w:r>
      <w:r>
        <w:t xml:space="preserve"> </w:t>
      </w:r>
      <w:r>
        <w:t xml:space="preserve">available figures on origination amounts. These figures include securitisations originated by banks (i.e. bank is an</w:t>
      </w:r>
      <w:r>
        <w:t xml:space="preserve"> </w:t>
      </w:r>
      <w:r>
        <w:t xml:space="preserve">originator or original lender), and non-bank originated securitisations where a bank plays a role as investor.</w:t>
      </w:r>
      <w:r>
        <w:t xml:space="preserve"> </w:t>
      </w:r>
      <w:r>
        <w:t xml:space="preserve">There are no available figures to confirm a significant price difference between STS and</w:t>
      </w:r>
      <w:r>
        <w:t xml:space="preserve"> </w:t>
      </w:r>
      <w:r>
        <w:t xml:space="preserve">comparable non-STS products.</w:t>
      </w:r>
      <w:r>
        <w:t xml:space="preserve"> </w:t>
      </w:r>
      <w:r>
        <w:t xml:space="preserve">In view of these findings, we conclude that the securitisation framework has been effective in</w:t>
      </w:r>
      <w:r>
        <w:t xml:space="preserve"> </w:t>
      </w:r>
      <w:r>
        <w:t xml:space="preserve">achieving the operational objective of differentiating STS products from more opaque and</w:t>
      </w:r>
      <w:r>
        <w:t xml:space="preserve"> </w:t>
      </w:r>
      <w:r>
        <w:t xml:space="preserve">complex ones.</w:t>
      </w:r>
      <w:r>
        <w:t xml:space="preserve"> </w:t>
      </w:r>
      <w:r>
        <w:t xml:space="preserve">4.1.2.2. Removing regulatory disadvantages for simple, transparent and</w:t>
      </w:r>
      <w:r>
        <w:t xml:space="preserve"> </w:t>
      </w:r>
      <w:r>
        <w:t xml:space="preserve">standardised securitisations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Total issuance</w:t>
      </w:r>
      <w:r>
        <w:t xml:space="preserve"> </w:t>
      </w:r>
      <w:r>
        <w:t xml:space="preserve">168</w:t>
      </w:r>
      <w:r>
        <w:t xml:space="preserve"> </w:t>
      </w:r>
      <w:r>
        <w:t xml:space="preserve">219</w:t>
      </w:r>
      <w:r>
        <w:t xml:space="preserve"> </w:t>
      </w:r>
      <w:r>
        <w:t xml:space="preserve">230</w:t>
      </w:r>
      <w:r>
        <w:t xml:space="preserve"> </w:t>
      </w:r>
      <w:r>
        <w:t xml:space="preserve">322</w:t>
      </w:r>
      <w:r>
        <w:t xml:space="preserve"> </w:t>
      </w:r>
      <w:r>
        <w:t xml:space="preserve">Share of STS issuance</w:t>
      </w:r>
      <w:r>
        <w:t xml:space="preserve"> </w:t>
      </w:r>
      <w:r>
        <w:t xml:space="preserve">17.9%</w:t>
      </w:r>
      <w:r>
        <w:t xml:space="preserve"> </w:t>
      </w:r>
      <w:r>
        <w:t xml:space="preserve">40.2%</w:t>
      </w:r>
      <w:r>
        <w:t xml:space="preserve"> </w:t>
      </w:r>
      <w:r>
        <w:t xml:space="preserve">40.4%</w:t>
      </w:r>
      <w:r>
        <w:t xml:space="preserve"> </w:t>
      </w:r>
      <w:r>
        <w:t xml:space="preserve">73.6%</w:t>
      </w:r>
    </w:p>
    <w:p>
      <w:pPr>
        <w:pStyle w:val="BodyText"/>
      </w:pPr>
      <w:r>
        <w:t xml:space="preserve">160</w:t>
      </w:r>
    </w:p>
    <w:p>
      <w:pPr>
        <w:pStyle w:val="Compact"/>
        <w:numPr>
          <w:ilvl w:val="0"/>
          <w:numId w:val="1012"/>
        </w:numPr>
      </w:pPr>
      <w:r>
        <w:t xml:space="preserve">Banking</w:t>
      </w:r>
      <w:r>
        <w:t xml:space="preserve"> </w:t>
      </w:r>
      <w:r>
        <w:t xml:space="preserve">As part of the Framework the CRR was amended to establish a more risk-sensitive prudential</w:t>
      </w:r>
      <w:r>
        <w:t xml:space="preserve"> </w:t>
      </w:r>
      <w:r>
        <w:t xml:space="preserve">framework for STS securitisations. By introducing a dedicated capital treatment for STS</w:t>
      </w:r>
      <w:r>
        <w:t xml:space="preserve"> </w:t>
      </w:r>
      <w:r>
        <w:t xml:space="preserve">securitisations, the Framework has been effective in removing undue regulatory disadvantages for</w:t>
      </w:r>
      <w:r>
        <w:t xml:space="preserve"> </w:t>
      </w:r>
      <w:r>
        <w:t xml:space="preserve">STS securitisations, relative to non-STS ones. Figure 9 below compares the average risk weights</w:t>
      </w:r>
      <w:r>
        <w:t xml:space="preserve"> </w:t>
      </w:r>
      <w:r>
        <w:t xml:space="preserve">for STS versus non-STS securitisations and illustrates that average STS risk weights are</w:t>
      </w:r>
      <w:r>
        <w:t xml:space="preserve"> </w:t>
      </w:r>
      <w:r>
        <w:t xml:space="preserve">approximately half of non-STS securitisation risk weights. The STS framework therefore allows</w:t>
      </w:r>
      <w:r>
        <w:t xml:space="preserve"> </w:t>
      </w:r>
      <w:r>
        <w:t xml:space="preserve">the banks to achieve more significant capital relief compared to non-STS securitisations, and</w:t>
      </w:r>
      <w:r>
        <w:t xml:space="preserve"> </w:t>
      </w:r>
      <w:r>
        <w:t xml:space="preserve">results in a more risk-sensitive and hence more efficient capital allocation for banks.</w:t>
      </w:r>
      <w:r>
        <w:t xml:space="preserve"> </w:t>
      </w:r>
      <w:r>
        <w:t xml:space="preserve">Figure 9: Average risk weights STS versus non-STS, by different approaches to the calculation</w:t>
      </w:r>
      <w:r>
        <w:t xml:space="preserve"> </w:t>
      </w:r>
      <w:r>
        <w:t xml:space="preserve">of securitisation capital requirements for banks, Europe (G1), in Q4 2023</w:t>
      </w:r>
    </w:p>
    <w:p>
      <w:pPr>
        <w:pStyle w:val="FirstParagraph"/>
      </w:pPr>
      <w:r>
        <w:t xml:space="preserve">Source: BCBS Dashboard (sample of 15 banks; IRBA means Securitisation Internal-Ratings Based Approach, ERBA</w:t>
      </w:r>
      <w:r>
        <w:t xml:space="preserve"> </w:t>
      </w:r>
      <w:r>
        <w:t xml:space="preserve">means Securitisation External Ratings-Based Approach, IAA means Internal Assessment Approach, SA means</w:t>
      </w:r>
      <w:r>
        <w:t xml:space="preserve"> </w:t>
      </w:r>
      <w:r>
        <w:t xml:space="preserve">Securitisation Standardised Approach).</w:t>
      </w:r>
      <w:r>
        <w:t xml:space="preserve"> </w:t>
      </w:r>
      <w:r>
        <w:t xml:space="preserve">As issuance and investment in STS transactions have become significantly more attractive</w:t>
      </w:r>
      <w:r>
        <w:t xml:space="preserve"> </w:t>
      </w:r>
      <w:r>
        <w:t xml:space="preserve">compared to non-STS alternatives, one would expect absolute and relative volumes of STS</w:t>
      </w:r>
      <w:r>
        <w:t xml:space="preserve"> </w:t>
      </w:r>
      <w:r>
        <w:t xml:space="preserve">transactions to have increased significantly over time and to have scaled up the market more in</w:t>
      </w:r>
      <w:r>
        <w:t xml:space="preserve"> </w:t>
      </w:r>
      <w:r>
        <w:t xml:space="preserve">general. Based on data from EBA, since the entry into force of the framework in 2019, the share</w:t>
      </w:r>
      <w:r>
        <w:t xml:space="preserve"> </w:t>
      </w:r>
      <w:r>
        <w:t xml:space="preserve">of STS transactions for banks has slowly and gradually increased and reached 25% and 53% of</w:t>
      </w:r>
      <w:r>
        <w:t xml:space="preserve"> </w:t>
      </w:r>
      <w:r>
        <w:t xml:space="preserve">the overall outstanding volume for traditional securitisation and synthetic securitisation,</w:t>
      </w:r>
      <w:r>
        <w:t xml:space="preserve"> </w:t>
      </w:r>
      <w:r>
        <w:t xml:space="preserve">respectively, at end 2023. Figure 10 illustrates that overall outstanding volume of STS transactions</w:t>
      </w:r>
      <w:r>
        <w:t xml:space="preserve"> </w:t>
      </w:r>
      <w:r>
        <w:t xml:space="preserve">represent EUR 420 bn as of end 2023 (out of which EUR 155 bn are STS synthetic transactions,</w:t>
      </w:r>
      <w:r>
        <w:t xml:space="preserve"> </w:t>
      </w:r>
      <w:r>
        <w:t xml:space="preserve">EUR 203 bn are STS traditional securitisation, and EUR 62 bn are STS ABCP securitisations).</w:t>
      </w:r>
      <w:r>
        <w:br/>
      </w:r>
      <w:r>
        <w:t xml:space="preserve">Figure 10: Overall outstanding volumes of securitisation transactions held by banks, by STS</w:t>
      </w:r>
      <w:r>
        <w:t xml:space="preserve"> </w:t>
      </w:r>
      <w:r>
        <w:t xml:space="preserve">label (bn EUR)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Source: EBA, COREP statistics (to note these figures include securitisations originated by banks (i.e. bank is a</w:t>
      </w:r>
      <w:r>
        <w:t xml:space="preserve"> </w:t>
      </w:r>
      <w:r>
        <w:t xml:space="preserve">originator or original lender), and non-bank originated securitisations where a bank plays a role as investor).</w:t>
      </w:r>
      <w:r>
        <w:t xml:space="preserve"> </w:t>
      </w:r>
      <w:r>
        <w:t xml:space="preserve">While the STS-label has had a more positive impact on the synthetic segment, the take up for the</w:t>
      </w:r>
      <w:r>
        <w:t xml:space="preserve"> </w:t>
      </w:r>
      <w:r>
        <w:t xml:space="preserve">traditional securitisation segment and the overall STS market developments have been</w:t>
      </w:r>
      <w:r>
        <w:t xml:space="preserve"> </w:t>
      </w:r>
      <w:r>
        <w:t xml:space="preserve">underwhelming to date. The reduction in the capital conservativeness for STS securitisations, in</w:t>
      </w:r>
      <w:r>
        <w:t xml:space="preserve"> </w:t>
      </w:r>
      <w:r>
        <w:t xml:space="preserve">comparison to non-STS, does not seem to have provided a strong impetus for banks to engage</w:t>
      </w:r>
      <w:r>
        <w:t xml:space="preserve"> </w:t>
      </w:r>
      <w:r>
        <w:t xml:space="preserve">more broadly in the STS market segment. The STS label and the Framework in general did not</w:t>
      </w:r>
      <w:r>
        <w:t xml:space="preserve"> </w:t>
      </w:r>
      <w:r>
        <w:t xml:space="preserve">bring a significant amount of new bank originators or bank investors to the market, nor did it help</w:t>
      </w:r>
      <w:r>
        <w:t xml:space="preserve"> </w:t>
      </w:r>
      <w:r>
        <w:t xml:space="preserve">expand the securitisation issuance to additional Member States. Also, it is likely that a part of the</w:t>
      </w:r>
      <w:r>
        <w:t xml:space="preserve"> </w:t>
      </w:r>
      <w:r>
        <w:t xml:space="preserve">STS market are transactions that would have been issued anyway, even in the absence of the STS</w:t>
      </w:r>
      <w:r>
        <w:t xml:space="preserve"> </w:t>
      </w:r>
      <w:r>
        <w:t xml:space="preserve">framework (as these have existed also before the introduction of the framework).</w:t>
      </w:r>
      <w:r>
        <w:br/>
      </w:r>
      <w:r>
        <w:t xml:space="preserve">Several bank respondents point to the overall complexity of the STS requirements to explain why</w:t>
      </w:r>
      <w:r>
        <w:t xml:space="preserve"> </w:t>
      </w:r>
      <w:r>
        <w:t xml:space="preserve">STS issuance has remained below expectations. Others highlight the fact that the preferential</w:t>
      </w:r>
      <w:r>
        <w:t xml:space="preserve"> </w:t>
      </w:r>
      <w:r>
        <w:t xml:space="preserve">capital treatment is made conditional on the compliance with additional criteria specified in the</w:t>
      </w:r>
      <w:r>
        <w:t xml:space="preserve"> </w:t>
      </w:r>
      <w:r>
        <w:t xml:space="preserve">CRR that prescribe a minimum credit quality of the underlying exposures (arguing that de facto it</w:t>
      </w:r>
      <w:r>
        <w:t xml:space="preserve"> </w:t>
      </w:r>
      <w:r>
        <w:t xml:space="preserve">is a ‘STS+’ label), which unduly limits the scope of transactions potentially eligible for the STS</w:t>
      </w:r>
      <w:r>
        <w:t xml:space="preserve"> </w:t>
      </w:r>
      <w:r>
        <w:t xml:space="preserve">preferential treatment. All this may explain why most respondents to the targeted consultation</w:t>
      </w:r>
      <w:r>
        <w:t xml:space="preserve"> </w:t>
      </w:r>
      <w:r>
        <w:t xml:space="preserve">seem to view the Framework as unsuccessful in removing regulatory disadvantages for STS</w:t>
      </w:r>
      <w:r>
        <w:t xml:space="preserve"> </w:t>
      </w:r>
      <w:r>
        <w:t xml:space="preserve">products: 52 either fully or somewhat disagreed with the statement that the framework had</w:t>
      </w:r>
      <w:r>
        <w:t xml:space="preserve"> </w:t>
      </w:r>
      <w:r>
        <w:t xml:space="preserve">removed regulatory disadvantage for STS. In contrast, only 13 somewhat agreed or fully agreed</w:t>
      </w:r>
      <w:r>
        <w:t xml:space="preserve"> </w:t>
      </w:r>
      <w:r>
        <w:t xml:space="preserve">(12; 1, respectively).</w:t>
      </w:r>
      <w:r>
        <w:br/>
      </w:r>
      <w:r>
        <w:t xml:space="preserve">These STS developments need to be interpreted within the broader securitisation market</w:t>
      </w:r>
      <w:r>
        <w:t xml:space="preserve"> </w:t>
      </w:r>
      <w:r>
        <w:t xml:space="preserve">developments. The impact of the Securitisation Framework on reviving banks’ interest in the</w:t>
      </w:r>
      <w:r>
        <w:t xml:space="preserve"> </w:t>
      </w:r>
      <w:r>
        <w:t xml:space="preserve">securitisation market developments in general is ambiguous. Unduly high capital requirements,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both for non-STS as well as STS securitisations, has been a key element of stakeholder feedback</w:t>
      </w:r>
      <w:r>
        <w:t xml:space="preserve"> </w:t>
      </w:r>
      <w:r>
        <w:t xml:space="preserve">related to the bank prudential framework.</w:t>
      </w:r>
      <w:r>
        <w:br/>
      </w:r>
      <w:r>
        <w:t xml:space="preserve">The ESAs170 estimate that the revised prudential framework has led to an increase in banks’ capital</w:t>
      </w:r>
      <w:r>
        <w:t xml:space="preserve"> </w:t>
      </w:r>
      <w:r>
        <w:t xml:space="preserve">requirements for securitisation exposures of 114% for bank originators, 77% for bank sponsors</w:t>
      </w:r>
      <w:r>
        <w:t xml:space="preserve"> </w:t>
      </w:r>
      <w:r>
        <w:t xml:space="preserve">and 105% for bank investors across the market, with large variations in the impact depending on</w:t>
      </w:r>
      <w:r>
        <w:t xml:space="preserve"> </w:t>
      </w:r>
      <w:r>
        <w:t xml:space="preserve">the composition of the tranches held, compared to the previous regime. Senior tranches of</w:t>
      </w:r>
      <w:r>
        <w:t xml:space="preserve"> </w:t>
      </w:r>
      <w:r>
        <w:t xml:space="preserve">securitisations have experienced an increase of more than 100% in capital requirements, while</w:t>
      </w:r>
      <w:r>
        <w:t xml:space="preserve"> </w:t>
      </w:r>
      <w:r>
        <w:t xml:space="preserve">mezzanine tranches have experienced an even more significant increase of capital requirement</w:t>
      </w:r>
      <w:r>
        <w:t xml:space="preserve"> </w:t>
      </w:r>
      <w:r>
        <w:t xml:space="preserve">with a median increase of 281%. Also, as shown in Figure 11 below, on average, the required</w:t>
      </w:r>
      <w:r>
        <w:t xml:space="preserve"> </w:t>
      </w:r>
      <w:r>
        <w:t xml:space="preserve">capital for securitisations is approximately double the capital required for the capitalisation of the</w:t>
      </w:r>
      <w:r>
        <w:t xml:space="preserve"> </w:t>
      </w:r>
      <w:r>
        <w:t xml:space="preserve">underlying pool of non-securitised assets.</w:t>
      </w:r>
      <w:r>
        <w:t xml:space="preserve"> </w:t>
      </w:r>
      <w:r>
        <w:t xml:space="preserve">Figure 11: Capital non-neutrality, median for three regulatory approaches to calculation of</w:t>
      </w:r>
      <w:r>
        <w:t xml:space="preserve"> </w:t>
      </w:r>
      <w:r>
        <w:t xml:space="preserve">capital in securitisation</w:t>
      </w:r>
    </w:p>
    <w:p>
      <w:pPr>
        <w:pStyle w:val="BodyText"/>
      </w:pPr>
      <w:r>
        <w:t xml:space="preserve">Source: EBA (IRBA means Securitisation Internal Ratings-Based approach, SA means Securitisation Standardised</w:t>
      </w:r>
      <w:r>
        <w:t xml:space="preserve"> </w:t>
      </w:r>
      <w:r>
        <w:t xml:space="preserve">Approach, and ERBA means Securitisation External Ratings-Based Approach)</w:t>
      </w:r>
      <w:r>
        <w:t xml:space="preserve"> </w:t>
      </w:r>
      <w:r>
        <w:t xml:space="preserve">As securitisation adds a layer of risk in the form of complexity, agency risk and model uncertainty,</w:t>
      </w:r>
      <w:r>
        <w:t xml:space="preserve"> </w:t>
      </w:r>
      <w:r>
        <w:t xml:space="preserve">the capital charges for a securitisation should be higher than for its underlying assets (i.e. neutrality</w:t>
      </w:r>
      <w:r>
        <w:t xml:space="preserve"> </w:t>
      </w:r>
      <w:r>
        <w:t xml:space="preserve">is not justified and non-neutrality is one of defining elements of the securitisation capital</w:t>
      </w:r>
      <w:r>
        <w:t xml:space="preserve"> </w:t>
      </w:r>
      <w:r>
        <w:t xml:space="preserve">framework). Nevertheless, the current degree of non-neutrality imposed by the existing rules does</w:t>
      </w:r>
      <w:r>
        <w:t xml:space="preserve"> </w:t>
      </w:r>
      <w:r>
        <w:t xml:space="preserve">not appear fully proportionate to the increase in risk introduced by the securitisation process.</w:t>
      </w:r>
      <w:r>
        <w:t xml:space="preserve"> </w:t>
      </w:r>
      <w:r>
        <w:t xml:space="preserve">Therefore, while the presence of non-neutrality is justified, it is the degree of it that does not seems</w:t>
      </w:r>
      <w:r>
        <w:t xml:space="preserve"> </w:t>
      </w:r>
      <w:r>
        <w:t xml:space="preserve">so.</w:t>
      </w:r>
    </w:p>
    <w:p>
      <w:pPr>
        <w:pStyle w:val="BodyText"/>
      </w:pPr>
      <w:r>
        <w:t xml:space="preserve">170 JC 2022 66 - JC Advice on the review of the securitisation prudential framework - Banking.pdf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Concretely, the level of capital non-neutrality seems disproportionately high relative to the</w:t>
      </w:r>
      <w:r>
        <w:t xml:space="preserve"> </w:t>
      </w:r>
      <w:r>
        <w:t xml:space="preserve">remaining levels of agency and model risks in some types of securitisation transactions, given that</w:t>
      </w:r>
      <w:r>
        <w:t xml:space="preserve"> </w:t>
      </w:r>
      <w:r>
        <w:t xml:space="preserve">these risks have been significantly reduced following the GFC, thanks to several supervisory and</w:t>
      </w:r>
      <w:r>
        <w:t xml:space="preserve"> </w:t>
      </w:r>
      <w:r>
        <w:t xml:space="preserve">regulatory initiatives implemented in the EU. Model risks have been mitigated by several</w:t>
      </w:r>
      <w:r>
        <w:t xml:space="preserve"> </w:t>
      </w:r>
      <w:r>
        <w:t xml:space="preserve">initiatives that have enhanced the banks’ internal models (e.g. SSM completed its Targeted Review</w:t>
      </w:r>
      <w:r>
        <w:t xml:space="preserve"> </w:t>
      </w:r>
      <w:r>
        <w:t xml:space="preserve">of Internal Models (TRIM), EBA completed its IRB repair programme, the CRR3 is phasing in</w:t>
      </w:r>
      <w:r>
        <w:t xml:space="preserve"> </w:t>
      </w:r>
      <w:r>
        <w:t xml:space="preserve">the output floor requirement; all of which come on top of risk retention and the banning of re-</w:t>
      </w:r>
      <w:r>
        <w:t xml:space="preserve"> </w:t>
      </w:r>
      <w:r>
        <w:t xml:space="preserve">securitisations in the Framework171). Agency risk has been addressed by introducing risk retention</w:t>
      </w:r>
      <w:r>
        <w:t xml:space="preserve"> </w:t>
      </w:r>
      <w:r>
        <w:t xml:space="preserve">requirements (which apply universally to all securitisations, unlike in the US where a majority of</w:t>
      </w:r>
      <w:r>
        <w:t xml:space="preserve"> </w:t>
      </w:r>
      <w:r>
        <w:t xml:space="preserve">securitisations are fully excluded) and by creating the STS standard (where STS rules are</w:t>
      </w:r>
      <w:r>
        <w:t xml:space="preserve"> </w:t>
      </w:r>
      <w:r>
        <w:t xml:space="preserve">significantly more prescriptive than equivalent Basel ‘STC’ standards).</w:t>
      </w:r>
    </w:p>
    <w:p>
      <w:pPr>
        <w:pStyle w:val="BodyText"/>
      </w:pPr>
      <w:r>
        <w:t xml:space="preserve">Also, the EBA acknowledges the reduction in model and agency risk, associated with some</w:t>
      </w:r>
      <w:r>
        <w:t xml:space="preserve"> </w:t>
      </w:r>
      <w:r>
        <w:t xml:space="preserve">specific types of securitisation transactions, since the introduction of the Securitisation Framework</w:t>
      </w:r>
      <w:r>
        <w:t xml:space="preserve"> </w:t>
      </w:r>
      <w:r>
        <w:t xml:space="preserve">in the EU172. It should also be noted that the EU securitisation framework is applied more broadly</w:t>
      </w:r>
      <w:r>
        <w:t xml:space="preserve"> </w:t>
      </w:r>
      <w:r>
        <w:t xml:space="preserve">than required under Basel standards. Unlike other jurisdictions, the EU applies the Basel standards</w:t>
      </w:r>
      <w:r>
        <w:t xml:space="preserve"> </w:t>
      </w:r>
      <w:r>
        <w:t xml:space="preserve">to all its banks, large and small, both at consolidated and individual entity level, which introduces</w:t>
      </w:r>
      <w:r>
        <w:t xml:space="preserve"> </w:t>
      </w:r>
      <w:r>
        <w:t xml:space="preserve">additional layers of prudence in the EU financial system, compared to other jurisdictions.</w:t>
      </w:r>
    </w:p>
    <w:p>
      <w:pPr>
        <w:pStyle w:val="BodyText"/>
      </w:pPr>
      <w:r>
        <w:t xml:space="preserve">Capital non-neutrality also seems disproportionately high in light of the robust credit performance</w:t>
      </w:r>
      <w:r>
        <w:t xml:space="preserve"> </w:t>
      </w:r>
      <w:r>
        <w:t xml:space="preserve">of the EU securitisation market over the years173. The EU securitisation market’s resilience has</w:t>
      </w:r>
      <w:r>
        <w:t xml:space="preserve"> </w:t>
      </w:r>
      <w:r>
        <w:t xml:space="preserve">been tested through multiple economic cycles and periods of stress, including the GFC, the</w:t>
      </w:r>
      <w:r>
        <w:t xml:space="preserve"> </w:t>
      </w:r>
      <w:r>
        <w:t xml:space="preserve">Eurozone sovereign debt crisis, and the COVID-19 pandemic.</w:t>
      </w:r>
    </w:p>
    <w:p>
      <w:pPr>
        <w:pStyle w:val="BodyText"/>
      </w:pPr>
      <w:r>
        <w:t xml:space="preserve">Default rates of EU securitisations have been significantly lower than those of US securitisations.</w:t>
      </w:r>
      <w:r>
        <w:t xml:space="preserve"> </w:t>
      </w:r>
      <w:r>
        <w:t xml:space="preserve">Figure 12 below illustrates that US RMBS defaults in the period 2007-2022 dwarf those of EU</w:t>
      </w:r>
      <w:r>
        <w:t xml:space="preserve"> </w:t>
      </w:r>
      <w:r>
        <w:t xml:space="preserve">RMBS in the same period.</w:t>
      </w:r>
    </w:p>
    <w:p>
      <w:pPr>
        <w:pStyle w:val="BodyText"/>
      </w:pPr>
      <w:r>
        <w:t xml:space="preserve">Also, very few senior tranches of securitisations have ever suffered losses. Data over a 30-year</w:t>
      </w:r>
      <w:r>
        <w:t xml:space="preserve"> </w:t>
      </w:r>
      <w:r>
        <w:t xml:space="preserve">time period show that default risk and ratings transition of European securitisations across tranches</w:t>
      </w:r>
      <w:r>
        <w:t xml:space="preserve"> </w:t>
      </w:r>
      <w:r>
        <w:t xml:space="preserve">rated AAA to BB are commensurate with default and ratings transition data for other fixed income</w:t>
      </w:r>
    </w:p>
    <w:p>
      <w:pPr>
        <w:pStyle w:val="BodyText"/>
      </w:pPr>
      <w:r>
        <w:t xml:space="preserve">171 Unlike the US, Japan, Australia and Canada where re-securitisation is still permitted.</w:t>
      </w:r>
      <w:r>
        <w:t xml:space="preserve"> </w:t>
      </w:r>
      <w:r>
        <w:t xml:space="preserve">172 The EBA acknowledges the reduction in model and agency risk associated with some specific securitisation</w:t>
      </w:r>
      <w:r>
        <w:t xml:space="preserve"> </w:t>
      </w:r>
      <w:r>
        <w:t xml:space="preserve">transactions (transactions associated to originators retaining senior securitisation tranches, subject to safeguards</w:t>
      </w:r>
      <w:r>
        <w:t xml:space="preserve"> </w:t>
      </w:r>
      <w:r>
        <w:t xml:space="preserve">ensuring resilience of transactions), and advices some targeted measures to improve risk sensitivity in the capital</w:t>
      </w:r>
      <w:r>
        <w:t xml:space="preserve"> </w:t>
      </w:r>
      <w:r>
        <w:t xml:space="preserve">prudential framework. JC 2022 66 - JC Advice on the review of the securitisation prudential framework - Banking.pdf</w:t>
      </w:r>
      <w:r>
        <w:br/>
      </w:r>
      <w:r>
        <w:t xml:space="preserve">173 Apart from that, there are discrepancies between the rules applied under the securitisation internal-rating based</w:t>
      </w:r>
      <w:r>
        <w:t xml:space="preserve"> </w:t>
      </w:r>
      <w:r>
        <w:t xml:space="preserve">approach (SEC-IRBA) and securitisation standardised approach (SEC-SA), resulting in undue discrepancies between</w:t>
      </w:r>
      <w:r>
        <w:t xml:space="preserve"> </w:t>
      </w:r>
      <w:r>
        <w:t xml:space="preserve">the capital requirements for the same securitisation, when used by different types of banks. Divergencies also exist</w:t>
      </w:r>
      <w:r>
        <w:t xml:space="preserve"> </w:t>
      </w:r>
      <w:r>
        <w:t xml:space="preserve">between the prudential and regulatory treatment of the securitisations and other comparable funding tools, such as</w:t>
      </w:r>
      <w:r>
        <w:t xml:space="preserve"> </w:t>
      </w:r>
      <w:r>
        <w:t xml:space="preserve">covered bonds.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asset classes, such as European corporate bonds or global sovereign bonds, rated the same level,</w:t>
      </w:r>
      <w:r>
        <w:t xml:space="preserve"> </w:t>
      </w:r>
      <w:r>
        <w:t xml:space="preserve">reflecting the strong credit performance of securitisations.</w:t>
      </w:r>
    </w:p>
    <w:p>
      <w:pPr>
        <w:pStyle w:val="BodyText"/>
      </w:pPr>
      <w:r>
        <w:t xml:space="preserve">For example, based on data from S&amp;P for the whole universe of European structured finance</w:t>
      </w:r>
      <w:r>
        <w:t xml:space="preserve"> </w:t>
      </w:r>
      <w:r>
        <w:t xml:space="preserve">covering the period from 1983 to 2023, the yearly default rate for a mezzanine securitisation</w:t>
      </w:r>
      <w:r>
        <w:t xml:space="preserve"> </w:t>
      </w:r>
      <w:r>
        <w:t xml:space="preserve">tranche with BBB rating is less than 0.5%, while the resulting risk weights under the securitisation</w:t>
      </w:r>
      <w:r>
        <w:t xml:space="preserve"> </w:t>
      </w:r>
      <w:r>
        <w:t xml:space="preserve">capital framework are 220%174. A BBB-rated mezzanine tranche is historically comparably risky</w:t>
      </w:r>
      <w:r>
        <w:t xml:space="preserve"> </w:t>
      </w:r>
      <w:r>
        <w:t xml:space="preserve">on average as an investment grade corporate bond, which receives a 60% risk weight or 100% risk</w:t>
      </w:r>
      <w:r>
        <w:t xml:space="preserve"> </w:t>
      </w:r>
      <w:r>
        <w:t xml:space="preserve">weights under the applicable framework. The ratio of overcapitalisation is therefore between x3.7</w:t>
      </w:r>
      <w:r>
        <w:t xml:space="preserve"> </w:t>
      </w:r>
      <w:r>
        <w:t xml:space="preserve">and x2.2, in this example.</w:t>
      </w:r>
      <w:r>
        <w:br/>
      </w:r>
      <w:r>
        <w:t xml:space="preserve">Figure 12: Annual default rates of structured credit by sector contributions in per cent</w:t>
      </w:r>
    </w:p>
    <w:p>
      <w:pPr>
        <w:pStyle w:val="BodyText"/>
      </w:pPr>
      <w:r>
        <w:t xml:space="preserve">Source: BCBS dashboard (https://www.bis.org/bcbs/dashboards.htm)</w:t>
      </w:r>
      <w:r>
        <w:br/>
      </w:r>
      <w:r>
        <w:t xml:space="preserve">In addition, unjustified differences have been identified between the capital treatment of equivalent</w:t>
      </w:r>
      <w:r>
        <w:t xml:space="preserve"> </w:t>
      </w:r>
      <w:r>
        <w:t xml:space="preserve">securitisation exposures calculated by different banks using different approaches to the calculation</w:t>
      </w:r>
      <w:r>
        <w:t xml:space="preserve"> </w:t>
      </w:r>
      <w:r>
        <w:t xml:space="preserve">of capital. The level of non-neutrality under the standardised approaches (SEC-SA) is significantly</w:t>
      </w:r>
      <w:r>
        <w:t xml:space="preserve"> </w:t>
      </w:r>
      <w:r>
        <w:t xml:space="preserve">higher than the level of non-neutrality under the internal approaches (SEC-IRBA), which</w:t>
      </w:r>
      <w:r>
        <w:t xml:space="preserve"> </w:t>
      </w:r>
      <w:r>
        <w:t xml:space="preserve">disincentivises less sophisticated banks from engaging in securitisation.</w:t>
      </w:r>
    </w:p>
    <w:p>
      <w:pPr>
        <w:pStyle w:val="BodyText"/>
      </w:pPr>
      <w:r>
        <w:t xml:space="preserve">Besides undue levels of capital conservativeness, the evaluation of the Framework has uncovered</w:t>
      </w:r>
      <w:r>
        <w:t xml:space="preserve"> </w:t>
      </w:r>
      <w:r>
        <w:t xml:space="preserve">a number of additional issues, which also could provide undue barriers for the banks’ participation</w:t>
      </w:r>
      <w:r>
        <w:t xml:space="preserve"> </w:t>
      </w:r>
      <w:r>
        <w:t xml:space="preserve">in the securitisation, whether as originators or investors. One of those issues relates to the</w:t>
      </w:r>
      <w:r>
        <w:t xml:space="preserve"> </w:t>
      </w:r>
      <w:r>
        <w:t xml:space="preserve">Significant Risk Transfer (SRT) framework. The design of the ‘SRT tests’, which specify how</w:t>
      </w:r>
      <w:r>
        <w:t xml:space="preserve"> </w:t>
      </w:r>
      <w:r>
        <w:t xml:space="preserve">much risk needs to be transferred to third parties to benefit from capital relief, have a number of</w:t>
      </w:r>
      <w:r>
        <w:t xml:space="preserve"> </w:t>
      </w:r>
      <w:r>
        <w:t xml:space="preserve">structural flaws. The SRT tests do not allow to appropriately capture all possible structures of</w:t>
      </w:r>
    </w:p>
    <w:p>
      <w:pPr>
        <w:pStyle w:val="BodyText"/>
      </w:pPr>
      <w:r>
        <w:t xml:space="preserve">174 and can be even higher, depending on the approach used for the calculation of capital.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securitisations and may fail to target the transfer the risk in some cases, which may impede on the</w:t>
      </w:r>
      <w:r>
        <w:t xml:space="preserve"> </w:t>
      </w:r>
      <w:r>
        <w:t xml:space="preserve">robustness of the SRT framework175.</w:t>
      </w:r>
    </w:p>
    <w:p>
      <w:pPr>
        <w:pStyle w:val="BodyText"/>
      </w:pPr>
      <w:r>
        <w:t xml:space="preserve">The existing SRT tests also do not provide sufficient guidance on how to assess some common</w:t>
      </w:r>
      <w:r>
        <w:t xml:space="preserve"> </w:t>
      </w:r>
      <w:r>
        <w:t xml:space="preserve">structural features of securitisation transactions, which may affect the effectiveness of the risk</w:t>
      </w:r>
      <w:r>
        <w:t xml:space="preserve"> </w:t>
      </w:r>
      <w:r>
        <w:t xml:space="preserve">transfer and may cast doubt on the ability of a given transaction to meet SRT conditions. In</w:t>
      </w:r>
      <w:r>
        <w:t xml:space="preserve"> </w:t>
      </w:r>
      <w:r>
        <w:t xml:space="preserve">addition, the processes applied by the competent authorities to assess the SRT have in some</w:t>
      </w:r>
      <w:r>
        <w:t xml:space="preserve"> </w:t>
      </w:r>
      <w:r>
        <w:t xml:space="preserve">instances been inconsistent, lengthy and cumbersome. These SRT Framework limitations,</w:t>
      </w:r>
      <w:r>
        <w:t xml:space="preserve"> </w:t>
      </w:r>
      <w:r>
        <w:t xml:space="preserve">analysed in detail by EBA176, have contributed to uncertainty for the market and delays for some</w:t>
      </w:r>
      <w:r>
        <w:t xml:space="preserve"> </w:t>
      </w:r>
      <w:r>
        <w:t xml:space="preserve">securitisation transactions and have led in some cases to unjustified inconsistencies in SRT</w:t>
      </w:r>
      <w:r>
        <w:t xml:space="preserve"> </w:t>
      </w:r>
      <w:r>
        <w:t xml:space="preserve">outcomes and capital calculations in the SRT treatment of securitisations with comparable</w:t>
      </w:r>
      <w:r>
        <w:t xml:space="preserve"> </w:t>
      </w:r>
      <w:r>
        <w:t xml:space="preserve">characteristics across Member States. Overall, this has constrained banks in their capacity to use</w:t>
      </w:r>
      <w:r>
        <w:t xml:space="preserve"> </w:t>
      </w:r>
      <w:r>
        <w:t xml:space="preserve">securitisation as a capital optimisation tool and risk transfer tool.</w:t>
      </w:r>
    </w:p>
    <w:p>
      <w:pPr>
        <w:pStyle w:val="BodyText"/>
      </w:pPr>
      <w:r>
        <w:t xml:space="preserve">This has also been confirmed in the public consultation, where a majority of respondents who</w:t>
      </w:r>
      <w:r>
        <w:t xml:space="preserve"> </w:t>
      </w:r>
      <w:r>
        <w:t xml:space="preserve">actively responded do not consider the existing process of SRT supervisory assessments efficient</w:t>
      </w:r>
      <w:r>
        <w:t xml:space="preserve"> </w:t>
      </w:r>
      <w:r>
        <w:t xml:space="preserve">and adequate. Despite the more recent increase in SRT securitisation transactions (i.e. transactions</w:t>
      </w:r>
      <w:r>
        <w:t xml:space="preserve"> </w:t>
      </w:r>
      <w:r>
        <w:t xml:space="preserve">executed with a capital relief purpose)177 and improvements in the SRT assessments and processes,</w:t>
      </w:r>
      <w:r>
        <w:t xml:space="preserve"> </w:t>
      </w:r>
      <w:r>
        <w:t xml:space="preserve">some targeted changes to the existing SRT framework seem still warranted to increase the</w:t>
      </w:r>
      <w:r>
        <w:t xml:space="preserve"> </w:t>
      </w:r>
      <w:r>
        <w:t xml:space="preserve">robustness and efficiency of the SRT framework. With respect to the SRT tests applied to</w:t>
      </w:r>
      <w:r>
        <w:t xml:space="preserve"> </w:t>
      </w:r>
      <w:r>
        <w:t xml:space="preserve">securitisations, responses have been more nuanced; industry generally agrees with the conditions</w:t>
      </w:r>
      <w:r>
        <w:t xml:space="preserve"> </w:t>
      </w:r>
      <w:r>
        <w:t xml:space="preserve">of the tests governing the transfer of risks and do not see a need to make them more robust,</w:t>
      </w:r>
      <w:r>
        <w:t xml:space="preserve"> </w:t>
      </w:r>
      <w:r>
        <w:t xml:space="preserve">although they are not opposed to it. Public authorities on the other hand deem it necessary to</w:t>
      </w:r>
      <w:r>
        <w:t xml:space="preserve"> </w:t>
      </w:r>
      <w:r>
        <w:t xml:space="preserve">increase the robustness of the framework, in line with the EBA report.</w:t>
      </w:r>
    </w:p>
    <w:p>
      <w:pPr>
        <w:pStyle w:val="BodyText"/>
      </w:pPr>
      <w:r>
        <w:t xml:space="preserve">Another issue relates to the undue strictness of the eligibility rules for securitisation in the LCR.</w:t>
      </w:r>
      <w:r>
        <w:t xml:space="preserve"> </w:t>
      </w:r>
      <w:r>
        <w:t xml:space="preserve">The LCR Delegated Act seeks to ensure that banks hold a sufficient and diversified liquidity buffer</w:t>
      </w:r>
      <w:r>
        <w:t xml:space="preserve"> </w:t>
      </w:r>
      <w:r>
        <w:t xml:space="preserve">of high-quality liquid assets (HQLA) to meet net outflows under 30-day severe idiosyncratic and</w:t>
      </w:r>
      <w:r>
        <w:t xml:space="preserve"> </w:t>
      </w:r>
      <w:r>
        <w:t xml:space="preserve">market wide stress conditions. Senior tranches of securitisations of various asset classes (including</w:t>
      </w:r>
      <w:r>
        <w:t xml:space="preserve"> </w:t>
      </w:r>
      <w:r>
        <w:t xml:space="preserve">RMBS, auto loans and leases, consumer credit and SME loans) are eligible for the inclusion in the</w:t>
      </w:r>
      <w:r>
        <w:t xml:space="preserve"> </w:t>
      </w:r>
      <w:r>
        <w:t xml:space="preserve">liquidity buffer, subject to certain conditions. Many stakeholders, however, point to the overly</w:t>
      </w:r>
      <w:r>
        <w:t xml:space="preserve"> </w:t>
      </w:r>
      <w:r>
        <w:t xml:space="preserve">restrictive nature of the eligibility conditions, in particular as regards the rating requirements (only</w:t>
      </w:r>
      <w:r>
        <w:t xml:space="preserve"> </w:t>
      </w:r>
      <w:r>
        <w:t xml:space="preserve">AAA-rated exposures are allowed) and haircuts (which extend from 25 to 35%). Stakeholders</w:t>
      </w:r>
      <w:r>
        <w:t xml:space="preserve"> </w:t>
      </w:r>
      <w:r>
        <w:t xml:space="preserve">argue that the eligibility criteria are not commensurate with the market liquidity observed in the</w:t>
      </w:r>
    </w:p>
    <w:p>
      <w:pPr>
        <w:pStyle w:val="BodyText"/>
      </w:pPr>
      <w:r>
        <w:t xml:space="preserve">175 Other identified shortcomings include lack of clear safeguards against the use of tranches with insufficient</w:t>
      </w:r>
      <w:r>
        <w:t xml:space="preserve"> </w:t>
      </w:r>
      <w:r>
        <w:t xml:space="preserve">thickness, lack of additional requirements to assess the sustainability of the SRT, limited focus on the</w:t>
      </w:r>
      <w:r>
        <w:t xml:space="preserve"> </w:t>
      </w:r>
      <w:r>
        <w:t xml:space="preserve">commensurateness of the transferred risk, and other specific limitations of each test.</w:t>
      </w:r>
      <w:r>
        <w:t xml:space="preserve"> </w:t>
      </w:r>
      <w:r>
        <w:t xml:space="preserve">176 Microsoft Word - EBA Report on SRT.docx</w:t>
      </w:r>
      <w:r>
        <w:t xml:space="preserve"> </w:t>
      </w:r>
      <w:r>
        <w:t xml:space="preserve">177 Based on data from EBA, 63% of all SRT transactions are synthetic transactions (93% of synthetic transactions</w:t>
      </w:r>
      <w:r>
        <w:t xml:space="preserve"> </w:t>
      </w:r>
      <w:r>
        <w:t xml:space="preserve">apply and achieve SRT). The ECB/SSM as the main supervisor has recently been cooperating with representatives of</w:t>
      </w:r>
      <w:r>
        <w:t xml:space="preserve"> </w:t>
      </w:r>
      <w:r>
        <w:t xml:space="preserve">industry towards speeding up and simplifying the SRT processes.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product, exhibited even under recent stressed liquidity conditions. This has also negatively</w:t>
      </w:r>
      <w:r>
        <w:t xml:space="preserve"> </w:t>
      </w:r>
      <w:r>
        <w:t xml:space="preserve">impacted the bank investors’ demand for the STS traditional securitisations, because the ability of</w:t>
      </w:r>
      <w:r>
        <w:t xml:space="preserve"> </w:t>
      </w:r>
      <w:r>
        <w:t xml:space="preserve">the securitisation to be LCR-compliant is a primary criterion for banks’ investment in the STS</w:t>
      </w:r>
      <w:r>
        <w:t xml:space="preserve"> </w:t>
      </w:r>
      <w:r>
        <w:t xml:space="preserve">market segment. In turn, this has contributed to reduced demand by bank treasuries for senior</w:t>
      </w:r>
      <w:r>
        <w:t xml:space="preserve"> </w:t>
      </w:r>
      <w:r>
        <w:t xml:space="preserve">tranches of publicly offered STS traditional securitisation and is having a negative impact on the</w:t>
      </w:r>
      <w:r>
        <w:t xml:space="preserve"> </w:t>
      </w:r>
      <w:r>
        <w:t xml:space="preserve">market liquidity for those securitisations. Due to these regulatory restrictions, banks’ share in the</w:t>
      </w:r>
      <w:r>
        <w:t xml:space="preserve"> </w:t>
      </w:r>
      <w:r>
        <w:t xml:space="preserve">liquidity buffers is negligible and has never materially changed. Banks in the European Union</w:t>
      </w:r>
      <w:r>
        <w:t xml:space="preserve"> </w:t>
      </w:r>
      <w:r>
        <w:t xml:space="preserve">invest less than 1% of their liquidity buffer in securitisations.</w:t>
      </w:r>
    </w:p>
    <w:p>
      <w:pPr>
        <w:pStyle w:val="BodyText"/>
      </w:pPr>
      <w:r>
        <w:t xml:space="preserve">In sum, the evaluation of the Framework more generally has uncovered a number of undue barriers</w:t>
      </w:r>
      <w:r>
        <w:t xml:space="preserve"> </w:t>
      </w:r>
      <w:r>
        <w:t xml:space="preserve">for banks to engage in securitisation, impacting STS securitisations, but also the securitisation</w:t>
      </w:r>
      <w:r>
        <w:t xml:space="preserve"> </w:t>
      </w:r>
      <w:r>
        <w:t xml:space="preserve">market developments more broadly.</w:t>
      </w:r>
    </w:p>
    <w:p>
      <w:pPr>
        <w:pStyle w:val="BodyText"/>
      </w:pPr>
      <w:r>
        <w:t xml:space="preserve">Possible amendments to the Framework should focus on removing undue barriers for banks as</w:t>
      </w:r>
      <w:r>
        <w:t xml:space="preserve"> </w:t>
      </w:r>
      <w:r>
        <w:t xml:space="preserve">issuers of securitisations. As one of the objectives should be to transfer risks outside of the banking</w:t>
      </w:r>
      <w:r>
        <w:t xml:space="preserve"> </w:t>
      </w:r>
      <w:r>
        <w:t xml:space="preserve">sector, to other actors in the financial system best placed to bear them, banks should not be</w:t>
      </w:r>
      <w:r>
        <w:t xml:space="preserve"> </w:t>
      </w:r>
      <w:r>
        <w:t xml:space="preserve">incentivised as investors in the risky tranches of the securitisations, i.e. first loss or mezzanine</w:t>
      </w:r>
      <w:r>
        <w:t xml:space="preserve"> </w:t>
      </w:r>
      <w:r>
        <w:t xml:space="preserve">tranches which account for the majority of risks associated with securitisations. No prudential</w:t>
      </w:r>
      <w:r>
        <w:t xml:space="preserve"> </w:t>
      </w:r>
      <w:r>
        <w:t xml:space="preserve">concerns have however been perceived with respect to banks’ investments in the senior tranches,</w:t>
      </w:r>
      <w:r>
        <w:t xml:space="preserve"> </w:t>
      </w:r>
      <w:r>
        <w:t xml:space="preserve">especially of STS securitisations, which contain minimal risk, and also in the context of wider</w:t>
      </w:r>
      <w:r>
        <w:t xml:space="preserve"> </w:t>
      </w:r>
      <w:r>
        <w:t xml:space="preserve">efforts to enlarge the investor base for the senior tranches on a larger scale.</w:t>
      </w:r>
    </w:p>
    <w:p>
      <w:pPr>
        <w:pStyle w:val="Compact"/>
        <w:numPr>
          <w:ilvl w:val="0"/>
          <w:numId w:val="1013"/>
        </w:numPr>
      </w:pPr>
      <w:r>
        <w:t xml:space="preserve">Insurance</w:t>
      </w:r>
      <w:r>
        <w:t xml:space="preserve"> </w:t>
      </w:r>
      <w:r>
        <w:t xml:space="preserve">High level description of Solvency II</w:t>
      </w:r>
      <w:r>
        <w:t xml:space="preserve"> </w:t>
      </w:r>
      <w:r>
        <w:t xml:space="preserve">Insurance companies are subject to SII which regulates how much capital insurers should set</w:t>
      </w:r>
      <w:r>
        <w:t xml:space="preserve"> </w:t>
      </w:r>
      <w:r>
        <w:t xml:space="preserve">aside to cater for the risks arising from their investment activities. While bigger insurers</w:t>
      </w:r>
      <w:r>
        <w:t xml:space="preserve"> </w:t>
      </w:r>
      <w:r>
        <w:t xml:space="preserve">generally use their own modelling of risks (‘internal model’) which is more tailored to the</w:t>
      </w:r>
      <w:r>
        <w:t xml:space="preserve"> </w:t>
      </w:r>
      <w:r>
        <w:t xml:space="preserve">specificities of their risk profile, the smaller ones use the so-called ‘standard formula’ which</w:t>
      </w:r>
      <w:r>
        <w:t xml:space="preserve"> </w:t>
      </w:r>
      <w:r>
        <w:t xml:space="preserve">clearly prescribes capital requirements on investments. As regards securitisation, while insurers</w:t>
      </w:r>
      <w:r>
        <w:t xml:space="preserve"> </w:t>
      </w:r>
      <w:r>
        <w:t xml:space="preserve">using an internal model are relatively free to determine how to assess market and credit risks</w:t>
      </w:r>
      <w:r>
        <w:t xml:space="preserve"> </w:t>
      </w:r>
      <w:r>
        <w:t xml:space="preserve">(subject to prior supervisory approval) – and they do invest more in securitisation than standard</w:t>
      </w:r>
      <w:r>
        <w:t xml:space="preserve"> </w:t>
      </w:r>
      <w:r>
        <w:t xml:space="preserve">formula insurers16 –, companies which use the standard formula have no discretion when it</w:t>
      </w:r>
      <w:r>
        <w:t xml:space="preserve"> </w:t>
      </w:r>
      <w:r>
        <w:t xml:space="preserve">comes to computing capital requirements.</w:t>
      </w:r>
      <w:r>
        <w:br/>
      </w:r>
      <w:r>
        <w:t xml:space="preserve">The initiative has been effective in removing regulatory disadvantages for simple and transparent</w:t>
      </w:r>
      <w:r>
        <w:t xml:space="preserve"> </w:t>
      </w:r>
      <w:r>
        <w:t xml:space="preserve">securitisation products in terms of levels of capital requirements in comparison with more opaque</w:t>
      </w:r>
      <w:r>
        <w:t xml:space="preserve"> </w:t>
      </w:r>
      <w:r>
        <w:t xml:space="preserve">ones. It has done this by lowering the level of capital requirements for STS transactions compared</w:t>
      </w:r>
      <w:r>
        <w:t xml:space="preserve"> </w:t>
      </w:r>
      <w:r>
        <w:t xml:space="preserve">to before, and by keeping the capital requirements for non-STS transactions unchanged. Although</w:t>
      </w:r>
      <w:r>
        <w:t xml:space="preserve"> </w:t>
      </w:r>
      <w:r>
        <w:t xml:space="preserve">not explicitly identified as an objective by the initial initiative, it can be inferred that the removal</w:t>
      </w:r>
      <w:r>
        <w:t xml:space="preserve"> </w:t>
      </w:r>
      <w:r>
        <w:t xml:space="preserve">of prudential obstacles was expected to result in a framework that is more conducive to investments</w:t>
      </w:r>
    </w:p>
    <w:p>
      <w:pPr>
        <w:pStyle w:val="FirstParagraph"/>
      </w:pPr>
      <w:r>
        <w:t xml:space="preserve">167</w:t>
      </w:r>
    </w:p>
    <w:p>
      <w:pPr>
        <w:pStyle w:val="BodyText"/>
      </w:pPr>
      <w:r>
        <w:t xml:space="preserve">in high-quality securitisations. In fact, the initiative has contributed to increasing insurers’</w:t>
      </w:r>
      <w:r>
        <w:t xml:space="preserve"> </w:t>
      </w:r>
      <w:r>
        <w:t xml:space="preserve">investments in securitisation in absolute amounts, though the share of this class in insurers’</w:t>
      </w:r>
      <w:r>
        <w:t xml:space="preserve"> </w:t>
      </w:r>
      <w:r>
        <w:t xml:space="preserve">portfolios remains modest178.</w:t>
      </w:r>
    </w:p>
    <w:p>
      <w:pPr>
        <w:pStyle w:val="BodyText"/>
      </w:pPr>
      <w:r>
        <w:t xml:space="preserve">This evolution confirms the feedback collected by the Commission through its consultation</w:t>
      </w:r>
      <w:r>
        <w:t xml:space="preserve"> </w:t>
      </w:r>
      <w:r>
        <w:t xml:space="preserve">activities. For instance, a majority of respondents to the Commission targeted consultation</w:t>
      </w:r>
      <w:r>
        <w:t xml:space="preserve"> </w:t>
      </w:r>
      <w:r>
        <w:t xml:space="preserve">expressed an interest in increasing their exposure to securitisation, at the same time acknowledging</w:t>
      </w:r>
      <w:r>
        <w:t xml:space="preserve"> </w:t>
      </w:r>
      <w:r>
        <w:t xml:space="preserve">the importance of risk-return profiles and pointing to high compliance costs stemming from due</w:t>
      </w:r>
      <w:r>
        <w:t xml:space="preserve"> </w:t>
      </w:r>
      <w:r>
        <w:t xml:space="preserve">diligence requirements.</w:t>
      </w:r>
      <w:r>
        <w:br/>
      </w:r>
      <w:r>
        <w:t xml:space="preserve">Assessment of effectiveness in terms of levels of capital requirements</w:t>
      </w:r>
      <w:r>
        <w:t xml:space="preserve"> </w:t>
      </w:r>
      <w:r>
        <w:t xml:space="preserve">The introduction of dedicated prudential treatment for STS securitisation has resulted in more</w:t>
      </w:r>
      <w:r>
        <w:t xml:space="preserve"> </w:t>
      </w:r>
      <w:r>
        <w:t xml:space="preserve">differentiation between capital requirements for this type of securitisation compared with non-STS</w:t>
      </w:r>
      <w:r>
        <w:t xml:space="preserve"> </w:t>
      </w:r>
      <w:r>
        <w:t xml:space="preserve">transactions. As such, this has been effective in removing undue disadvantage for simple and</w:t>
      </w:r>
      <w:r>
        <w:t xml:space="preserve"> </w:t>
      </w:r>
      <w:r>
        <w:t xml:space="preserve">transparent securitisation when the standard formula is used. Capital requirements for simple</w:t>
      </w:r>
      <w:r>
        <w:t xml:space="preserve"> </w:t>
      </w:r>
      <w:r>
        <w:t xml:space="preserve">securitisations are now up to 10 times lower than those applicable to non-STS securitisations</w:t>
      </w:r>
      <w:r>
        <w:t xml:space="preserve"> </w:t>
      </w:r>
      <w:r>
        <w:t xml:space="preserve">(depending on the duration and seniority of the STS securitisation).</w:t>
      </w:r>
      <w:r>
        <w:br/>
      </w:r>
      <w:r>
        <w:t xml:space="preserve">Compared with previous rules, the Commission services have estimated that capital requirements</w:t>
      </w:r>
      <w:r>
        <w:t xml:space="preserve"> </w:t>
      </w:r>
      <w:r>
        <w:t xml:space="preserve">for investments in simple and transparent securitisation are now 21.5% lower than prior to the</w:t>
      </w:r>
      <w:r>
        <w:t xml:space="preserve"> </w:t>
      </w:r>
      <w:r>
        <w:t xml:space="preserve">initiative (circa 100 billion in capital relief).</w:t>
      </w:r>
    </w:p>
    <w:p>
      <w:pPr>
        <w:pStyle w:val="BodyText"/>
      </w:pPr>
      <w:r>
        <w:t xml:space="preserve">The table below shows applicable capital requirements for different durations and ratings –</w:t>
      </w:r>
      <w:r>
        <w:t xml:space="preserve"> </w:t>
      </w:r>
      <w:r>
        <w:t xml:space="preserve">reflective of relevant investment categories by insurance companies.</w:t>
      </w:r>
    </w:p>
    <w:p>
      <w:pPr>
        <w:pStyle w:val="BodyText"/>
      </w:pPr>
      <w:r>
        <w:t xml:space="preserve">2-year</w:t>
      </w:r>
      <w:r>
        <w:t xml:space="preserve"> </w:t>
      </w:r>
      <w:r>
        <w:t xml:space="preserve">duration</w:t>
      </w:r>
      <w:r>
        <w:t xml:space="preserve"> </w:t>
      </w:r>
      <w:r>
        <w:t xml:space="preserve">AAA-rated</w:t>
      </w:r>
      <w:r>
        <w:t xml:space="preserve"> </w:t>
      </w:r>
      <w:r>
        <w:t xml:space="preserve">7-year</w:t>
      </w:r>
      <w:r>
        <w:t xml:space="preserve"> </w:t>
      </w:r>
      <w:r>
        <w:t xml:space="preserve">duration</w:t>
      </w:r>
      <w:r>
        <w:t xml:space="preserve"> </w:t>
      </w:r>
      <w:r>
        <w:t xml:space="preserve">AA-rated</w:t>
      </w:r>
      <w:r>
        <w:t xml:space="preserve"> </w:t>
      </w:r>
      <w:r>
        <w:t xml:space="preserve">3-year</w:t>
      </w:r>
      <w:r>
        <w:t xml:space="preserve"> </w:t>
      </w:r>
      <w:r>
        <w:t xml:space="preserve">duration</w:t>
      </w:r>
      <w:r>
        <w:t xml:space="preserve"> </w:t>
      </w:r>
      <w:r>
        <w:t xml:space="preserve">BBB-rated</w:t>
      </w:r>
      <w:r>
        <w:t xml:space="preserve"> </w:t>
      </w:r>
      <w:r>
        <w:t xml:space="preserve">Senior</w:t>
      </w:r>
      <w:r>
        <w:t xml:space="preserve"> </w:t>
      </w:r>
      <w:r>
        <w:t xml:space="preserve">STS</w:t>
      </w:r>
      <w:r>
        <w:t xml:space="preserve"> </w:t>
      </w:r>
      <w:r>
        <w:t xml:space="preserve">securitisation</w:t>
      </w:r>
      <w:r>
        <w:t xml:space="preserve"> </w:t>
      </w:r>
      <w:r>
        <w:t xml:space="preserve">2%</w:t>
      </w:r>
      <w:r>
        <w:t xml:space="preserve"> </w:t>
      </w:r>
      <w:r>
        <w:t xml:space="preserve">7,4%</w:t>
      </w:r>
      <w:r>
        <w:t xml:space="preserve"> </w:t>
      </w:r>
      <w:r>
        <w:t xml:space="preserve">8,4%</w:t>
      </w:r>
      <w:r>
        <w:t xml:space="preserve"> </w:t>
      </w:r>
      <w:r>
        <w:t xml:space="preserve">Non-senior</w:t>
      </w:r>
      <w:r>
        <w:t xml:space="preserve"> </w:t>
      </w:r>
      <w:r>
        <w:t xml:space="preserve">STS</w:t>
      </w:r>
      <w:r>
        <w:t xml:space="preserve"> </w:t>
      </w:r>
      <w:r>
        <w:t xml:space="preserve">securitisation</w:t>
      </w:r>
      <w:r>
        <w:t xml:space="preserve"> </w:t>
      </w:r>
      <w:r>
        <w:t xml:space="preserve">5.6%</w:t>
      </w:r>
      <w:r>
        <w:t xml:space="preserve"> </w:t>
      </w:r>
      <w:r>
        <w:t xml:space="preserve">20,8%</w:t>
      </w:r>
      <w:r>
        <w:t xml:space="preserve"> </w:t>
      </w:r>
      <w:r>
        <w:t xml:space="preserve">23,7%</w:t>
      </w:r>
      <w:r>
        <w:t xml:space="preserve"> </w:t>
      </w:r>
      <w:r>
        <w:t xml:space="preserve">Non-STS</w:t>
      </w:r>
      <w:r>
        <w:t xml:space="preserve"> </w:t>
      </w:r>
      <w:r>
        <w:t xml:space="preserve">securitisation</w:t>
      </w:r>
      <w:r>
        <w:t xml:space="preserve"> </w:t>
      </w:r>
      <w:r>
        <w:t xml:space="preserve">25%</w:t>
      </w:r>
      <w:r>
        <w:t xml:space="preserve"> </w:t>
      </w:r>
      <w:r>
        <w:t xml:space="preserve">93,8%</w:t>
      </w:r>
      <w:r>
        <w:t xml:space="preserve"> </w:t>
      </w:r>
      <w:r>
        <w:t xml:space="preserve">59,1%</w:t>
      </w:r>
      <w:r>
        <w:t xml:space="preserve"> </w:t>
      </w:r>
      <w:r>
        <w:t xml:space="preserve">Note: How to read the table: when investing EUR 100 in a 2-year duration AAA-rated securitisation, the amount of</w:t>
      </w:r>
      <w:r>
        <w:t xml:space="preserve"> </w:t>
      </w:r>
      <w:r>
        <w:t xml:space="preserve">capital to set aside for insurers is EUR 2 if the securitisation is “senior STS”, EUR 5.6 if the securitisation is non-</w:t>
      </w:r>
      <w:r>
        <w:t xml:space="preserve"> </w:t>
      </w:r>
      <w:r>
        <w:t xml:space="preserve">senior STS, and EUR 25 if the securitisation is non-STS.</w:t>
      </w:r>
      <w:r>
        <w:t xml:space="preserve"> </w:t>
      </w:r>
      <w:r>
        <w:t xml:space="preserve">As expected, the reform had no effect on insurers which use an internal model. This is because</w:t>
      </w:r>
      <w:r>
        <w:t xml:space="preserve"> </w:t>
      </w:r>
      <w:r>
        <w:t xml:space="preserve">even before the initiative, insurers using an internal model had the ability to make tailor-made</w:t>
      </w:r>
      <w:r>
        <w:t xml:space="preserve"> </w:t>
      </w:r>
      <w:r>
        <w:t xml:space="preserve">modelling of the risk profile of their actual portfolio. The change to standard formula capital</w:t>
      </w:r>
      <w:r>
        <w:t xml:space="preserve"> </w:t>
      </w:r>
      <w:r>
        <w:t xml:space="preserve">charges – which they do not use – has therefore no effect on their modelling capacities.</w:t>
      </w:r>
    </w:p>
    <w:p>
      <w:pPr>
        <w:pStyle w:val="BodyText"/>
      </w:pPr>
      <w:r>
        <w:t xml:space="preserve">178 In view of the trillion euros of assets under management, even a slight increase in the share of investments in</w:t>
      </w:r>
      <w:r>
        <w:t xml:space="preserve"> </w:t>
      </w:r>
      <w:r>
        <w:t xml:space="preserve">securitization can translate into a material increase in investments in absolute amounts.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As part of the targeted consultation, some stakeholders – the majority of which are non-insurers –</w:t>
      </w:r>
      <w:r>
        <w:t xml:space="preserve"> </w:t>
      </w:r>
      <w:r>
        <w:t xml:space="preserve">claim that like for the standard formula, capital requirements based on internal models can</w:t>
      </w:r>
      <w:r>
        <w:t xml:space="preserve"> </w:t>
      </w:r>
      <w:r>
        <w:t xml:space="preserve">disincentivise investments in securitisations. However, the detailed answers supporting such</w:t>
      </w:r>
      <w:r>
        <w:t xml:space="preserve"> </w:t>
      </w:r>
      <w:r>
        <w:t xml:space="preserve">criticisms suggest other factors being pertinent, such as risk modelling maintenance (e.g., high</w:t>
      </w:r>
      <w:r>
        <w:t xml:space="preserve"> </w:t>
      </w:r>
      <w:r>
        <w:t xml:space="preserve">costs of keeping the model fit for purpose and up-to-date), data miscalibrations (e.g., some</w:t>
      </w:r>
      <w:r>
        <w:t xml:space="preserve"> </w:t>
      </w:r>
      <w:r>
        <w:t xml:space="preserve">stakeholders complain about the use of historical post financial crisis data dominated by spread</w:t>
      </w:r>
      <w:r>
        <w:t xml:space="preserve"> </w:t>
      </w:r>
      <w:r>
        <w:t xml:space="preserve">volatility, rating migration, etc.) which are not securitisation-specific, but concern any asset class.</w:t>
      </w:r>
      <w:r>
        <w:t xml:space="preserve"> </w:t>
      </w:r>
      <w:r>
        <w:t xml:space="preserve">In addition, supervisory authorities may also have negative perceptions about securitisation</w:t>
      </w:r>
      <w:r>
        <w:t xml:space="preserve"> </w:t>
      </w:r>
      <w:r>
        <w:t xml:space="preserve">(stigma) and could exercise stricter scrutiny when approving internal models on securitisation,</w:t>
      </w:r>
      <w:r>
        <w:t xml:space="preserve"> </w:t>
      </w:r>
      <w:r>
        <w:t xml:space="preserve">although there is no available concrete evidence of such possible risk. On the other hand, some</w:t>
      </w:r>
      <w:r>
        <w:t xml:space="preserve"> </w:t>
      </w:r>
      <w:r>
        <w:t xml:space="preserve">other insurance stakeholders point out that internal models capture the risk reduction benefits</w:t>
      </w:r>
      <w:r>
        <w:t xml:space="preserve"> </w:t>
      </w:r>
      <w:r>
        <w:t xml:space="preserve">associated with securitisation more effectively than the standard formula for capital requirements.</w:t>
      </w:r>
      <w:r>
        <w:t xml:space="preserve"> </w:t>
      </w:r>
      <w:r>
        <w:t xml:space="preserve">In any case, no stakeholder identified a clear area of ‘change’ to the internal model framework</w:t>
      </w:r>
      <w:r>
        <w:t xml:space="preserve"> </w:t>
      </w:r>
      <w:r>
        <w:t xml:space="preserve">applicable to securitisation.</w:t>
      </w:r>
      <w:r>
        <w:t xml:space="preserve"> </w:t>
      </w:r>
      <w:r>
        <w:t xml:space="preserve">Assessment of effectiveness in terms of increasing levels of investments in simple and</w:t>
      </w:r>
      <w:r>
        <w:t xml:space="preserve"> </w:t>
      </w:r>
      <w:r>
        <w:t xml:space="preserve">transparent securitisations</w:t>
      </w:r>
      <w:r>
        <w:t xml:space="preserve"> </w:t>
      </w:r>
      <w:r>
        <w:t xml:space="preserve">The effectiveness of prudential changes, stemming from the 2019 reform, on the level of</w:t>
      </w:r>
      <w:r>
        <w:t xml:space="preserve"> </w:t>
      </w:r>
      <w:r>
        <w:t xml:space="preserve">investments in simple and transparent securitisations is more ambiguous. Investments in STS</w:t>
      </w:r>
      <w:r>
        <w:t xml:space="preserve"> </w:t>
      </w:r>
      <w:r>
        <w:t xml:space="preserve">securitisations remain the minority of insurers’ securitisation investments despite the much lower</w:t>
      </w:r>
      <w:r>
        <w:t xml:space="preserve"> </w:t>
      </w:r>
      <w:r>
        <w:t xml:space="preserve">capital requirements. In absolute amounts, securitisation investments have increased by EUR</w:t>
      </w:r>
      <w:r>
        <w:t xml:space="preserve"> </w:t>
      </w:r>
      <w:r>
        <w:t xml:space="preserve">between 5 and 6 billion between end-of-2018 and end-of-2023, 2018 being the last year under</w:t>
      </w:r>
      <w:r>
        <w:t xml:space="preserve"> </w:t>
      </w:r>
      <w:r>
        <w:t xml:space="preserve">‘old’ rules prior to the introduction of the current Framework179. In relative terms, this represents</w:t>
      </w:r>
      <w:r>
        <w:t xml:space="preserve"> </w:t>
      </w:r>
      <w:r>
        <w:t xml:space="preserve">a significant increase of between 50% and 66%, albeit from a very small base180.</w:t>
      </w:r>
    </w:p>
    <w:p>
      <w:pPr>
        <w:pStyle w:val="BodyText"/>
      </w:pPr>
      <w:r>
        <w:t xml:space="preserve">Capital requirements on senior STS securitisation are very close to those applicable to bonds. Still,</w:t>
      </w:r>
      <w:r>
        <w:t xml:space="preserve"> </w:t>
      </w:r>
      <w:r>
        <w:t xml:space="preserve">the share of STS securitisation in investment portfolios is negligible, whereas corporate bonds</w:t>
      </w:r>
      <w:r>
        <w:t xml:space="preserve"> </w:t>
      </w:r>
      <w:r>
        <w:t xml:space="preserve">make up 18% of total investments. In fact, there is no evidence that STS securitisation offers a</w:t>
      </w:r>
      <w:r>
        <w:t xml:space="preserve"> </w:t>
      </w:r>
      <w:r>
        <w:t xml:space="preserve">return that is significantly higher than that applicable to other fixed income asset classes of similar</w:t>
      </w:r>
      <w:r>
        <w:t xml:space="preserve"> </w:t>
      </w:r>
      <w:r>
        <w:t xml:space="preserve">credit quality. For instance, according to some data shared by industry stakeholders with DG</w:t>
      </w:r>
      <w:r>
        <w:t xml:space="preserve"> </w:t>
      </w:r>
      <w:r>
        <w:t xml:space="preserve">FISMA, in January 2025 there was a 10-basis point differential between the spreads on AAA-rated</w:t>
      </w:r>
      <w:r>
        <w:t xml:space="preserve"> </w:t>
      </w:r>
      <w:r>
        <w:t xml:space="preserve">(senior) STS mortgage-backed securitisation and corporate bonds with the same ratings181.</w:t>
      </w:r>
    </w:p>
    <w:p>
      <w:pPr>
        <w:pStyle w:val="BodyText"/>
      </w:pPr>
      <w:r>
        <w:t xml:space="preserve">179 The figures cover standard formula insurers which are the beneficiaries of the changes in prudential rules.</w:t>
      </w:r>
      <w:r>
        <w:t xml:space="preserve"> </w:t>
      </w:r>
      <w:r>
        <w:t xml:space="preserve">Depending on the data source, these vary slightly.</w:t>
      </w:r>
      <w:r>
        <w:t xml:space="preserve"> </w:t>
      </w:r>
      <w:r>
        <w:t xml:space="preserve">180 The uncertainty stems from inconsistencies in insurers’ reported data, which vary depending on the quantitative</w:t>
      </w:r>
      <w:r>
        <w:t xml:space="preserve"> </w:t>
      </w:r>
      <w:r>
        <w:t xml:space="preserve">reporting template based on which the Commission services’ assessment is made</w:t>
      </w:r>
      <w:r>
        <w:t xml:space="preserve"> </w:t>
      </w:r>
      <w:r>
        <w:t xml:space="preserve">181 Source: BofA Global Research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One of the reasons for the low yield on senior STS securitisation, in particular STS RMBS, may</w:t>
      </w:r>
      <w:r>
        <w:t xml:space="preserve"> </w:t>
      </w:r>
      <w:r>
        <w:t xml:space="preserve">be the fact that the pool of loans to be securitised was originated during times where interest rates</w:t>
      </w:r>
      <w:r>
        <w:t xml:space="preserve"> </w:t>
      </w:r>
      <w:r>
        <w:t xml:space="preserve">on such loans were exceptionally low (in some Member States even 1% or lower), which means</w:t>
      </w:r>
      <w:r>
        <w:t xml:space="preserve"> </w:t>
      </w:r>
      <w:r>
        <w:t xml:space="preserve">that the most senior tranches of a securitisation of such loans would have very low yields. In</w:t>
      </w:r>
      <w:r>
        <w:t xml:space="preserve"> </w:t>
      </w:r>
      <w:r>
        <w:t xml:space="preserve">addition, capital requirements, though quite low, remain slightly higher than those applicable to</w:t>
      </w:r>
      <w:r>
        <w:t xml:space="preserve"> </w:t>
      </w:r>
      <w:r>
        <w:t xml:space="preserve">such similar asset classes. Investments in securitisations requires, in addition, implementing</w:t>
      </w:r>
      <w:r>
        <w:t xml:space="preserve"> </w:t>
      </w:r>
      <w:r>
        <w:t xml:space="preserve">extensive due diligence requirements – more extensive than for other asset classes (see next</w:t>
      </w:r>
      <w:r>
        <w:t xml:space="preserve"> </w:t>
      </w:r>
      <w:r>
        <w:t xml:space="preserve">section). This means that the return on risk adjusted capital (i.e. put in simpler terms, financial</w:t>
      </w:r>
      <w:r>
        <w:t xml:space="preserve"> </w:t>
      </w:r>
      <w:r>
        <w:t xml:space="preserve">return divided by applicable capital and compliance requirements) remains lower for STS</w:t>
      </w:r>
      <w:r>
        <w:t xml:space="preserve"> </w:t>
      </w:r>
      <w:r>
        <w:t xml:space="preserve">securitisation.</w:t>
      </w:r>
    </w:p>
    <w:p>
      <w:pPr>
        <w:pStyle w:val="BodyText"/>
      </w:pPr>
      <w:r>
        <w:t xml:space="preserve">According to the responses to the targeted consultation, for a majority of stakeholders capital</w:t>
      </w:r>
      <w:r>
        <w:t xml:space="preserve"> </w:t>
      </w:r>
      <w:r>
        <w:t xml:space="preserve">requirements are disproportionate and not commensurate with the risk of STS securitisations. It is</w:t>
      </w:r>
      <w:r>
        <w:t xml:space="preserve"> </w:t>
      </w:r>
      <w:r>
        <w:t xml:space="preserve">however disputable that prudential rules on STS securitisation are a major obstacle to investments.</w:t>
      </w:r>
    </w:p>
    <w:p>
      <w:pPr>
        <w:pStyle w:val="BodyText"/>
      </w:pPr>
      <w:r>
        <w:t xml:space="preserve">As regards senior STS securitisations, capital requirements only exceed those of corporate bonds</w:t>
      </w:r>
      <w:r>
        <w:t xml:space="preserve"> </w:t>
      </w:r>
      <w:r>
        <w:t xml:space="preserve">by less than 2 percentage points, depending on the rating and duration. Despite the small difference</w:t>
      </w:r>
      <w:r>
        <w:t xml:space="preserve"> </w:t>
      </w:r>
      <w:r>
        <w:t xml:space="preserve">in capital requirements, insurers allocate a much bigger portion of their investment portfolio to</w:t>
      </w:r>
      <w:r>
        <w:t xml:space="preserve"> </w:t>
      </w:r>
      <w:r>
        <w:t xml:space="preserve">corporate bonds in comparison to securitisation products (circa 28% vs less than 1% of total</w:t>
      </w:r>
      <w:r>
        <w:t xml:space="preserve"> </w:t>
      </w:r>
      <w:r>
        <w:t xml:space="preserve">investments in 2023182). This indicates that other factors, besides capital requirements, influence</w:t>
      </w:r>
      <w:r>
        <w:t xml:space="preserve"> </w:t>
      </w:r>
      <w:r>
        <w:t xml:space="preserve">insurers’ preference for corporate bonds.</w:t>
      </w:r>
    </w:p>
    <w:p>
      <w:pPr>
        <w:pStyle w:val="BodyText"/>
      </w:pPr>
      <w:r>
        <w:t xml:space="preserve">As regards non-senior STS securitisations, the average ratio of capital charges for non-senior to</w:t>
      </w:r>
      <w:r>
        <w:t xml:space="preserve"> </w:t>
      </w:r>
      <w:r>
        <w:t xml:space="preserve">senior STS securitisation is broadly in line with banking rules under the 2019 framework183. The</w:t>
      </w:r>
      <w:r>
        <w:t xml:space="preserve"> </w:t>
      </w:r>
      <w:r>
        <w:t xml:space="preserve">lack of supply of non-senior STS tranches may be driving the low level of insurers’ investments.</w:t>
      </w:r>
      <w:r>
        <w:t xml:space="preserve"> </w:t>
      </w:r>
      <w:r>
        <w:t xml:space="preserve">Based on data by AFME, the outstanding balance of securitisation tranches rated A or lower (used</w:t>
      </w:r>
      <w:r>
        <w:t xml:space="preserve"> </w:t>
      </w:r>
      <w:r>
        <w:t xml:space="preserve">as a proxy for non-senior tranches) represented 13.3% of the total outstanding balance of rated</w:t>
      </w:r>
      <w:r>
        <w:t xml:space="preserve"> </w:t>
      </w:r>
      <w:r>
        <w:t xml:space="preserve">securitisations in Europe at the end of 2023. By comparison, in the US where insurers are much</w:t>
      </w:r>
      <w:r>
        <w:t xml:space="preserve"> </w:t>
      </w:r>
      <w:r>
        <w:t xml:space="preserve">more active investors in the securitisation market, this ratio stood at 45.2%. Another obstacle to</w:t>
      </w:r>
      <w:r>
        <w:t xml:space="preserve"> </w:t>
      </w:r>
      <w:r>
        <w:t xml:space="preserve">insurers’ investment in this segment could be high market competition, as originating banks also</w:t>
      </w:r>
      <w:r>
        <w:t xml:space="preserve"> </w:t>
      </w:r>
      <w:r>
        <w:t xml:space="preserve">confirm that non-senior STS tranches are largely over-subscribed (i.e. the demand exceeds by a</w:t>
      </w:r>
      <w:r>
        <w:t xml:space="preserve"> </w:t>
      </w:r>
      <w:r>
        <w:t xml:space="preserve">large multiple the supply).</w:t>
      </w:r>
    </w:p>
    <w:p>
      <w:pPr>
        <w:pStyle w:val="BodyText"/>
      </w:pPr>
      <w:r>
        <w:t xml:space="preserve">182 Source: EIOPA’s statistics</w:t>
      </w:r>
      <w:r>
        <w:t xml:space="preserve"> </w:t>
      </w:r>
      <w:r>
        <w:t xml:space="preserve">183 In fact, the STS calibrations for Solvency II precisely aimed at ensuring sufficient consistency with the</w:t>
      </w:r>
      <w:r>
        <w:t xml:space="preserve"> </w:t>
      </w:r>
      <w:r>
        <w:t xml:space="preserve">requirements under the banking external ratings-based approach (SEC-ERBA), which is technically the closest to</w:t>
      </w:r>
      <w:r>
        <w:t xml:space="preserve"> </w:t>
      </w:r>
      <w:r>
        <w:t xml:space="preserve">Solvency II rules and allows for the most ‘straightforward’ comparison.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There are other reasons which may also explain why insurers are not more engaged in the</w:t>
      </w:r>
      <w:r>
        <w:t xml:space="preserve"> </w:t>
      </w:r>
      <w:r>
        <w:t xml:space="preserve">securitisation market. The 2022 EIOPA advice on securitisation184 indicates that securitisation</w:t>
      </w:r>
      <w:r>
        <w:t xml:space="preserve"> </w:t>
      </w:r>
      <w:r>
        <w:t xml:space="preserve">does not match insurers’ investment preferences which are focused on the ‘financial risk / return</w:t>
      </w:r>
      <w:r>
        <w:t xml:space="preserve"> </w:t>
      </w:r>
      <w:r>
        <w:t xml:space="preserve">profile’ (and not the ‘prudential cost / return profile’) of the investment and asset-liability</w:t>
      </w:r>
      <w:r>
        <w:t xml:space="preserve"> </w:t>
      </w:r>
      <w:r>
        <w:t xml:space="preserve">management, in particular for insurance products with long-term life liability and fixed cash flows</w:t>
      </w:r>
      <w:r>
        <w:t xml:space="preserve"> </w:t>
      </w:r>
      <w:r>
        <w:t xml:space="preserve">(which is the case not only for life insurers, but also for many non-life insurers offering liability</w:t>
      </w:r>
      <w:r>
        <w:t xml:space="preserve"> </w:t>
      </w:r>
      <w:r>
        <w:t xml:space="preserve">insurance) which insurers seek to cover with long-term fixed rate investments in order to reduce</w:t>
      </w:r>
      <w:r>
        <w:t xml:space="preserve"> </w:t>
      </w:r>
      <w:r>
        <w:t xml:space="preserve">the risk that changes in the level of interest rates or in the rhythm of cash inflows, lead to a</w:t>
      </w:r>
      <w:r>
        <w:t xml:space="preserve"> </w:t>
      </w:r>
      <w:r>
        <w:t xml:space="preserve">deterioration of their capital position. The importance of an effective asset liability management</w:t>
      </w:r>
      <w:r>
        <w:t xml:space="preserve"> </w:t>
      </w:r>
      <w:r>
        <w:t xml:space="preserve">became evident during the past years when interest rates varied a lot. However, this assessment</w:t>
      </w:r>
      <w:r>
        <w:t xml:space="preserve"> </w:t>
      </w:r>
      <w:r>
        <w:t xml:space="preserve">needs to be nuanced. EU insurers were more active in the securitisation market prior to the GFC</w:t>
      </w:r>
      <w:r>
        <w:t xml:space="preserve"> </w:t>
      </w:r>
      <w:r>
        <w:t xml:space="preserve">which suggests that they did identify an interest in this asset class. In addition, US insurers are</w:t>
      </w:r>
      <w:r>
        <w:t xml:space="preserve"> </w:t>
      </w:r>
      <w:r>
        <w:t xml:space="preserve">significantly investing in securitisation. This contradicts the statement that securitisation is not</w:t>
      </w:r>
      <w:r>
        <w:t xml:space="preserve"> </w:t>
      </w:r>
      <w:r>
        <w:t xml:space="preserve">appropriate to match long-term liabilities as US life insurers largely underwrite annuity products</w:t>
      </w:r>
      <w:r>
        <w:t xml:space="preserve"> </w:t>
      </w:r>
      <w:r>
        <w:t xml:space="preserve">with very long duration and regular cash outflows.</w:t>
      </w:r>
    </w:p>
    <w:p>
      <w:pPr>
        <w:pStyle w:val="BodyText"/>
      </w:pPr>
      <w:r>
        <w:t xml:space="preserve">Another reason for the lack of demand for securitisation from the insurance industry is that</w:t>
      </w:r>
      <w:r>
        <w:t xml:space="preserve"> </w:t>
      </w:r>
      <w:r>
        <w:t xml:space="preserve">investors perceive securitisation as a complex product with extensive and costly due diligence</w:t>
      </w:r>
      <w:r>
        <w:t xml:space="preserve"> </w:t>
      </w:r>
      <w:r>
        <w:t xml:space="preserve">requirements (see assessment in section 4.1.3. below).</w:t>
      </w:r>
      <w:r>
        <w:t xml:space="preserve"> </w:t>
      </w:r>
      <w:r>
        <w:t xml:space="preserve">4.1.3.</w:t>
      </w:r>
      <w:r>
        <w:t xml:space="preserve"> </w:t>
      </w:r>
      <w:r>
        <w:t xml:space="preserve">How</w:t>
      </w:r>
      <w:r>
        <w:t xml:space="preserve"> </w:t>
      </w:r>
      <w:r>
        <w:t xml:space="preserve">effective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Securitisation</w:t>
      </w:r>
      <w:r>
        <w:t xml:space="preserve"> </w:t>
      </w:r>
      <w:r>
        <w:t xml:space="preserve">Framework</w:t>
      </w:r>
      <w:r>
        <w:t xml:space="preserve"> </w:t>
      </w:r>
      <w:r>
        <w:t xml:space="preserve">been</w:t>
      </w:r>
      <w:r>
        <w:t xml:space="preserve"> </w:t>
      </w:r>
      <w:r>
        <w:t xml:space="preserve">in</w:t>
      </w:r>
      <w:r>
        <w:t xml:space="preserve"> </w:t>
      </w:r>
      <w:r>
        <w:t xml:space="preserve">reducing/eliminating unduly high operational costs for issuers and investors?</w:t>
      </w:r>
      <w:r>
        <w:br/>
      </w:r>
      <w:r>
        <w:t xml:space="preserve">The 2015 Impact Assessment highlighted the absence of standardisation in data provision across</w:t>
      </w:r>
      <w:r>
        <w:t xml:space="preserve"> </w:t>
      </w:r>
      <w:r>
        <w:t xml:space="preserve">different types of securitisations as a determining factor behind the costly due diligence and credit</w:t>
      </w:r>
      <w:r>
        <w:t xml:space="preserve"> </w:t>
      </w:r>
      <w:r>
        <w:t xml:space="preserve">risk analysis by investors. Moreover, differences in disclosure and due diligence requirements</w:t>
      </w:r>
      <w:r>
        <w:t xml:space="preserve"> </w:t>
      </w:r>
      <w:r>
        <w:t xml:space="preserve">applicable to securitisations between the various sectoral legislation at the time also resulted in</w:t>
      </w:r>
      <w:r>
        <w:t xml:space="preserve"> </w:t>
      </w:r>
      <w:r>
        <w:t xml:space="preserve">unduly high costs for issuers and investors.</w:t>
      </w:r>
    </w:p>
    <w:p>
      <w:pPr>
        <w:pStyle w:val="BodyText"/>
      </w:pPr>
      <w:r>
        <w:t xml:space="preserve">While the framework sought to reduce operational costs that stemmed from regulatory</w:t>
      </w:r>
      <w:r>
        <w:t xml:space="preserve"> </w:t>
      </w:r>
      <w:r>
        <w:t xml:space="preserve">inconsistencies and a lack of standardisation, stakeholder feedback from the 2021 targeted</w:t>
      </w:r>
      <w:r>
        <w:t xml:space="preserve"> </w:t>
      </w:r>
      <w:r>
        <w:t xml:space="preserve">consultation185 reveals that high operational costs for issuers and investors remain a significant</w:t>
      </w:r>
      <w:r>
        <w:t xml:space="preserve"> </w:t>
      </w:r>
      <w:r>
        <w:t xml:space="preserve">issue. 31 of 55 respondents (~56.4%) considered the due diligence and transparency regime</w:t>
      </w:r>
      <w:r>
        <w:t xml:space="preserve"> </w:t>
      </w:r>
      <w:r>
        <w:t xml:space="preserve">provided for in the SECR to impose unduly high operational costs for issuers and investors.</w:t>
      </w:r>
    </w:p>
    <w:p>
      <w:pPr>
        <w:pStyle w:val="BodyText"/>
      </w:pPr>
      <w:r>
        <w:t xml:space="preserve">Stakeholders considered compliance with these requirements to be overly costly, in requiring</w:t>
      </w:r>
      <w:r>
        <w:t xml:space="preserve"> </w:t>
      </w:r>
      <w:r>
        <w:t xml:space="preserve">specialized processes that are more time-consuming and complex than those used for other</w:t>
      </w:r>
    </w:p>
    <w:p>
      <w:pPr>
        <w:pStyle w:val="BodyText"/>
      </w:pPr>
      <w:r>
        <w:t xml:space="preserve">184</w:t>
      </w:r>
      <w:r>
        <w:t xml:space="preserve"> </w:t>
      </w:r>
      <w:r>
        <w:t xml:space="preserve">See:</w:t>
      </w:r>
      <w:r>
        <w:t xml:space="preserve"> </w:t>
      </w:r>
      <w:r>
        <w:t xml:space="preserve">https://www.eiopa.europa.eu/publications/joint-committee-advice-review-securitisation-prudential-</w:t>
      </w:r>
      <w:r>
        <w:t xml:space="preserve"> </w:t>
      </w:r>
      <w:r>
        <w:t xml:space="preserve">framework_en</w:t>
      </w:r>
    </w:p>
    <w:p>
      <w:pPr>
        <w:pStyle w:val="BodyText"/>
      </w:pPr>
      <w:r>
        <w:t xml:space="preserve">185 Summary of responses - Targeted consultation on the functioning of the EU securitisation framework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financial instruments, such as covered bonds. Respondents also cited the need to involve external</w:t>
      </w:r>
      <w:r>
        <w:t xml:space="preserve"> </w:t>
      </w:r>
      <w:r>
        <w:t xml:space="preserve">consultants, providing IT solutions and legal advice, as a significant cost of operations, and a</w:t>
      </w:r>
      <w:r>
        <w:t xml:space="preserve"> </w:t>
      </w:r>
      <w:r>
        <w:t xml:space="preserve">barrier to entry for new issuers and small investors.</w:t>
      </w:r>
    </w:p>
    <w:p>
      <w:pPr>
        <w:pStyle w:val="BodyText"/>
      </w:pPr>
      <w:r>
        <w:t xml:space="preserve">Recent stakeholder feedback gathered during the latest targeted consultation (conducted from</w:t>
      </w:r>
      <w:r>
        <w:t xml:space="preserve"> </w:t>
      </w:r>
      <w:r>
        <w:t xml:space="preserve">October – December 2024) confirms the 2021 feedback. 79 out of 131 respondents report that the</w:t>
      </w:r>
      <w:r>
        <w:t xml:space="preserve"> </w:t>
      </w:r>
      <w:r>
        <w:t xml:space="preserve">framework has not been effective in reducing unduly high operational costs and only five</w:t>
      </w:r>
      <w:r>
        <w:t xml:space="preserve"> </w:t>
      </w:r>
      <w:r>
        <w:t xml:space="preserve">respondents (two government authorities and three associations) responded positively.</w:t>
      </w:r>
      <w:r>
        <w:br/>
      </w:r>
      <w:r>
        <w:t xml:space="preserve">4.1.3.1. Due diligence requirements</w:t>
      </w:r>
      <w:r>
        <w:t xml:space="preserve"> </w:t>
      </w:r>
      <w:r>
        <w:t xml:space="preserve">Based on the feedback provided by stakeholders, Article 5 (due diligence requirements) has</w:t>
      </w:r>
      <w:r>
        <w:t xml:space="preserve"> </w:t>
      </w:r>
      <w:r>
        <w:t xml:space="preserve">resulted in an estimated additional one-off costs of EUR 13-26 million, and approx. EUR 520</w:t>
      </w:r>
      <w:r>
        <w:t xml:space="preserve"> </w:t>
      </w:r>
      <w:r>
        <w:t xml:space="preserve">million annual recurring costs for all investors in the market. For due diligence, most of the costs</w:t>
      </w:r>
      <w:r>
        <w:t xml:space="preserve"> </w:t>
      </w:r>
      <w:r>
        <w:t xml:space="preserve">for investors are recurring as for each investment transaction a comprehensive due diligence check</w:t>
      </w:r>
      <w:r>
        <w:t xml:space="preserve"> </w:t>
      </w:r>
      <w:r>
        <w:t xml:space="preserve">needs to be performed that takes for most investors several days.</w:t>
      </w:r>
    </w:p>
    <w:p>
      <w:pPr>
        <w:pStyle w:val="BodyText"/>
      </w:pPr>
      <w:r>
        <w:t xml:space="preserve">Next to this stakeholder feedback, a comparison of the due diligence requirements applicable to</w:t>
      </w:r>
      <w:r>
        <w:t xml:space="preserve"> </w:t>
      </w:r>
      <w:r>
        <w:t xml:space="preserve">major institutional investors (see Annex XII), confirms that that the regulatory due diligence</w:t>
      </w:r>
      <w:r>
        <w:t xml:space="preserve"> </w:t>
      </w:r>
      <w:r>
        <w:t xml:space="preserve">burden is much higher for securitisation than for other instruments. While for other financial</w:t>
      </w:r>
      <w:r>
        <w:t xml:space="preserve"> </w:t>
      </w:r>
      <w:r>
        <w:t xml:space="preserve">products, investors must only comply with the general principles-based due diligence rules</w:t>
      </w:r>
      <w:r>
        <w:t xml:space="preserve"> </w:t>
      </w:r>
      <w:r>
        <w:t xml:space="preserve">included in their respective sectoral legislations, the requirements are more detailed for</w:t>
      </w:r>
      <w:r>
        <w:t xml:space="preserve"> </w:t>
      </w:r>
      <w:r>
        <w:t xml:space="preserve">securitisations.</w:t>
      </w:r>
    </w:p>
    <w:p>
      <w:pPr>
        <w:pStyle w:val="BodyText"/>
      </w:pPr>
      <w:r>
        <w:t xml:space="preserve">Some of these additional regulatory due diligence requirements may be justified due to the specific</w:t>
      </w:r>
      <w:r>
        <w:t xml:space="preserve"> </w:t>
      </w:r>
      <w:r>
        <w:t xml:space="preserve">nature and risk characteristics of securitisation transactions (e.g. requiring investors to look at the</w:t>
      </w:r>
      <w:r>
        <w:t xml:space="preserve"> </w:t>
      </w:r>
      <w:r>
        <w:t xml:space="preserve">structural characteristics of a securitisation) but other requirements cannot be justified on these</w:t>
      </w:r>
      <w:r>
        <w:t xml:space="preserve"> </w:t>
      </w:r>
      <w:r>
        <w:t xml:space="preserve">grounds. For example, in addition to carrying out a thorough assessment of the risks prior to</w:t>
      </w:r>
      <w:r>
        <w:t xml:space="preserve"> </w:t>
      </w:r>
      <w:r>
        <w:t xml:space="preserve">holding a securitisation position, EU investors are required to carry out a list of extensive</w:t>
      </w:r>
      <w:r>
        <w:t xml:space="preserve"> </w:t>
      </w:r>
      <w:r>
        <w:t xml:space="preserve">verification activities to check that originators have complied with Article 6 (risk retention),</w:t>
      </w:r>
      <w:r>
        <w:t xml:space="preserve"> </w:t>
      </w:r>
      <w:r>
        <w:t xml:space="preserve">Article 7 (disclosure), Article 9 (credit granting criteria), and Articles 19 to 22 and 23 to 26 (STS</w:t>
      </w:r>
      <w:r>
        <w:t xml:space="preserve"> </w:t>
      </w:r>
      <w:r>
        <w:t xml:space="preserve">criteria). These verification activities (requiring investors to check issuer compliance with certain</w:t>
      </w:r>
      <w:r>
        <w:t xml:space="preserve"> </w:t>
      </w:r>
      <w:r>
        <w:t xml:space="preserve">criteria) are unique to securitisations and are largely duplicative since EU supervisors are also</w:t>
      </w:r>
      <w:r>
        <w:t xml:space="preserve"> </w:t>
      </w:r>
      <w:r>
        <w:t xml:space="preserve">required to check that EU originators comply with these requirements. They significantly increase</w:t>
      </w:r>
      <w:r>
        <w:t xml:space="preserve"> </w:t>
      </w:r>
      <w:r>
        <w:t xml:space="preserve">due diligence costs for institutional investors (several respondents, including associations</w:t>
      </w:r>
      <w:r>
        <w:t xml:space="preserve"> </w:t>
      </w:r>
      <w:r>
        <w:t xml:space="preserve">representing larger groups of investors, estimate potential cost savings of removing the above-</w:t>
      </w:r>
      <w:r>
        <w:t xml:space="preserve"> </w:t>
      </w:r>
      <w:r>
        <w:t xml:space="preserve">mentioned verification activities to 20%-50%).</w:t>
      </w:r>
    </w:p>
    <w:p>
      <w:pPr>
        <w:pStyle w:val="BodyText"/>
      </w:pPr>
      <w:r>
        <w:t xml:space="preserve">Moreover, stakeholders argue that the risk assessment that is required to be carried out under</w:t>
      </w:r>
      <w:r>
        <w:t xml:space="preserve"> </w:t>
      </w:r>
      <w:r>
        <w:t xml:space="preserve">Article 5(3) is not proportionate because it does not differentiate between different types of</w:t>
      </w:r>
      <w:r>
        <w:t xml:space="preserve"> </w:t>
      </w:r>
      <w:r>
        <w:t xml:space="preserve">securitisation positions. For example, a senior investor investing in a triple A tranche has the same</w:t>
      </w:r>
      <w:r>
        <w:t xml:space="preserve"> </w:t>
      </w:r>
      <w:r>
        <w:t xml:space="preserve">requirements as a junior investor investing in a first-loss piece, even though the risk of the position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is much lower for the senior investor than the junior investor. While this may not be an issue for</w:t>
      </w:r>
      <w:r>
        <w:t xml:space="preserve"> </w:t>
      </w:r>
      <w:r>
        <w:t xml:space="preserve">large investors that invest in a large number of securitisation positions and can therefore benefit</w:t>
      </w:r>
      <w:r>
        <w:t xml:space="preserve"> </w:t>
      </w:r>
      <w:r>
        <w:t xml:space="preserve">from economies of scale, it can be a barrier to entry for small investors that would only be</w:t>
      </w:r>
      <w:r>
        <w:t xml:space="preserve"> </w:t>
      </w:r>
      <w:r>
        <w:t xml:space="preserve">interested in investing in less risky positions. The high one-off due diligence effort placing</w:t>
      </w:r>
      <w:r>
        <w:t xml:space="preserve"> </w:t>
      </w:r>
      <w:r>
        <w:t xml:space="preserve">effectively a barrier to entry for smaller players has been pointed out as a major obstacle and</w:t>
      </w:r>
      <w:r>
        <w:t xml:space="preserve"> </w:t>
      </w:r>
      <w:r>
        <w:t xml:space="preserve">opportunity cost by 10 respondents including 3 business associations representing larger investor</w:t>
      </w:r>
      <w:r>
        <w:t xml:space="preserve"> </w:t>
      </w:r>
      <w:r>
        <w:t xml:space="preserve">groups.</w:t>
      </w:r>
    </w:p>
    <w:p>
      <w:pPr>
        <w:pStyle w:val="BodyText"/>
      </w:pPr>
      <w:r>
        <w:t xml:space="preserve">Industry respondents to the targeted consultation state that the magnitude of the due diligence</w:t>
      </w:r>
      <w:r>
        <w:t xml:space="preserve"> </w:t>
      </w:r>
      <w:r>
        <w:t xml:space="preserve">duties act as a barrier to entry. This has been mentioned in more than 40 replies. The Association</w:t>
      </w:r>
      <w:r>
        <w:t xml:space="preserve"> </w:t>
      </w:r>
      <w:r>
        <w:t xml:space="preserve">for Financial Markets in Europe (AFME), representing an estimated share of about 50% of the</w:t>
      </w:r>
      <w:r>
        <w:t xml:space="preserve"> </w:t>
      </w:r>
      <w:r>
        <w:t xml:space="preserve">public traditional market, estimated that it takes about 9 months to set-up a new business for EU</w:t>
      </w:r>
      <w:r>
        <w:t xml:space="preserve"> </w:t>
      </w:r>
      <w:r>
        <w:t xml:space="preserve">securitisation investment, of which two months would be necessary to understand and put in place</w:t>
      </w:r>
      <w:r>
        <w:t xml:space="preserve"> </w:t>
      </w:r>
      <w:r>
        <w:t xml:space="preserve">a framework that implements the due diligence rules. According to the example in “Annex III:</w:t>
      </w:r>
      <w:r>
        <w:t xml:space="preserve"> </w:t>
      </w:r>
      <w:r>
        <w:t xml:space="preserve">Who is affected and how?”, it may require up to 40 months and a minimum investment pool of at</w:t>
      </w:r>
      <w:r>
        <w:t xml:space="preserve"> </w:t>
      </w:r>
      <w:r>
        <w:t xml:space="preserve">least EUR 1.5 billion for a low-risk STS asset management business to break even. This makes</w:t>
      </w:r>
      <w:r>
        <w:t xml:space="preserve"> </w:t>
      </w:r>
      <w:r>
        <w:t xml:space="preserve">market entry unattractive for investors focusing on high-rated and low-yield securitisation</w:t>
      </w:r>
      <w:r>
        <w:t xml:space="preserve"> </w:t>
      </w:r>
      <w:r>
        <w:t xml:space="preserve">products. AFME estimates the universe of asset managers that are regularly active in the public</w:t>
      </w:r>
      <w:r>
        <w:t xml:space="preserve"> </w:t>
      </w:r>
      <w:r>
        <w:t xml:space="preserve">securitisation market to below 20 players. In one comparable covered bond transaction alone, the</w:t>
      </w:r>
      <w:r>
        <w:t xml:space="preserve"> </w:t>
      </w:r>
      <w:r>
        <w:t xml:space="preserve">number of investors is significantly higher than 20.</w:t>
      </w:r>
      <w:r>
        <w:br/>
      </w:r>
      <w:r>
        <w:t xml:space="preserve">4.1.3.2. Transparency requirements</w:t>
      </w:r>
      <w:r>
        <w:t xml:space="preserve"> </w:t>
      </w:r>
      <w:r>
        <w:t xml:space="preserve">Based on the feedback provided by stakeholders, the transparency requirements imposed on the</w:t>
      </w:r>
      <w:r>
        <w:t xml:space="preserve"> </w:t>
      </w:r>
      <w:r>
        <w:t xml:space="preserve">issuers/originators, one-off costs are estimated at EUR 370 million and make up the biggest share</w:t>
      </w:r>
      <w:r>
        <w:t xml:space="preserve"> </w:t>
      </w:r>
      <w:r>
        <w:t xml:space="preserve">of the additional costs posed by Article 7. This is due to the IT investments necessary to put a</w:t>
      </w:r>
      <w:r>
        <w:t xml:space="preserve"> </w:t>
      </w:r>
      <w:r>
        <w:t xml:space="preserve">reporting system up and running, whereas afterwards the ongoing costs are usually moderate, in</w:t>
      </w:r>
      <w:r>
        <w:t xml:space="preserve"> </w:t>
      </w:r>
      <w:r>
        <w:t xml:space="preserve">this case we estimate approx. EUR 120 million annual recurring costs for all EU issuers in the</w:t>
      </w:r>
      <w:r>
        <w:t xml:space="preserve"> </w:t>
      </w:r>
      <w:r>
        <w:t xml:space="preserve">markets.</w:t>
      </w:r>
    </w:p>
    <w:p>
      <w:pPr>
        <w:pStyle w:val="BodyText"/>
      </w:pPr>
      <w:r>
        <w:t xml:space="preserve">While there was significant information disclosure in securitisation transactions prior to the</w:t>
      </w:r>
      <w:r>
        <w:t xml:space="preserve"> </w:t>
      </w:r>
      <w:r>
        <w:t xml:space="preserve">Securitisation Framework, there were no direct, and sanctionable, disclosure requirements that</w:t>
      </w:r>
      <w:r>
        <w:t xml:space="preserve"> </w:t>
      </w:r>
      <w:r>
        <w:t xml:space="preserve">applied to all types of securitisation issuers (banks and non-banks). In general, the amount and</w:t>
      </w:r>
      <w:r>
        <w:t xml:space="preserve"> </w:t>
      </w:r>
      <w:r>
        <w:t xml:space="preserve">type of information disclosed was determined by the needs of the market. Large banks that sought</w:t>
      </w:r>
      <w:r>
        <w:t xml:space="preserve"> </w:t>
      </w:r>
      <w:r>
        <w:t xml:space="preserve">access to the ECB’s liquidity framework had a more developed disclosure infrastructure to comply</w:t>
      </w:r>
      <w:r>
        <w:t xml:space="preserve"> </w:t>
      </w:r>
      <w:r>
        <w:t xml:space="preserve">with the ECB’s collateral requirements.</w:t>
      </w:r>
    </w:p>
    <w:p>
      <w:pPr>
        <w:pStyle w:val="BodyText"/>
      </w:pPr>
      <w:r>
        <w:t xml:space="preserve">Implementing the transparency framework involved significant implementation costs for all types</w:t>
      </w:r>
      <w:r>
        <w:t xml:space="preserve"> </w:t>
      </w:r>
      <w:r>
        <w:t xml:space="preserve">of issuers. These costs consisted of: i) gathering information at the level of each individual loan</w:t>
      </w:r>
      <w:r>
        <w:t xml:space="preserve"> </w:t>
      </w:r>
      <w:r>
        <w:t xml:space="preserve">prior to issuance, ii) updating this information at least quarterly (monthly in the case of short-term</w:t>
      </w:r>
      <w:r>
        <w:t xml:space="preserve"> </w:t>
      </w:r>
      <w:r>
        <w:t xml:space="preserve">securitisations), iii) disclosing all information necessary for investors and supervisors to</w:t>
      </w:r>
      <w:r>
        <w:t xml:space="preserve"> </w:t>
      </w:r>
      <w:r>
        <w:t xml:space="preserve">understand the features of the transaction, iv) in the case of STS securitisations, disclosing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information on compliance with the STS criteria, and v) preparing regular investor reports.</w:t>
      </w:r>
      <w:r>
        <w:t xml:space="preserve"> </w:t>
      </w:r>
      <w:r>
        <w:t xml:space="preserve">Reporting entities had to develop the necessary IT infrastructure to report this information to the</w:t>
      </w:r>
      <w:r>
        <w:t xml:space="preserve"> </w:t>
      </w:r>
      <w:r>
        <w:t xml:space="preserve">securitisation repositories in the required format. Moreover, securitisation repositories had to</w:t>
      </w:r>
      <w:r>
        <w:t xml:space="preserve"> </w:t>
      </w:r>
      <w:r>
        <w:t xml:space="preserve">develop the infrastructure to receive and provide access to this information to investors, potential</w:t>
      </w:r>
      <w:r>
        <w:t xml:space="preserve"> </w:t>
      </w:r>
      <w:r>
        <w:t xml:space="preserve">investors and competent authorities.</w:t>
      </w:r>
    </w:p>
    <w:p>
      <w:pPr>
        <w:pStyle w:val="BodyText"/>
      </w:pPr>
      <w:r>
        <w:t xml:space="preserve">Costs are driven by the wide scope of the transparency requirement. Both public and private</w:t>
      </w:r>
      <w:r>
        <w:t xml:space="preserve"> </w:t>
      </w:r>
      <w:r>
        <w:t xml:space="preserve">transactions are captured and must provide the same information to their investors. However,</w:t>
      </w:r>
      <w:r>
        <w:t xml:space="preserve"> </w:t>
      </w:r>
      <w:r>
        <w:t xml:space="preserve">stakeholders have reported that investors in a public securitisation do not have the same</w:t>
      </w:r>
      <w:r>
        <w:t xml:space="preserve"> </w:t>
      </w:r>
      <w:r>
        <w:t xml:space="preserve">information needs as investors in a private securitisation. The latter have a stronger negotiation</w:t>
      </w:r>
      <w:r>
        <w:t xml:space="preserve"> </w:t>
      </w:r>
      <w:r>
        <w:t xml:space="preserve">position vis-à-vis the issuer of the transaction, compared to a public securitisation which is offered</w:t>
      </w:r>
      <w:r>
        <w:t xml:space="preserve"> </w:t>
      </w:r>
      <w:r>
        <w:t xml:space="preserve">to a multitude of investors on terms determined by the issuer. This means that a private</w:t>
      </w:r>
      <w:r>
        <w:t xml:space="preserve"> </w:t>
      </w:r>
      <w:r>
        <w:t xml:space="preserve">securitisation tends to be structured according to the particular requirements and information needs</w:t>
      </w:r>
      <w:r>
        <w:t xml:space="preserve"> </w:t>
      </w:r>
      <w:r>
        <w:t xml:space="preserve">of the investor. Moreover, private transactions are often tailored to fit the needs for investors. They</w:t>
      </w:r>
      <w:r>
        <w:t xml:space="preserve"> </w:t>
      </w:r>
      <w:r>
        <w:t xml:space="preserve">have particular characteristics and tailored underlying pools of assets, and therefore detailed</w:t>
      </w:r>
      <w:r>
        <w:t xml:space="preserve"> </w:t>
      </w:r>
      <w:r>
        <w:t xml:space="preserve">standardised disclosure templates do not adequately capture the essence of the transaction in a</w:t>
      </w:r>
      <w:r>
        <w:t xml:space="preserve"> </w:t>
      </w:r>
      <w:r>
        <w:t xml:space="preserve">fully satisfactory way for the investor. As a result, issuers of a private transaction will have to</w:t>
      </w:r>
      <w:r>
        <w:t xml:space="preserve"> </w:t>
      </w:r>
      <w:r>
        <w:t xml:space="preserve">disclose information that satisfies the investor’s needs which may not be satisfied by the Article 7</w:t>
      </w:r>
      <w:r>
        <w:t xml:space="preserve"> </w:t>
      </w:r>
      <w:r>
        <w:t xml:space="preserve">disclosures, increasing disclosure burden without an accompanying increase in transparency.</w:t>
      </w:r>
    </w:p>
    <w:p>
      <w:pPr>
        <w:pStyle w:val="BodyText"/>
      </w:pPr>
      <w:r>
        <w:t xml:space="preserve">Furthermore, the extent of the information that is required is overly wide. The SECR introduced</w:t>
      </w:r>
      <w:r>
        <w:t xml:space="preserve"> </w:t>
      </w:r>
      <w:r>
        <w:t xml:space="preserve">comprehensive disclosure requirements for all in-scope securitisation instruments (i.e. </w:t>
      </w:r>
      <w:r>
        <w:t xml:space="preserve"> </w:t>
      </w:r>
      <w:r>
        <w:t xml:space="preserve">securitisations that are issued by an EU-based original lender, originator or sponsor, and/or</w:t>
      </w:r>
      <w:r>
        <w:t xml:space="preserve"> </w:t>
      </w:r>
      <w:r>
        <w:t xml:space="preserve">securitisations that EU institutional investors invest in). This aimed to increase market</w:t>
      </w:r>
      <w:r>
        <w:t xml:space="preserve"> </w:t>
      </w:r>
      <w:r>
        <w:t xml:space="preserve">transparency and provide investors with sufficient information to carry out due diligence. These</w:t>
      </w:r>
      <w:r>
        <w:t xml:space="preserve"> </w:t>
      </w:r>
      <w:r>
        <w:t xml:space="preserve">disclosure requirements were further specified in the October 2019 Regulatory Technical</w:t>
      </w:r>
      <w:r>
        <w:t xml:space="preserve"> </w:t>
      </w:r>
      <w:r>
        <w:t xml:space="preserve">Standards, which included detailed loan-level disclosure templates for all securitisations falling</w:t>
      </w:r>
      <w:r>
        <w:t xml:space="preserve"> </w:t>
      </w:r>
      <w:r>
        <w:t xml:space="preserve">under the scope of the SECR (the ‘ESMA templates’). The ESMA templates built upon the ECB’s</w:t>
      </w:r>
      <w:r>
        <w:t xml:space="preserve"> </w:t>
      </w:r>
      <w:r>
        <w:t xml:space="preserve">existing loan-level templates, but significantly increased the number of mandatory fields across all</w:t>
      </w:r>
      <w:r>
        <w:t xml:space="preserve"> </w:t>
      </w:r>
      <w:r>
        <w:t xml:space="preserve">asset categories, thus increasing the reporting burden for issuers. Stakeholder feedback has</w:t>
      </w:r>
      <w:r>
        <w:t xml:space="preserve"> </w:t>
      </w:r>
      <w:r>
        <w:t xml:space="preserve">indicated that not all the information that is reported in the ESMA templates is useful for investors.</w:t>
      </w:r>
      <w:r>
        <w:t xml:space="preserve"> </w:t>
      </w:r>
      <w:r>
        <w:t xml:space="preserve">There is room to significantly reduce the number of required data fields, thus reducing the reporting</w:t>
      </w:r>
      <w:r>
        <w:t xml:space="preserve"> </w:t>
      </w:r>
      <w:r>
        <w:t xml:space="preserve">burden, without impacting the usefulness of the information to investors.</w:t>
      </w:r>
    </w:p>
    <w:p>
      <w:pPr>
        <w:pStyle w:val="BodyText"/>
      </w:pPr>
      <w:r>
        <w:t xml:space="preserve">The above is also confirmed by stakeholder feedback. Stakeholders that participated in the</w:t>
      </w:r>
      <w:r>
        <w:t xml:space="preserve"> </w:t>
      </w:r>
      <w:r>
        <w:t xml:space="preserve">consultation report that securitisation disclosure costs are significantly higher than those for other</w:t>
      </w:r>
      <w:r>
        <w:t xml:space="preserve"> </w:t>
      </w:r>
      <w:r>
        <w:t xml:space="preserve">instruments with similar characteristics (29 out 131 replied ’significantly higher’, 5 ‘moderately</w:t>
      </w:r>
      <w:r>
        <w:t xml:space="preserve"> </w:t>
      </w:r>
      <w:r>
        <w:t xml:space="preserve">higher’, 95 didn’t reply or said they don’t know). Respondents pointed out in particular the</w:t>
      </w:r>
      <w:r>
        <w:t xml:space="preserve"> </w:t>
      </w:r>
      <w:r>
        <w:t xml:space="preserve">difference in disclosure requirements between securitisation and covered bonds. Industry</w:t>
      </w:r>
      <w:r>
        <w:t xml:space="preserve"> </w:t>
      </w:r>
      <w:r>
        <w:t xml:space="preserve">stakeholders characterised covered bonds disclosure as “subject to much high-level and less</w:t>
      </w:r>
      <w:r>
        <w:t xml:space="preserve"> </w:t>
      </w:r>
      <w:r>
        <w:t xml:space="preserve">prescriptive transparency provisions and require aggregated data reporting (rather than loan-by-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loan)” and driven by industry consensus via the ECBC Covered Bond Label. Annex X provides a</w:t>
      </w:r>
      <w:r>
        <w:t xml:space="preserve"> </w:t>
      </w:r>
      <w:r>
        <w:t xml:space="preserve">detailed comparison of the disclosure requirements for securitisations and covered bonds.</w:t>
      </w:r>
      <w:r>
        <w:t xml:space="preserve"> </w:t>
      </w:r>
      <w:r>
        <w:t xml:space="preserve">Figure 13: Responses to the question how do the disclosure costs (for securitisations)</w:t>
      </w:r>
      <w:r>
        <w:t xml:space="preserve"> </w:t>
      </w:r>
      <w:r>
        <w:t xml:space="preserve">compare with the disclosure costs for other instruments with similar risk characteristics?</w:t>
      </w:r>
    </w:p>
    <w:p>
      <w:pPr>
        <w:pStyle w:val="BodyText"/>
      </w:pPr>
      <w:r>
        <w:t xml:space="preserve">Furthermore, the transaction information provided under the SECR is not suited to its primary</w:t>
      </w:r>
      <w:r>
        <w:t xml:space="preserve"> </w:t>
      </w:r>
      <w:r>
        <w:t xml:space="preserve">audience – investors. Usage statistics186 for public securitisations show that only a limited number</w:t>
      </w:r>
      <w:r>
        <w:t xml:space="preserve"> </w:t>
      </w:r>
      <w:r>
        <w:t xml:space="preserve">of large public investors are using the data reported under the ESMA templates. In fact, many</w:t>
      </w:r>
      <w:r>
        <w:t xml:space="preserve"> </w:t>
      </w:r>
      <w:r>
        <w:t xml:space="preserve">investors have reported that they rely on alternative disclosure channels to obtain the information</w:t>
      </w:r>
      <w:r>
        <w:t xml:space="preserve"> </w:t>
      </w:r>
      <w:r>
        <w:t xml:space="preserve">they need for their due diligence.</w:t>
      </w:r>
      <w:r>
        <w:t xml:space="preserve"> </w:t>
      </w:r>
      <w:r>
        <w:t xml:space="preserve">Figure 14: Distribution of the number of downloads of the securitisation data templates</w:t>
      </w:r>
      <w:r>
        <w:t xml:space="preserve"> </w:t>
      </w:r>
      <w:r>
        <w:t xml:space="preserve">prescribed by the Commission Delegated Regulation 2020/1224 by category of data users</w:t>
      </w:r>
      <w:r>
        <w:t xml:space="preserve"> </w:t>
      </w:r>
      <w:r>
        <w:t xml:space="preserve">(August 2023 – July 2024)</w:t>
      </w:r>
    </w:p>
    <w:p>
      <w:pPr>
        <w:pStyle w:val="BodyText"/>
      </w:pPr>
      <w:r>
        <w:t xml:space="preserve">Source: JCSC Article 44 report (reference to be updated once the report is public)</w:t>
      </w:r>
    </w:p>
    <w:p>
      <w:pPr>
        <w:pStyle w:val="BodyText"/>
      </w:pPr>
      <w:r>
        <w:t xml:space="preserve">186 Statistics from European Data Warehouse, the largest securitisation repository in the EU.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In view of these findings, we conclude that the securitisation framework has not been effective in</w:t>
      </w:r>
      <w:r>
        <w:t xml:space="preserve"> </w:t>
      </w:r>
      <w:r>
        <w:t xml:space="preserve">reducing/eliminating unduly high operational costs for issuers and investors.</w:t>
      </w:r>
      <w:r>
        <w:br/>
      </w:r>
      <w:r>
        <w:t xml:space="preserve">4.1.4. How effective has the Securitisation Framework been in supporting</w:t>
      </w:r>
      <w:r>
        <w:t xml:space="preserve"> </w:t>
      </w:r>
      <w:r>
        <w:t xml:space="preserve">standardisation and in tackling regulatory inconsistencies?</w:t>
      </w:r>
      <w:r>
        <w:t xml:space="preserve"> </w:t>
      </w:r>
      <w:r>
        <w:t xml:space="preserve">According to stakeholder feedback gathered during the targeted consultation, a large majority (i.e. </w:t>
      </w:r>
      <w:r>
        <w:t xml:space="preserve"> </w:t>
      </w:r>
      <w:r>
        <w:t xml:space="preserve">54 out of 82 respondents with opinion with 131 total respondents) considers the current framework</w:t>
      </w:r>
      <w:r>
        <w:t xml:space="preserve"> </w:t>
      </w:r>
      <w:r>
        <w:t xml:space="preserve">as effective in supporting standardisation processes and practices. In particular, stakeholders find</w:t>
      </w:r>
      <w:r>
        <w:t xml:space="preserve"> </w:t>
      </w:r>
      <w:r>
        <w:t xml:space="preserve">that the framework has been effective in increasing the degree of standardisation of marketing and</w:t>
      </w:r>
      <w:r>
        <w:t xml:space="preserve"> </w:t>
      </w:r>
      <w:r>
        <w:t xml:space="preserve">reporting material, but a significant majority disagrees that the framework has reduced operational</w:t>
      </w:r>
      <w:r>
        <w:t xml:space="preserve"> </w:t>
      </w:r>
      <w:r>
        <w:t xml:space="preserve">costs linked to standardised securitisation products. The latter is consistent with the negative</w:t>
      </w:r>
      <w:r>
        <w:t xml:space="preserve"> </w:t>
      </w:r>
      <w:r>
        <w:t xml:space="preserve">assessment of the effectiveness of the framework in reducing unduly high operational costs for</w:t>
      </w:r>
      <w:r>
        <w:t xml:space="preserve"> </w:t>
      </w:r>
      <w:r>
        <w:t xml:space="preserve">issuers and investors overall.</w:t>
      </w:r>
      <w:r>
        <w:br/>
      </w:r>
      <w:r>
        <w:t xml:space="preserve">The Securitisation Framework has played a crucial role in promoting standardisation in</w:t>
      </w:r>
      <w:r>
        <w:t xml:space="preserve"> </w:t>
      </w:r>
      <w:r>
        <w:t xml:space="preserve">securitisation markets by introducing a list of common definitions and establishing common rules</w:t>
      </w:r>
      <w:r>
        <w:t xml:space="preserve"> </w:t>
      </w:r>
      <w:r>
        <w:t xml:space="preserve">for transparency, disclosure, due diligence, and risk retention. These rules apply uniformly to all</w:t>
      </w:r>
      <w:r>
        <w:t xml:space="preserve"> </w:t>
      </w:r>
      <w:r>
        <w:t xml:space="preserve">securitisations and all parties involved, helping to eliminate regulatory inconsistencies and support</w:t>
      </w:r>
      <w:r>
        <w:t xml:space="preserve"> </w:t>
      </w:r>
      <w:r>
        <w:t xml:space="preserve">standardisation in processes and practices in the EU securitisation market. While the Securitisation</w:t>
      </w:r>
      <w:r>
        <w:t xml:space="preserve"> </w:t>
      </w:r>
      <w:r>
        <w:t xml:space="preserve">Framework has brought greater uniformity to the market, the high operational costs it entails for</w:t>
      </w:r>
      <w:r>
        <w:t xml:space="preserve"> </w:t>
      </w:r>
      <w:r>
        <w:t xml:space="preserve">issuers and investors has offset some of the benefits that standardised processes were intended to</w:t>
      </w:r>
      <w:r>
        <w:t xml:space="preserve"> </w:t>
      </w:r>
      <w:r>
        <w:t xml:space="preserve">bring to the EU securitisation market.</w:t>
      </w:r>
      <w:r>
        <w:br/>
      </w:r>
      <w:r>
        <w:t xml:space="preserve">As regards regulatory inconsistencies – before the SECR came into place there was no common</w:t>
      </w:r>
      <w:r>
        <w:t xml:space="preserve"> </w:t>
      </w:r>
      <w:r>
        <w:t xml:space="preserve">definition of a securitisation across the EU, nor were there common due diligence, transparency,</w:t>
      </w:r>
      <w:r>
        <w:t xml:space="preserve"> </w:t>
      </w:r>
      <w:r>
        <w:t xml:space="preserve">or risk retention rules. Instead, rules were fragmentated across different sector specific legislation</w:t>
      </w:r>
      <w:r>
        <w:t xml:space="preserve"> </w:t>
      </w:r>
      <w:r>
        <w:t xml:space="preserve">and across different Member States. As a result, in 2015, the Joint Committee of the ESAs</w:t>
      </w:r>
      <w:r>
        <w:t xml:space="preserve"> </w:t>
      </w:r>
      <w:r>
        <w:t xml:space="preserve">recommended to harmonise regulatory requirements for securitisations.</w:t>
      </w:r>
      <w:r>
        <w:t xml:space="preserve"> </w:t>
      </w:r>
      <w:r>
        <w:t xml:space="preserve">With respect to tackling the regulatory inconsistencies, despite the consolidation of the applicable</w:t>
      </w:r>
      <w:r>
        <w:t xml:space="preserve"> </w:t>
      </w:r>
      <w:r>
        <w:t xml:space="preserve">requirements to all market participants in a single legislative instrument, stakeholders generally</w:t>
      </w:r>
      <w:r>
        <w:t xml:space="preserve"> </w:t>
      </w:r>
      <w:r>
        <w:t xml:space="preserve">disagree that the framework has been effective in tackling regulatory inconsistencies. Only 21 out</w:t>
      </w:r>
      <w:r>
        <w:t xml:space="preserve"> </w:t>
      </w:r>
      <w:r>
        <w:t xml:space="preserve">of 131 total respondents indicated some level of agreement (9 out of 52 investors and 3 out of 32</w:t>
      </w:r>
      <w:r>
        <w:t xml:space="preserve"> </w:t>
      </w:r>
      <w:r>
        <w:t xml:space="preserve">originators). Indeed, some elements that are important for the securitisation market, such as</w:t>
      </w:r>
      <w:r>
        <w:t xml:space="preserve"> </w:t>
      </w:r>
      <w:r>
        <w:t xml:space="preserve">insolvency legislation, were left outside the scope of the securitisation framework. Lack of</w:t>
      </w:r>
      <w:r>
        <w:t xml:space="preserve"> </w:t>
      </w:r>
      <w:r>
        <w:t xml:space="preserve">standardisation in these areas has been recently pointed out by stakeholders and researchers as one</w:t>
      </w:r>
      <w:r>
        <w:t xml:space="preserve"> </w:t>
      </w:r>
      <w:r>
        <w:t xml:space="preserve">of the factors determining the muted development of the securitisation market in the EU. At the</w:t>
      </w:r>
      <w:r>
        <w:t xml:space="preserve"> </w:t>
      </w:r>
      <w:r>
        <w:t xml:space="preserve">same time, these issues are not specific to securitisation but are of broader significant for capital</w:t>
      </w:r>
      <w:r>
        <w:t xml:space="preserve"> </w:t>
      </w:r>
      <w:r>
        <w:t xml:space="preserve">markets development in the EU. Therefore, any measures to address them should be part of a</w:t>
      </w:r>
      <w:r>
        <w:t xml:space="preserve"> </w:t>
      </w:r>
      <w:r>
        <w:t xml:space="preserve">broader strategy.</w:t>
      </w:r>
      <w:r>
        <w:br/>
      </w:r>
      <w:r>
        <w:t xml:space="preserve">In view of these findings, we conclude that the securitisation framework has been effective in</w:t>
      </w:r>
      <w:r>
        <w:t xml:space="preserve"> </w:t>
      </w:r>
      <w:r>
        <w:t xml:space="preserve">achieving the operational objective of supporting standardisation of marketing and reporting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material, but it has not been fully effective in tackling regulatory inconsistencies in the</w:t>
      </w:r>
      <w:r>
        <w:t xml:space="preserve"> </w:t>
      </w:r>
      <w:r>
        <w:t xml:space="preserve">securitisation market.</w:t>
      </w:r>
      <w:r>
        <w:t xml:space="preserve"> </w:t>
      </w:r>
      <w:r>
        <w:t xml:space="preserve">4.2. Efficiency</w:t>
      </w:r>
      <w:r>
        <w:t xml:space="preserve"> </w:t>
      </w:r>
      <w:r>
        <w:t xml:space="preserve">The efficiency analysis assesses the benefits and costs arising from the EU intervention and</w:t>
      </w:r>
      <w:r>
        <w:t xml:space="preserve"> </w:t>
      </w:r>
      <w:r>
        <w:t xml:space="preserve">whether it was cost effective. The analysis draws upon stakeholder feedback on costs associated</w:t>
      </w:r>
      <w:r>
        <w:t xml:space="preserve"> </w:t>
      </w:r>
      <w:r>
        <w:t xml:space="preserve">with the Framework, from the 2024 targeted consultation. While the implementation of the</w:t>
      </w:r>
      <w:r>
        <w:t xml:space="preserve"> </w:t>
      </w:r>
      <w:r>
        <w:t xml:space="preserve">Framework is considered somewhat cost-effective for the prudential aspects, its non-prudential</w:t>
      </w:r>
      <w:r>
        <w:t xml:space="preserve"> </w:t>
      </w:r>
      <w:r>
        <w:t xml:space="preserve">elements have resulted in high costs for issuers and investors.</w:t>
      </w:r>
      <w:r>
        <w:t xml:space="preserve"> </w:t>
      </w:r>
      <w:r>
        <w:t xml:space="preserve">4.2.1. Benefits</w:t>
      </w:r>
      <w:r>
        <w:t xml:space="preserve"> </w:t>
      </w:r>
      <w:r>
        <w:t xml:space="preserve">The main benefit associated with the introduction of the SECR is the overall increase in market</w:t>
      </w:r>
      <w:r>
        <w:t xml:space="preserve"> </w:t>
      </w:r>
      <w:r>
        <w:t xml:space="preserve">transparency, as well as investor protection. This benefit contributes to the attainment of the</w:t>
      </w:r>
      <w:r>
        <w:t xml:space="preserve"> </w:t>
      </w:r>
      <w:r>
        <w:t xml:space="preserve">objective of “removing investor stigma”. By introducing clear transparency requirements,</w:t>
      </w:r>
      <w:r>
        <w:t xml:space="preserve"> </w:t>
      </w:r>
      <w:r>
        <w:t xml:space="preserve">investors and supervisors are better able to assess the risks of securitisations. Similarly, a robust</w:t>
      </w:r>
      <w:r>
        <w:t xml:space="preserve"> </w:t>
      </w:r>
      <w:r>
        <w:t xml:space="preserve">due diligence process ensures that investors know what they are buying and increases trust in the</w:t>
      </w:r>
      <w:r>
        <w:t xml:space="preserve"> </w:t>
      </w:r>
      <w:r>
        <w:t xml:space="preserve">securitisation market. The main benefit of the introduction of the STS framework is that it has</w:t>
      </w:r>
      <w:r>
        <w:t xml:space="preserve"> </w:t>
      </w:r>
      <w:r>
        <w:t xml:space="preserve">fostered simplicity, transparency and standardisation of the securitisation structures in the EU.</w:t>
      </w:r>
      <w:r>
        <w:t xml:space="preserve"> </w:t>
      </w:r>
      <w:r>
        <w:t xml:space="preserve">Such structures are easier for investors and supervisors to assess.</w:t>
      </w:r>
      <w:r>
        <w:br/>
      </w:r>
      <w:r>
        <w:t xml:space="preserve">The framework has differentiated the capital requirements for banks’ STS securitisations</w:t>
      </w:r>
      <w:r>
        <w:t xml:space="preserve"> </w:t>
      </w:r>
      <w:r>
        <w:t xml:space="preserve">compared to non-STS ones, in an efficient way. Capital requirements for STS securitisations can</w:t>
      </w:r>
      <w:r>
        <w:t xml:space="preserve"> </w:t>
      </w:r>
      <w:r>
        <w:t xml:space="preserve">be as low as half of the capital requirements for non-STS securitisations, even if STS capital</w:t>
      </w:r>
      <w:r>
        <w:t xml:space="preserve"> </w:t>
      </w:r>
      <w:r>
        <w:t xml:space="preserve">requirements are still generally higher than what they would have been for equivalent</w:t>
      </w:r>
      <w:r>
        <w:t xml:space="preserve"> </w:t>
      </w:r>
      <w:r>
        <w:t xml:space="preserve">securitisations before the framework came into place. Banks face lower capital requirements for</w:t>
      </w:r>
      <w:r>
        <w:t xml:space="preserve"> </w:t>
      </w:r>
      <w:r>
        <w:t xml:space="preserve">their exposures to STS securitisations in two ways: (i) a reduced (p) factor (the (p) factor for STS</w:t>
      </w:r>
      <w:r>
        <w:t xml:space="preserve"> </w:t>
      </w:r>
      <w:r>
        <w:t xml:space="preserve">transactions is half the level of the one for non-STS transactions, and can therefore result in half</w:t>
      </w:r>
      <w:r>
        <w:t xml:space="preserve"> </w:t>
      </w:r>
      <w:r>
        <w:t xml:space="preserve">of the capital requirements for the respective tranches, compared to a non-STS securitisation); (ii)</w:t>
      </w:r>
      <w:r>
        <w:t xml:space="preserve"> </w:t>
      </w:r>
      <w:r>
        <w:t xml:space="preserve">a lower floor for minimum capital requirements (10% risk-weight floor for capital requirements</w:t>
      </w:r>
      <w:r>
        <w:t xml:space="preserve"> </w:t>
      </w:r>
      <w:r>
        <w:t xml:space="preserve">for their exposure to senior tranches in STS securitisations, compared to 15% for senior tranches</w:t>
      </w:r>
      <w:r>
        <w:t xml:space="preserve"> </w:t>
      </w:r>
      <w:r>
        <w:t xml:space="preserve">in non-STS securitisation).</w:t>
      </w:r>
      <w:r>
        <w:br/>
      </w:r>
      <w:r>
        <w:t xml:space="preserve">For insurers, the changes implemented in SII have reduced the capital cost of investing in STS</w:t>
      </w:r>
      <w:r>
        <w:t xml:space="preserve"> </w:t>
      </w:r>
      <w:r>
        <w:t xml:space="preserve">securitisation, in particular for senior tranches. As a result, the Framework incentivises insurers to</w:t>
      </w:r>
      <w:r>
        <w:t xml:space="preserve"> </w:t>
      </w:r>
      <w:r>
        <w:t xml:space="preserve">invest in the simpler and more transparent part of the securitisation market. STS securitisations are</w:t>
      </w:r>
      <w:r>
        <w:t xml:space="preserve"> </w:t>
      </w:r>
      <w:r>
        <w:t xml:space="preserve">typically more liquid and easier to trade compared to non-STS securities. This liquidity can help</w:t>
      </w:r>
      <w:r>
        <w:t xml:space="preserve"> </w:t>
      </w:r>
      <w:r>
        <w:t xml:space="preserve">insurers manage their investment portfolios more flexibly, especially in volatile market conditions,</w:t>
      </w:r>
      <w:r>
        <w:t xml:space="preserve"> </w:t>
      </w:r>
      <w:r>
        <w:t xml:space="preserve">by enabling easier buying or selling of assets. DG FISMA calculations suggests that STS capital</w:t>
      </w:r>
      <w:r>
        <w:t xml:space="preserve"> </w:t>
      </w:r>
      <w:r>
        <w:t xml:space="preserve">requirements are on average 80% lower than non-STS securitisations on average. Investments in</w:t>
      </w:r>
      <w:r>
        <w:t xml:space="preserve"> </w:t>
      </w:r>
      <w:r>
        <w:t xml:space="preserve">senior STS tranches, where demand is still perceived as low by originating banks, have increased</w:t>
      </w:r>
      <w:r>
        <w:t xml:space="preserve"> </w:t>
      </w:r>
      <w:r>
        <w:t xml:space="preserve">by one third between 2019 and 2023 up to EUR 1.25 trillion.</w:t>
      </w:r>
      <w:r>
        <w:t xml:space="preserve"> </w:t>
      </w:r>
      <w:r>
        <w:t xml:space="preserve">4.2.2. Costs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The main costs associated with the provisions of the SECR are the due diligence and transparency</w:t>
      </w:r>
      <w:r>
        <w:t xml:space="preserve"> </w:t>
      </w:r>
      <w:r>
        <w:t xml:space="preserve">costs explained in the Effectiveness section above. Investors’ due diligence costs under Art. 5</w:t>
      </w:r>
      <w:r>
        <w:t xml:space="preserve"> </w:t>
      </w:r>
      <w:r>
        <w:t xml:space="preserve">SECR are primarily recurrent, as each investment transaction requires a comprehensive,</w:t>
      </w:r>
      <w:r>
        <w:t xml:space="preserve"> </w:t>
      </w:r>
      <w:r>
        <w:t xml:space="preserve">standalone due diligence check. On the other hand, one-off costs comprise the biggest share of the</w:t>
      </w:r>
      <w:r>
        <w:t xml:space="preserve"> </w:t>
      </w:r>
      <w:r>
        <w:t xml:space="preserve">additional transparency costs imposed by Art. 7. DG FISMA estimates these costs at around EUR</w:t>
      </w:r>
      <w:r>
        <w:t xml:space="preserve"> </w:t>
      </w:r>
      <w:r>
        <w:t xml:space="preserve">370 million of such one-off costs. One-off costs are generally attributable to the initial financial</w:t>
      </w:r>
      <w:r>
        <w:t xml:space="preserve"> </w:t>
      </w:r>
      <w:r>
        <w:t xml:space="preserve">outlay associated with establishing a compliant reporting IT system. The subsequent annually</w:t>
      </w:r>
      <w:r>
        <w:t xml:space="preserve"> </w:t>
      </w:r>
      <w:r>
        <w:t xml:space="preserve">recurring costs are usually moderate: approximately EUR 120 million for all EU issuers in the</w:t>
      </w:r>
      <w:r>
        <w:t xml:space="preserve"> </w:t>
      </w:r>
      <w:r>
        <w:t xml:space="preserve">market.</w:t>
      </w:r>
      <w:r>
        <w:br/>
      </w:r>
      <w:r>
        <w:t xml:space="preserve">The transparency regime has also introduced additional costs to the securitisation industry through</w:t>
      </w:r>
      <w:r>
        <w:t xml:space="preserve"> </w:t>
      </w:r>
      <w:r>
        <w:t xml:space="preserve">the set-up of securitisation repositories. Issuers of public securitisations are obliged to report a rich</w:t>
      </w:r>
      <w:r>
        <w:t xml:space="preserve"> </w:t>
      </w:r>
      <w:r>
        <w:t xml:space="preserve">set of information to a securitisation repository to make this data available to investors and</w:t>
      </w:r>
      <w:r>
        <w:t xml:space="preserve"> </w:t>
      </w:r>
      <w:r>
        <w:t xml:space="preserve">supervisors. While investors and supervisors can use the repositories free of charge, issuers</w:t>
      </w:r>
      <w:r>
        <w:t xml:space="preserve"> </w:t>
      </w:r>
      <w:r>
        <w:t xml:space="preserve">reporting to the repository are required to pay a fee. To illustrate: EDW, one of the main</w:t>
      </w:r>
      <w:r>
        <w:t xml:space="preserve"> </w:t>
      </w:r>
      <w:r>
        <w:t xml:space="preserve">securitisation repositories in the EU, charges EUR 7,000-7,500 per year for non-ABCPs, and EUR</w:t>
      </w:r>
      <w:r>
        <w:t xml:space="preserve"> </w:t>
      </w:r>
      <w:r>
        <w:t xml:space="preserve">9,000 per year for master trusts and ABCP programs. Originators also incur a one-off deal</w:t>
      </w:r>
      <w:r>
        <w:t xml:space="preserve"> </w:t>
      </w:r>
      <w:r>
        <w:t xml:space="preserve">initiation fee of EUR 8,000, to access some premium services187.</w:t>
      </w:r>
      <w:r>
        <w:br/>
      </w:r>
      <w:r>
        <w:t xml:space="preserve">In addition, the transparency regime may also keep issuers from being able to securitise certain</w:t>
      </w:r>
      <w:r>
        <w:t xml:space="preserve"> </w:t>
      </w:r>
      <w:r>
        <w:t xml:space="preserve">pools of loans in case they are not able to collect all the necessary information or are if there are</w:t>
      </w:r>
      <w:r>
        <w:t xml:space="preserve"> </w:t>
      </w:r>
      <w:r>
        <w:t xml:space="preserve">concerns about the confidentiality of the data that is reported via securitisation repositories.</w:t>
      </w:r>
      <w:r>
        <w:t xml:space="preserve"> </w:t>
      </w:r>
      <w:r>
        <w:t xml:space="preserve">Therefore, the issuer may have to incur additional costs in order to be able to build up a pool of</w:t>
      </w:r>
      <w:r>
        <w:t xml:space="preserve"> </w:t>
      </w:r>
      <w:r>
        <w:t xml:space="preserve">securitise-able assets or simply be forced to forego the opportunity to securitise.</w:t>
      </w:r>
    </w:p>
    <w:p>
      <w:pPr>
        <w:pStyle w:val="BodyText"/>
      </w:pPr>
      <w:r>
        <w:t xml:space="preserve">Moreover, issuing and investing in STS securitisations comes with additional verification costs.</w:t>
      </w:r>
      <w:r>
        <w:t xml:space="preserve"> </w:t>
      </w:r>
      <w:r>
        <w:t xml:space="preserve">According to Article 5 of the SECR, investors are required to verify that STS transactions comply</w:t>
      </w:r>
      <w:r>
        <w:t xml:space="preserve"> </w:t>
      </w:r>
      <w:r>
        <w:t xml:space="preserve">with STS criteria. Furthermore, issuers are subject to sanctions if they mislead investors by mis-</w:t>
      </w:r>
      <w:r>
        <w:t xml:space="preserve"> </w:t>
      </w:r>
      <w:r>
        <w:t xml:space="preserve">labelling a transaction as STS compliant. As a safeguard, therefore, most issuers avail of a Third-</w:t>
      </w:r>
      <w:r>
        <w:t xml:space="preserve"> </w:t>
      </w:r>
      <w:r>
        <w:t xml:space="preserve">Party Verifier (TPV) for STS transactions. The costs of such a service range from EUR 33,500 -</w:t>
      </w:r>
      <w:r>
        <w:t xml:space="preserve"> </w:t>
      </w:r>
      <w:r>
        <w:t xml:space="preserve">44,000 for a traditional STS securitisation with a maturity of up to three years, and EUR 38,500 -</w:t>
      </w:r>
      <w:r>
        <w:t xml:space="preserve"> </w:t>
      </w:r>
      <w:r>
        <w:t xml:space="preserve">46,750 for a three-year on-balance-sheet STS transaction188.</w:t>
      </w:r>
    </w:p>
    <w:p>
      <w:pPr>
        <w:pStyle w:val="BodyText"/>
      </w:pPr>
      <w:r>
        <w:t xml:space="preserve">The costs associated with the introduction of the amended banking prudential framework are</w:t>
      </w:r>
      <w:r>
        <w:t xml:space="preserve"> </w:t>
      </w:r>
      <w:r>
        <w:t xml:space="preserve">assessed to be low (though not quantified). They mostly comprise of one-off adaptation costs to</w:t>
      </w:r>
      <w:r>
        <w:t xml:space="preserve"> </w:t>
      </w:r>
      <w:r>
        <w:t xml:space="preserve">the new securitisation prudential framework and some undue increases in capital costs for STS</w:t>
      </w:r>
      <w:r>
        <w:t xml:space="preserve"> </w:t>
      </w:r>
      <w:r>
        <w:t xml:space="preserve">securitisations, considering the significant non-neutrality introduced in the capital framework</w:t>
      </w:r>
      <w:r>
        <w:t xml:space="preserve"> </w:t>
      </w:r>
      <w:r>
        <w:t xml:space="preserve">which may be deemed excessive in light of the good credit performance of STS securitisations and</w:t>
      </w:r>
      <w:r>
        <w:t xml:space="preserve"> </w:t>
      </w:r>
      <w:r>
        <w:t xml:space="preserve">numerous risk mitigants risks applied to STS structures.</w:t>
      </w:r>
    </w:p>
    <w:p>
      <w:pPr>
        <w:pStyle w:val="BodyText"/>
      </w:pPr>
      <w:r>
        <w:t xml:space="preserve">187 https://eurodw.eu/solutions/pricing/</w:t>
      </w:r>
      <w:r>
        <w:t xml:space="preserve"> </w:t>
      </w:r>
      <w:r>
        <w:t xml:space="preserve">188 Source: https://pcsmarket.org/wp-content/uploads/Fee-Schedule.pdf and STS verification - STS Verification</w:t>
      </w:r>
      <w:r>
        <w:t xml:space="preserve"> </w:t>
      </w:r>
      <w:r>
        <w:t xml:space="preserve">International GmbH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The implementation costs associated with changes in insurance prudential rules are reported to be</w:t>
      </w:r>
      <w:r>
        <w:t xml:space="preserve"> </w:t>
      </w:r>
      <w:r>
        <w:t xml:space="preserve">very low (though not quantified) – they mainly consist of replacing the risk factors for so-called</w:t>
      </w:r>
      <w:r>
        <w:t xml:space="preserve"> </w:t>
      </w:r>
      <w:r>
        <w:t xml:space="preserve">‘type 1’ securitisation with those applicable for STS securitisations. The lower capital</w:t>
      </w:r>
      <w:r>
        <w:t xml:space="preserve"> </w:t>
      </w:r>
      <w:r>
        <w:t xml:space="preserve">requirements on simple and transparent securitisation can result in some additional risk taking by</w:t>
      </w:r>
      <w:r>
        <w:t xml:space="preserve"> </w:t>
      </w:r>
      <w:r>
        <w:t xml:space="preserve">insurers depending on how they use the capital relief. However, in view of the ongoing level of</w:t>
      </w:r>
      <w:r>
        <w:t xml:space="preserve"> </w:t>
      </w:r>
      <w:r>
        <w:t xml:space="preserve">STS securitisations in insurers’ investment portfolios, that risk seems largely contained at EEA</w:t>
      </w:r>
      <w:r>
        <w:t xml:space="preserve"> </w:t>
      </w:r>
      <w:r>
        <w:t xml:space="preserve">level, without precluding that it could be more significant for individual insurers with specific</w:t>
      </w:r>
      <w:r>
        <w:t xml:space="preserve"> </w:t>
      </w:r>
      <w:r>
        <w:t xml:space="preserve">exposures to securitisations.</w:t>
      </w:r>
    </w:p>
    <w:p>
      <w:pPr>
        <w:pStyle w:val="BodyText"/>
      </w:pPr>
      <w:r>
        <w:t xml:space="preserve">4.3. Coherence</w:t>
      </w:r>
    </w:p>
    <w:p>
      <w:pPr>
        <w:pStyle w:val="BodyText"/>
      </w:pPr>
      <w:r>
        <w:t xml:space="preserve">This section assesses coherence of the Securitisation Framework, both in terms of the degree of</w:t>
      </w:r>
      <w:r>
        <w:t xml:space="preserve"> </w:t>
      </w:r>
      <w:r>
        <w:t xml:space="preserve">coherence between the provisions within the Framework (internal coherence) as well as its</w:t>
      </w:r>
      <w:r>
        <w:t xml:space="preserve"> </w:t>
      </w:r>
      <w:r>
        <w:t xml:space="preserve">relationship with other pieces of legislation (external coherence).</w:t>
      </w:r>
      <w:r>
        <w:t xml:space="preserve"> </w:t>
      </w:r>
      <w:r>
        <w:t xml:space="preserve">4.3.1. Internal coherence</w:t>
      </w:r>
      <w:r>
        <w:t xml:space="preserve"> </w:t>
      </w:r>
      <w:r>
        <w:t xml:space="preserve">Overall, the Securitisation Framework shows a high degree of internal coherence. It</w:t>
      </w:r>
      <w:r>
        <w:t xml:space="preserve"> </w:t>
      </w:r>
      <w:r>
        <w:t xml:space="preserve">simultaneously creates a general regulatory system for European securitisations, while providing</w:t>
      </w:r>
      <w:r>
        <w:t xml:space="preserve"> </w:t>
      </w:r>
      <w:r>
        <w:t xml:space="preserve">for harmonised prudential treatment through targeted amendments to the CRR, LCR Delegated</w:t>
      </w:r>
      <w:r>
        <w:t xml:space="preserve"> </w:t>
      </w:r>
      <w:r>
        <w:t xml:space="preserve">Act and SII.</w:t>
      </w:r>
    </w:p>
    <w:p>
      <w:pPr>
        <w:pStyle w:val="BodyText"/>
      </w:pPr>
      <w:r>
        <w:t xml:space="preserve">The different provisions in the SECR follow a clear logical structure, starting with generally</w:t>
      </w:r>
      <w:r>
        <w:t xml:space="preserve"> </w:t>
      </w:r>
      <w:r>
        <w:t xml:space="preserve">applicable horizontal rules (due diligence, transparency, risk retention etc). Additional</w:t>
      </w:r>
      <w:r>
        <w:t xml:space="preserve"> </w:t>
      </w:r>
      <w:r>
        <w:t xml:space="preserve">requirements are specified for securitisations benefitting from the STS label. These more rigorous</w:t>
      </w:r>
      <w:r>
        <w:t xml:space="preserve"> </w:t>
      </w:r>
      <w:r>
        <w:t xml:space="preserve">criteria are consistent with the logic of differentiating the STS category and its associated</w:t>
      </w:r>
      <w:r>
        <w:t xml:space="preserve"> </w:t>
      </w:r>
      <w:r>
        <w:t xml:space="preserve">prudential benefit. Stakeholders have confirmed that this structure does not give rise to</w:t>
      </w:r>
      <w:r>
        <w:t xml:space="preserve"> </w:t>
      </w:r>
      <w:r>
        <w:t xml:space="preserve">incoherence, duplication or conflicting requirements.</w:t>
      </w:r>
    </w:p>
    <w:p>
      <w:pPr>
        <w:pStyle w:val="BodyText"/>
      </w:pPr>
      <w:r>
        <w:t xml:space="preserve">Prior to the introduction of the Framework, inconsistencies were identified between the framework</w:t>
      </w:r>
      <w:r>
        <w:t xml:space="preserve"> </w:t>
      </w:r>
      <w:r>
        <w:t xml:space="preserve">for banks (CRR) and for insurers (SII). Therefore, the Framework introduced dedicated</w:t>
      </w:r>
      <w:r>
        <w:t xml:space="preserve"> </w:t>
      </w:r>
      <w:r>
        <w:t xml:space="preserve">preferential prudential treatments for both senior and non-senior STS securitisation under both</w:t>
      </w:r>
      <w:r>
        <w:t xml:space="preserve"> </w:t>
      </w:r>
      <w:r>
        <w:t xml:space="preserve">banking and insurance rules.</w:t>
      </w:r>
      <w:r>
        <w:t xml:space="preserve"> </w:t>
      </w:r>
      <w:r>
        <w:t xml:space="preserve">In relation to insurance, there are still two sources of incoherence:</w:t>
      </w:r>
      <w:r>
        <w:t xml:space="preserve"> </w:t>
      </w:r>
      <w:r>
        <w:t xml:space="preserve">• Incoherence with banking rules: SII does not differentiate between senior and non-senior</w:t>
      </w:r>
      <w:r>
        <w:t xml:space="preserve"> </w:t>
      </w:r>
      <w:r>
        <w:t xml:space="preserve">tranches of non-STS securitisations, unlike in the banking rules. This results in an</w:t>
      </w:r>
      <w:r>
        <w:t xml:space="preserve"> </w:t>
      </w:r>
      <w:r>
        <w:t xml:space="preserve">inconsistency of the risk sensitivity of the prudential treatment for banks and insurers.</w:t>
      </w:r>
    </w:p>
    <w:p>
      <w:pPr>
        <w:pStyle w:val="BodyText"/>
      </w:pPr>
      <w:r>
        <w:t xml:space="preserve">• Internal incoherence on SII: This can be illustrated by looking at disadvantageous</w:t>
      </w:r>
      <w:r>
        <w:t xml:space="preserve"> </w:t>
      </w:r>
      <w:r>
        <w:t xml:space="preserve">prudential treatment of securitisation, when compared to equity shares. Holders of shares</w:t>
      </w:r>
      <w:r>
        <w:t xml:space="preserve"> </w:t>
      </w:r>
      <w:r>
        <w:t xml:space="preserve">are generally the first to absorb losses in case of insolvency (i.e. before debtholders and</w:t>
      </w:r>
      <w:r>
        <w:t xml:space="preserve"> </w:t>
      </w:r>
      <w:r>
        <w:t xml:space="preserve">other creditors) and they are exposed to significant volatility. Compared to this, the highest-</w:t>
      </w:r>
      <w:r>
        <w:t xml:space="preserve"> </w:t>
      </w:r>
      <w:r>
        <w:t xml:space="preserve">rated senior tranches of securitisation are more protected in case of insolvency and arguably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less volatile than equity. However, while capital charges on unlisted equities or on equities</w:t>
      </w:r>
      <w:r>
        <w:t xml:space="preserve"> </w:t>
      </w:r>
      <w:r>
        <w:t xml:space="preserve">from emerging markets are on average at 49%, even the most senior tranches of non-STS</w:t>
      </w:r>
      <w:r>
        <w:t xml:space="preserve"> </w:t>
      </w:r>
      <w:r>
        <w:t xml:space="preserve">securitisation can be subject to capital charges significantly exceeding 50%.</w:t>
      </w:r>
      <w:r>
        <w:t xml:space="preserve"> </w:t>
      </w:r>
      <w:r>
        <w:t xml:space="preserve">4.3.2. External Coherence</w:t>
      </w:r>
      <w:r>
        <w:br/>
      </w:r>
      <w:r>
        <w:t xml:space="preserve">The SECR presents a logical and coherent framework, uniting different legal provisions scattered</w:t>
      </w:r>
      <w:r>
        <w:t xml:space="preserve"> </w:t>
      </w:r>
      <w:r>
        <w:t xml:space="preserve">in various pieces of legislation. By doing so it avoids external inconsistencies and differential</w:t>
      </w:r>
      <w:r>
        <w:t xml:space="preserve"> </w:t>
      </w:r>
      <w:r>
        <w:t xml:space="preserve">regulatory treatment. Feedback from stakeholders confirm that the approach taken is the</w:t>
      </w:r>
      <w:r>
        <w:t xml:space="preserve"> </w:t>
      </w:r>
      <w:r>
        <w:t xml:space="preserve">appropriate one.</w:t>
      </w:r>
    </w:p>
    <w:p>
      <w:pPr>
        <w:pStyle w:val="BodyText"/>
      </w:pPr>
      <w:r>
        <w:t xml:space="preserve">Some minor inconsistencies have been found between the SECR and the Alternative Investment</w:t>
      </w:r>
      <w:r>
        <w:t xml:space="preserve"> </w:t>
      </w:r>
      <w:r>
        <w:t xml:space="preserve">Fund Managers Directive (AIFMD) as regards due diligence and delegation requirements. In</w:t>
      </w:r>
      <w:r>
        <w:t xml:space="preserve"> </w:t>
      </w:r>
      <w:r>
        <w:t xml:space="preserve">certain instances, this has led to duplicative compliance requirements. The EU Securitisation</w:t>
      </w:r>
      <w:r>
        <w:t xml:space="preserve"> </w:t>
      </w:r>
      <w:r>
        <w:t xml:space="preserve">Framework is coherent with the securitisation framework for regulatory capital requirements</w:t>
      </w:r>
      <w:r>
        <w:t xml:space="preserve"> </w:t>
      </w:r>
      <w:r>
        <w:t xml:space="preserve">issued by the Basel Committee on Banking Supervision (BCBS), IOSCO’s recommendations on</w:t>
      </w:r>
      <w:r>
        <w:t xml:space="preserve"> </w:t>
      </w:r>
      <w:r>
        <w:t xml:space="preserve">securitisation, as well as the BCBS-IOSCO criteria for identifying simple, transparent and</w:t>
      </w:r>
      <w:r>
        <w:t xml:space="preserve"> </w:t>
      </w:r>
      <w:r>
        <w:t xml:space="preserve">comparable securitisations (called Simple, Transparent and Standardised in the EU). The EU</w:t>
      </w:r>
      <w:r>
        <w:t xml:space="preserve"> </w:t>
      </w:r>
      <w:r>
        <w:t xml:space="preserve">Securitisation Framework has adapted the Basel and IOSCO standards on a few aspects, such as</w:t>
      </w:r>
      <w:r>
        <w:t xml:space="preserve"> </w:t>
      </w:r>
      <w:r>
        <w:t xml:space="preserve">the scope of application of the STS label (extended to synthetic securitisations), the hierarchy of</w:t>
      </w:r>
      <w:r>
        <w:t xml:space="preserve"> </w:t>
      </w:r>
      <w:r>
        <w:t xml:space="preserve">the approaches and the eligibility of securitisations in the LCR.</w:t>
      </w:r>
    </w:p>
    <w:p>
      <w:pPr>
        <w:pStyle w:val="BodyText"/>
      </w:pPr>
      <w:r>
        <w:t xml:space="preserve">4.4. EU added value</w:t>
      </w:r>
      <w:r>
        <w:t xml:space="preserve"> </w:t>
      </w:r>
      <w:r>
        <w:t xml:space="preserve">This section considers if and how the EU intervention made a difference. Securitisation</w:t>
      </w:r>
      <w:r>
        <w:t xml:space="preserve"> </w:t>
      </w:r>
      <w:r>
        <w:t xml:space="preserve">Framework has provided a clear EU-wide legal framework by harmonising existing provisions</w:t>
      </w:r>
      <w:r>
        <w:t xml:space="preserve"> </w:t>
      </w:r>
      <w:r>
        <w:t xml:space="preserve">which were scattered across a large number of sectoral legal acts that applied to different market</w:t>
      </w:r>
      <w:r>
        <w:t xml:space="preserve"> </w:t>
      </w:r>
      <w:r>
        <w:t xml:space="preserve">entities.</w:t>
      </w:r>
    </w:p>
    <w:p>
      <w:pPr>
        <w:pStyle w:val="BodyText"/>
      </w:pPr>
      <w:r>
        <w:t xml:space="preserve">The SECR has introduced a single, coherent and harmonised legal framework for original lenders,</w:t>
      </w:r>
      <w:r>
        <w:t xml:space="preserve"> </w:t>
      </w:r>
      <w:r>
        <w:t xml:space="preserve">originators, sponsors, securitisation special purpose vehicles (SSPVs) and institutional investors</w:t>
      </w:r>
      <w:r>
        <w:t xml:space="preserve"> </w:t>
      </w:r>
      <w:r>
        <w:t xml:space="preserve">participating in the EU securitisation market. A Directive or national-level legislation would not</w:t>
      </w:r>
      <w:r>
        <w:t xml:space="preserve"> </w:t>
      </w:r>
      <w:r>
        <w:t xml:space="preserve">have led to the same results. Transposition of a Directive or national laws would have led to</w:t>
      </w:r>
      <w:r>
        <w:t xml:space="preserve"> </w:t>
      </w:r>
      <w:r>
        <w:t xml:space="preserve">divergence across Member States, resulting in distortion of competition and regulatory arbitrage.</w:t>
      </w:r>
      <w:r>
        <w:t xml:space="preserve"> </w:t>
      </w:r>
      <w:r>
        <w:t xml:space="preserve">Moreover, most existing EU provisions in this area had been successfully adopted and</w:t>
      </w:r>
      <w:r>
        <w:t xml:space="preserve"> </w:t>
      </w:r>
      <w:r>
        <w:t xml:space="preserve">implemented in the form of Regulations.</w:t>
      </w:r>
    </w:p>
    <w:p>
      <w:pPr>
        <w:pStyle w:val="BodyText"/>
      </w:pPr>
      <w:r>
        <w:t xml:space="preserve">Securitisation products are part of EU financial markets that are open and integrated. Securitisation</w:t>
      </w:r>
      <w:r>
        <w:t xml:space="preserve"> </w:t>
      </w:r>
      <w:r>
        <w:t xml:space="preserve">allows to link financial institutions from different Member States and non-Member States: banks</w:t>
      </w:r>
      <w:r>
        <w:t xml:space="preserve"> </w:t>
      </w:r>
      <w:r>
        <w:t xml:space="preserve">can originate the loans that are securitised, while financial institutions such as insurers and</w:t>
      </w:r>
      <w:r>
        <w:t xml:space="preserve"> </w:t>
      </w:r>
      <w:r>
        <w:t xml:space="preserve">investment funds invest in these products and they can do so across European borders, but also</w:t>
      </w:r>
      <w:r>
        <w:t xml:space="preserve"> </w:t>
      </w:r>
      <w:r>
        <w:t xml:space="preserve">globally. The securitisation market is therefore international in nature and measures at the EU level</w:t>
      </w:r>
      <w:r>
        <w:t xml:space="preserve"> </w:t>
      </w:r>
      <w:r>
        <w:t xml:space="preserve">are the right tool for designing an adequate legal framework. The fact that originators and investors</w:t>
      </w:r>
      <w:r>
        <w:t xml:space="preserve"> </w:t>
      </w:r>
      <w:r>
        <w:t xml:space="preserve">follow the uniform rules across the Single Market reduces the cost of issuance and investing.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The Regulation has facilitated further integration of the market, and the legal framework has been</w:t>
      </w:r>
      <w:r>
        <w:t xml:space="preserve"> </w:t>
      </w:r>
      <w:r>
        <w:t xml:space="preserve">most effective with regard to the policy aim of providing a high level of investor protection through</w:t>
      </w:r>
      <w:r>
        <w:t xml:space="preserve"> </w:t>
      </w:r>
      <w:r>
        <w:t xml:space="preserve">risk retention and information availability. The STS label has been widely accepted as a market</w:t>
      </w:r>
      <w:r>
        <w:t xml:space="preserve"> </w:t>
      </w:r>
      <w:r>
        <w:t xml:space="preserve">standard. It serves to help investors identify high-quality structures and removes the stigma</w:t>
      </w:r>
      <w:r>
        <w:t xml:space="preserve"> </w:t>
      </w:r>
      <w:r>
        <w:t xml:space="preserve">attached to securitisation.</w:t>
      </w:r>
    </w:p>
    <w:p>
      <w:pPr>
        <w:pStyle w:val="BodyText"/>
      </w:pPr>
      <w:r>
        <w:t xml:space="preserve">4.5. Is the intervention still relevant?</w:t>
      </w:r>
      <w:r>
        <w:t xml:space="preserve"> </w:t>
      </w:r>
      <w:r>
        <w:t xml:space="preserve">Over the implementation period of the Securitisation Framework, its initial objectives have</w:t>
      </w:r>
      <w:r>
        <w:t xml:space="preserve"> </w:t>
      </w:r>
      <w:r>
        <w:t xml:space="preserve">remained relevant to ongoing EU policy goals and priorities. Europe’s investment needs have</w:t>
      </w:r>
      <w:r>
        <w:t xml:space="preserve"> </w:t>
      </w:r>
      <w:r>
        <w:t xml:space="preserve">grown in size, scope, and urgency since the introduction of the Securitisation Framework, and they</w:t>
      </w:r>
      <w:r>
        <w:t xml:space="preserve"> </w:t>
      </w:r>
      <w:r>
        <w:t xml:space="preserve">cannot be met by public financing alone. As such, the alleviation of undue obstacles to private</w:t>
      </w:r>
      <w:r>
        <w:t xml:space="preserve"> </w:t>
      </w:r>
      <w:r>
        <w:t xml:space="preserve">financing remains a highly – and ever more - relevant objective to attain.</w:t>
      </w:r>
    </w:p>
    <w:p>
      <w:pPr>
        <w:pStyle w:val="BodyText"/>
      </w:pPr>
      <w:r>
        <w:t xml:space="preserve">The Savings and Investment Union was unveiled in 2024 as a cornerstone of the 2024-2029</w:t>
      </w:r>
      <w:r>
        <w:t xml:space="preserve"> </w:t>
      </w:r>
      <w:r>
        <w:t xml:space="preserve">Commission mandate, and securitisation has a key role to play in this regard. Securitisation allows</w:t>
      </w:r>
      <w:r>
        <w:t xml:space="preserve"> </w:t>
      </w:r>
      <w:r>
        <w:t xml:space="preserve">lenders to package and sell the loans that they grant to capital market investors and, through this</w:t>
      </w:r>
      <w:r>
        <w:t xml:space="preserve"> </w:t>
      </w:r>
      <w:r>
        <w:t xml:space="preserve">process, they free up capacity that could be used for more lending, for instance to SMEs and</w:t>
      </w:r>
      <w:r>
        <w:t xml:space="preserve"> </w:t>
      </w:r>
      <w:r>
        <w:t xml:space="preserve">corporates.</w:t>
      </w:r>
    </w:p>
    <w:p>
      <w:pPr>
        <w:pStyle w:val="BodyText"/>
      </w:pPr>
      <w:r>
        <w:t xml:space="preserve">Looking ahead, the needs and objectives of this initiative will be of sustained and increasing</w:t>
      </w:r>
      <w:r>
        <w:t xml:space="preserve"> </w:t>
      </w:r>
      <w:r>
        <w:t xml:space="preserve">relevance in the push for European competitiveness. The Competitiveness Compass189 highlights</w:t>
      </w:r>
      <w:r>
        <w:t xml:space="preserve"> </w:t>
      </w:r>
      <w:r>
        <w:t xml:space="preserve">the need for the EU to meet its massive financing needs, to deliver on objectives in the areas of</w:t>
      </w:r>
      <w:r>
        <w:t xml:space="preserve"> </w:t>
      </w:r>
      <w:r>
        <w:t xml:space="preserve">innovation, the clean, digital and tech transitions. The Savings and Investment Union is a priority</w:t>
      </w:r>
      <w:r>
        <w:t xml:space="preserve"> </w:t>
      </w:r>
      <w:r>
        <w:t xml:space="preserve">to meet these financing needs and ensure European competitiveness in the years to come.</w:t>
      </w:r>
      <w:r>
        <w:br/>
      </w:r>
      <w:r>
        <w:t xml:space="preserve">From a non-prudential perspective, feedback from the targeted consultation indicates that while</w:t>
      </w:r>
      <w:r>
        <w:t xml:space="preserve"> </w:t>
      </w:r>
      <w:r>
        <w:t xml:space="preserve">the current Framework and its subsequent amendments have gone some way to achieve the stated</w:t>
      </w:r>
      <w:r>
        <w:t xml:space="preserve"> </w:t>
      </w:r>
      <w:r>
        <w:t xml:space="preserve">objectives, issuance and investment barriers remain high. Stakeholder feedback does indicate that</w:t>
      </w:r>
      <w:r>
        <w:t xml:space="preserve"> </w:t>
      </w:r>
      <w:r>
        <w:t xml:space="preserve">there is sizeable investor interest in EU securitisation products, but the persistence of the barriers</w:t>
      </w:r>
      <w:r>
        <w:t xml:space="preserve"> </w:t>
      </w:r>
      <w:r>
        <w:t xml:space="preserve">identified prior to the introduction of the current Framework, continue to impede this demand.</w:t>
      </w:r>
      <w:r>
        <w:br/>
      </w:r>
      <w:r>
        <w:t xml:space="preserve">In terms of prudential rules for banks, the initiative was focused on introducing a differentiated</w:t>
      </w:r>
      <w:r>
        <w:t xml:space="preserve"> </w:t>
      </w:r>
      <w:r>
        <w:t xml:space="preserve">regulatory framework for simple, transparent and standardised securitisations. While a degree of</w:t>
      </w:r>
      <w:r>
        <w:t xml:space="preserve"> </w:t>
      </w:r>
      <w:r>
        <w:t xml:space="preserve">risk sensitivity has been introduced in the Framework by allowing lower capital for STS</w:t>
      </w:r>
      <w:r>
        <w:t xml:space="preserve"> </w:t>
      </w:r>
      <w:r>
        <w:t xml:space="preserve">securitisations compared to non-STS securitisations, it continues to incorporate a significant</w:t>
      </w:r>
      <w:r>
        <w:t xml:space="preserve"> </w:t>
      </w:r>
      <w:r>
        <w:t xml:space="preserve">degree of conservatism, both for STS and non-STS transactions, which results in high bank capital</w:t>
      </w:r>
      <w:r>
        <w:t xml:space="preserve"> </w:t>
      </w:r>
      <w:r>
        <w:t xml:space="preserve">requirements for their securitisation exposures. The existing prudential requirements are not</w:t>
      </w:r>
      <w:r>
        <w:t xml:space="preserve"> </w:t>
      </w:r>
      <w:r>
        <w:t xml:space="preserve">sufficiently risk sensitive and do not adequately reflect the numerous EU regulatory and</w:t>
      </w:r>
      <w:r>
        <w:t xml:space="preserve"> </w:t>
      </w:r>
      <w:r>
        <w:t xml:space="preserve">supervisory risk mitigants that have been put in place in recent years as well as the good credit</w:t>
      </w:r>
      <w:r>
        <w:t xml:space="preserve"> </w:t>
      </w:r>
      <w:r>
        <w:t xml:space="preserve">performance of securitisations observed in the recent past. Therefore, they discourage EU banks</w:t>
      </w:r>
    </w:p>
    <w:p>
      <w:pPr>
        <w:pStyle w:val="BodyText"/>
      </w:pPr>
      <w:r>
        <w:t xml:space="preserve">189 Commission Communication : « A Competitiveness Compass for the EU » , 29 January 2025,</w:t>
      </w:r>
      <w:r>
        <w:t xml:space="preserve"> </w:t>
      </w:r>
      <w:r>
        <w:t xml:space="preserve">https://commission.europa.eu/document/download/10017eb1-4722-4333-add2-e0ed18105a34_en.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from participating more actively in the EU securitisation market. A more active role by banks in</w:t>
      </w:r>
      <w:r>
        <w:t xml:space="preserve"> </w:t>
      </w:r>
      <w:r>
        <w:t xml:space="preserve">the EU securitisation market is essential to achieve the general objective of the initiative.</w:t>
      </w:r>
      <w:r>
        <w:t xml:space="preserve"> </w:t>
      </w:r>
      <w:r>
        <w:t xml:space="preserve">With regard to insurance prudential rules, while capital requirements on STS securitisations have</w:t>
      </w:r>
      <w:r>
        <w:t xml:space="preserve"> </w:t>
      </w:r>
      <w:r>
        <w:t xml:space="preserve">been significantly reduced, the framework for non-STS securitisation is characterised by a high</w:t>
      </w:r>
      <w:r>
        <w:t xml:space="preserve"> </w:t>
      </w:r>
      <w:r>
        <w:t xml:space="preserve">level of conservatism. In fact, capital requirements on non-standard securitisation are still based</w:t>
      </w:r>
      <w:r>
        <w:t xml:space="preserve"> </w:t>
      </w:r>
      <w:r>
        <w:t xml:space="preserve">on EIOPA’s 2013 calibrations190, i.e. in the aftermath of the Subprime and Great Financial Crises,</w:t>
      </w:r>
      <w:r>
        <w:t xml:space="preserve"> </w:t>
      </w:r>
      <w:r>
        <w:t xml:space="preserve">and before Solvency II started to apply. Such a level of conservatism may no longer be justified in</w:t>
      </w:r>
      <w:r>
        <w:t xml:space="preserve"> </w:t>
      </w:r>
      <w:r>
        <w:t xml:space="preserve">view of the much more robust legal framework and requirements applicable to securitisation</w:t>
      </w:r>
      <w:r>
        <w:t xml:space="preserve"> </w:t>
      </w:r>
      <w:r>
        <w:t xml:space="preserve">investments. Prudential rules on non-STS securitisations remain largely more capital intensive</w:t>
      </w:r>
      <w:r>
        <w:t xml:space="preserve"> </w:t>
      </w:r>
      <w:r>
        <w:t xml:space="preserve">than those applicable to STS securitisations, irrespective of the credit quality of the securitisation.</w:t>
      </w:r>
      <w:r>
        <w:t xml:space="preserve"> </w:t>
      </w:r>
      <w:r>
        <w:t xml:space="preserve">In general, investments in non-STS securitisation require locking an amount of capital that is more</w:t>
      </w:r>
      <w:r>
        <w:t xml:space="preserve"> </w:t>
      </w:r>
      <w:r>
        <w:t xml:space="preserve">than half the value of the investments. Many stakeholders provide this feedback in the context of</w:t>
      </w:r>
      <w:r>
        <w:t xml:space="preserve"> </w:t>
      </w:r>
      <w:r>
        <w:t xml:space="preserve">the targeted consultation.</w:t>
      </w:r>
      <w:r>
        <w:br/>
      </w:r>
      <w:r>
        <w:t xml:space="preserve">In addition, prudential rules for insurers do not differentiate between senior and non-senior</w:t>
      </w:r>
      <w:r>
        <w:t xml:space="preserve"> </w:t>
      </w:r>
      <w:r>
        <w:t xml:space="preserve">tranches of non-STS securitisation, and as a result the existing framework can incentivise insurers</w:t>
      </w:r>
      <w:r>
        <w:t xml:space="preserve"> </w:t>
      </w:r>
      <w:r>
        <w:t xml:space="preserve">to invest in the riskier junior non-STS category so as to obtain a higher return with the same capital</w:t>
      </w:r>
      <w:r>
        <w:t xml:space="preserve"> </w:t>
      </w:r>
      <w:r>
        <w:t xml:space="preserve">charge as the one applicable to senior non-STS category. The framework is therefore biased</w:t>
      </w:r>
      <w:r>
        <w:t xml:space="preserve"> </w:t>
      </w:r>
      <w:r>
        <w:t xml:space="preserve">towards most risky non-STS securitisations (compared with less risky ones) which might be</w:t>
      </w:r>
      <w:r>
        <w:t xml:space="preserve"> </w:t>
      </w:r>
      <w:r>
        <w:t xml:space="preserve">detrimental to policyholder protection because unduly encouraging (or even ‘prudentially</w:t>
      </w:r>
      <w:r>
        <w:t xml:space="preserve"> </w:t>
      </w:r>
      <w:r>
        <w:t xml:space="preserve">rewarding’) insurers to take more risk. Strong investor demand for senior tranches would</w:t>
      </w:r>
      <w:r>
        <w:t xml:space="preserve"> </w:t>
      </w:r>
      <w:r>
        <w:t xml:space="preserve">incentivise more securitisation issuance, as argued in section 2.3, and therefore contribute to</w:t>
      </w:r>
      <w:r>
        <w:t xml:space="preserve"> </w:t>
      </w:r>
      <w:r>
        <w:t xml:space="preserve">achieving the general objective.</w:t>
      </w:r>
      <w:r>
        <w:t xml:space="preserve"> </w:t>
      </w:r>
      <w:r>
        <w:t xml:space="preserve">5. What are the conclusions and lessons learned?</w:t>
      </w:r>
      <w:r>
        <w:t xml:space="preserve"> </w:t>
      </w:r>
      <w:r>
        <w:t xml:space="preserve">The Securitisation Framework has partly met its original objectives. The intervention has not fully</w:t>
      </w:r>
      <w:r>
        <w:t xml:space="preserve"> </w:t>
      </w:r>
      <w:r>
        <w:t xml:space="preserve">achieved the general objective of reviving the securitisation market, although it has been successful</w:t>
      </w:r>
      <w:r>
        <w:t xml:space="preserve"> </w:t>
      </w:r>
      <w:r>
        <w:t xml:space="preserve">in ensuring safe and high-quality securitisation practices on the part of issuers and investors.</w:t>
      </w:r>
      <w:r>
        <w:br/>
      </w:r>
      <w:r>
        <w:t xml:space="preserve">Regarding the specific objectives, the Framework has been successful in supporting the</w:t>
      </w:r>
      <w:r>
        <w:t xml:space="preserve"> </w:t>
      </w:r>
      <w:r>
        <w:t xml:space="preserve">standardisation of processes and practices in securitisation markets and partly tackled regulatory</w:t>
      </w:r>
      <w:r>
        <w:t xml:space="preserve"> </w:t>
      </w:r>
      <w:r>
        <w:t xml:space="preserve">inconsistencies. However, it has only been partly successful in removing the stigma associated</w:t>
      </w:r>
      <w:r>
        <w:t xml:space="preserve"> </w:t>
      </w:r>
      <w:r>
        <w:t xml:space="preserve">with securitisation, and in removing regulatory disadvantages for simple and transparent</w:t>
      </w:r>
      <w:r>
        <w:t xml:space="preserve"> </w:t>
      </w:r>
      <w:r>
        <w:t xml:space="preserve">securitisations, despite the regulatory improvements put in place. Moreover, the Framework has</w:t>
      </w:r>
      <w:r>
        <w:t xml:space="preserve"> </w:t>
      </w:r>
      <w:r>
        <w:t xml:space="preserve">not been successful in reducing high operational costs and in significantly scaling up the</w:t>
      </w:r>
      <w:r>
        <w:t xml:space="preserve"> </w:t>
      </w:r>
      <w:r>
        <w:t xml:space="preserve">securitisation market in the EU. While the implementation of the Framework is considered</w:t>
      </w:r>
    </w:p>
    <w:p>
      <w:pPr>
        <w:pStyle w:val="BodyText"/>
      </w:pPr>
      <w:r>
        <w:t xml:space="preserve">190 See EIOPA’s Technical Report on Standard Formula Design and Calibration for Certain Long-Term Investments:</w:t>
      </w:r>
      <w:r>
        <w:t xml:space="preserve"> </w:t>
      </w:r>
      <w:r>
        <w:t xml:space="preserve">https://www.eiopa.europa.eu/consultations/standard-formula-design-and-calibration-certain-long-term-</w:t>
      </w:r>
      <w:r>
        <w:t xml:space="preserve"> </w:t>
      </w:r>
      <w:r>
        <w:t xml:space="preserve">investments_en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somewhat cost-effective for the prudential aspects, its non-prudential elements have resulted in</w:t>
      </w:r>
      <w:r>
        <w:t xml:space="preserve"> </w:t>
      </w:r>
      <w:r>
        <w:t xml:space="preserve">high costs for issuers and investors.</w:t>
      </w:r>
      <w:r>
        <w:br/>
      </w:r>
      <w:r>
        <w:t xml:space="preserve">In the areas of transparency and due diligence requirements, the evaluation shows that very</w:t>
      </w:r>
      <w:r>
        <w:t xml:space="preserve"> </w:t>
      </w:r>
      <w:r>
        <w:t xml:space="preserve">prescriptive legal requirements result in high operational costs for issuers and investors without</w:t>
      </w:r>
      <w:r>
        <w:t xml:space="preserve"> </w:t>
      </w:r>
      <w:r>
        <w:t xml:space="preserve">necessarily advancing the policy objectives. A “catch-all” approach may be unsuited to the</w:t>
      </w:r>
      <w:r>
        <w:t xml:space="preserve"> </w:t>
      </w:r>
      <w:r>
        <w:t xml:space="preserve">different needs of public and private investors, and a more principles-based approach would allow</w:t>
      </w:r>
      <w:r>
        <w:t xml:space="preserve"> </w:t>
      </w:r>
      <w:r>
        <w:t xml:space="preserve">the achievement of the objectives in a more cost-efficient manner.</w:t>
      </w:r>
      <w:r>
        <w:br/>
      </w:r>
      <w:r>
        <w:t xml:space="preserve">Investor stigma towards securitisation continues to be observed in the EU market, despite the</w:t>
      </w:r>
      <w:r>
        <w:t xml:space="preserve"> </w:t>
      </w:r>
      <w:r>
        <w:t xml:space="preserve">robust credit performance and legal framework. However, all the necessary safeguards are in place</w:t>
      </w:r>
      <w:r>
        <w:t xml:space="preserve"> </w:t>
      </w:r>
      <w:r>
        <w:t xml:space="preserve">to mitigate investor stigma, and a further improvement in investors’ perception of securitisation in</w:t>
      </w:r>
      <w:r>
        <w:t xml:space="preserve"> </w:t>
      </w:r>
      <w:r>
        <w:t xml:space="preserve">the EU is expected in the medium to long term.</w:t>
      </w:r>
      <w:r>
        <w:t xml:space="preserve"> </w:t>
      </w:r>
      <w:r>
        <w:t xml:space="preserve">The regulatory disadvantage for STS securitisations has been addressed but the existing bank</w:t>
      </w:r>
      <w:r>
        <w:t xml:space="preserve"> </w:t>
      </w:r>
      <w:r>
        <w:t xml:space="preserve">prudential and liquidity rules still unduly disincentivise banks’ participation in the securitisation</w:t>
      </w:r>
      <w:r>
        <w:t xml:space="preserve"> </w:t>
      </w:r>
      <w:r>
        <w:t xml:space="preserve">market, both as originators and senior tranche investors for both STS and non-STS securitisations.</w:t>
      </w:r>
      <w:r>
        <w:t xml:space="preserve"> </w:t>
      </w:r>
      <w:r>
        <w:t xml:space="preserve">Despite the strong historic performance of EU-originated securitisations and despite the safeguards</w:t>
      </w:r>
      <w:r>
        <w:t xml:space="preserve"> </w:t>
      </w:r>
      <w:r>
        <w:t xml:space="preserve">that have been introduced in recent years, the prudential framework for banks is still insufficiently</w:t>
      </w:r>
      <w:r>
        <w:t xml:space="preserve"> </w:t>
      </w:r>
      <w:r>
        <w:t xml:space="preserve">risk sensitive and capital ‘non-neutrality’ is disproportionately high for certain securitisation</w:t>
      </w:r>
      <w:r>
        <w:t xml:space="preserve"> </w:t>
      </w:r>
      <w:r>
        <w:t xml:space="preserve">transactions. In addition, the rules governing significant risk transfer incorporate a number of</w:t>
      </w:r>
      <w:r>
        <w:t xml:space="preserve"> </w:t>
      </w:r>
      <w:r>
        <w:t xml:space="preserve">structural flaws and can lead to complex and inconsistent supervisory processes and outcomes.</w:t>
      </w:r>
      <w:r>
        <w:t xml:space="preserve"> </w:t>
      </w:r>
      <w:r>
        <w:t xml:space="preserve">Lastly, the strictness of the eligibility rules for securitisation in the LCR has reduced bank treasury</w:t>
      </w:r>
      <w:r>
        <w:t xml:space="preserve"> </w:t>
      </w:r>
      <w:r>
        <w:t xml:space="preserve">demand for senior tranches of publicly offered securitisations, with a knock-on negative impact on</w:t>
      </w:r>
      <w:r>
        <w:t xml:space="preserve"> </w:t>
      </w:r>
      <w:r>
        <w:t xml:space="preserve">the market liquidity for those securitisations.</w:t>
      </w:r>
      <w:r>
        <w:br/>
      </w:r>
      <w:r>
        <w:t xml:space="preserve">To address undue prudential barriers for banks originating and investing in securitisations, a</w:t>
      </w:r>
      <w:r>
        <w:t xml:space="preserve"> </w:t>
      </w:r>
      <w:r>
        <w:t xml:space="preserve">revision of the prudential treatment of securitisations is necessary. Any future amendments of the</w:t>
      </w:r>
      <w:r>
        <w:t xml:space="preserve"> </w:t>
      </w:r>
      <w:r>
        <w:t xml:space="preserve">prudential treatment of securitisation transactions need to be effective, proportionate and well-</w:t>
      </w:r>
      <w:r>
        <w:t xml:space="preserve"> </w:t>
      </w:r>
      <w:r>
        <w:t xml:space="preserve">targeted and strike a balance between safeguarding financial stability on the one hand and on the</w:t>
      </w:r>
      <w:r>
        <w:t xml:space="preserve"> </w:t>
      </w:r>
      <w:r>
        <w:t xml:space="preserve">other hand supporting market development and reducing undue disincentives to banks’</w:t>
      </w:r>
      <w:r>
        <w:t xml:space="preserve"> </w:t>
      </w:r>
      <w:r>
        <w:t xml:space="preserve">involvement in the securitisation markets.</w:t>
      </w:r>
      <w:r>
        <w:br/>
      </w:r>
      <w:r>
        <w:t xml:space="preserve">The insurance prudential rules introduced under the evaluated Framework have failed to stimulate</w:t>
      </w:r>
      <w:r>
        <w:t xml:space="preserve"> </w:t>
      </w:r>
      <w:r>
        <w:t xml:space="preserve">increased investment in STS securitisations, which continue to represent a minority of insurers’</w:t>
      </w:r>
      <w:r>
        <w:t xml:space="preserve"> </w:t>
      </w:r>
      <w:r>
        <w:t xml:space="preserve">securitisation investments, despite their much lower capital requirements compared to non-STS</w:t>
      </w:r>
      <w:r>
        <w:t xml:space="preserve"> </w:t>
      </w:r>
      <w:r>
        <w:t xml:space="preserve">ones. Greater investment by insurers in non-senior STS securitisations is not helped by low supply</w:t>
      </w:r>
      <w:r>
        <w:t xml:space="preserve"> </w:t>
      </w:r>
      <w:r>
        <w:t xml:space="preserve">in current market conditions, where non-senior STS securitisations account for less than 20% of</w:t>
      </w:r>
      <w:r>
        <w:t xml:space="preserve"> </w:t>
      </w:r>
      <w:r>
        <w:t xml:space="preserve">total outstanding placements.</w:t>
      </w:r>
      <w:r>
        <w:t xml:space="preserve"> </w:t>
      </w:r>
      <w:r>
        <w:t xml:space="preserve">The evaluation of the Securitisation Framework for insurers has highlighted several important</w:t>
      </w:r>
      <w:r>
        <w:t xml:space="preserve"> </w:t>
      </w:r>
      <w:r>
        <w:t xml:space="preserve">lessons. First, the current framework can incentivise insurers to invest in riskier junior non-STS</w:t>
      </w:r>
      <w:r>
        <w:t xml:space="preserve"> </w:t>
      </w:r>
      <w:r>
        <w:t xml:space="preserve">securitisations, which may undermine policyholder protection. To address this, a revision of the</w:t>
      </w:r>
      <w:r>
        <w:t xml:space="preserve"> </w:t>
      </w:r>
      <w:r>
        <w:t xml:space="preserve">prudential treatment of non-STS securitisations is necessary. Second, the lack of differentiation</w:t>
      </w:r>
      <w:r>
        <w:t xml:space="preserve"> </w:t>
      </w:r>
      <w:r>
        <w:t xml:space="preserve">between senior and non-senior tranches of non-STS securitisations in the SII framework creates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an inconsistency with banking regulations, which should be corrected for better alignment. Third,</w:t>
      </w:r>
      <w:r>
        <w:t xml:space="preserve"> </w:t>
      </w:r>
      <w:r>
        <w:t xml:space="preserve">the overly conservative calibration of non-STS securitisations under SII, especially when</w:t>
      </w:r>
      <w:r>
        <w:t xml:space="preserve"> </w:t>
      </w:r>
      <w:r>
        <w:t xml:space="preserve">compared to equity investments, indicates the need for a more balanced approach to risk</w:t>
      </w:r>
      <w:r>
        <w:t xml:space="preserve"> </w:t>
      </w:r>
      <w:r>
        <w:t xml:space="preserve">assessment. Lastly, enhancing the risk sensitivity of non-STS securitisations emerges as the most</w:t>
      </w:r>
      <w:r>
        <w:t xml:space="preserve"> </w:t>
      </w:r>
      <w:r>
        <w:t xml:space="preserve">effective solution to encourage securitisation while ensuring financial stability. This approach,</w:t>
      </w:r>
      <w:r>
        <w:t xml:space="preserve"> </w:t>
      </w:r>
      <w:r>
        <w:t xml:space="preserve">coupled with modest adjustments to STS securitisation capital requirements, would foster insurers’</w:t>
      </w:r>
      <w:r>
        <w:t xml:space="preserve"> </w:t>
      </w:r>
      <w:r>
        <w:t xml:space="preserve">investments in simpler securitisations and further support the EU’s STS standard. To conclude,</w:t>
      </w:r>
      <w:r>
        <w:t xml:space="preserve"> </w:t>
      </w:r>
      <w:r>
        <w:t xml:space="preserve">burden reduction and prudential costs should be reconsidered across the board, not just for STS</w:t>
      </w:r>
      <w:r>
        <w:t xml:space="preserve"> </w:t>
      </w:r>
      <w:r>
        <w:t xml:space="preserve">securitisations, to create a more effective and equitable framework for insurers.</w:t>
      </w:r>
      <w:r>
        <w:t xml:space="preserve"> </w:t>
      </w:r>
      <w:r>
        <w:t xml:space="preserve">The evaluation concludes that the intervention is still relevant, but more is needed to ensure that</w:t>
      </w:r>
      <w:r>
        <w:t xml:space="preserve"> </w:t>
      </w:r>
      <w:r>
        <w:t xml:space="preserve">securitisation can meaningfully contribute to improve the financing of the EU economy and further</w:t>
      </w:r>
      <w:r>
        <w:t xml:space="preserve"> </w:t>
      </w:r>
      <w:r>
        <w:t xml:space="preserve">develop the Savings and Investment Union. Therefore, additional measures are needed to fulfil</w:t>
      </w:r>
      <w:r>
        <w:t xml:space="preserve"> </w:t>
      </w:r>
      <w:r>
        <w:t xml:space="preserve">reach the general and specific objectives of the original intervention.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ANNEX VI: SECURITISATION PLATFORM(S)</w:t>
      </w:r>
      <w:r>
        <w:br/>
      </w:r>
      <w:r>
        <w:t xml:space="preserve">Centralising securitisation issuance via a securitisation platform or platforms could offer another</w:t>
      </w:r>
      <w:r>
        <w:t xml:space="preserve"> </w:t>
      </w:r>
      <w:r>
        <w:t xml:space="preserve">way to lower costs for the industry and make it easier and more attractive to participate in the</w:t>
      </w:r>
      <w:r>
        <w:t xml:space="preserve"> </w:t>
      </w:r>
      <w:r>
        <w:t xml:space="preserve">securitisation market. The impact of a securitisation platform would vary depending on its scope,</w:t>
      </w:r>
      <w:r>
        <w:t xml:space="preserve"> </w:t>
      </w:r>
      <w:r>
        <w:t xml:space="preserve">design and specific features, such as whether it includes public guarantees. Various reports</w:t>
      </w:r>
      <w:r>
        <w:t xml:space="preserve"> </w:t>
      </w:r>
      <w:r>
        <w:t xml:space="preserve">presented different ideas191.</w:t>
      </w:r>
      <w:r>
        <w:br/>
      </w:r>
      <w:r>
        <w:t xml:space="preserve">From an issuer’s perspective, a common platform could centralise securitisation issuance of a</w:t>
      </w:r>
      <w:r>
        <w:t xml:space="preserve"> </w:t>
      </w:r>
      <w:r>
        <w:t xml:space="preserve">securitisation and thus reduce the costs per transaction (structuring and legal costs, etc.). This could</w:t>
      </w:r>
      <w:r>
        <w:t xml:space="preserve"> </w:t>
      </w:r>
      <w:r>
        <w:t xml:space="preserve">facilitate access to the securitisation market for a broader range of market participants, such as</w:t>
      </w:r>
      <w:r>
        <w:t xml:space="preserve"> </w:t>
      </w:r>
      <w:r>
        <w:t xml:space="preserve">small regional banks or lenders from Member States without an active securitisation market, for</w:t>
      </w:r>
      <w:r>
        <w:t xml:space="preserve"> </w:t>
      </w:r>
      <w:r>
        <w:t xml:space="preserve">whom the cost and complexity of structuring a securitisation might constitute a significant barrier</w:t>
      </w:r>
      <w:r>
        <w:t xml:space="preserve"> </w:t>
      </w:r>
      <w:r>
        <w:t xml:space="preserve">to entry. For established securitisation issuers, a common platform could offer a way to lower</w:t>
      </w:r>
      <w:r>
        <w:t xml:space="preserve"> </w:t>
      </w:r>
      <w:r>
        <w:t xml:space="preserve">structuring costs thereby allowing them to access capital markets on more competitive terms.</w:t>
      </w:r>
      <w:r>
        <w:t xml:space="preserve"> </w:t>
      </w:r>
      <w:r>
        <w:t xml:space="preserve">From an investor’s perspective, a platform can facilitate due diligence by offering a standardized</w:t>
      </w:r>
      <w:r>
        <w:t xml:space="preserve"> </w:t>
      </w:r>
      <w:r>
        <w:t xml:space="preserve">set of products, with common features and risk characteristics. Thus, due diligence for repeat</w:t>
      </w:r>
      <w:r>
        <w:t xml:space="preserve"> </w:t>
      </w:r>
      <w:r>
        <w:t xml:space="preserve">issuances would be simpler and quicker. In addition, for a platform with strict asset eligibility</w:t>
      </w:r>
      <w:r>
        <w:t xml:space="preserve"> </w:t>
      </w:r>
      <w:r>
        <w:t xml:space="preserve">criteria, it is also possible to standardise elements of the credit risk analysis, which is one of the</w:t>
      </w:r>
      <w:r>
        <w:t xml:space="preserve"> </w:t>
      </w:r>
      <w:r>
        <w:t xml:space="preserve">key elements of the due diligence process before investing in securitisation. A platform can also</w:t>
      </w:r>
      <w:r>
        <w:t xml:space="preserve"> </w:t>
      </w:r>
      <w:r>
        <w:t xml:space="preserve">help to dispel any potential stigma against the product among market participants, in particular if</w:t>
      </w:r>
      <w:r>
        <w:t xml:space="preserve"> </w:t>
      </w:r>
      <w:r>
        <w:t xml:space="preserve">the platform is a public or a quasi-public entity. Furthermore, a platform that offers a predictable</w:t>
      </w:r>
      <w:r>
        <w:t xml:space="preserve"> </w:t>
      </w:r>
      <w:r>
        <w:t xml:space="preserve">issuance schedule with high volume can facilitate market liquidity.</w:t>
      </w:r>
      <w:r>
        <w:t xml:space="preserve"> </w:t>
      </w:r>
      <w:r>
        <w:t xml:space="preserve">Although a securitisation platform would not change the applicable rules in the Securitisation</w:t>
      </w:r>
      <w:r>
        <w:t xml:space="preserve"> </w:t>
      </w:r>
      <w:r>
        <w:t xml:space="preserve">Framework, if effectively implemented, it could increase efficiency, lower costs, and improve</w:t>
      </w:r>
      <w:r>
        <w:t xml:space="preserve"> </w:t>
      </w:r>
      <w:r>
        <w:t xml:space="preserve">investor confidence.</w:t>
      </w:r>
      <w:r>
        <w:t xml:space="preserve"> </w:t>
      </w:r>
      <w:r>
        <w:t xml:space="preserve">A platform can work at an EU-wide level, or it can be more targeted, at a regional or national level.</w:t>
      </w:r>
      <w:r>
        <w:t xml:space="preserve"> </w:t>
      </w:r>
      <w:r>
        <w:t xml:space="preserve">An EU level platform could help integrate EU capital markets. The securitisations issued by such</w:t>
      </w:r>
      <w:r>
        <w:t xml:space="preserve"> </w:t>
      </w:r>
      <w:r>
        <w:t xml:space="preserve">a platform could also serve as a safe asset if the platform is able to issue a sufficiently high volume</w:t>
      </w:r>
      <w:r>
        <w:t xml:space="preserve"> </w:t>
      </w:r>
      <w:r>
        <w:t xml:space="preserve">of low-risk securitisations with common features192. A national or regional level platform would</w:t>
      </w:r>
      <w:r>
        <w:t xml:space="preserve"> </w:t>
      </w:r>
      <w:r>
        <w:t xml:space="preserve">be more targeted to the needs of local market players and would be easier to implement from a</w:t>
      </w:r>
      <w:r>
        <w:t xml:space="preserve"> </w:t>
      </w:r>
      <w:r>
        <w:t xml:space="preserve">technical and political standpoint.</w:t>
      </w:r>
      <w:r>
        <w:t xml:space="preserve"> </w:t>
      </w:r>
      <w:r>
        <w:t xml:space="preserve">Public guarantees could enhance the attractiveness of securitisation platforms by mitigating risks</w:t>
      </w:r>
      <w:r>
        <w:t xml:space="preserve"> </w:t>
      </w:r>
      <w:r>
        <w:t xml:space="preserve">and encouraging private investment. These guarantees could be provided either at the national or</w:t>
      </w:r>
      <w:r>
        <w:t xml:space="preserve"> </w:t>
      </w:r>
      <w:r>
        <w:t xml:space="preserve">supra-national level, targeting specific tranches within the securitisation structure, provided that</w:t>
      </w:r>
      <w:r>
        <w:t xml:space="preserve"> </w:t>
      </w:r>
      <w:r>
        <w:t xml:space="preserve">such public support, if provided by Member States, can be structured in line with State aid rules.</w:t>
      </w:r>
      <w:r>
        <w:t xml:space="preserve"> </w:t>
      </w:r>
      <w:r>
        <w:t xml:space="preserve">When applied to the senior tranche, guarantees act as a subsidy, ensuring that investors in the most</w:t>
      </w:r>
    </w:p>
    <w:p>
      <w:pPr>
        <w:pStyle w:val="BodyText"/>
      </w:pPr>
      <w:r>
        <w:t xml:space="preserve">191 For example, see Noyer’s and TSI-KFW reports.</w:t>
      </w:r>
      <w:r>
        <w:br/>
      </w:r>
      <w:r>
        <w:t xml:space="preserve">192 For more details see the Noyer’s report.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secure portion of the structure face minimal risk. Alternatively, guarantees for the mezzanine</w:t>
      </w:r>
      <w:r>
        <w:t xml:space="preserve"> </w:t>
      </w:r>
      <w:r>
        <w:t xml:space="preserve">tranche serve a de-risking function, absorbing potential losses and thereby making the entire</w:t>
      </w:r>
      <w:r>
        <w:t xml:space="preserve"> </w:t>
      </w:r>
      <w:r>
        <w:t xml:space="preserve">securitisation structure more appealing to private investors.</w:t>
      </w:r>
      <w:r>
        <w:br/>
      </w:r>
      <w:r>
        <w:t xml:space="preserve">Challenges that impede the establishment of such platforms include: fragmented legal frameworks</w:t>
      </w:r>
      <w:r>
        <w:t xml:space="preserve"> </w:t>
      </w:r>
      <w:r>
        <w:t xml:space="preserve">(differences in insolvency laws, contract law, and securitisation practices across the EU Member</w:t>
      </w:r>
      <w:r>
        <w:t xml:space="preserve"> </w:t>
      </w:r>
      <w:r>
        <w:t xml:space="preserve">States), lack of standardisation in loan contracts, securitisation structures, and conditions and</w:t>
      </w:r>
      <w:r>
        <w:t xml:space="preserve"> </w:t>
      </w:r>
      <w:r>
        <w:t xml:space="preserve">requirements that assets must meet to be included in a securitisation platform across jurisdictions.</w:t>
      </w:r>
      <w:r>
        <w:t xml:space="preserve"> </w:t>
      </w:r>
      <w:r>
        <w:t xml:space="preserve">These differences complicate asset pooling and act as a drawback to raising investor confidence.</w:t>
      </w:r>
      <w:r>
        <w:t xml:space="preserve"> </w:t>
      </w:r>
      <w:r>
        <w:t xml:space="preserve">Competition with existing instruments like covered bonds could also potentially limit the</w:t>
      </w:r>
      <w:r>
        <w:t xml:space="preserve"> </w:t>
      </w:r>
      <w:r>
        <w:t xml:space="preserve">platform’s utility. Additionally, high initial costs for infrastructure development and platform</w:t>
      </w:r>
      <w:r>
        <w:t xml:space="preserve"> </w:t>
      </w:r>
      <w:r>
        <w:t xml:space="preserve">management and pricing and valuation disparities for assets from different jurisdictions,</w:t>
      </w:r>
      <w:r>
        <w:t xml:space="preserve"> </w:t>
      </w:r>
      <w:r>
        <w:t xml:space="preserve">particularly in markets without secondary trading mechanisms would also be significant challenge.</w:t>
      </w:r>
      <w:r>
        <w:br/>
      </w:r>
      <w:r>
        <w:t xml:space="preserve">Despite its potential, this policy option is not a preferred avenue for the short-medium term due to</w:t>
      </w:r>
      <w:r>
        <w:t xml:space="preserve"> </w:t>
      </w:r>
      <w:r>
        <w:t xml:space="preserve">underlying challenges. Moreover, legislative action at the EU level is unnecessary to advance this</w:t>
      </w:r>
      <w:r>
        <w:t xml:space="preserve"> </w:t>
      </w:r>
      <w:r>
        <w:t xml:space="preserve">initiative. A market-driven approach would be better suited to explore and refine this idea. This</w:t>
      </w:r>
      <w:r>
        <w:t xml:space="preserve"> </w:t>
      </w:r>
      <w:r>
        <w:t xml:space="preserve">approach allows for flexibility and experimentation without imposing additional regulatory</w:t>
      </w:r>
      <w:r>
        <w:t xml:space="preserve"> </w:t>
      </w:r>
      <w:r>
        <w:t xml:space="preserve">burdens across the EU.</w:t>
      </w:r>
      <w:r>
        <w:br/>
      </w:r>
      <w:r>
        <w:t xml:space="preserve">Implementation of a securitisation platform or platforms should consider the interaction with the</w:t>
      </w:r>
      <w:r>
        <w:t xml:space="preserve"> </w:t>
      </w:r>
      <w:r>
        <w:t xml:space="preserve">Securitisation Framework, including both prudential and non-prudential requirements.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ANNEX VII: Competitiveness Check</w:t>
      </w:r>
      <w:r>
        <w:t xml:space="preserve"> </w:t>
      </w:r>
      <w:r>
        <w:t xml:space="preserve">1 - Overview of impacts on competitiveness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 the main</w:t>
      </w:r>
      <w:r>
        <w:t xml:space="preserve"> </w:t>
      </w:r>
      <w:r>
        <w:t xml:space="preserve">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Sections 7.1; 7.4; Annex III, Section 2</w:t>
      </w:r>
      <w:r>
        <w:br/>
      </w:r>
      <w:r>
        <w:t xml:space="preserve">International competitiveness</w:t>
      </w:r>
      <w:r>
        <w:br/>
      </w:r>
      <w:r>
        <w:t xml:space="preserve">+</w:t>
      </w:r>
      <w:r>
        <w:t xml:space="preserve"> </w:t>
      </w:r>
      <w:r>
        <w:t xml:space="preserve">Sections 1.3; 5.1.1.8; Annex V, Section</w:t>
      </w:r>
      <w:r>
        <w:t xml:space="preserve"> </w:t>
      </w:r>
      <w:r>
        <w:t xml:space="preserve">3.2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</w:t>
      </w:r>
      <w:r>
        <w:t xml:space="preserve"> </w:t>
      </w:r>
      <w:r>
        <w:t xml:space="preserve">Annexes VIII, IX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Annex II, Section 1; Annex XIII ;</w:t>
      </w:r>
      <w:r>
        <w:t xml:space="preserve"> </w:t>
      </w:r>
      <w:r>
        <w:t xml:space="preserve">Annex VI</w:t>
      </w:r>
      <w:r>
        <w:t xml:space="preserve"> </w:t>
      </w:r>
      <w:r>
        <w:t xml:space="preserve">2 - Synthetic assessment</w:t>
      </w:r>
      <w:r>
        <w:br/>
      </w:r>
      <w:r>
        <w:t xml:space="preserve">The preferred option presented above has a positive impact on cost and price competitiveness, in</w:t>
      </w:r>
      <w:r>
        <w:t xml:space="preserve"> </w:t>
      </w:r>
      <w:r>
        <w:t xml:space="preserve">that it entails a reduction in capital and compliance costs. The initiative will help European</w:t>
      </w:r>
      <w:r>
        <w:t xml:space="preserve"> </w:t>
      </w:r>
      <w:r>
        <w:t xml:space="preserve">securitisation market participants to improve their cost competitiveness by addressing many of the</w:t>
      </w:r>
      <w:r>
        <w:t xml:space="preserve"> </w:t>
      </w:r>
      <w:r>
        <w:t xml:space="preserve">identified undue barriers to securitisation issuance and investment in both the prudential and non-</w:t>
      </w:r>
      <w:r>
        <w:t xml:space="preserve"> </w:t>
      </w:r>
      <w:r>
        <w:t xml:space="preserve">prudential domains. In particular, it will reduce the costs they will have to bear in complying with</w:t>
      </w:r>
      <w:r>
        <w:t xml:space="preserve"> </w:t>
      </w:r>
      <w:r>
        <w:t xml:space="preserve">the due diligence and transparency requirements compared to the baseline scenario. It will also</w:t>
      </w:r>
      <w:r>
        <w:t xml:space="preserve"> </w:t>
      </w:r>
      <w:r>
        <w:t xml:space="preserve">reduce prudential costs for banks and insurers. While the preferred option does imply some</w:t>
      </w:r>
      <w:r>
        <w:t xml:space="preserve"> </w:t>
      </w:r>
      <w:r>
        <w:t xml:space="preserve">adjustment costs for existing issuers who may have to adapt their reporting systems, these costs</w:t>
      </w:r>
      <w:r>
        <w:t xml:space="preserve"> </w:t>
      </w:r>
      <w:r>
        <w:t xml:space="preserve">should be limited in scale (as the new template would be significantly slimmer than the current</w:t>
      </w:r>
      <w:r>
        <w:t xml:space="preserve"> </w:t>
      </w:r>
      <w:r>
        <w:t xml:space="preserve">set) and time duration. Moreover, any adjustment costs to the new prudential framework will be</w:t>
      </w:r>
      <w:r>
        <w:t xml:space="preserve"> </w:t>
      </w:r>
      <w:r>
        <w:t xml:space="preserve">largely outweighed by the prudential benefits received. For instance, by lowering capital costs via</w:t>
      </w:r>
      <w:r>
        <w:t xml:space="preserve"> </w:t>
      </w:r>
      <w:r>
        <w:t xml:space="preserve">the reduction in capital requirements, it can provide more possibilities for banks and insurers to</w:t>
      </w:r>
      <w:r>
        <w:t xml:space="preserve"> </w:t>
      </w:r>
      <w:r>
        <w:t xml:space="preserve">invest in the real economy and offer higher returns (which could make the firm more attractive for</w:t>
      </w:r>
      <w:r>
        <w:t xml:space="preserve"> </w:t>
      </w:r>
      <w:r>
        <w:t xml:space="preserve">investors and clients).</w:t>
      </w:r>
    </w:p>
    <w:p>
      <w:pPr>
        <w:pStyle w:val="BodyText"/>
      </w:pPr>
      <w:r>
        <w:t xml:space="preserve">The initiative will similarly have a positive impact on international competitiveness, improving</w:t>
      </w:r>
      <w:r>
        <w:t xml:space="preserve"> </w:t>
      </w:r>
      <w:r>
        <w:t xml:space="preserve">the competitive position of EU firms issuing or investing in securitisations with respect to non-EU</w:t>
      </w:r>
      <w:r>
        <w:t xml:space="preserve"> </w:t>
      </w:r>
      <w:r>
        <w:t xml:space="preserve">competitors. Under the baseline scenario, the high operational costs place EU issuers and investors</w:t>
      </w:r>
      <w:r>
        <w:t xml:space="preserve"> </w:t>
      </w:r>
      <w:r>
        <w:t xml:space="preserve">in securitisations at a competitive disadvantage relative to their international counterparts who are</w:t>
      </w:r>
      <w:r>
        <w:t xml:space="preserve"> </w:t>
      </w:r>
      <w:r>
        <w:t xml:space="preserve">not subject to the same requirements of the EU framework. EU investors are subject to the same</w:t>
      </w:r>
      <w:r>
        <w:t xml:space="preserve"> </w:t>
      </w:r>
      <w:r>
        <w:t xml:space="preserve">rules regardless of whether they invest in EU or non-EU securitisation, whereas non-EU investors</w:t>
      </w:r>
      <w:r>
        <w:t xml:space="preserve"> </w:t>
      </w:r>
      <w:r>
        <w:t xml:space="preserve">investing in EU securitisations are not bound by the same rigorous requirements. Similarly, the</w:t>
      </w:r>
      <w:r>
        <w:t xml:space="preserve"> </w:t>
      </w:r>
      <w:r>
        <w:t xml:space="preserve">rigid and burdensome EU Securitisation Framework has a knock-on indirect impact on market</w:t>
      </w:r>
      <w:r>
        <w:t xml:space="preserve"> </w:t>
      </w:r>
      <w:r>
        <w:t xml:space="preserve">acceptance and pricing of European-originated securitisation instruments, which must adhere to</w:t>
      </w:r>
      <w:r>
        <w:t xml:space="preserve"> </w:t>
      </w:r>
      <w:r>
        <w:t xml:space="preserve">EU rules. Adjustments to the legal framework to bring these rules more in line with standard</w:t>
      </w:r>
      <w:r>
        <w:t xml:space="preserve"> </w:t>
      </w:r>
      <w:r>
        <w:t xml:space="preserve">international practice will bolster the price competitiveness of EU securitisation products</w:t>
      </w:r>
      <w:r>
        <w:t xml:space="preserve"> </w:t>
      </w:r>
      <w:r>
        <w:t xml:space="preserve">internationally. In the same manner, a more risk-sensitive and less burdensome prudential</w:t>
      </w:r>
      <w:r>
        <w:t xml:space="preserve"> </w:t>
      </w:r>
      <w:r>
        <w:t xml:space="preserve">framework should make EU banks and insurers more competitive internationally.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The initiative aims to stimulate a growing and vibrant EU securitisation market that will have a</w:t>
      </w:r>
      <w:r>
        <w:t xml:space="preserve"> </w:t>
      </w:r>
      <w:r>
        <w:t xml:space="preserve">positive impact on the overall capacity to finance EU households and businesses. A more attractive</w:t>
      </w:r>
      <w:r>
        <w:t xml:space="preserve"> </w:t>
      </w:r>
      <w:r>
        <w:t xml:space="preserve">securitisation market could facilitate access to risk capital and financing by freeing up additional</w:t>
      </w:r>
      <w:r>
        <w:t xml:space="preserve"> </w:t>
      </w:r>
      <w:r>
        <w:t xml:space="preserve">lending capacity on the balance sheets of banks and other credit-granting institutions. This would</w:t>
      </w:r>
      <w:r>
        <w:t xml:space="preserve"> </w:t>
      </w:r>
      <w:r>
        <w:t xml:space="preserve">allow economic innovators to access loans more cheaply and readily. This is particularly pertinent</w:t>
      </w:r>
      <w:r>
        <w:t xml:space="preserve"> </w:t>
      </w:r>
      <w:r>
        <w:t xml:space="preserve">within the context of the twin green and digital transition, where billions in additional private risk</w:t>
      </w:r>
      <w:r>
        <w:t xml:space="preserve"> </w:t>
      </w:r>
      <w:r>
        <w:t xml:space="preserve">capital are necessary to finance European innovation in pursuit of the EU’s long-term climate and</w:t>
      </w:r>
      <w:r>
        <w:t xml:space="preserve"> </w:t>
      </w:r>
      <w:r>
        <w:t xml:space="preserve">competitiveness goals.</w:t>
      </w:r>
      <w:r>
        <w:br/>
      </w:r>
      <w:r>
        <w:t xml:space="preserve">The impact of the initiative will also positively impact SME competitiveness. SMEs can benefit</w:t>
      </w:r>
      <w:r>
        <w:t xml:space="preserve"> </w:t>
      </w:r>
      <w:r>
        <w:t xml:space="preserve">from this initiative by being able to obtain loans more cheaply and readily thanks to the additional</w:t>
      </w:r>
      <w:r>
        <w:t xml:space="preserve"> </w:t>
      </w:r>
      <w:r>
        <w:t xml:space="preserve">lending capacity on the balance sheets of banks and other credit-granting institutions facilitated by</w:t>
      </w:r>
      <w:r>
        <w:t xml:space="preserve"> </w:t>
      </w:r>
      <w:r>
        <w:t xml:space="preserve">more securitisation activity (See Annex VIII).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ANNEX VIII: SME Test</w:t>
      </w:r>
      <w:r>
        <w:t xml:space="preserve"> </w:t>
      </w:r>
      <w:r>
        <w:t xml:space="preserve">1 - Identification of SMEs affected</w:t>
      </w:r>
      <w:r>
        <w:t xml:space="preserve"> </w:t>
      </w:r>
      <w:r>
        <w:t xml:space="preserve">The category of micro, small and medium-sized enterprises is defined by the European</w:t>
      </w:r>
      <w:r>
        <w:t xml:space="preserve"> </w:t>
      </w:r>
      <w:r>
        <w:t xml:space="preserve">Commission as enterprises having fewer than 250 employees having either an annual turnover not</w:t>
      </w:r>
      <w:r>
        <w:t xml:space="preserve"> </w:t>
      </w:r>
      <w:r>
        <w:t xml:space="preserve">exceeding EUR 50 million or a balance sheet total not exceeding EUR 43 million.193 Representing</w:t>
      </w:r>
      <w:r>
        <w:t xml:space="preserve"> </w:t>
      </w:r>
      <w:r>
        <w:t xml:space="preserve">99% of all businesses in the EU, they are often termed the backbone of the European economy,</w:t>
      </w:r>
      <w:r>
        <w:t xml:space="preserve"> </w:t>
      </w:r>
      <w:r>
        <w:t xml:space="preserve">contributing to job creation, economic growth, and innovation.194 Although the Securitisation</w:t>
      </w:r>
      <w:r>
        <w:t xml:space="preserve"> </w:t>
      </w:r>
      <w:r>
        <w:t xml:space="preserve">Framework does not specifically target SMEs, its measures will have some direct and mostly</w:t>
      </w:r>
      <w:r>
        <w:t xml:space="preserve"> </w:t>
      </w:r>
      <w:r>
        <w:t xml:space="preserve">indirect impacts on them.</w:t>
      </w:r>
      <w:r>
        <w:br/>
      </w:r>
      <w:r>
        <w:t xml:space="preserve">SMEs in general are not active in the securitisation market as either issuers or investors. However,</w:t>
      </w:r>
      <w:r>
        <w:t xml:space="preserve"> </w:t>
      </w:r>
      <w:r>
        <w:t xml:space="preserve">they may benefit from the augmented lending capacity of banks or other financial firms generated</w:t>
      </w:r>
      <w:r>
        <w:t xml:space="preserve"> </w:t>
      </w:r>
      <w:r>
        <w:t xml:space="preserve">by increased EU securitisation activity, or from more favourable and cheaper access to funding.</w:t>
      </w:r>
      <w:r>
        <w:t xml:space="preserve"> </w:t>
      </w:r>
      <w:r>
        <w:t xml:space="preserve">We have also seen concrete cases where innovative companies have used securitisation to roll out</w:t>
      </w:r>
      <w:r>
        <w:t xml:space="preserve"> </w:t>
      </w:r>
      <w:r>
        <w:t xml:space="preserve">ambitious projects (see Annex IX: Examples of impactful securitisation transactions, particularly</w:t>
      </w:r>
      <w:r>
        <w:t xml:space="preserve"> </w:t>
      </w:r>
      <w:r>
        <w:t xml:space="preserve">Example 2: ENPAL).</w:t>
      </w:r>
      <w:r>
        <w:br/>
      </w:r>
      <w:r>
        <w:t xml:space="preserve">SMEs constitute an important segment of business customers of credit institutions, insurance firms</w:t>
      </w:r>
      <w:r>
        <w:t xml:space="preserve"> </w:t>
      </w:r>
      <w:r>
        <w:t xml:space="preserve">and asset managers, but SME loan exposures tend to be quite heterogeneous and higher risk than</w:t>
      </w:r>
      <w:r>
        <w:t xml:space="preserve"> </w:t>
      </w:r>
      <w:r>
        <w:t xml:space="preserve">other asset classes. As such, SME loans have not been a popular asset class for securitisation.</w:t>
      </w:r>
      <w:r>
        <w:t xml:space="preserve"> </w:t>
      </w:r>
      <w:r>
        <w:t xml:space="preserve">However, the reduction in operational costs for issuers and investors, improvements in due</w:t>
      </w:r>
      <w:r>
        <w:t xml:space="preserve"> </w:t>
      </w:r>
      <w:r>
        <w:t xml:space="preserve">diligence and transparency, and greater risk sensitivity in prudential treatment of securitisation</w:t>
      </w:r>
      <w:r>
        <w:t xml:space="preserve"> </w:t>
      </w:r>
      <w:r>
        <w:t xml:space="preserve">instruments that this initiative aims to introduce may incentivise greater securitisation across a</w:t>
      </w:r>
      <w:r>
        <w:t xml:space="preserve"> </w:t>
      </w:r>
      <w:r>
        <w:t xml:space="preserve">wider scope of portfolios, including SME loans, and could also lower funding costs. 195</w:t>
      </w:r>
      <w:r>
        <w:t xml:space="preserve"> </w:t>
      </w:r>
      <w:r>
        <w:t xml:space="preserve">2 - Consultation of SME stakeholders</w:t>
      </w:r>
      <w:r>
        <w:t xml:space="preserve"> </w:t>
      </w:r>
      <w:r>
        <w:t xml:space="preserve">During the consultation procedure all stakeholders, including SMEs, were consulted and were</w:t>
      </w:r>
      <w:r>
        <w:t xml:space="preserve"> </w:t>
      </w:r>
      <w:r>
        <w:t xml:space="preserve">given the opportunity to contribute their views on the development of this policy initiative. The</w:t>
      </w:r>
      <w:r>
        <w:t xml:space="preserve"> </w:t>
      </w:r>
      <w:r>
        <w:t xml:space="preserve">result of all consultation activities is summarised in the Synopsis Report (Annex II). Of the 133</w:t>
      </w:r>
      <w:r>
        <w:t xml:space="preserve"> </w:t>
      </w:r>
      <w:r>
        <w:t xml:space="preserve">respondents to the targeted public consultation, 33 (25.2%) identified as “Small” (10 to 49</w:t>
      </w:r>
    </w:p>
    <w:p>
      <w:pPr>
        <w:pStyle w:val="BodyText"/>
      </w:pPr>
      <w:r>
        <w:t xml:space="preserve">193 Recommendation 2003/361.</w:t>
      </w:r>
      <w:r>
        <w:br/>
      </w:r>
      <w:r>
        <w:t xml:space="preserve">194 https://single-market-economy.ec.europa.eu/smes/sme-fundamentals/sme-definition_en</w:t>
      </w:r>
      <w:r>
        <w:br/>
      </w:r>
      <w:r>
        <w:t xml:space="preserve">195 Concretely, as regards the prudential treatment, the introduction of the risk sensitive floor for</w:t>
      </w:r>
      <w:r>
        <w:t xml:space="preserve"> </w:t>
      </w:r>
      <w:r>
        <w:t xml:space="preserve">senior tranches allows the capital requirements for securitisation to reflect the SME supported</w:t>
      </w:r>
      <w:r>
        <w:t xml:space="preserve"> </w:t>
      </w:r>
      <w:r>
        <w:t xml:space="preserve">factor, embedded in the capital requirements for the underlying SME loans. This is currently not</w:t>
      </w:r>
      <w:r>
        <w:t xml:space="preserve"> </w:t>
      </w:r>
      <w:r>
        <w:t xml:space="preserve">possible, because the current risk weight floor for senior tranches is flat and does not reflect the</w:t>
      </w:r>
      <w:r>
        <w:t xml:space="preserve"> </w:t>
      </w:r>
      <w:r>
        <w:t xml:space="preserve">riskiness (capital requirements) of the underlying exposures. Also the reduction of the (p) factor</w:t>
      </w:r>
      <w:r>
        <w:t xml:space="preserve"> </w:t>
      </w:r>
      <w:r>
        <w:t xml:space="preserve">should lead to lower capital requirements for securitisations, including of the securitisations of</w:t>
      </w:r>
      <w:r>
        <w:t xml:space="preserve"> </w:t>
      </w:r>
      <w:r>
        <w:t xml:space="preserve">SME loans.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employees) and 17 (13%) identified as “Medium” (50 to 249 employees). The consultation also</w:t>
      </w:r>
      <w:r>
        <w:t xml:space="preserve"> </w:t>
      </w:r>
      <w:r>
        <w:t xml:space="preserve">had a dedicated section on the topic of SMEs that inquired on how securitisation can support access</w:t>
      </w:r>
      <w:r>
        <w:t xml:space="preserve"> </w:t>
      </w:r>
      <w:r>
        <w:t xml:space="preserve">to SME financing, and impediments to issue or invest in SME loan securitisations.</w:t>
      </w:r>
      <w:r>
        <w:br/>
      </w:r>
      <w:r>
        <w:t xml:space="preserve">In general, respondents pointed out that SMEs have limited access to capital markets due to</w:t>
      </w:r>
      <w:r>
        <w:t xml:space="preserve"> </w:t>
      </w:r>
      <w:r>
        <w:t xml:space="preserve">regulatory complexity, high costs, and poor data quality. Respondents from the industry suggested</w:t>
      </w:r>
      <w:r>
        <w:t xml:space="preserve"> </w:t>
      </w:r>
      <w:r>
        <w:t xml:space="preserve">that simplifying the regulatory framework for securitisation could facilitate SMEs’ access to capital</w:t>
      </w:r>
      <w:r>
        <w:t xml:space="preserve"> </w:t>
      </w:r>
      <w:r>
        <w:t xml:space="preserve">markets, while others proposed more targeted changes, such as revising specific articles. However,</w:t>
      </w:r>
      <w:r>
        <w:t xml:space="preserve"> </w:t>
      </w:r>
      <w:r>
        <w:t xml:space="preserve">consumer organisations highlighted the risk of focusing on the potential of securitisation to support</w:t>
      </w:r>
      <w:r>
        <w:t xml:space="preserve"> </w:t>
      </w:r>
      <w:r>
        <w:t xml:space="preserve">SME financing. In their view, promoting securitisation rather than addressing the crucial</w:t>
      </w:r>
      <w:r>
        <w:t xml:space="preserve"> </w:t>
      </w:r>
      <w:r>
        <w:t xml:space="preserve">integration of EU primary debt and equity markets would only entrench the dependence of SME</w:t>
      </w:r>
      <w:r>
        <w:t xml:space="preserve"> </w:t>
      </w:r>
      <w:r>
        <w:t xml:space="preserve">corporates on banks. Increased financing for SMEs via securitisation might crowd out equity</w:t>
      </w:r>
      <w:r>
        <w:t xml:space="preserve"> </w:t>
      </w:r>
      <w:r>
        <w:t xml:space="preserve">financing directly from the market. Instead, these respondents advocated the expansion of existing</w:t>
      </w:r>
      <w:r>
        <w:t xml:space="preserve"> </w:t>
      </w:r>
      <w:r>
        <w:t xml:space="preserve">programs offered by the EIF and EIB.</w:t>
      </w:r>
      <w:r>
        <w:t xml:space="preserve"> </w:t>
      </w:r>
      <w:r>
        <w:t xml:space="preserve">3 - Impacts on SMEs</w:t>
      </w:r>
      <w:r>
        <w:t xml:space="preserve"> </w:t>
      </w:r>
      <w:r>
        <w:t xml:space="preserve">Securitisation can increase the amount of funding available to SMEs, diversify the sources of</w:t>
      </w:r>
      <w:r>
        <w:t xml:space="preserve"> </w:t>
      </w:r>
      <w:r>
        <w:t xml:space="preserve">funding, and promote competition in SME lending196.</w:t>
      </w:r>
      <w:r>
        <w:t xml:space="preserve"> </w:t>
      </w:r>
      <w:r>
        <w:t xml:space="preserve">SMEs can benefit from securitisation by better managing their liquidity by selling trade receivables</w:t>
      </w:r>
      <w:r>
        <w:t xml:space="preserve"> </w:t>
      </w:r>
      <w:r>
        <w:t xml:space="preserve">to a programme of asset-backed commercial paper. Another example is the securitisation of pools</w:t>
      </w:r>
      <w:r>
        <w:t xml:space="preserve"> </w:t>
      </w:r>
      <w:r>
        <w:t xml:space="preserve">of SME loans. Securitisation enables investors to invest in pools of SME loans, allowing SMEs to</w:t>
      </w:r>
      <w:r>
        <w:t xml:space="preserve"> </w:t>
      </w:r>
      <w:r>
        <w:t xml:space="preserve">access capital market funding, and provides a means for investors to gain exposure to the real</w:t>
      </w:r>
      <w:r>
        <w:t xml:space="preserve"> </w:t>
      </w:r>
      <w:r>
        <w:t xml:space="preserve">economy. According to AFME data, SME securitisations comprised around 12% of the total</w:t>
      </w:r>
      <w:r>
        <w:t xml:space="preserve"> </w:t>
      </w:r>
      <w:r>
        <w:t xml:space="preserve">outstanding balance of securitisations in the EU in 2023 (see Table 5 below).</w:t>
      </w:r>
      <w:r>
        <w:br/>
      </w:r>
      <w:r>
        <w:t xml:space="preserve">Table 5: Share of outstanding volume of securitisation of SME loans in public securitisations</w:t>
      </w:r>
    </w:p>
    <w:p>
      <w:pPr>
        <w:pStyle w:val="BodyText"/>
      </w:pPr>
      <w:r>
        <w:t xml:space="preserve">Note: The calculation of ‘% of total’ excludes CLOs due to data quality issues</w:t>
      </w:r>
      <w:r>
        <w:t xml:space="preserve"> </w:t>
      </w:r>
      <w:r>
        <w:t xml:space="preserve">Source: AFME</w:t>
      </w:r>
      <w:r>
        <w:t xml:space="preserve"> </w:t>
      </w:r>
      <w:r>
        <w:t xml:space="preserve">Additionally, securitisation can lead to more stable funding for SMEs, as diversifying the sources</w:t>
      </w:r>
      <w:r>
        <w:t xml:space="preserve"> </w:t>
      </w:r>
      <w:r>
        <w:t xml:space="preserve">of finance may make SMEs less vulnerable to banks’ deleveraging in downturns, as capital market</w:t>
      </w:r>
      <w:r>
        <w:t xml:space="preserve"> </w:t>
      </w:r>
      <w:r>
        <w:t xml:space="preserve">investors can provide an alternative source of funding. Furthermore, securitisation can promote</w:t>
      </w:r>
      <w:r>
        <w:t xml:space="preserve"> </w:t>
      </w:r>
      <w:r>
        <w:t xml:space="preserve">the entry of</w:t>
      </w:r>
      <w:r>
        <w:t xml:space="preserve"> </w:t>
      </w:r>
      <w:r>
        <w:t xml:space="preserve">‘challenger banks’</w:t>
      </w:r>
      <w:r>
        <w:t xml:space="preserve"> </w:t>
      </w:r>
      <w:r>
        <w:t xml:space="preserve">and non-bank financial institutions into the SME lending market,</w:t>
      </w:r>
      <w:r>
        <w:t xml:space="preserve"> </w:t>
      </w:r>
      <w:r>
        <w:t xml:space="preserve">increasing competition and potentially leading to better terms and conditions for SMEs. Overall, a</w:t>
      </w:r>
    </w:p>
    <w:p>
      <w:pPr>
        <w:pStyle w:val="BodyText"/>
      </w:pPr>
      <w:r>
        <w:t xml:space="preserve">196 Revitalizing Securitization for Small and Medium-Sized Enterprises in Europe - Euro Area; by Shekhar Aiyar, Ali</w:t>
      </w:r>
      <w:r>
        <w:t xml:space="preserve"> </w:t>
      </w:r>
      <w:r>
        <w:t xml:space="preserve">Al-Eyd, Bergljot Barkbu, and Andreas A. Jobst, IMF Staff Discussion Notes No. 15/07, May 7, 2015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SME ABS</w:t>
      </w:r>
      <w:r>
        <w:t xml:space="preserve"> </w:t>
      </w:r>
      <w:r>
        <w:t xml:space="preserve">112.5</w:t>
      </w:r>
      <w:r>
        <w:t xml:space="preserve"> </w:t>
      </w:r>
      <w:r>
        <w:t xml:space="preserve">97.7</w:t>
      </w:r>
      <w:r>
        <w:t xml:space="preserve"> </w:t>
      </w:r>
      <w:r>
        <w:t xml:space="preserve">80.7</w:t>
      </w:r>
      <w:r>
        <w:t xml:space="preserve"> </w:t>
      </w:r>
      <w:r>
        <w:t xml:space="preserve">77.5</w:t>
      </w:r>
      <w:r>
        <w:t xml:space="preserve"> </w:t>
      </w:r>
      <w:r>
        <w:t xml:space="preserve">69.6</w:t>
      </w:r>
      <w:r>
        <w:t xml:space="preserve"> </w:t>
      </w:r>
      <w:r>
        <w:t xml:space="preserve">84.5</w:t>
      </w:r>
      <w:r>
        <w:t xml:space="preserve"> </w:t>
      </w:r>
      <w:r>
        <w:t xml:space="preserve">91.9</w:t>
      </w:r>
      <w:r>
        <w:t xml:space="preserve"> </w:t>
      </w:r>
      <w:r>
        <w:t xml:space="preserve">110.8</w:t>
      </w:r>
      <w:r>
        <w:t xml:space="preserve"> </w:t>
      </w:r>
      <w:r>
        <w:t xml:space="preserve">119.6</w:t>
      </w:r>
      <w:r>
        <w:t xml:space="preserve"> </w:t>
      </w:r>
      <w:r>
        <w:t xml:space="preserve">117.4</w:t>
      </w:r>
      <w:r>
        <w:t xml:space="preserve"> </w:t>
      </w:r>
      <w:r>
        <w:t xml:space="preserve">% of total</w:t>
      </w:r>
      <w:r>
        <w:t xml:space="preserve"> </w:t>
      </w:r>
      <w:r>
        <w:t xml:space="preserve">9.4%</w:t>
      </w:r>
      <w:r>
        <w:t xml:space="preserve"> </w:t>
      </w:r>
      <w:r>
        <w:t xml:space="preserve">8.7%</w:t>
      </w:r>
      <w:r>
        <w:t xml:space="preserve"> </w:t>
      </w:r>
      <w:r>
        <w:t xml:space="preserve">7.6%</w:t>
      </w:r>
      <w:r>
        <w:t xml:space="preserve"> </w:t>
      </w:r>
      <w:r>
        <w:t xml:space="preserve">7.5%</w:t>
      </w:r>
      <w:r>
        <w:t xml:space="preserve"> </w:t>
      </w:r>
      <w:r>
        <w:t xml:space="preserve">6.9%</w:t>
      </w:r>
      <w:r>
        <w:t xml:space="preserve"> </w:t>
      </w:r>
      <w:r>
        <w:t xml:space="preserve">8.4%</w:t>
      </w:r>
      <w:r>
        <w:t xml:space="preserve"> </w:t>
      </w:r>
      <w:r>
        <w:t xml:space="preserve">9.3%</w:t>
      </w:r>
      <w:r>
        <w:t xml:space="preserve"> </w:t>
      </w:r>
      <w:r>
        <w:t xml:space="preserve">11.0%</w:t>
      </w:r>
      <w:r>
        <w:t xml:space="preserve"> </w:t>
      </w:r>
      <w:r>
        <w:t xml:space="preserve">12.9%</w:t>
      </w:r>
      <w:r>
        <w:t xml:space="preserve"> </w:t>
      </w:r>
      <w:r>
        <w:t xml:space="preserve">12.3%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well-functioning SME securitisation market can have a positive impact on SME finance and the</w:t>
      </w:r>
      <w:r>
        <w:t xml:space="preserve"> </w:t>
      </w:r>
      <w:r>
        <w:t xml:space="preserve">broader economy197.</w:t>
      </w:r>
      <w:r>
        <w:br/>
      </w:r>
      <w:r>
        <w:t xml:space="preserve">At EU level, the European Investment Fund has historically supported the SME securitisation</w:t>
      </w:r>
      <w:r>
        <w:t xml:space="preserve"> </w:t>
      </w:r>
      <w:r>
        <w:t xml:space="preserve">market, with a focus in particular on the following asset classes: i) SME loans, ii) SME loan</w:t>
      </w:r>
      <w:r>
        <w:t xml:space="preserve"> </w:t>
      </w:r>
      <w:r>
        <w:t xml:space="preserve">guarantees, iii) small ticket lease receivables, iv) SME trade receivables, v) venture financing and</w:t>
      </w:r>
      <w:r>
        <w:t xml:space="preserve"> </w:t>
      </w:r>
      <w:r>
        <w:t xml:space="preserve">vi) micro loans.198</w:t>
      </w:r>
      <w:r>
        <w:t xml:space="preserve"> </w:t>
      </w:r>
      <w:r>
        <w:t xml:space="preserve">The overall distribution of potential costs and benefits of the proposal is analysed in Annex 3. It is</w:t>
      </w:r>
      <w:r>
        <w:t xml:space="preserve"> </w:t>
      </w:r>
      <w:r>
        <w:t xml:space="preserve">impossible at this stage to quantitively estimate, with a reasonable degree of accuracy, the benefits</w:t>
      </w:r>
      <w:r>
        <w:t xml:space="preserve"> </w:t>
      </w:r>
      <w:r>
        <w:t xml:space="preserve">accruing to the SME subgroup, due to the uncertainty as to direct and indirect benefits that would</w:t>
      </w:r>
      <w:r>
        <w:t xml:space="preserve"> </w:t>
      </w:r>
      <w:r>
        <w:t xml:space="preserve">arise for SMEs.</w:t>
      </w:r>
      <w:r>
        <w:br/>
      </w:r>
      <w:r>
        <w:t xml:space="preserve">In general, increased European securitisation activity is expected to give rise to significant benefits</w:t>
      </w:r>
      <w:r>
        <w:t xml:space="preserve"> </w:t>
      </w:r>
      <w:r>
        <w:t xml:space="preserve">for capital market participants but the extent to which they materialise will depend on industry</w:t>
      </w:r>
      <w:r>
        <w:t xml:space="preserve"> </w:t>
      </w:r>
      <w:r>
        <w:t xml:space="preserve">take-up and market willingness to issue and invest further in SME securitisation products. A</w:t>
      </w:r>
      <w:r>
        <w:t xml:space="preserve"> </w:t>
      </w:r>
      <w:r>
        <w:t xml:space="preserve">reduction in operational costs brought about by the non-prudential simplification measures is</w:t>
      </w:r>
      <w:r>
        <w:t xml:space="preserve"> </w:t>
      </w:r>
      <w:r>
        <w:t xml:space="preserve">expected to give rise to market improvements in terms of less burdensome and more cost-effective</w:t>
      </w:r>
      <w:r>
        <w:t xml:space="preserve"> </w:t>
      </w:r>
      <w:r>
        <w:t xml:space="preserve">securitisation for all parties to the transaction, including SME credit holders and small banks.</w:t>
      </w:r>
      <w:r>
        <w:br/>
      </w:r>
      <w:r>
        <w:t xml:space="preserve">All of the options presented in the Impact Assessment aim to reduce barriers to securitisation</w:t>
      </w:r>
      <w:r>
        <w:t xml:space="preserve"> </w:t>
      </w:r>
      <w:r>
        <w:t xml:space="preserve">issuance and investment and will likely have indirect downstream positive benefits on SMEs</w:t>
      </w:r>
      <w:r>
        <w:t xml:space="preserve"> </w:t>
      </w:r>
      <w:r>
        <w:t xml:space="preserve">through the positive impacts presented above.</w:t>
      </w:r>
      <w:r>
        <w:br/>
      </w:r>
      <w:r>
        <w:t xml:space="preserve">4 - Options to mitigate any negative impacts on SMEs</w:t>
      </w:r>
      <w:r>
        <w:t xml:space="preserve"> </w:t>
      </w:r>
      <w:r>
        <w:t xml:space="preserve">We have not identified any material negative impacts from the proposed policy options on SMEs.</w:t>
      </w:r>
    </w:p>
    <w:p>
      <w:pPr>
        <w:pStyle w:val="BodyText"/>
      </w:pPr>
      <w:r>
        <w:t xml:space="preserve">197 British Business Bank Research Report, “Small and Medium Sized Enterprise Securitisation”, May 2015.</w:t>
      </w:r>
      <w:r>
        <w:br/>
      </w:r>
      <w:r>
        <w:t xml:space="preserve">198 ‘SME Securitisation – at a crossroads? ’ eif_wp_31.pdf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Example 2: Enpal Launches Europe’s First Public Residential Solar ABS Transaction, Raising</w:t>
      </w:r>
      <w:r>
        <w:t xml:space="preserve"> </w:t>
      </w:r>
      <w:r>
        <w:t xml:space="preserve">EUR 240 Million</w:t>
      </w:r>
      <w:r>
        <w:t xml:space="preserve"> </w:t>
      </w:r>
      <w:r>
        <w:t xml:space="preserve">In October 2024, Enpal, a German green-energy startup specialised in rooftop solar systems and</w:t>
      </w:r>
      <w:r>
        <w:t xml:space="preserve"> </w:t>
      </w:r>
      <w:r>
        <w:t xml:space="preserve">heat pumps, sponsored Europe’s first public residential solar ABS transaction. The EUR 240</w:t>
      </w:r>
      <w:r>
        <w:t xml:space="preserve"> </w:t>
      </w:r>
      <w:r>
        <w:t xml:space="preserve">million deal is backed by a portfolio of some 8,500 loans to German residential homeowners for</w:t>
      </w:r>
      <w:r>
        <w:t xml:space="preserve"> </w:t>
      </w:r>
      <w:r>
        <w:t xml:space="preserve">solar power systems.</w:t>
      </w:r>
      <w:r>
        <w:t xml:space="preserve"> </w:t>
      </w:r>
      <w:r>
        <w:t xml:space="preserve">This transaction adheres to European Green Bond principles, is publicly rated, meets STS criteria</w:t>
      </w:r>
      <w:r>
        <w:t xml:space="preserve"> </w:t>
      </w:r>
      <w:r>
        <w:t xml:space="preserve">under the Securitisation Regulation and its notes were sold to over 17 European investors. The</w:t>
      </w:r>
      <w:r>
        <w:t xml:space="preserve"> </w:t>
      </w:r>
      <w:r>
        <w:t xml:space="preserve">transaction was led and structured and led by Citi as sole arranger, and the securitised notes were</w:t>
      </w:r>
      <w:r>
        <w:t xml:space="preserve"> </w:t>
      </w:r>
      <w:r>
        <w:t xml:space="preserve">publicly traded and cleared on the Luxembourg Stock Exchange.</w:t>
      </w:r>
      <w:r>
        <w:br/>
      </w:r>
      <w:r>
        <w:t xml:space="preserve">The EIB acted as an anchor investor with EUR 50 million. The EIF provided an additional EUR</w:t>
      </w:r>
      <w:r>
        <w:t xml:space="preserve"> </w:t>
      </w:r>
      <w:r>
        <w:t xml:space="preserve">50 embedded guarantee of the Class A1 notes. Investor demand for the deal greatly surpassed</w:t>
      </w:r>
      <w:r>
        <w:t xml:space="preserve"> </w:t>
      </w:r>
      <w:r>
        <w:t xml:space="preserve">expectations, with tranches reportedly oversubscribed up to six times.</w:t>
      </w:r>
      <w:r>
        <w:br/>
      </w:r>
      <w:r>
        <w:t xml:space="preserve">The tranching and pricing of Enpal’s pioneering EUR 240m Green ABS transaction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Example 3: EIB-backed Santander transaction releases additional lending to Spanish SMEs and</w:t>
      </w:r>
      <w:r>
        <w:t xml:space="preserve"> </w:t>
      </w:r>
      <w:r>
        <w:t xml:space="preserve">midcaps</w:t>
      </w:r>
      <w:r>
        <w:t xml:space="preserve"> </w:t>
      </w:r>
      <w:r>
        <w:t xml:space="preserve">In May 2024, the EIB Group invested EUR 530 million in a Banco Santander securitisation operation.</w:t>
      </w:r>
      <w:r>
        <w:t xml:space="preserve"> </w:t>
      </w:r>
      <w:r>
        <w:t xml:space="preserve">EUR 440 million of the EIB investment was in the senior tranche, which comprised almost 80% of the</w:t>
      </w:r>
      <w:r>
        <w:t xml:space="preserve"> </w:t>
      </w:r>
      <w:r>
        <w:t xml:space="preserve">securitised structure. EUR 60 million was allocated to non-investment grade tranches.</w:t>
      </w:r>
      <w:r>
        <w:br/>
      </w:r>
      <w:r>
        <w:t xml:space="preserve">In return, Santander agreed to originate double the amount of the EIB Group’s original investment</w:t>
      </w:r>
      <w:r>
        <w:t xml:space="preserve"> </w:t>
      </w:r>
      <w:r>
        <w:t xml:space="preserve">(EUR 1.2 billion) in new loans to Spanish SMEs and mid-caps, which are vital to driving economic</w:t>
      </w:r>
      <w:r>
        <w:t xml:space="preserve"> </w:t>
      </w:r>
      <w:r>
        <w:t xml:space="preserve">growth and innovation.</w:t>
      </w:r>
      <w:r>
        <w:br/>
      </w:r>
      <w:r>
        <w:t xml:space="preserve">The European Investment Fund contributed EUR 30 million, which is linked to the creation of an</w:t>
      </w:r>
      <w:r>
        <w:t xml:space="preserve"> </w:t>
      </w:r>
      <w:r>
        <w:t xml:space="preserve">additional EUR 60 million loan portfolio by Santander. At least 50% of the loans in this portfolio will</w:t>
      </w:r>
      <w:r>
        <w:t xml:space="preserve"> </w:t>
      </w:r>
      <w:r>
        <w:t xml:space="preserve">go to Spanish SMEs and mid-caps implementing projects in the areas of environment and climate</w:t>
      </w:r>
      <w:r>
        <w:t xml:space="preserve"> </w:t>
      </w:r>
      <w:r>
        <w:t xml:space="preserve">action, energy efficiency and women’s entrepreneurship. 30% of the new loans should target</w:t>
      </w:r>
      <w:r>
        <w:t xml:space="preserve"> </w:t>
      </w:r>
      <w:r>
        <w:t xml:space="preserve">sustainable investments and 20% should aim at “gender-balanced financing”, such as companies run</w:t>
      </w:r>
      <w:r>
        <w:t xml:space="preserve"> </w:t>
      </w:r>
      <w:r>
        <w:t xml:space="preserve">by women entrepreneurs.</w:t>
      </w:r>
      <w:r>
        <w:br/>
      </w:r>
      <w:r>
        <w:t xml:space="preserve">It is estimated that over half of the final beneficiaries of the agreement are in cohesion regions, where</w:t>
      </w:r>
      <w:r>
        <w:t xml:space="preserve"> </w:t>
      </w:r>
      <w:r>
        <w:t xml:space="preserve">per capita income is below the EU average. In this way, the operation will promote fair growth and</w:t>
      </w:r>
      <w:r>
        <w:t xml:space="preserve"> </w:t>
      </w:r>
      <w:r>
        <w:t xml:space="preserve">convergence between EU regions, a key objective of the EIB’s lending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ANNEX X: COMPARISON OF SECURITISATION AND COVERED BONDS</w:t>
      </w:r>
      <w:r>
        <w:br/>
      </w:r>
      <w:r>
        <w:t xml:space="preserve">(Traditional) securitisation is often compared with covered bonds, as they have some common</w:t>
      </w:r>
      <w:r>
        <w:t xml:space="preserve"> </w:t>
      </w:r>
      <w:r>
        <w:t xml:space="preserve">features (they use the same type of underlying assets, in particular residential mortgages, and have</w:t>
      </w:r>
      <w:r>
        <w:t xml:space="preserve"> </w:t>
      </w:r>
      <w:r>
        <w:t xml:space="preserve">similar objectives, both being used by banks as funding instruments i.e. instrument used as a source</w:t>
      </w:r>
      <w:r>
        <w:t xml:space="preserve"> </w:t>
      </w:r>
      <w:r>
        <w:t xml:space="preserve">of funding).</w:t>
      </w:r>
      <w:r>
        <w:br/>
      </w:r>
      <w:r>
        <w:t xml:space="preserve">There are also some structural differences resulting in different risk characteristics of both</w:t>
      </w:r>
      <w:r>
        <w:t xml:space="preserve"> </w:t>
      </w:r>
      <w:r>
        <w:t xml:space="preserve">instruments and different levels of security provided to the investors.</w:t>
      </w:r>
      <w:r>
        <w:br/>
      </w:r>
      <w:r>
        <w:t xml:space="preserve">In particular, the covered bonds are characterised by the so-called ‘dual recourse’, i.e. two lines of</w:t>
      </w:r>
      <w:r>
        <w:t xml:space="preserve"> </w:t>
      </w:r>
      <w:r>
        <w:t xml:space="preserve">recourse that are activated sequentially, first toward the issuer (the bank) and second, once the</w:t>
      </w:r>
      <w:r>
        <w:t xml:space="preserve"> </w:t>
      </w:r>
      <w:r>
        <w:t xml:space="preserve">bank has defaulted, toward the cash flows generated by the underlying assets (i.e. mortgages). The</w:t>
      </w:r>
      <w:r>
        <w:t xml:space="preserve"> </w:t>
      </w:r>
      <w:r>
        <w:t xml:space="preserve">dual recourse feature provides better alignment of the incentives between the originator and the</w:t>
      </w:r>
      <w:r>
        <w:t xml:space="preserve"> </w:t>
      </w:r>
      <w:r>
        <w:t xml:space="preserve">investor, compared to the more limited recourse in case of securitisations. Should the bank default</w:t>
      </w:r>
      <w:r>
        <w:t xml:space="preserve"> </w:t>
      </w:r>
      <w:r>
        <w:t xml:space="preserve">on its obligations, investors have recourse to the pool of underlying assets, which increases the</w:t>
      </w:r>
      <w:r>
        <w:t xml:space="preserve"> </w:t>
      </w:r>
      <w:r>
        <w:t xml:space="preserve">security for the investor and ensures a stable flow of payments to the investors. Securitisation is</w:t>
      </w:r>
      <w:r>
        <w:t xml:space="preserve"> </w:t>
      </w:r>
      <w:r>
        <w:t xml:space="preserve">intended to be delinked from the repayment capability of the bank, and liabilities are expected to</w:t>
      </w:r>
      <w:r>
        <w:t xml:space="preserve"> </w:t>
      </w:r>
      <w:r>
        <w:t xml:space="preserve">be met principally by the cash flows generated from the segregated underlying assets. Any losses</w:t>
      </w:r>
      <w:r>
        <w:t xml:space="preserve"> </w:t>
      </w:r>
      <w:r>
        <w:t xml:space="preserve">beyond these are to be borne by the investors.</w:t>
      </w:r>
      <w:r>
        <w:br/>
      </w:r>
      <w:r>
        <w:t xml:space="preserve">Covered bond is a pure funding tool and does not allow to transfer the risk out of the balance sheet</w:t>
      </w:r>
      <w:r>
        <w:t xml:space="preserve"> </w:t>
      </w:r>
      <w:r>
        <w:t xml:space="preserve">of the issuer (while securitisation allows this, thereby freeing up banks’ balance sheet capacity).</w:t>
      </w:r>
      <w:r>
        <w:t xml:space="preserve"> </w:t>
      </w:r>
      <w:r>
        <w:t xml:space="preserve">Covered bonds are no substitute for securitisation in this regard as the credit risk of the loan pool</w:t>
      </w:r>
      <w:r>
        <w:t xml:space="preserve"> </w:t>
      </w:r>
      <w:r>
        <w:t xml:space="preserve">covered by a covered bond remains on issuing bank’s balance sheet, and hence, no additional</w:t>
      </w:r>
      <w:r>
        <w:t xml:space="preserve"> </w:t>
      </w:r>
      <w:r>
        <w:t xml:space="preserve">capacity to make new loans is generated. Covered bonds are therefore only comparable with</w:t>
      </w:r>
      <w:r>
        <w:t xml:space="preserve"> </w:t>
      </w:r>
      <w:r>
        <w:t xml:space="preserve">traditional securitisation (the funding function of it), and not with synthetic securitisation (which</w:t>
      </w:r>
      <w:r>
        <w:t xml:space="preserve"> </w:t>
      </w:r>
      <w:r>
        <w:t xml:space="preserve">has no funding function). Covered bonds are also more easily structured than securitisation.</w:t>
      </w:r>
      <w:r>
        <w:br/>
      </w:r>
      <w:r>
        <w:t xml:space="preserve">While covered bonds play an important role in bank funding, an over-reliance on them leads to</w:t>
      </w:r>
      <w:r>
        <w:t xml:space="preserve"> </w:t>
      </w:r>
      <w:r>
        <w:t xml:space="preserve">higher asset encumbrance and restricts further the banks’ flexibility to manage their balance sheets.</w:t>
      </w:r>
      <w:r>
        <w:t xml:space="preserve"> </w:t>
      </w:r>
      <w:r>
        <w:t xml:space="preserve">Instead, encouraging a more balanced funding mix, including securitisation, would help improve</w:t>
      </w:r>
      <w:r>
        <w:t xml:space="preserve"> </w:t>
      </w:r>
      <w:r>
        <w:t xml:space="preserve">capital efficiency and support a deeper and more integrated European capital market.</w:t>
      </w:r>
      <w:r>
        <w:br/>
      </w:r>
      <w:r>
        <w:t xml:space="preserve">In terms of market and regulatory developments, covered bonds have been historically preferred</w:t>
      </w:r>
      <w:r>
        <w:t xml:space="preserve"> </w:t>
      </w:r>
      <w:r>
        <w:t xml:space="preserve">by both regulators and market participants. Banks often favour the use of covered bonds for their</w:t>
      </w:r>
      <w:r>
        <w:t xml:space="preserve"> </w:t>
      </w:r>
      <w:r>
        <w:t xml:space="preserve">funding purposes, which are generally subject to less stringent regulatory requirements in terms of</w:t>
      </w:r>
      <w:r>
        <w:t xml:space="preserve"> </w:t>
      </w:r>
      <w:r>
        <w:t xml:space="preserve">disclosure, due diligence, capital, resolution and liquidity. For example, covered bonds are subject</w:t>
      </w:r>
      <w:r>
        <w:t xml:space="preserve"> </w:t>
      </w:r>
      <w:r>
        <w:t xml:space="preserve">to much less stringent regulatory disclosure and due diligence requirements (e.g. only portfolio</w:t>
      </w:r>
      <w:r>
        <w:t xml:space="preserve"> </w:t>
      </w:r>
      <w:r>
        <w:t xml:space="preserve">level disclosure is required for covered bonds, in contrast to loan level disclosure required for</w:t>
      </w:r>
      <w:r>
        <w:t xml:space="preserve"> </w:t>
      </w:r>
      <w:r>
        <w:t xml:space="preserve">securitisations). Also, covered bonds are exempted from the scope of the bail-in instrument in the</w:t>
      </w:r>
      <w:r>
        <w:t xml:space="preserve"> </w:t>
      </w:r>
      <w:r>
        <w:t xml:space="preserve">resolution framework (securitisations are not) and are eligible under Level 1, 2A and 2B of liquid</w:t>
      </w:r>
      <w:r>
        <w:t xml:space="preserve"> </w:t>
      </w:r>
      <w:r>
        <w:t xml:space="preserve">assets in the LCR (securitisations are eligible under Level 2B liquid assets). In terms of capital</w:t>
      </w:r>
      <w:r>
        <w:t xml:space="preserve"> </w:t>
      </w:r>
      <w:r>
        <w:t xml:space="preserve">requirements, the bank investor in premium covered bonds treated as CQS1 (AAA and AA) can</w:t>
      </w:r>
      <w:r>
        <w:t xml:space="preserve"> </w:t>
      </w:r>
      <w:r>
        <w:t xml:space="preserve">apply a risk weight of 10% to their covered bonds investment under the Standardised Approach,</w:t>
      </w:r>
      <w:r>
        <w:t xml:space="preserve"> </w:t>
      </w:r>
      <w:r>
        <w:t xml:space="preserve">which is comparable to the risk weights applied to an exposure to a senior tranche of a STS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securitisation under the Standardised Approach (where the framework allows the 10% risk weight</w:t>
      </w:r>
      <w:r>
        <w:t xml:space="preserve"> </w:t>
      </w:r>
      <w:r>
        <w:t xml:space="preserve">floor). ‘Real’ risk weights for senior tranches can be higher than the risk weight floors. Also, the</w:t>
      </w:r>
      <w:r>
        <w:t xml:space="preserve"> </w:t>
      </w:r>
      <w:r>
        <w:t xml:space="preserve">minimum risk weight for senior tranches for non-STS securitisations are 15% or higher (e.g. can</w:t>
      </w:r>
      <w:r>
        <w:t xml:space="preserve"> </w:t>
      </w:r>
      <w:r>
        <w:t xml:space="preserve">also reach 75%). The risk weights for mezzanine tranches are significantly higher (for example</w:t>
      </w:r>
      <w:r>
        <w:t xml:space="preserve"> </w:t>
      </w:r>
      <w:r>
        <w:t xml:space="preserve">they can be around 800% higher). The risk weight for a first loss tranche is normally 1250% (i.e. </w:t>
      </w:r>
      <w:r>
        <w:t xml:space="preserve"> </w:t>
      </w:r>
      <w:r>
        <w:t xml:space="preserve">full capitalisation).</w:t>
      </w:r>
      <w:r>
        <w:br/>
      </w:r>
      <w:r>
        <w:t xml:space="preserve">As shown in the figure 1 below, covered bonds issuance has been increasing, while issuance of</w:t>
      </w:r>
      <w:r>
        <w:t xml:space="preserve"> </w:t>
      </w:r>
      <w:r>
        <w:t xml:space="preserve">RMBS (traditional securitisation using residential mortgages as underlying assets) is substantially</w:t>
      </w:r>
      <w:r>
        <w:t xml:space="preserve"> </w:t>
      </w:r>
      <w:r>
        <w:t xml:space="preserve">lower than in pre-GFC period. Overall, between end-2007 and end 2023, the RMBS issuance</w:t>
      </w:r>
      <w:r>
        <w:t xml:space="preserve"> </w:t>
      </w:r>
      <w:r>
        <w:t xml:space="preserve">decreased by half from EUR 199 bn to EUR 97 bn, while the issuance of covered bonds has</w:t>
      </w:r>
      <w:r>
        <w:t xml:space="preserve"> </w:t>
      </w:r>
      <w:r>
        <w:t xml:space="preserve">increased from EUR 296 bn to EUR 334 bn during the same period.</w:t>
      </w:r>
      <w:r>
        <w:br/>
      </w:r>
      <w:r>
        <w:t xml:space="preserve">Figure 1: Issuance of Euro-area traditional and synthetic securitisation, and of covered bonds</w:t>
      </w:r>
      <w:r>
        <w:t xml:space="preserve"> </w:t>
      </w:r>
      <w:r>
        <w:t xml:space="preserve">(EUR bn notional)</w:t>
      </w:r>
    </w:p>
    <w:p>
      <w:pPr>
        <w:pStyle w:val="BodyText"/>
      </w:pPr>
      <w:r>
        <w:t xml:space="preserve">Source: JP Morgan, Bloomberg Finance L.P., ECB Banking Supervision, European Covered Bond Council and ECB</w:t>
      </w:r>
      <w:r>
        <w:t xml:space="preserve"> </w:t>
      </w:r>
      <w:r>
        <w:t xml:space="preserve">calculations. Notes: CLO issuance refers to EU ex United Kingdom. Synthetic securitisation issuance refers to</w:t>
      </w:r>
      <w:r>
        <w:t xml:space="preserve"> </w:t>
      </w:r>
      <w:r>
        <w:t xml:space="preserve">issuance by significant institutions supervised by the ECB; available data start in 2018.</w:t>
      </w:r>
      <w:r>
        <w:t xml:space="preserve"> </w:t>
      </w:r>
      <w:r>
        <w:t xml:space="preserve">Securitisation and covered bonds are used by banks as complementary tools. Currently, as</w:t>
      </w:r>
      <w:r>
        <w:t xml:space="preserve"> </w:t>
      </w:r>
      <w:r>
        <w:t xml:space="preserve">mentioned above, banks use covered bonds for secured funding, while they use synthetic</w:t>
      </w:r>
      <w:r>
        <w:t xml:space="preserve"> </w:t>
      </w:r>
      <w:r>
        <w:t xml:space="preserve">securitisations for risk transfer and regulatory capital relief. Traditional securitisation has ceded</w:t>
      </w:r>
      <w:r>
        <w:t xml:space="preserve"> </w:t>
      </w:r>
      <w:r>
        <w:t xml:space="preserve">the place to synthetic securitisation as tool for risk transfer.</w:t>
      </w:r>
      <w:r>
        <w:br/>
      </w:r>
      <w:r>
        <w:t xml:space="preserve">All in all, any comparison between these two instruments should therefore take into account both</w:t>
      </w:r>
      <w:r>
        <w:t xml:space="preserve"> </w:t>
      </w:r>
      <w:r>
        <w:t xml:space="preserve">the similarities as well as structural differences of both instruments, among other considerations.</w:t>
      </w:r>
      <w:r>
        <w:t xml:space="preserve"> </w:t>
      </w:r>
      <w:r>
        <w:t xml:space="preserve">It is difficult to assess the impact of the proposed changes to the securitisation framework on the</w:t>
      </w:r>
      <w:r>
        <w:t xml:space="preserve"> </w:t>
      </w:r>
      <w:r>
        <w:t xml:space="preserve">covered bonds market (and is also outside of the scope of this exercise). Removal of regulatory</w:t>
      </w:r>
      <w:r>
        <w:t xml:space="preserve"> </w:t>
      </w:r>
      <w:r>
        <w:t xml:space="preserve">barriers for securitisation is expected to raise the attractiveness of the securitisation instrument for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both issuers and investors; however concrete impact on the issuer and investor preferences and</w:t>
      </w:r>
      <w:r>
        <w:t xml:space="preserve"> </w:t>
      </w:r>
      <w:r>
        <w:t xml:space="preserve">final issuance and investment volumes is difficult to predict. The issuance of securitisation also</w:t>
      </w:r>
      <w:r>
        <w:t xml:space="preserve"> </w:t>
      </w:r>
      <w:r>
        <w:t xml:space="preserve">does not need to happen necessarily at the expense of covered bonds, as these are just two</w:t>
      </w:r>
      <w:r>
        <w:t xml:space="preserve"> </w:t>
      </w:r>
      <w:r>
        <w:t xml:space="preserve">instruments out of several that banks can use for their funding purposes. Finally, it should be noted</w:t>
      </w:r>
      <w:r>
        <w:t xml:space="preserve"> </w:t>
      </w:r>
      <w:r>
        <w:t xml:space="preserve">that an assessment of the EU covered bond framework is subject to a separate exercise; the</w:t>
      </w:r>
      <w:r>
        <w:t xml:space="preserve"> </w:t>
      </w:r>
      <w:r>
        <w:t xml:space="preserve">Commission addressed a call for advice to the EBA to assess the performance of the EU covered</w:t>
      </w:r>
      <w:r>
        <w:t xml:space="preserve"> </w:t>
      </w:r>
      <w:r>
        <w:t xml:space="preserve">bond framework and invited the EBA to provide its response in June 2025.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ANNEX XI: FURTHER DETAILS ON THE ASSESSMENT OF IMPACT OF INSURANCE OPTIONS</w:t>
      </w:r>
      <w:r>
        <w:t xml:space="preserve"> </w:t>
      </w:r>
      <w:r>
        <w:t xml:space="preserve">1 - Detailed assessment of stakeholder impact</w:t>
      </w:r>
      <w:r>
        <w:t xml:space="preserve"> </w:t>
      </w:r>
      <w:r>
        <w:t xml:space="preserve">In all three options for insurance, the direct beneficiaries would be insurance companies, as they</w:t>
      </w:r>
      <w:r>
        <w:t xml:space="preserve"> </w:t>
      </w:r>
      <w:r>
        <w:t xml:space="preserve">would be subject to less demanding capital requirements. The extent of such a benefit depends on</w:t>
      </w:r>
      <w:r>
        <w:t xml:space="preserve"> </w:t>
      </w:r>
      <w:r>
        <w:t xml:space="preserve">the level of alleviation of capital requirements. The most favourable scenario for insurers would</w:t>
      </w:r>
      <w:r>
        <w:t xml:space="preserve"> </w:t>
      </w:r>
      <w:r>
        <w:t xml:space="preserve">be Option 3.3, which would result in both the highest decrease in capital requirements (compared</w:t>
      </w:r>
      <w:r>
        <w:t xml:space="preserve"> </w:t>
      </w:r>
      <w:r>
        <w:t xml:space="preserve">with the current rules) and the widest scope of securitisations concerned (all of them). The</w:t>
      </w:r>
      <w:r>
        <w:t xml:space="preserve"> </w:t>
      </w:r>
      <w:r>
        <w:t xml:space="preserve">difference between Options 3.1 and 3.2 is more difficult to quantify as according to EIOPA, there</w:t>
      </w:r>
      <w:r>
        <w:t xml:space="preserve"> </w:t>
      </w:r>
      <w:r>
        <w:t xml:space="preserve">is no available data on the split between senior and non-senior non-STS holdings by insurers that</w:t>
      </w:r>
      <w:r>
        <w:t xml:space="preserve"> </w:t>
      </w:r>
      <w:r>
        <w:t xml:space="preserve">could further substantiate the analysis.</w:t>
      </w:r>
      <w:r>
        <w:br/>
      </w:r>
      <w:r>
        <w:t xml:space="preserve"> If insurers mainly hold senior non-STS securitisations, then Option 3.2 is more favourable than</w:t>
      </w:r>
      <w:r>
        <w:t xml:space="preserve"> </w:t>
      </w:r>
      <w:r>
        <w:t xml:space="preserve">Option 3.1 (as the capital relief on such investments is more significant);</w:t>
      </w:r>
    </w:p>
    <w:p>
      <w:pPr>
        <w:pStyle w:val="BodyText"/>
      </w:pPr>
      <w:r>
        <w:t xml:space="preserve"> If insurers mainly hold non-senior non-STS securitisations, then Option 3.1 is more favourable</w:t>
      </w:r>
      <w:r>
        <w:t xml:space="preserve"> </w:t>
      </w:r>
      <w:r>
        <w:t xml:space="preserve">than Option 3.2 (as there would be lower capital requirements on such investments under</w:t>
      </w:r>
      <w:r>
        <w:t xml:space="preserve"> </w:t>
      </w:r>
      <w:r>
        <w:t xml:space="preserve">Option 3.1, whereas there would not be any under Option 3.2.).</w:t>
      </w:r>
      <w:r>
        <w:t xml:space="preserve"> </w:t>
      </w:r>
      <w:r>
        <w:t xml:space="preserve">Depending on the way they use this ‘capital relief’, there might be additional beneficiaries:</w:t>
      </w:r>
      <w:r>
        <w:t xml:space="preserve"> </w:t>
      </w:r>
      <w:r>
        <w:t xml:space="preserve"> If insurers decide to leverage on the capital relief by increasing investments in securitisation,</w:t>
      </w:r>
      <w:r>
        <w:t xml:space="preserve"> </w:t>
      </w:r>
      <w:r>
        <w:t xml:space="preserve">this would be likely based on the expectations of higher return on investments. Banks would</w:t>
      </w:r>
      <w:r>
        <w:t xml:space="preserve"> </w:t>
      </w:r>
      <w:r>
        <w:t xml:space="preserve">also enjoy a more significant investor base (demand) for their supply of securitisation. This</w:t>
      </w:r>
      <w:r>
        <w:t xml:space="preserve"> </w:t>
      </w:r>
      <w:r>
        <w:t xml:space="preserve">would mean more opportunities to transfer credit risk to markets through origination of</w:t>
      </w:r>
      <w:r>
        <w:t xml:space="preserve"> </w:t>
      </w:r>
      <w:r>
        <w:t xml:space="preserve">securitisation, and ultimately stronger ability to provide financing mainly to households and</w:t>
      </w:r>
      <w:r>
        <w:t xml:space="preserve"> </w:t>
      </w:r>
      <w:r>
        <w:t xml:space="preserve">businesses. This would achieve the second specific objectives of this initiative and could</w:t>
      </w:r>
      <w:r>
        <w:t xml:space="preserve"> </w:t>
      </w:r>
      <w:r>
        <w:t xml:space="preserve">stimulate loan origination. Under Options 3.1 and 3.2 (focused on non-STS investments), loan</w:t>
      </w:r>
      <w:r>
        <w:t xml:space="preserve"> </w:t>
      </w:r>
      <w:r>
        <w:t xml:space="preserve">origination would likely benefit mainly corporate borrowers whereas under Option 3.3 (which</w:t>
      </w:r>
      <w:r>
        <w:t xml:space="preserve"> </w:t>
      </w:r>
      <w:r>
        <w:t xml:space="preserve">covers both STS and non-STS investments), loan origination would also benefit household</w:t>
      </w:r>
      <w:r>
        <w:t xml:space="preserve"> </w:t>
      </w:r>
      <w:r>
        <w:t xml:space="preserve">borrowers199.</w:t>
      </w:r>
    </w:p>
    <w:p>
      <w:pPr>
        <w:pStyle w:val="BodyText"/>
      </w:pPr>
      <w:r>
        <w:t xml:space="preserve"> If insurers use the capital relief to invest in other assets than securitisation, depending on the</w:t>
      </w:r>
      <w:r>
        <w:t xml:space="preserve"> </w:t>
      </w:r>
      <w:r>
        <w:t xml:space="preserve">asset class concerned, this might also support the long-term financing of the economy (e.g. </w:t>
      </w:r>
      <w:r>
        <w:t xml:space="preserve"> </w:t>
      </w:r>
      <w:r>
        <w:t xml:space="preserve">more equity investments). Therefore, businesses may eventually benefit from any of the three</w:t>
      </w:r>
      <w:r>
        <w:t xml:space="preserve"> </w:t>
      </w:r>
      <w:r>
        <w:t xml:space="preserve">options even if insurers do not increase their investments in securitisation. If insurers decide to</w:t>
      </w:r>
      <w:r>
        <w:t xml:space="preserve"> </w:t>
      </w:r>
      <w:r>
        <w:t xml:space="preserve">opportunistically proceed to ad-hoc dividend distributions as an outcome of any of the three</w:t>
      </w:r>
      <w:r>
        <w:t xml:space="preserve"> </w:t>
      </w:r>
      <w:r>
        <w:t xml:space="preserve">options, shareholders of insurance companies (very diverse) would be ultimately benefiting</w:t>
      </w:r>
      <w:r>
        <w:t xml:space="preserve"> </w:t>
      </w:r>
      <w:r>
        <w:t xml:space="preserve">from any of the Options. There would be no contribution to reviving securitisation and insurers</w:t>
      </w:r>
      <w:r>
        <w:t xml:space="preserve"> </w:t>
      </w:r>
      <w:r>
        <w:t xml:space="preserve">would be less financially robust (due to the depletion of capital), implying greater risk (of</w:t>
      </w:r>
    </w:p>
    <w:p>
      <w:pPr>
        <w:pStyle w:val="BodyText"/>
      </w:pPr>
      <w:r>
        <w:t xml:space="preserve">199 The underlying assets of STS securitisations include indeed residential mortgage loans, credit card and auto</w:t>
      </w:r>
      <w:r>
        <w:t xml:space="preserve"> </w:t>
      </w:r>
      <w:r>
        <w:t xml:space="preserve">receivables. The underlying assets of non-STS securitisations include mainly corporate-type assets.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insolvency) for policyholders and higher financial stability risks, though moderate in view of</w:t>
      </w:r>
      <w:r>
        <w:t xml:space="preserve"> </w:t>
      </w:r>
      <w:r>
        <w:t xml:space="preserve">the current very low level of insurers’ holdings of securitisation investments200.</w:t>
      </w:r>
      <w:r>
        <w:t xml:space="preserve"> </w:t>
      </w:r>
      <w:r>
        <w:t xml:space="preserve">Regarding policyholders, if insurers use the capital relief to either remunerate shareholders or</w:t>
      </w:r>
      <w:r>
        <w:t xml:space="preserve"> </w:t>
      </w:r>
      <w:r>
        <w:t xml:space="preserve">increase investments in securitisation, this would imply a lower level of protection for the same or</w:t>
      </w:r>
      <w:r>
        <w:t xml:space="preserve"> </w:t>
      </w:r>
      <w:r>
        <w:t xml:space="preserve">higher level of risk taken by insurance companies (i.e. higher risk of insurance failure – though</w:t>
      </w:r>
      <w:r>
        <w:t xml:space="preserve"> </w:t>
      </w:r>
      <w:r>
        <w:t xml:space="preserve">remaining moderate). This risk would be all the more likely when the capital relief is significant</w:t>
      </w:r>
      <w:r>
        <w:t xml:space="preserve"> </w:t>
      </w:r>
      <w:r>
        <w:t xml:space="preserve">(i.e. more significant under Option 3.3). Note that Option 3.2 is the option with the fewest</w:t>
      </w:r>
      <w:r>
        <w:t xml:space="preserve"> </w:t>
      </w:r>
      <w:r>
        <w:t xml:space="preserve">downsides for policyholder protection. Indeed, by only decreasing capital requirements for senior</w:t>
      </w:r>
      <w:r>
        <w:t xml:space="preserve"> </w:t>
      </w:r>
      <w:r>
        <w:t xml:space="preserve">tranches (i.e. the tranches with lower risks), Option 3.2 would remove the existing incentive for</w:t>
      </w:r>
      <w:r>
        <w:t xml:space="preserve"> </w:t>
      </w:r>
      <w:r>
        <w:t xml:space="preserve">‘excessive’ risk taking by insurers (current rules apply the same capital requirements for both</w:t>
      </w:r>
      <w:r>
        <w:t xml:space="preserve"> </w:t>
      </w:r>
      <w:r>
        <w:t xml:space="preserve">senior and non-senior non-STS securitisations, which can incentivise insurers to invest in the</w:t>
      </w:r>
      <w:r>
        <w:t xml:space="preserve"> </w:t>
      </w:r>
      <w:r>
        <w:t xml:space="preserve">lower-ranking tranches as they would likely provide higher returns for the same level of capital</w:t>
      </w:r>
      <w:r>
        <w:t xml:space="preserve"> </w:t>
      </w:r>
      <w:r>
        <w:t xml:space="preserve">requirements). In the specific case of life insurers, the higher risk taking may eventually also</w:t>
      </w:r>
      <w:r>
        <w:t xml:space="preserve"> </w:t>
      </w:r>
      <w:r>
        <w:t xml:space="preserve">benefit policyholders, as any higher return on insurers’ investment portfolio would have to be</w:t>
      </w:r>
      <w:r>
        <w:t xml:space="preserve"> </w:t>
      </w:r>
      <w:r>
        <w:t xml:space="preserve">(partly) shared with policyholders (so-called ‘profit participation’). In other terms, life</w:t>
      </w:r>
      <w:r>
        <w:t xml:space="preserve"> </w:t>
      </w:r>
      <w:r>
        <w:t xml:space="preserve">policyholders, while being exposed to some higher risk of insolvency of their insurer, could also</w:t>
      </w:r>
      <w:r>
        <w:t xml:space="preserve"> </w:t>
      </w:r>
      <w:r>
        <w:t xml:space="preserve">get better return on their savings.</w:t>
      </w:r>
      <w:r>
        <w:t xml:space="preserve"> </w:t>
      </w:r>
      <w:r>
        <w:t xml:space="preserve">The effect of the options on supervisors depends on the extent of capital relief, and the robustness</w:t>
      </w:r>
      <w:r>
        <w:t xml:space="preserve"> </w:t>
      </w:r>
      <w:r>
        <w:t xml:space="preserve">of the technical basis supporting the changes implied by each of the three options. Indeed, any</w:t>
      </w:r>
      <w:r>
        <w:t xml:space="preserve"> </w:t>
      </w:r>
      <w:r>
        <w:t xml:space="preserve">lowering of capital requirements for the same level of actual risks which is not sufficiently backed</w:t>
      </w:r>
      <w:r>
        <w:t xml:space="preserve"> </w:t>
      </w:r>
      <w:r>
        <w:t xml:space="preserve">by strong technical basis means that supervisors’ ability to exercise their prerogatives in</w:t>
      </w:r>
      <w:r>
        <w:t xml:space="preserve"> </w:t>
      </w:r>
      <w:r>
        <w:t xml:space="preserve">accordance with their mandate would be more constrained (i.e. lower ability to intervene timely in</w:t>
      </w:r>
      <w:r>
        <w:t xml:space="preserve"> </w:t>
      </w:r>
      <w:r>
        <w:t xml:space="preserve">case of deteriorating financial position) – all else equal201. The next sub-sections will illustrate that</w:t>
      </w:r>
      <w:r>
        <w:t xml:space="preserve"> </w:t>
      </w:r>
      <w:r>
        <w:t xml:space="preserve">supervisors would be the worst off under Option 3.3. On the contrary they would be less affected</w:t>
      </w:r>
      <w:r>
        <w:t xml:space="preserve"> </w:t>
      </w:r>
      <w:r>
        <w:t xml:space="preserve">under Option 3.2 where changes are driven by improvements to risk sensitivity.</w:t>
      </w:r>
      <w:r>
        <w:t xml:space="preserve"> </w:t>
      </w:r>
      <w:r>
        <w:t xml:space="preserve">2 - Detailed discussion of implementation costs</w:t>
      </w:r>
      <w:r>
        <w:t xml:space="preserve"> </w:t>
      </w:r>
      <w:r>
        <w:t xml:space="preserve">As explained above, Option 3.1 is very simple to implement. Options 3.2 and 3.3 require some</w:t>
      </w:r>
      <w:r>
        <w:t xml:space="preserve"> </w:t>
      </w:r>
      <w:r>
        <w:t xml:space="preserve">additional updates to IT systems.</w:t>
      </w:r>
      <w:r>
        <w:br/>
      </w:r>
      <w:r>
        <w:t xml:space="preserve"> Option 3.2 would require introducing additional inputs to calculate capital requirements which</w:t>
      </w:r>
      <w:r>
        <w:t xml:space="preserve"> </w:t>
      </w:r>
      <w:r>
        <w:t xml:space="preserve">would also have to be reported to supervisors, as insurers would be required to differentiate</w:t>
      </w:r>
      <w:r>
        <w:t xml:space="preserve"> </w:t>
      </w:r>
      <w:r>
        <w:t xml:space="preserve">between senior and non-senior tranches of non-STS securitisations.</w:t>
      </w:r>
    </w:p>
    <w:p>
      <w:pPr>
        <w:pStyle w:val="BodyText"/>
      </w:pPr>
      <w:r>
        <w:t xml:space="preserve">200 NB: there is no general provision in SII allowing supervisors to block dividend distributions where capital</w:t>
      </w:r>
      <w:r>
        <w:t xml:space="preserve"> </w:t>
      </w:r>
      <w:r>
        <w:t xml:space="preserve">requirements are met. Such powers are only available under exceptional sector-wide shocks (like the Covid-19 crisis)</w:t>
      </w:r>
      <w:r>
        <w:t xml:space="preserve"> </w:t>
      </w:r>
      <w:r>
        <w:t xml:space="preserve">to protect policyholders of companies which present a vulnerable risk profile</w:t>
      </w:r>
      <w:r>
        <w:t xml:space="preserve"> </w:t>
      </w:r>
      <w:r>
        <w:t xml:space="preserve">201 A simple example can make it more concrete. Assume that under current rules, the solvency capital requirement</w:t>
      </w:r>
      <w:r>
        <w:t xml:space="preserve"> </w:t>
      </w:r>
      <w:r>
        <w:t xml:space="preserve">of a company is 100. This means that where insurers’ own funds fall below this value, supervisors can take supervisory</w:t>
      </w:r>
      <w:r>
        <w:t xml:space="preserve"> </w:t>
      </w:r>
      <w:r>
        <w:t xml:space="preserve">measures so that insurers restore compliance with capital requirements and avoid insolvency. If, as an outcome of</w:t>
      </w:r>
      <w:r>
        <w:t xml:space="preserve"> </w:t>
      </w:r>
      <w:r>
        <w:t xml:space="preserve">Option 1, the solvency capital requirement becomes 95, this means that a supervisor would not be able to require an</w:t>
      </w:r>
      <w:r>
        <w:t xml:space="preserve"> </w:t>
      </w:r>
      <w:r>
        <w:t xml:space="preserve">increase of own funds where their value falls down to e.g. 97. Under Option 1, supervisors would only be able to</w:t>
      </w:r>
      <w:r>
        <w:t xml:space="preserve"> </w:t>
      </w:r>
      <w:r>
        <w:t xml:space="preserve">intervene one own funds fall below 95, i.e. a situation where the depletion of own funds is more severe than now.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 Option 3.3 would require changing the classification of capital requirements securitisations</w:t>
      </w:r>
      <w:r>
        <w:t xml:space="preserve"> </w:t>
      </w:r>
      <w:r>
        <w:t xml:space="preserve">from market risk to counterparty default risk, but the type of change implied is expected to be</w:t>
      </w:r>
      <w:r>
        <w:t xml:space="preserve"> </w:t>
      </w:r>
      <w:r>
        <w:t xml:space="preserve">relatively seamless (and therefore not costly).</w:t>
      </w:r>
      <w:r>
        <w:t xml:space="preserve"> </w:t>
      </w:r>
      <w:r>
        <w:t xml:space="preserve">For this reason, the one-off administrative (implementation) costs are expected to be limited for</w:t>
      </w:r>
      <w:r>
        <w:t xml:space="preserve"> </w:t>
      </w:r>
      <w:r>
        <w:t xml:space="preserve">all three options. Option 3.2 would generate an additional permanent administrative cost as</w:t>
      </w:r>
      <w:r>
        <w:t xml:space="preserve"> </w:t>
      </w:r>
      <w:r>
        <w:t xml:space="preserve">insurers would have to consistently monitor and differentiate their exposures to senior and non-</w:t>
      </w:r>
      <w:r>
        <w:t xml:space="preserve"> </w:t>
      </w:r>
      <w:r>
        <w:t xml:space="preserve">senior tranches of non-STS securitisations. However, this information is actually expected to be</w:t>
      </w:r>
      <w:r>
        <w:t xml:space="preserve"> </w:t>
      </w:r>
      <w:r>
        <w:t xml:space="preserve">already monitored by insurers as part of their own investment management policies and strategies.</w:t>
      </w:r>
      <w:r>
        <w:t xml:space="preserve"> </w:t>
      </w:r>
      <w:r>
        <w:t xml:space="preserve">Similarly, the digital supervisory tools used by national authorities would have to be adapted to</w:t>
      </w:r>
      <w:r>
        <w:t xml:space="preserve"> </w:t>
      </w:r>
      <w:r>
        <w:t xml:space="preserve">reflect the described changes. Those costs are expected to be negligible in the long-term.</w:t>
      </w:r>
      <w:r>
        <w:t xml:space="preserve"> </w:t>
      </w:r>
      <w:r>
        <w:t xml:space="preserve">Therefore, overall, implementation costs for all three options would be moderate (Option 3.1</w:t>
      </w:r>
      <w:r>
        <w:t xml:space="preserve"> </w:t>
      </w:r>
      <w:r>
        <w:t xml:space="preserve">would be the least costly and Option 3.2 the costliest) and would likely be expressed in million or</w:t>
      </w:r>
      <w:r>
        <w:t xml:space="preserve"> </w:t>
      </w:r>
      <w:r>
        <w:t xml:space="preserve">tens of million euros for the whole market, which would be significantly lower than the capital</w:t>
      </w:r>
      <w:r>
        <w:t xml:space="preserve"> </w:t>
      </w:r>
      <w:r>
        <w:t xml:space="preserve">benefit (lower capital requirements) which is of several billion euros. Therefore, such costs do not</w:t>
      </w:r>
      <w:r>
        <w:t xml:space="preserve"> </w:t>
      </w:r>
      <w:r>
        <w:t xml:space="preserve">appear to be the decisive factor when assessing the preferred option and this is confirmed by</w:t>
      </w:r>
      <w:r>
        <w:t xml:space="preserve"> </w:t>
      </w:r>
      <w:r>
        <w:t xml:space="preserve">stakeholders as part of the Commission services’ consultation activities.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ANNEX XII: COMPARISON OF DUE DILIGENCE AND TRANSPARENCY REQUIREMENTS</w:t>
      </w:r>
      <w:r>
        <w:br/>
      </w:r>
      <w:r>
        <w:t xml:space="preserve">Table 1: Comparison of due diligence requirements for selected entities when investing in selected</w:t>
      </w:r>
      <w:r>
        <w:t xml:space="preserve"> </w:t>
      </w:r>
      <w:r>
        <w:t xml:space="preserve">products</w:t>
      </w:r>
      <w:r>
        <w:t xml:space="preserve"> </w:t>
      </w:r>
      <w:r>
        <w:t xml:space="preserve">Due Diligence Requirements for AIFMs</w:t>
      </w:r>
    </w:p>
    <w:p>
      <w:pPr>
        <w:pStyle w:val="BodyText"/>
      </w:pPr>
      <w:r>
        <w:t xml:space="preserve">Other instruments (covered bonds, funds of</w:t>
      </w:r>
      <w:r>
        <w:t xml:space="preserve"> </w:t>
      </w:r>
      <w:r>
        <w:t xml:space="preserve">funds, high yield bonds, etc.)</w:t>
      </w:r>
      <w:r>
        <w:t xml:space="preserve"> </w:t>
      </w:r>
      <w:r>
        <w:t xml:space="preserve">Securitisation</w:t>
      </w:r>
      <w:r>
        <w:t xml:space="preserve"> </w:t>
      </w:r>
      <w:r>
        <w:t xml:space="preserve">Verification</w:t>
      </w:r>
      <w:r>
        <w:t xml:space="preserve"> </w:t>
      </w:r>
      <w:r>
        <w:t xml:space="preserve">requirements</w:t>
      </w:r>
      <w:r>
        <w:br/>
      </w:r>
      <w:r>
        <w:t xml:space="preserve">No explicit verification requirements for</w:t>
      </w:r>
      <w:r>
        <w:t xml:space="preserve"> </w:t>
      </w:r>
      <w:r>
        <w:t xml:space="preserve">issuer compliance with sectoral legislation</w:t>
      </w:r>
      <w:r>
        <w:t xml:space="preserve"> </w:t>
      </w:r>
      <w:r>
        <w:t xml:space="preserve">of the issuer.</w:t>
      </w:r>
      <w:r>
        <w:t xml:space="preserve"> </w:t>
      </w:r>
      <w:r>
        <w:t xml:space="preserve">Legal basis: Article 15(2) and (3) of</w:t>
      </w:r>
      <w:r>
        <w:t xml:space="preserve"> </w:t>
      </w:r>
      <w:r>
        <w:t xml:space="preserve">AIFMD. Complemented by delegated acts:</w:t>
      </w:r>
      <w:r>
        <w:t xml:space="preserve"> </w:t>
      </w:r>
      <w:r>
        <w:t xml:space="preserve">Art. 18, 19 of AIFMR</w:t>
      </w:r>
      <w:r>
        <w:t xml:space="preserve"> </w:t>
      </w:r>
      <w:r>
        <w:t xml:space="preserve">Other verification requirements do apply on</w:t>
      </w:r>
      <w:r>
        <w:t xml:space="preserve"> </w:t>
      </w:r>
      <w:r>
        <w:t xml:space="preserve">market risk, liquidity risk, operational risk.</w:t>
      </w:r>
      <w:r>
        <w:t xml:space="preserve"> </w:t>
      </w:r>
      <w:r>
        <w:t xml:space="preserve">They also ensure that investment decisions</w:t>
      </w:r>
      <w:r>
        <w:t xml:space="preserve"> </w:t>
      </w:r>
      <w:r>
        <w:t xml:space="preserve">on behalf of the AIFs are carried out in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objectives,</w:t>
      </w:r>
      <w:r>
        <w:t xml:space="preserve"> </w:t>
      </w:r>
      <w:r>
        <w:t xml:space="preserve">the</w:t>
      </w:r>
      <w:r>
        <w:t xml:space="preserve"> </w:t>
      </w:r>
      <w:r>
        <w:t xml:space="preserve">investment strategy and, where applicable,</w:t>
      </w:r>
      <w:r>
        <w:t xml:space="preserve"> </w:t>
      </w:r>
      <w:r>
        <w:t xml:space="preserve">the risk limits of the AIF.</w:t>
      </w:r>
      <w:r>
        <w:t xml:space="preserve"> </w:t>
      </w:r>
      <w:r>
        <w:t xml:space="preserve">Legal basis: Article 5(1) and</w:t>
      </w:r>
      <w:r>
        <w:t xml:space="preserve"> </w:t>
      </w:r>
      <w:r>
        <w:t xml:space="preserve">5(3) SECR</w:t>
      </w:r>
      <w:r>
        <w:t xml:space="preserve"> </w:t>
      </w:r>
      <w:r>
        <w:t xml:space="preserve">Detailed</w:t>
      </w:r>
      <w:r>
        <w:t xml:space="preserve"> </w:t>
      </w:r>
      <w:r>
        <w:t xml:space="preserve">provisions</w:t>
      </w:r>
      <w:r>
        <w:t xml:space="preserve"> </w:t>
      </w:r>
      <w:r>
        <w:t xml:space="preserve">which</w:t>
      </w:r>
      <w:r>
        <w:t xml:space="preserve"> </w:t>
      </w:r>
      <w:r>
        <w:t xml:space="preserve">require investors to ensure that</w:t>
      </w:r>
      <w:r>
        <w:t xml:space="preserve"> </w:t>
      </w:r>
      <w:r>
        <w:t xml:space="preserve">securitisation</w:t>
      </w:r>
      <w:r>
        <w:t xml:space="preserve"> </w:t>
      </w:r>
      <w:r>
        <w:t xml:space="preserve">rules</w:t>
      </w:r>
      <w:r>
        <w:t xml:space="preserve"> </w:t>
      </w:r>
      <w:r>
        <w:t xml:space="preserve">are</w:t>
      </w:r>
      <w:r>
        <w:t xml:space="preserve"> </w:t>
      </w:r>
      <w:r>
        <w:t xml:space="preserve">complied with regard to credit</w:t>
      </w:r>
      <w:r>
        <w:t xml:space="preserve"> </w:t>
      </w:r>
      <w:r>
        <w:t xml:space="preserve">granting,</w:t>
      </w:r>
      <w:r>
        <w:t xml:space="preserve"> </w:t>
      </w:r>
      <w:r>
        <w:t xml:space="preserve">risk</w:t>
      </w:r>
      <w:r>
        <w:t xml:space="preserve"> </w:t>
      </w:r>
      <w:r>
        <w:t xml:space="preserve">retention,</w:t>
      </w:r>
      <w:r>
        <w:t xml:space="preserve"> </w:t>
      </w:r>
      <w:r>
        <w:t xml:space="preserve">disclosure</w:t>
      </w:r>
      <w:r>
        <w:t xml:space="preserve"> </w:t>
      </w:r>
      <w:r>
        <w:t xml:space="preserve">and</w:t>
      </w:r>
      <w:r>
        <w:t xml:space="preserve"> </w:t>
      </w:r>
      <w:r>
        <w:t xml:space="preserve">STS</w:t>
      </w:r>
      <w:r>
        <w:t xml:space="preserve"> </w:t>
      </w:r>
      <w:r>
        <w:t xml:space="preserve">compliance</w:t>
      </w:r>
    </w:p>
    <w:p>
      <w:pPr>
        <w:pStyle w:val="BodyText"/>
      </w:pPr>
      <w:r>
        <w:t xml:space="preserve">Assessment of the</w:t>
      </w:r>
      <w:r>
        <w:t xml:space="preserve"> </w:t>
      </w:r>
      <w:r>
        <w:t xml:space="preserve">risks involved</w:t>
      </w:r>
      <w:r>
        <w:t xml:space="preserve"> </w:t>
      </w:r>
      <w:r>
        <w:t xml:space="preserve">Legal basis: Article 15 AIFMD, and</w:t>
      </w:r>
      <w:r>
        <w:t xml:space="preserve"> </w:t>
      </w:r>
      <w:r>
        <w:t xml:space="preserve">Articles 18 and 45 AIFMR</w:t>
      </w:r>
      <w:r>
        <w:t xml:space="preserve"> </w:t>
      </w:r>
      <w:r>
        <w:t xml:space="preserve">Risk assessment required. Effective</w:t>
      </w:r>
      <w:r>
        <w:t xml:space="preserve"> </w:t>
      </w:r>
      <w:r>
        <w:t xml:space="preserve">arrangements required to ensure that</w:t>
      </w:r>
      <w:r>
        <w:t xml:space="preserve"> </w:t>
      </w:r>
      <w:r>
        <w:t xml:space="preserve">investment decisions on behalf of the AIFs</w:t>
      </w:r>
      <w:r>
        <w:t xml:space="preserve"> </w:t>
      </w:r>
      <w:r>
        <w:t xml:space="preserve">are carried out in compliance with the</w:t>
      </w:r>
      <w:r>
        <w:t xml:space="preserve"> </w:t>
      </w:r>
      <w:r>
        <w:t xml:space="preserve">objectives, the investment strategy and,</w:t>
      </w:r>
      <w:r>
        <w:t xml:space="preserve"> </w:t>
      </w:r>
      <w:r>
        <w:t xml:space="preserve">where applicable, the risk limits of the AIF</w:t>
      </w:r>
      <w:r>
        <w:t xml:space="preserve"> </w:t>
      </w:r>
      <w:r>
        <w:t xml:space="preserve">AIFMs must identify, measure, manage,</w:t>
      </w:r>
      <w:r>
        <w:t xml:space="preserve"> </w:t>
      </w:r>
      <w:r>
        <w:t xml:space="preserve">and monitor risks to which their AIFs are</w:t>
      </w:r>
      <w:r>
        <w:t xml:space="preserve"> </w:t>
      </w:r>
      <w:r>
        <w:t xml:space="preserve">exposed., and ensure compliance with</w:t>
      </w:r>
      <w:r>
        <w:t xml:space="preserve"> </w:t>
      </w:r>
      <w:r>
        <w:t xml:space="preserve">limits.</w:t>
      </w:r>
      <w:r>
        <w:br/>
      </w:r>
      <w:r>
        <w:t xml:space="preserve">Legal basis: In addition to</w:t>
      </w:r>
      <w:r>
        <w:t xml:space="preserve"> </w:t>
      </w:r>
      <w:r>
        <w:t xml:space="preserve">Article 15 AIFMD, Article</w:t>
      </w:r>
      <w:r>
        <w:t xml:space="preserve"> </w:t>
      </w:r>
      <w:r>
        <w:t xml:space="preserve">5(3), and Article 18 AIFMR</w:t>
      </w:r>
      <w:r>
        <w:t xml:space="preserve"> </w:t>
      </w:r>
      <w:r>
        <w:t xml:space="preserve">SECR also applies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</w:t>
      </w:r>
      <w:r>
        <w:t xml:space="preserve"> </w:t>
      </w:r>
      <w:r>
        <w:t xml:space="preserve">required</w:t>
      </w:r>
      <w:r>
        <w:t xml:space="preserve"> </w:t>
      </w:r>
      <w:r>
        <w:t xml:space="preserve">(detailed). Investors are asked</w:t>
      </w:r>
      <w:r>
        <w:t xml:space="preserve"> </w:t>
      </w:r>
      <w:r>
        <w:t xml:space="preserve">to</w:t>
      </w:r>
      <w:r>
        <w:t xml:space="preserve"> </w:t>
      </w:r>
      <w:r>
        <w:t xml:space="preserve">assess</w:t>
      </w:r>
      <w:r>
        <w:t xml:space="preserve"> </w:t>
      </w:r>
      <w:r>
        <w:t xml:space="preserve">the</w:t>
      </w:r>
      <w:r>
        <w:t xml:space="preserve"> </w:t>
      </w:r>
      <w:r>
        <w:t xml:space="preserve">risk</w:t>
      </w:r>
      <w:r>
        <w:t xml:space="preserve"> </w:t>
      </w:r>
      <w:r>
        <w:t xml:space="preserve">characteristics and structural</w:t>
      </w:r>
      <w:r>
        <w:t xml:space="preserve"> </w:t>
      </w:r>
      <w:r>
        <w:t xml:space="preserve">features</w:t>
      </w:r>
      <w:r>
        <w:t xml:space="preserve"> </w:t>
      </w:r>
      <w:r>
        <w:t xml:space="preserve">(including</w:t>
      </w:r>
      <w:r>
        <w:t xml:space="preserve"> </w:t>
      </w:r>
      <w:r>
        <w:t xml:space="preserve">the</w:t>
      </w:r>
      <w:r>
        <w:t xml:space="preserve"> </w:t>
      </w:r>
      <w:r>
        <w:t xml:space="preserve">contractual</w:t>
      </w:r>
      <w:r>
        <w:t xml:space="preserve"> </w:t>
      </w:r>
      <w:r>
        <w:t xml:space="preserve">priorities</w:t>
      </w:r>
      <w:r>
        <w:t xml:space="preserve"> </w:t>
      </w:r>
      <w:r>
        <w:t xml:space="preserve">of</w:t>
      </w:r>
      <w:r>
        <w:t xml:space="preserve"> </w:t>
      </w:r>
      <w:r>
        <w:t xml:space="preserve">payment</w:t>
      </w:r>
      <w:r>
        <w:t xml:space="preserve"> </w:t>
      </w:r>
      <w:r>
        <w:t xml:space="preserve">and</w:t>
      </w:r>
      <w:r>
        <w:t xml:space="preserve"> </w:t>
      </w:r>
      <w:r>
        <w:t xml:space="preserve">priority</w:t>
      </w:r>
      <w:r>
        <w:t xml:space="preserve"> </w:t>
      </w:r>
      <w:r>
        <w:t xml:space="preserve">of</w:t>
      </w:r>
      <w:r>
        <w:t xml:space="preserve"> </w:t>
      </w:r>
      <w:r>
        <w:t xml:space="preserve">payment</w:t>
      </w:r>
      <w:r>
        <w:t xml:space="preserve"> </w:t>
      </w:r>
      <w:r>
        <w:t xml:space="preserve">related</w:t>
      </w:r>
      <w:r>
        <w:t xml:space="preserve"> </w:t>
      </w:r>
      <w:r>
        <w:t xml:space="preserve">triggers,</w:t>
      </w:r>
      <w:r>
        <w:t xml:space="preserve"> </w:t>
      </w:r>
      <w:r>
        <w:t xml:space="preserve">credit enhancements, liquidity</w:t>
      </w:r>
      <w:r>
        <w:t xml:space="preserve"> </w:t>
      </w:r>
      <w:r>
        <w:t xml:space="preserve">enhancements, market value</w:t>
      </w:r>
      <w:r>
        <w:t xml:space="preserve"> </w:t>
      </w:r>
      <w:r>
        <w:t xml:space="preserve">triggers,</w:t>
      </w:r>
      <w:r>
        <w:t xml:space="preserve"> </w:t>
      </w:r>
      <w:r>
        <w:t xml:space="preserve">and</w:t>
      </w:r>
      <w:r>
        <w:t xml:space="preserve"> </w:t>
      </w:r>
      <w:r>
        <w:t xml:space="preserve">transaction-</w:t>
      </w:r>
      <w:r>
        <w:t xml:space="preserve"> </w:t>
      </w:r>
      <w:r>
        <w:t xml:space="preserve">specific definitions of default).</w:t>
      </w:r>
      <w:r>
        <w:t xml:space="preserve"> </w:t>
      </w:r>
      <w:r>
        <w:t xml:space="preserve">Establish</w:t>
      </w:r>
      <w:r>
        <w:t xml:space="preserve"> </w:t>
      </w:r>
      <w:r>
        <w:t xml:space="preserve">appropriate written</w:t>
      </w:r>
      <w:r>
        <w:t xml:space="preserve"> </w:t>
      </w:r>
      <w:r>
        <w:t xml:space="preserve">procedures</w:t>
      </w:r>
      <w:r>
        <w:t xml:space="preserve"> </w:t>
      </w:r>
      <w:r>
        <w:t xml:space="preserve">Legal basis: Article 12(1)(c) AIFMD</w:t>
      </w:r>
    </w:p>
    <w:p>
      <w:pPr>
        <w:pStyle w:val="BodyText"/>
      </w:pPr>
      <w:r>
        <w:t xml:space="preserve">Legal basis: In addition to</w:t>
      </w:r>
      <w:r>
        <w:t xml:space="preserve"> </w:t>
      </w:r>
      <w:r>
        <w:t xml:space="preserve">Article 12(1)(c ) AIFMD,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AIFMs shall have detailed procedures to</w:t>
      </w:r>
      <w:r>
        <w:t xml:space="preserve"> </w:t>
      </w:r>
      <w:r>
        <w:t xml:space="preserve">cover all of their activities, including due</w:t>
      </w:r>
      <w:r>
        <w:t xml:space="preserve"> </w:t>
      </w:r>
      <w:r>
        <w:t xml:space="preserve">diligence.</w:t>
      </w:r>
      <w:r>
        <w:t xml:space="preserve"> </w:t>
      </w:r>
      <w:r>
        <w:t xml:space="preserve">Article 5(4a) SECR also</w:t>
      </w:r>
      <w:r>
        <w:t xml:space="preserve"> </w:t>
      </w:r>
      <w:r>
        <w:t xml:space="preserve">applies</w:t>
      </w:r>
      <w:r>
        <w:t xml:space="preserve"> </w:t>
      </w:r>
      <w:r>
        <w:t xml:space="preserve">Written procedures required.</w:t>
      </w:r>
      <w:r>
        <w:t xml:space="preserve"> </w:t>
      </w:r>
      <w:r>
        <w:t xml:space="preserve">These</w:t>
      </w:r>
      <w:r>
        <w:t xml:space="preserve"> </w:t>
      </w:r>
      <w:r>
        <w:t xml:space="preserve">written</w:t>
      </w:r>
      <w:r>
        <w:t xml:space="preserve"> </w:t>
      </w:r>
      <w:r>
        <w:t xml:space="preserve">procedures</w:t>
      </w:r>
      <w:r>
        <w:t xml:space="preserve"> </w:t>
      </w:r>
      <w:r>
        <w:t xml:space="preserve">include detailed monitoring of</w:t>
      </w:r>
      <w:r>
        <w:t xml:space="preserve"> </w:t>
      </w:r>
      <w:r>
        <w:t xml:space="preserve">the</w:t>
      </w:r>
      <w:r>
        <w:t xml:space="preserve"> </w:t>
      </w:r>
      <w:r>
        <w:t xml:space="preserve">performance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underlying exposures and the</w:t>
      </w:r>
      <w:r>
        <w:t xml:space="preserve"> </w:t>
      </w:r>
      <w:r>
        <w:t xml:space="preserve">securitisation</w:t>
      </w:r>
      <w:r>
        <w:t xml:space="preserve"> </w:t>
      </w:r>
      <w:r>
        <w:t xml:space="preserve">position</w:t>
      </w:r>
      <w:r>
        <w:t xml:space="preserve"> </w:t>
      </w:r>
      <w:r>
        <w:t xml:space="preserve">(monitoring of the exposure</w:t>
      </w:r>
      <w:r>
        <w:t xml:space="preserve"> </w:t>
      </w:r>
      <w:r>
        <w:t xml:space="preserve">type, the percentage of loans</w:t>
      </w:r>
      <w:r>
        <w:t xml:space="preserve"> </w:t>
      </w:r>
      <w:r>
        <w:t xml:space="preserve">more than 30, 60 and 90 days</w:t>
      </w:r>
      <w:r>
        <w:t xml:space="preserve"> </w:t>
      </w:r>
      <w:r>
        <w:t xml:space="preserve">past</w:t>
      </w:r>
      <w:r>
        <w:t xml:space="preserve"> </w:t>
      </w:r>
      <w:r>
        <w:t xml:space="preserve">due,</w:t>
      </w:r>
      <w:r>
        <w:t xml:space="preserve"> </w:t>
      </w:r>
      <w:r>
        <w:t xml:space="preserve">default</w:t>
      </w:r>
      <w:r>
        <w:t xml:space="preserve"> </w:t>
      </w:r>
      <w:r>
        <w:t xml:space="preserve">rates,</w:t>
      </w:r>
      <w:r>
        <w:t xml:space="preserve"> </w:t>
      </w:r>
      <w:r>
        <w:t xml:space="preserve">prepayment rates, loans in</w:t>
      </w:r>
      <w:r>
        <w:t xml:space="preserve"> </w:t>
      </w:r>
      <w:r>
        <w:t xml:space="preserve">foreclosure, recovery rates,</w:t>
      </w:r>
      <w:r>
        <w:t xml:space="preserve"> </w:t>
      </w:r>
      <w:r>
        <w:t xml:space="preserve">repurchases,</w:t>
      </w:r>
      <w:r>
        <w:t xml:space="preserve"> </w:t>
      </w:r>
      <w:r>
        <w:t xml:space="preserve">loan</w:t>
      </w:r>
      <w:r>
        <w:t xml:space="preserve"> </w:t>
      </w:r>
      <w:r>
        <w:t xml:space="preserve">modifications,</w:t>
      </w:r>
      <w:r>
        <w:t xml:space="preserve"> </w:t>
      </w:r>
      <w:r>
        <w:t xml:space="preserve">payment</w:t>
      </w:r>
      <w:r>
        <w:t xml:space="preserve"> </w:t>
      </w:r>
      <w:r>
        <w:t xml:space="preserve">holidays, collateral type and</w:t>
      </w:r>
      <w:r>
        <w:t xml:space="preserve"> </w:t>
      </w:r>
      <w:r>
        <w:t xml:space="preserve">occupancy,</w:t>
      </w:r>
      <w:r>
        <w:t xml:space="preserve"> </w:t>
      </w:r>
      <w:r>
        <w:t xml:space="preserve">and</w:t>
      </w:r>
      <w:r>
        <w:t xml:space="preserve"> </w:t>
      </w:r>
      <w:r>
        <w:t xml:space="preserve">frequency</w:t>
      </w:r>
      <w:r>
        <w:t xml:space="preserve"> </w:t>
      </w:r>
      <w:r>
        <w:t xml:space="preserve">distribution of credit scores or</w:t>
      </w:r>
      <w:r>
        <w:t xml:space="preserve"> </w:t>
      </w:r>
      <w:r>
        <w:t xml:space="preserve">other</w:t>
      </w:r>
      <w:r>
        <w:t xml:space="preserve"> </w:t>
      </w:r>
      <w:r>
        <w:t xml:space="preserve">measures</w:t>
      </w:r>
      <w:r>
        <w:t xml:space="preserve"> </w:t>
      </w:r>
      <w:r>
        <w:t xml:space="preserve">of</w:t>
      </w:r>
      <w:r>
        <w:t xml:space="preserve"> </w:t>
      </w:r>
      <w:r>
        <w:t xml:space="preserve">credit</w:t>
      </w:r>
      <w:r>
        <w:t xml:space="preserve"> </w:t>
      </w:r>
      <w:r>
        <w:t xml:space="preserve">worthiness across underlying</w:t>
      </w:r>
      <w:r>
        <w:t xml:space="preserve"> </w:t>
      </w:r>
      <w:r>
        <w:t xml:space="preserve">exposures,</w:t>
      </w:r>
      <w:r>
        <w:t xml:space="preserve"> </w:t>
      </w:r>
      <w:r>
        <w:t xml:space="preserve">industry</w:t>
      </w:r>
      <w:r>
        <w:t xml:space="preserve"> </w:t>
      </w:r>
      <w:r>
        <w:t xml:space="preserve">and</w:t>
      </w:r>
      <w:r>
        <w:t xml:space="preserve"> </w:t>
      </w:r>
      <w:r>
        <w:t xml:space="preserve">geographical diversification,</w:t>
      </w:r>
      <w:r>
        <w:t xml:space="preserve"> </w:t>
      </w:r>
      <w:r>
        <w:t xml:space="preserve">frequency distribution of loan</w:t>
      </w:r>
      <w:r>
        <w:t xml:space="preserve"> </w:t>
      </w:r>
      <w:r>
        <w:t xml:space="preserve">to value ratios with band</w:t>
      </w:r>
      <w:r>
        <w:t xml:space="preserve"> </w:t>
      </w:r>
      <w:r>
        <w:t xml:space="preserve">widths that facilitate adequate</w:t>
      </w:r>
      <w:r>
        <w:t xml:space="preserve"> </w:t>
      </w:r>
      <w:r>
        <w:t xml:space="preserve">sensitivity analysis).</w:t>
      </w:r>
      <w:r>
        <w:t xml:space="preserve"> </w:t>
      </w:r>
      <w:r>
        <w:t xml:space="preserve">Regularly perform</w:t>
      </w:r>
      <w:r>
        <w:t xml:space="preserve"> </w:t>
      </w:r>
      <w:r>
        <w:t xml:space="preserve">stress tests</w:t>
      </w:r>
      <w:r>
        <w:t xml:space="preserve"> </w:t>
      </w:r>
      <w:r>
        <w:t xml:space="preserve">Legal basis: Article 15(3)(b) provides that</w:t>
      </w:r>
      <w:r>
        <w:t xml:space="preserve"> </w:t>
      </w:r>
      <w:r>
        <w:t xml:space="preserve">AIFMs should ensure that the risks</w:t>
      </w:r>
      <w:r>
        <w:t xml:space="preserve"> </w:t>
      </w:r>
      <w:r>
        <w:t xml:space="preserve">associated with each investment position of</w:t>
      </w:r>
      <w:r>
        <w:t xml:space="preserve"> </w:t>
      </w:r>
      <w:r>
        <w:t xml:space="preserve">the AIF and their overall effect on the AIF’s</w:t>
      </w:r>
      <w:r>
        <w:t xml:space="preserve"> </w:t>
      </w:r>
      <w:r>
        <w:t xml:space="preserve">portfolio can be properly identified,</w:t>
      </w:r>
      <w:r>
        <w:t xml:space="preserve"> </w:t>
      </w:r>
      <w:r>
        <w:t xml:space="preserve">measured, managed and monitored on an</w:t>
      </w:r>
      <w:r>
        <w:t xml:space="preserve"> </w:t>
      </w:r>
      <w:r>
        <w:t xml:space="preserve">ongoing basis, including through the use of</w:t>
      </w:r>
      <w:r>
        <w:t xml:space="preserve"> </w:t>
      </w:r>
      <w:r>
        <w:t xml:space="preserve">appropriate stress testing procedures.</w:t>
      </w:r>
      <w:r>
        <w:t xml:space="preserve"> </w:t>
      </w:r>
      <w:r>
        <w:t xml:space="preserve">Legal basis: In addition to</w:t>
      </w:r>
      <w:r>
        <w:t xml:space="preserve"> </w:t>
      </w:r>
      <w:r>
        <w:t xml:space="preserve">Article 15 AIFMD, Article</w:t>
      </w:r>
      <w:r>
        <w:t xml:space="preserve"> </w:t>
      </w:r>
      <w:r>
        <w:t xml:space="preserve">5(4b) SECR also applies</w:t>
      </w:r>
      <w:r>
        <w:t xml:space="preserve"> </w:t>
      </w:r>
      <w:r>
        <w:t xml:space="preserve">Required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securitisations.</w:t>
      </w:r>
      <w:r>
        <w:t xml:space="preserve"> </w:t>
      </w:r>
      <w:r>
        <w:t xml:space="preserve">Internal reporting to</w:t>
      </w:r>
      <w:r>
        <w:t xml:space="preserve"> </w:t>
      </w:r>
      <w:r>
        <w:t xml:space="preserve">management body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management</w:t>
      </w:r>
      <w:r>
        <w:t xml:space="preserve"> </w:t>
      </w:r>
      <w:r>
        <w:t xml:space="preserve">is</w:t>
      </w:r>
      <w:r>
        <w:t xml:space="preserve"> </w:t>
      </w:r>
      <w:r>
        <w:t xml:space="preserve">aware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material risks posed</w:t>
      </w:r>
      <w:r>
        <w:t xml:space="preserve"> </w:t>
      </w:r>
      <w:r>
        <w:t xml:space="preserve">by the investment</w:t>
      </w:r>
      <w:r>
        <w:t xml:space="preserve"> </w:t>
      </w:r>
      <w:r>
        <w:t xml:space="preserve">position</w:t>
      </w:r>
      <w:r>
        <w:t xml:space="preserve"> </w:t>
      </w:r>
      <w:r>
        <w:t xml:space="preserve">Legal basis: Art. 7(2)(a), 15 of AIFMD,</w:t>
      </w:r>
      <w:r>
        <w:t xml:space="preserve"> </w:t>
      </w:r>
      <w:r>
        <w:t xml:space="preserve">complemented by Art. 38 to 45 and 60 of</w:t>
      </w:r>
      <w:r>
        <w:t xml:space="preserve"> </w:t>
      </w:r>
      <w:r>
        <w:t xml:space="preserve">AIFMR.</w:t>
      </w:r>
      <w:r>
        <w:t xml:space="preserve"> </w:t>
      </w:r>
      <w:r>
        <w:t xml:space="preserve">Ultimately, the management body of the</w:t>
      </w:r>
      <w:r>
        <w:t xml:space="preserve"> </w:t>
      </w:r>
      <w:r>
        <w:t xml:space="preserve">AIFM is responsible and validate the set of</w:t>
      </w:r>
      <w:r>
        <w:t xml:space="preserve"> </w:t>
      </w:r>
      <w:r>
        <w:t xml:space="preserve">limits, within which AIFs will be managed.</w:t>
      </w:r>
      <w:r>
        <w:t xml:space="preserve"> </w:t>
      </w:r>
      <w:r>
        <w:t xml:space="preserve">They designate the persons in charge of</w:t>
      </w:r>
      <w:r>
        <w:t xml:space="preserve"> </w:t>
      </w:r>
      <w:r>
        <w:t xml:space="preserve">Legal basis: In addition to the</w:t>
      </w:r>
      <w:r>
        <w:t xml:space="preserve"> </w:t>
      </w:r>
      <w:r>
        <w:t xml:space="preserve">general provisions under the</w:t>
      </w:r>
      <w:r>
        <w:t xml:space="preserve"> </w:t>
      </w:r>
      <w:r>
        <w:t xml:space="preserve">AIFMD, Article 5(4d) SECR</w:t>
      </w:r>
      <w:r>
        <w:t xml:space="preserve"> </w:t>
      </w:r>
      <w:r>
        <w:t xml:space="preserve">also applies.</w:t>
      </w:r>
      <w:r>
        <w:t xml:space="preserve"> </w:t>
      </w:r>
      <w:r>
        <w:t xml:space="preserve">Required.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conducting the activity. On a day-to-day</w:t>
      </w:r>
      <w:r>
        <w:t xml:space="preserve"> </w:t>
      </w:r>
      <w:r>
        <w:t xml:space="preserve">basis, decisions are taken in line with the</w:t>
      </w:r>
      <w:r>
        <w:t xml:space="preserve"> </w:t>
      </w:r>
      <w:r>
        <w:t xml:space="preserve">limits sets by the management body. There</w:t>
      </w:r>
      <w:r>
        <w:t xml:space="preserve"> </w:t>
      </w:r>
      <w:r>
        <w:t xml:space="preserve">is also an independent oversight by the</w:t>
      </w:r>
      <w:r>
        <w:t xml:space="preserve"> </w:t>
      </w:r>
      <w:r>
        <w:t xml:space="preserve">depositary of the fund and the compliance</w:t>
      </w:r>
      <w:r>
        <w:t xml:space="preserve"> </w:t>
      </w:r>
      <w:r>
        <w:t xml:space="preserve">function.</w:t>
      </w:r>
      <w:r>
        <w:t xml:space="preserve"> </w:t>
      </w:r>
      <w:r>
        <w:t xml:space="preserve">Demonstrate</w:t>
      </w:r>
      <w:r>
        <w:t xml:space="preserve"> </w:t>
      </w:r>
      <w:r>
        <w:t xml:space="preserve">understanding</w:t>
      </w:r>
      <w:r>
        <w:t xml:space="preserve"> </w:t>
      </w:r>
      <w:r>
        <w:t xml:space="preserve">of</w:t>
      </w:r>
      <w:r>
        <w:t xml:space="preserve"> </w:t>
      </w:r>
      <w:r>
        <w:t xml:space="preserve">risks and processes</w:t>
      </w:r>
      <w:r>
        <w:t xml:space="preserve"> </w:t>
      </w:r>
      <w:r>
        <w:t xml:space="preserve">to</w:t>
      </w:r>
      <w:r>
        <w:t xml:space="preserve"> </w:t>
      </w:r>
      <w:r>
        <w:t xml:space="preserve">NCAs</w:t>
      </w:r>
      <w:r>
        <w:t xml:space="preserve"> </w:t>
      </w:r>
      <w:r>
        <w:t xml:space="preserve">(upon</w:t>
      </w:r>
      <w:r>
        <w:t xml:space="preserve"> </w:t>
      </w:r>
      <w:r>
        <w:t xml:space="preserve">request)</w:t>
      </w:r>
      <w:r>
        <w:t xml:space="preserve"> </w:t>
      </w:r>
      <w:r>
        <w:t xml:space="preserve">Legal basis: Art. 7, 8, 18 and 46 of AIFMD,</w:t>
      </w:r>
      <w:r>
        <w:t xml:space="preserve"> </w:t>
      </w:r>
      <w:r>
        <w:t xml:space="preserve">complemented</w:t>
      </w:r>
      <w:r>
        <w:t xml:space="preserve"> </w:t>
      </w:r>
      <w:r>
        <w:t xml:space="preserve">Article</w:t>
      </w:r>
      <w:r>
        <w:t xml:space="preserve"> </w:t>
      </w:r>
      <w:r>
        <w:t xml:space="preserve">18(2),</w:t>
      </w:r>
      <w:r>
        <w:t xml:space="preserve"> </w:t>
      </w:r>
      <w:r>
        <w:t xml:space="preserve">21(a),</w:t>
      </w:r>
      <w:r>
        <w:t xml:space="preserve"> </w:t>
      </w:r>
      <w:r>
        <w:t xml:space="preserve">47(1)(d) in AIFMR</w:t>
      </w:r>
      <w:r>
        <w:t xml:space="preserve"> </w:t>
      </w:r>
      <w:r>
        <w:t xml:space="preserve">General authorisation provisions apply.</w:t>
      </w:r>
      <w:r>
        <w:t xml:space="preserve"> </w:t>
      </w:r>
      <w:r>
        <w:t xml:space="preserve">NCAs monitor compliance with AIFMD on</w:t>
      </w:r>
      <w:r>
        <w:t xml:space="preserve"> </w:t>
      </w:r>
      <w:r>
        <w:t xml:space="preserve">an ongoing manner (they can ask for any</w:t>
      </w:r>
      <w:r>
        <w:t xml:space="preserve"> </w:t>
      </w:r>
      <w:r>
        <w:t xml:space="preserve">relevant piece of evidence/information).</w:t>
      </w:r>
      <w:r>
        <w:t xml:space="preserve"> </w:t>
      </w:r>
      <w:r>
        <w:t xml:space="preserve">Legal basis: In addition to the</w:t>
      </w:r>
      <w:r>
        <w:t xml:space="preserve"> </w:t>
      </w:r>
      <w:r>
        <w:t xml:space="preserve">general</w:t>
      </w:r>
      <w:r>
        <w:t xml:space="preserve"> </w:t>
      </w:r>
      <w:r>
        <w:t xml:space="preserve">authorisation</w:t>
      </w:r>
      <w:r>
        <w:t xml:space="preserve"> </w:t>
      </w:r>
      <w:r>
        <w:t xml:space="preserve">and</w:t>
      </w:r>
      <w:r>
        <w:t xml:space="preserve"> </w:t>
      </w:r>
      <w:r>
        <w:t xml:space="preserve">monitoring provisions under</w:t>
      </w:r>
      <w:r>
        <w:t xml:space="preserve"> </w:t>
      </w:r>
      <w:r>
        <w:t xml:space="preserve">the AIFMD, Article 5(4d and</w:t>
      </w:r>
      <w:r>
        <w:t xml:space="preserve"> </w:t>
      </w:r>
      <w:r>
        <w:t xml:space="preserve">f) SECR also applies.</w:t>
      </w:r>
      <w:r>
        <w:t xml:space="preserve"> </w:t>
      </w:r>
      <w:r>
        <w:t xml:space="preserve">Required.</w:t>
      </w:r>
      <w:r>
        <w:t xml:space="preserve"> </w:t>
      </w:r>
      <w:r>
        <w:t xml:space="preserve">Due Diligence Requirements for Insurers</w:t>
      </w:r>
      <w:r>
        <w:t xml:space="preserve"> </w:t>
      </w:r>
      <w:r>
        <w:t xml:space="preserve">Verification</w:t>
      </w:r>
      <w:r>
        <w:t xml:space="preserve"> </w:t>
      </w:r>
      <w:r>
        <w:t xml:space="preserve">requirements</w:t>
      </w:r>
      <w:r>
        <w:t xml:space="preserve"> </w:t>
      </w:r>
      <w:r>
        <w:t xml:space="preserve">None</w:t>
      </w:r>
      <w:r>
        <w:t xml:space="preserve"> </w:t>
      </w:r>
      <w:r>
        <w:t xml:space="preserve">Legal basis: Article 5(1) and</w:t>
      </w:r>
      <w:r>
        <w:t xml:space="preserve"> </w:t>
      </w:r>
      <w:r>
        <w:t xml:space="preserve">5(3) SECR</w:t>
      </w:r>
      <w:r>
        <w:t xml:space="preserve"> </w:t>
      </w:r>
      <w:r>
        <w:t xml:space="preserve">For</w:t>
      </w:r>
      <w:r>
        <w:t xml:space="preserve"> </w:t>
      </w:r>
      <w:r>
        <w:t xml:space="preserve">credit</w:t>
      </w:r>
      <w:r>
        <w:t xml:space="preserve"> </w:t>
      </w:r>
      <w:r>
        <w:t xml:space="preserve">granting,</w:t>
      </w:r>
      <w:r>
        <w:t xml:space="preserve"> </w:t>
      </w:r>
      <w:r>
        <w:t xml:space="preserve">risk</w:t>
      </w:r>
      <w:r>
        <w:t xml:space="preserve"> </w:t>
      </w:r>
      <w:r>
        <w:t xml:space="preserve">retention, disclosure and STS</w:t>
      </w:r>
      <w:r>
        <w:t xml:space="preserve"> </w:t>
      </w:r>
      <w:r>
        <w:t xml:space="preserve">compliance.</w:t>
      </w:r>
      <w:r>
        <w:t xml:space="preserve"> </w:t>
      </w:r>
      <w:r>
        <w:t xml:space="preserve">Assessment of the</w:t>
      </w:r>
      <w:r>
        <w:t xml:space="preserve"> </w:t>
      </w:r>
      <w:r>
        <w:t xml:space="preserve">risks involved</w:t>
      </w:r>
      <w:r>
        <w:t xml:space="preserve"> </w:t>
      </w:r>
      <w:r>
        <w:t xml:space="preserve">Legal basis: Article 132 Solvency II</w:t>
      </w:r>
      <w:r>
        <w:t xml:space="preserve"> </w:t>
      </w:r>
      <w:r>
        <w:t xml:space="preserve">Directive and Article 275a Solvency II</w:t>
      </w:r>
      <w:r>
        <w:t xml:space="preserve"> </w:t>
      </w:r>
      <w:r>
        <w:t xml:space="preserve">Delegated Act</w:t>
      </w:r>
      <w:r>
        <w:t xml:space="preserve"> </w:t>
      </w:r>
      <w:r>
        <w:t xml:space="preserve">Risk assessment required (principles based)</w:t>
      </w:r>
    </w:p>
    <w:p>
      <w:pPr>
        <w:pStyle w:val="BodyText"/>
      </w:pPr>
      <w:r>
        <w:t xml:space="preserve">Legal basis: In addition to</w:t>
      </w:r>
      <w:r>
        <w:t xml:space="preserve"> </w:t>
      </w:r>
      <w:r>
        <w:t xml:space="preserve">Article</w:t>
      </w:r>
      <w:r>
        <w:t xml:space="preserve"> </w:t>
      </w:r>
      <w:r>
        <w:t xml:space="preserve">132</w:t>
      </w:r>
      <w:r>
        <w:t xml:space="preserve"> </w:t>
      </w:r>
      <w:r>
        <w:t xml:space="preserve">Solvency</w:t>
      </w:r>
      <w:r>
        <w:t xml:space="preserve"> </w:t>
      </w:r>
      <w:r>
        <w:t xml:space="preserve">II,</w:t>
      </w:r>
      <w:r>
        <w:t xml:space="preserve"> </w:t>
      </w:r>
      <w:r>
        <w:t xml:space="preserve">Article 5(3) SECR also applies</w:t>
      </w:r>
      <w:r>
        <w:t xml:space="preserve"> </w:t>
      </w:r>
      <w:r>
        <w:t xml:space="preserve">Risk</w:t>
      </w:r>
      <w:r>
        <w:t xml:space="preserve"> </w:t>
      </w:r>
      <w:r>
        <w:t xml:space="preserve">assessment</w:t>
      </w:r>
      <w:r>
        <w:t xml:space="preserve"> </w:t>
      </w:r>
      <w:r>
        <w:t xml:space="preserve">required</w:t>
      </w:r>
      <w:r>
        <w:t xml:space="preserve"> </w:t>
      </w:r>
      <w:r>
        <w:t xml:space="preserve">(detailed). Investors are asked</w:t>
      </w:r>
      <w:r>
        <w:t xml:space="preserve"> </w:t>
      </w:r>
      <w:r>
        <w:t xml:space="preserve">to</w:t>
      </w:r>
      <w:r>
        <w:t xml:space="preserve"> </w:t>
      </w:r>
      <w:r>
        <w:t xml:space="preserve">assess</w:t>
      </w:r>
      <w:r>
        <w:t xml:space="preserve"> </w:t>
      </w:r>
      <w:r>
        <w:t xml:space="preserve">the</w:t>
      </w:r>
      <w:r>
        <w:t xml:space="preserve"> </w:t>
      </w:r>
      <w:r>
        <w:t xml:space="preserve">risk</w:t>
      </w:r>
      <w:r>
        <w:t xml:space="preserve"> </w:t>
      </w:r>
      <w:r>
        <w:t xml:space="preserve">characteristics and structural</w:t>
      </w:r>
      <w:r>
        <w:t xml:space="preserve"> </w:t>
      </w:r>
      <w:r>
        <w:t xml:space="preserve">features</w:t>
      </w:r>
      <w:r>
        <w:t xml:space="preserve"> </w:t>
      </w:r>
      <w:r>
        <w:t xml:space="preserve">(including</w:t>
      </w:r>
      <w:r>
        <w:t xml:space="preserve"> </w:t>
      </w:r>
      <w:r>
        <w:t xml:space="preserve">the</w:t>
      </w:r>
      <w:r>
        <w:t xml:space="preserve"> </w:t>
      </w:r>
      <w:r>
        <w:t xml:space="preserve">contractual</w:t>
      </w:r>
      <w:r>
        <w:t xml:space="preserve"> </w:t>
      </w:r>
      <w:r>
        <w:t xml:space="preserve">priorities</w:t>
      </w:r>
      <w:r>
        <w:t xml:space="preserve"> </w:t>
      </w:r>
      <w:r>
        <w:t xml:space="preserve">of</w:t>
      </w:r>
      <w:r>
        <w:t xml:space="preserve"> </w:t>
      </w:r>
      <w:r>
        <w:t xml:space="preserve">payment</w:t>
      </w:r>
      <w:r>
        <w:t xml:space="preserve"> </w:t>
      </w:r>
      <w:r>
        <w:t xml:space="preserve">and</w:t>
      </w:r>
      <w:r>
        <w:t xml:space="preserve"> </w:t>
      </w:r>
      <w:r>
        <w:t xml:space="preserve">priority</w:t>
      </w:r>
      <w:r>
        <w:t xml:space="preserve"> </w:t>
      </w:r>
      <w:r>
        <w:t xml:space="preserve">of</w:t>
      </w:r>
      <w:r>
        <w:t xml:space="preserve"> </w:t>
      </w:r>
      <w:r>
        <w:t xml:space="preserve">payment</w:t>
      </w:r>
      <w:r>
        <w:t xml:space="preserve"> </w:t>
      </w:r>
      <w:r>
        <w:t xml:space="preserve">related</w:t>
      </w:r>
      <w:r>
        <w:t xml:space="preserve"> </w:t>
      </w:r>
      <w:r>
        <w:t xml:space="preserve">triggers,</w:t>
      </w:r>
      <w:r>
        <w:t xml:space="preserve"> </w:t>
      </w:r>
      <w:r>
        <w:t xml:space="preserve">credit enhancements, liquidity</w:t>
      </w:r>
      <w:r>
        <w:t xml:space="preserve"> </w:t>
      </w:r>
      <w:r>
        <w:t xml:space="preserve">enhancements, market value</w:t>
      </w:r>
      <w:r>
        <w:t xml:space="preserve"> </w:t>
      </w:r>
      <w:r>
        <w:t xml:space="preserve">triggers,</w:t>
      </w:r>
      <w:r>
        <w:t xml:space="preserve"> </w:t>
      </w:r>
      <w:r>
        <w:t xml:space="preserve">and</w:t>
      </w:r>
      <w:r>
        <w:t xml:space="preserve"> </w:t>
      </w:r>
      <w:r>
        <w:t xml:space="preserve">transaction-</w:t>
      </w:r>
      <w:r>
        <w:t xml:space="preserve"> </w:t>
      </w:r>
      <w:r>
        <w:t xml:space="preserve">specific definitions of default).</w:t>
      </w:r>
      <w:r>
        <w:t xml:space="preserve"> </w:t>
      </w:r>
      <w:r>
        <w:t xml:space="preserve">Establish</w:t>
      </w:r>
      <w:r>
        <w:t xml:space="preserve"> </w:t>
      </w:r>
      <w:r>
        <w:t xml:space="preserve">appropriate written</w:t>
      </w:r>
      <w:r>
        <w:t xml:space="preserve"> </w:t>
      </w:r>
      <w:r>
        <w:t xml:space="preserve">procedures</w:t>
      </w:r>
      <w:r>
        <w:t xml:space="preserve"> </w:t>
      </w:r>
      <w:r>
        <w:t xml:space="preserve">Legal basis: Articles 41(3) and 44(2)</w:t>
      </w:r>
      <w:r>
        <w:t xml:space="preserve"> </w:t>
      </w:r>
      <w:r>
        <w:t xml:space="preserve">Solvency II Directive</w:t>
      </w:r>
      <w:r>
        <w:t xml:space="preserve"> </w:t>
      </w:r>
      <w:r>
        <w:t xml:space="preserve">Written procedures for risk management</w:t>
      </w:r>
      <w:r>
        <w:t xml:space="preserve"> </w:t>
      </w:r>
      <w:r>
        <w:t xml:space="preserve">(which includes investment) are required.</w:t>
      </w:r>
      <w:r>
        <w:t xml:space="preserve"> </w:t>
      </w:r>
      <w:r>
        <w:t xml:space="preserve">Legal basis: In addition to</w:t>
      </w:r>
      <w:r>
        <w:t xml:space="preserve"> </w:t>
      </w:r>
      <w:r>
        <w:t xml:space="preserve">Article</w:t>
      </w:r>
      <w:r>
        <w:t xml:space="preserve"> </w:t>
      </w:r>
      <w:r>
        <w:t xml:space="preserve">41(3)</w:t>
      </w:r>
      <w:r>
        <w:t xml:space="preserve"> </w:t>
      </w:r>
      <w:r>
        <w:t xml:space="preserve">and</w:t>
      </w:r>
      <w:r>
        <w:t xml:space="preserve"> </w:t>
      </w:r>
      <w:r>
        <w:t xml:space="preserve">44(2)</w:t>
      </w:r>
      <w:r>
        <w:t xml:space="preserve"> </w:t>
      </w:r>
      <w:r>
        <w:t xml:space="preserve">Solvency II Directive, Article</w:t>
      </w:r>
      <w:r>
        <w:t xml:space="preserve"> </w:t>
      </w:r>
      <w:r>
        <w:t xml:space="preserve">5(4a) SECR also applies.</w:t>
      </w:r>
      <w:r>
        <w:t xml:space="preserve"> </w:t>
      </w:r>
      <w:r>
        <w:t xml:space="preserve">The establishment of specific</w:t>
      </w:r>
      <w:r>
        <w:t xml:space="preserve"> </w:t>
      </w:r>
      <w:r>
        <w:t xml:space="preserve">written procedures to carry out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due</w:t>
      </w:r>
      <w:r>
        <w:t xml:space="preserve"> </w:t>
      </w:r>
      <w:r>
        <w:t xml:space="preserve">diligence</w:t>
      </w:r>
      <w:r>
        <w:t xml:space="preserve"> </w:t>
      </w:r>
      <w:r>
        <w:t xml:space="preserve">for</w:t>
      </w:r>
      <w:r>
        <w:t xml:space="preserve"> </w:t>
      </w:r>
      <w:r>
        <w:t xml:space="preserve">securitisations</w:t>
      </w:r>
      <w:r>
        <w:t xml:space="preserve"> </w:t>
      </w:r>
      <w:r>
        <w:t xml:space="preserve">is</w:t>
      </w:r>
      <w:r>
        <w:t xml:space="preserve"> </w:t>
      </w:r>
      <w:r>
        <w:t xml:space="preserve">required.</w:t>
      </w:r>
      <w:r>
        <w:t xml:space="preserve"> </w:t>
      </w:r>
      <w:r>
        <w:t xml:space="preserve">These</w:t>
      </w:r>
      <w:r>
        <w:t xml:space="preserve"> </w:t>
      </w:r>
      <w:r>
        <w:t xml:space="preserve">written</w:t>
      </w:r>
      <w:r>
        <w:t xml:space="preserve"> </w:t>
      </w:r>
      <w:r>
        <w:t xml:space="preserve">procedures</w:t>
      </w:r>
      <w:r>
        <w:t xml:space="preserve"> </w:t>
      </w:r>
      <w:r>
        <w:t xml:space="preserve">include detailed monitoring of</w:t>
      </w:r>
      <w:r>
        <w:t xml:space="preserve"> </w:t>
      </w:r>
      <w:r>
        <w:t xml:space="preserve">the</w:t>
      </w:r>
      <w:r>
        <w:t xml:space="preserve"> </w:t>
      </w:r>
      <w:r>
        <w:t xml:space="preserve">performance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underlying exposures and the</w:t>
      </w:r>
      <w:r>
        <w:t xml:space="preserve"> </w:t>
      </w:r>
      <w:r>
        <w:t xml:space="preserve">securitisation</w:t>
      </w:r>
      <w:r>
        <w:t xml:space="preserve"> </w:t>
      </w:r>
      <w:r>
        <w:t xml:space="preserve">position</w:t>
      </w:r>
      <w:r>
        <w:t xml:space="preserve"> </w:t>
      </w:r>
      <w:r>
        <w:t xml:space="preserve">(monitoring of the exposure</w:t>
      </w:r>
      <w:r>
        <w:t xml:space="preserve"> </w:t>
      </w:r>
      <w:r>
        <w:t xml:space="preserve">type, the percentage of loans</w:t>
      </w:r>
      <w:r>
        <w:t xml:space="preserve"> </w:t>
      </w:r>
      <w:r>
        <w:t xml:space="preserve">more than 30, 60 and 90 days</w:t>
      </w:r>
      <w:r>
        <w:t xml:space="preserve"> </w:t>
      </w:r>
      <w:r>
        <w:t xml:space="preserve">past</w:t>
      </w:r>
      <w:r>
        <w:t xml:space="preserve"> </w:t>
      </w:r>
      <w:r>
        <w:t xml:space="preserve">due,</w:t>
      </w:r>
      <w:r>
        <w:t xml:space="preserve"> </w:t>
      </w:r>
      <w:r>
        <w:t xml:space="preserve">default</w:t>
      </w:r>
      <w:r>
        <w:t xml:space="preserve"> </w:t>
      </w:r>
      <w:r>
        <w:t xml:space="preserve">rates,</w:t>
      </w:r>
      <w:r>
        <w:t xml:space="preserve"> </w:t>
      </w:r>
      <w:r>
        <w:t xml:space="preserve">prepayment rates, loans in</w:t>
      </w:r>
      <w:r>
        <w:t xml:space="preserve"> </w:t>
      </w:r>
      <w:r>
        <w:t xml:space="preserve">foreclosure, recovery rates,</w:t>
      </w:r>
      <w:r>
        <w:t xml:space="preserve"> </w:t>
      </w:r>
      <w:r>
        <w:t xml:space="preserve">repurchases,</w:t>
      </w:r>
      <w:r>
        <w:t xml:space="preserve"> </w:t>
      </w:r>
      <w:r>
        <w:t xml:space="preserve">loan</w:t>
      </w:r>
      <w:r>
        <w:t xml:space="preserve"> </w:t>
      </w:r>
      <w:r>
        <w:t xml:space="preserve">modifications,</w:t>
      </w:r>
      <w:r>
        <w:t xml:space="preserve"> </w:t>
      </w:r>
      <w:r>
        <w:t xml:space="preserve">payment</w:t>
      </w:r>
      <w:r>
        <w:t xml:space="preserve"> </w:t>
      </w:r>
      <w:r>
        <w:t xml:space="preserve">holidays, collateral type and</w:t>
      </w:r>
      <w:r>
        <w:t xml:space="preserve"> </w:t>
      </w:r>
      <w:r>
        <w:t xml:space="preserve">occupancy,</w:t>
      </w:r>
      <w:r>
        <w:t xml:space="preserve"> </w:t>
      </w:r>
      <w:r>
        <w:t xml:space="preserve">and</w:t>
      </w:r>
      <w:r>
        <w:t xml:space="preserve"> </w:t>
      </w:r>
      <w:r>
        <w:t xml:space="preserve">frequency</w:t>
      </w:r>
      <w:r>
        <w:t xml:space="preserve"> </w:t>
      </w:r>
      <w:r>
        <w:t xml:space="preserve">distribution of credit scores or</w:t>
      </w:r>
      <w:r>
        <w:t xml:space="preserve"> </w:t>
      </w:r>
      <w:r>
        <w:t xml:space="preserve">other</w:t>
      </w:r>
      <w:r>
        <w:t xml:space="preserve"> </w:t>
      </w:r>
      <w:r>
        <w:t xml:space="preserve">measures</w:t>
      </w:r>
      <w:r>
        <w:t xml:space="preserve"> </w:t>
      </w:r>
      <w:r>
        <w:t xml:space="preserve">of</w:t>
      </w:r>
      <w:r>
        <w:t xml:space="preserve"> </w:t>
      </w:r>
      <w:r>
        <w:t xml:space="preserve">credit</w:t>
      </w:r>
      <w:r>
        <w:t xml:space="preserve"> </w:t>
      </w:r>
      <w:r>
        <w:t xml:space="preserve">worthiness across underlying</w:t>
      </w:r>
      <w:r>
        <w:t xml:space="preserve"> </w:t>
      </w:r>
      <w:r>
        <w:t xml:space="preserve">exposures,</w:t>
      </w:r>
      <w:r>
        <w:t xml:space="preserve"> </w:t>
      </w:r>
      <w:r>
        <w:t xml:space="preserve">industry</w:t>
      </w:r>
      <w:r>
        <w:t xml:space="preserve"> </w:t>
      </w:r>
      <w:r>
        <w:t xml:space="preserve">and</w:t>
      </w:r>
      <w:r>
        <w:t xml:space="preserve"> </w:t>
      </w:r>
      <w:r>
        <w:t xml:space="preserve">geographical diversification,</w:t>
      </w:r>
      <w:r>
        <w:t xml:space="preserve"> </w:t>
      </w:r>
      <w:r>
        <w:t xml:space="preserve">frequency distribution of loan</w:t>
      </w:r>
      <w:r>
        <w:t xml:space="preserve"> </w:t>
      </w:r>
      <w:r>
        <w:t xml:space="preserve">to value ratios with band</w:t>
      </w:r>
      <w:r>
        <w:t xml:space="preserve"> </w:t>
      </w:r>
      <w:r>
        <w:t xml:space="preserve">widths that facilitate adequate</w:t>
      </w:r>
      <w:r>
        <w:t xml:space="preserve"> </w:t>
      </w:r>
      <w:r>
        <w:t xml:space="preserve">sensitivity analysis).</w:t>
      </w:r>
      <w:r>
        <w:t xml:space="preserve"> </w:t>
      </w:r>
      <w:r>
        <w:t xml:space="preserve">Regularly perform</w:t>
      </w:r>
      <w:r>
        <w:t xml:space="preserve"> </w:t>
      </w:r>
      <w:r>
        <w:t xml:space="preserve">stress tests</w:t>
      </w:r>
      <w:r>
        <w:t xml:space="preserve"> </w:t>
      </w:r>
      <w:r>
        <w:t xml:space="preserve">Legal basis: Article 45 Solvency II</w:t>
      </w:r>
      <w:r>
        <w:t xml:space="preserve"> </w:t>
      </w:r>
      <w:r>
        <w:t xml:space="preserve">Directive</w:t>
      </w:r>
      <w:r>
        <w:t xml:space="preserve"> </w:t>
      </w:r>
      <w:r>
        <w:t xml:space="preserve">General requirement under the Own Risk</w:t>
      </w:r>
      <w:r>
        <w:t xml:space="preserve"> </w:t>
      </w:r>
      <w:r>
        <w:t xml:space="preserve">and Solvency Assessment Applies (ORSA)</w:t>
      </w:r>
      <w:r>
        <w:t xml:space="preserve"> </w:t>
      </w:r>
      <w:r>
        <w:t xml:space="preserve">but there is no specific requirement for any</w:t>
      </w:r>
      <w:r>
        <w:t xml:space="preserve"> </w:t>
      </w:r>
      <w:r>
        <w:t xml:space="preserve">asset categories. The stress test is for the</w:t>
      </w:r>
      <w:r>
        <w:t xml:space="preserve"> </w:t>
      </w:r>
      <w:r>
        <w:t xml:space="preserve">balance sheet as a whole, not a specific</w:t>
      </w:r>
      <w:r>
        <w:t xml:space="preserve"> </w:t>
      </w:r>
      <w:r>
        <w:t xml:space="preserve">portfolio of instruments.</w:t>
      </w:r>
      <w:r>
        <w:t xml:space="preserve"> </w:t>
      </w:r>
      <w:r>
        <w:t xml:space="preserve">Legal basis: In addition to</w:t>
      </w:r>
      <w:r>
        <w:t xml:space="preserve"> </w:t>
      </w:r>
      <w:r>
        <w:t xml:space="preserve">Article</w:t>
      </w:r>
      <w:r>
        <w:t xml:space="preserve"> </w:t>
      </w:r>
      <w:r>
        <w:t xml:space="preserve">45</w:t>
      </w:r>
      <w:r>
        <w:t xml:space="preserve"> </w:t>
      </w:r>
      <w:r>
        <w:t xml:space="preserve">Solvency</w:t>
      </w:r>
      <w:r>
        <w:t xml:space="preserve"> </w:t>
      </w:r>
      <w:r>
        <w:t xml:space="preserve">II</w:t>
      </w:r>
      <w:r>
        <w:t xml:space="preserve"> </w:t>
      </w:r>
      <w:r>
        <w:t xml:space="preserve">Directive, Article 5(4b) SECR</w:t>
      </w:r>
      <w:r>
        <w:t xml:space="preserve"> </w:t>
      </w:r>
      <w:r>
        <w:t xml:space="preserve">also applies</w:t>
      </w:r>
      <w:r>
        <w:t xml:space="preserve"> </w:t>
      </w:r>
      <w:r>
        <w:t xml:space="preserve">Stress tests must be performed</w:t>
      </w:r>
      <w:r>
        <w:t xml:space="preserve"> </w:t>
      </w:r>
      <w:r>
        <w:t xml:space="preserve">regularly for all securitisations</w:t>
      </w:r>
      <w:r>
        <w:br/>
      </w:r>
      <w:r>
        <w:t xml:space="preserve">Internal reporting to</w:t>
      </w:r>
      <w:r>
        <w:t xml:space="preserve"> </w:t>
      </w:r>
      <w:r>
        <w:t xml:space="preserve">management body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management</w:t>
      </w:r>
      <w:r>
        <w:t xml:space="preserve"> </w:t>
      </w:r>
      <w:r>
        <w:t xml:space="preserve">is</w:t>
      </w:r>
      <w:r>
        <w:t xml:space="preserve"> </w:t>
      </w:r>
      <w:r>
        <w:t xml:space="preserve">aware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material risks posed</w:t>
      </w:r>
      <w:r>
        <w:t xml:space="preserve"> </w:t>
      </w:r>
      <w:r>
        <w:t xml:space="preserve">by the investment</w:t>
      </w:r>
      <w:r>
        <w:t xml:space="preserve"> </w:t>
      </w:r>
      <w:r>
        <w:t xml:space="preserve">position</w:t>
      </w:r>
      <w:r>
        <w:t xml:space="preserve"> </w:t>
      </w:r>
      <w:r>
        <w:t xml:space="preserve">None</w:t>
      </w:r>
      <w:r>
        <w:t xml:space="preserve"> </w:t>
      </w:r>
      <w:r>
        <w:t xml:space="preserve">Legal basis: Article 5(4d)</w:t>
      </w:r>
      <w:r>
        <w:t xml:space="preserve"> </w:t>
      </w:r>
      <w:r>
        <w:t xml:space="preserve">Required.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Demonstrate</w:t>
      </w:r>
      <w:r>
        <w:t xml:space="preserve"> </w:t>
      </w:r>
      <w:r>
        <w:t xml:space="preserve">understanding</w:t>
      </w:r>
      <w:r>
        <w:t xml:space="preserve"> </w:t>
      </w:r>
      <w:r>
        <w:t xml:space="preserve">of</w:t>
      </w:r>
      <w:r>
        <w:t xml:space="preserve"> </w:t>
      </w:r>
      <w:r>
        <w:t xml:space="preserve">risks and processes</w:t>
      </w:r>
      <w:r>
        <w:t xml:space="preserve"> </w:t>
      </w:r>
      <w:r>
        <w:t xml:space="preserve">to</w:t>
      </w:r>
      <w:r>
        <w:t xml:space="preserve"> </w:t>
      </w:r>
      <w:r>
        <w:t xml:space="preserve">NCAs</w:t>
      </w:r>
      <w:r>
        <w:t xml:space="preserve"> </w:t>
      </w:r>
      <w:r>
        <w:t xml:space="preserve">(upon</w:t>
      </w:r>
      <w:r>
        <w:t xml:space="preserve"> </w:t>
      </w:r>
      <w:r>
        <w:t xml:space="preserve">request)</w:t>
      </w:r>
      <w:r>
        <w:t xml:space="preserve"> </w:t>
      </w:r>
      <w:r>
        <w:t xml:space="preserve">Legal basis: Article 35-36 Solvency II</w:t>
      </w:r>
      <w:r>
        <w:t xml:space="preserve"> </w:t>
      </w:r>
      <w:r>
        <w:t xml:space="preserve">Directive.</w:t>
      </w:r>
      <w:r>
        <w:t xml:space="preserve"> </w:t>
      </w:r>
      <w:r>
        <w:t xml:space="preserve">Requirement is part of the general powers</w:t>
      </w:r>
      <w:r>
        <w:t xml:space="preserve"> </w:t>
      </w:r>
      <w:r>
        <w:t xml:space="preserve">of supervision but not specific for any asset</w:t>
      </w:r>
      <w:r>
        <w:t xml:space="preserve"> </w:t>
      </w:r>
      <w:r>
        <w:t xml:space="preserve">classes.</w:t>
      </w:r>
      <w:r>
        <w:t xml:space="preserve"> </w:t>
      </w:r>
      <w:r>
        <w:t xml:space="preserve">Legal basis: Article 35-36 of</w:t>
      </w:r>
      <w:r>
        <w:t xml:space="preserve"> </w:t>
      </w:r>
      <w:r>
        <w:t xml:space="preserve">Solvency II.</w:t>
      </w:r>
      <w:r>
        <w:t xml:space="preserve"> </w:t>
      </w:r>
      <w:r>
        <w:t xml:space="preserve">In addition,</w:t>
      </w:r>
      <w:r>
        <w:t xml:space="preserve"> </w:t>
      </w:r>
      <w:r>
        <w:t xml:space="preserve">Article 5(4d and f) SECR also</w:t>
      </w:r>
      <w:r>
        <w:t xml:space="preserve"> </w:t>
      </w:r>
      <w:r>
        <w:t xml:space="preserve">applies.</w:t>
      </w:r>
      <w:r>
        <w:t xml:space="preserve"> </w:t>
      </w:r>
      <w:r>
        <w:t xml:space="preserve">Required.</w:t>
      </w:r>
      <w:r>
        <w:t xml:space="preserve"> </w:t>
      </w:r>
      <w:r>
        <w:t xml:space="preserve">Table 2: Comparison of disclosure requirements for structured finance products for funding</w:t>
      </w:r>
    </w:p>
    <w:p>
      <w:pPr>
        <w:pStyle w:val="BodyText"/>
      </w:pPr>
      <w:r>
        <w:t xml:space="preserve">Securitisation</w:t>
      </w:r>
      <w:r>
        <w:t xml:space="preserve"> </w:t>
      </w:r>
      <w:r>
        <w:t xml:space="preserve">Covered bonds</w:t>
      </w:r>
      <w:r>
        <w:t xml:space="preserve"> </w:t>
      </w:r>
      <w:r>
        <w:t xml:space="preserve">Legal basis</w:t>
      </w:r>
      <w:r>
        <w:t xml:space="preserve"> </w:t>
      </w:r>
      <w:r>
        <w:t xml:space="preserve">Article</w:t>
      </w:r>
      <w:r>
        <w:t xml:space="preserve"> </w:t>
      </w:r>
      <w:r>
        <w:t xml:space="preserve">7</w:t>
      </w:r>
      <w:r>
        <w:t xml:space="preserve"> </w:t>
      </w:r>
      <w:r>
        <w:t xml:space="preserve">SECR</w:t>
      </w:r>
      <w:r>
        <w:t xml:space="preserve"> </w:t>
      </w:r>
      <w:r>
        <w:t xml:space="preserve">and</w:t>
      </w:r>
      <w:r>
        <w:t xml:space="preserve"> </w:t>
      </w:r>
      <w:r>
        <w:t xml:space="preserve">Commission</w:t>
      </w:r>
      <w:r>
        <w:t xml:space="preserve"> </w:t>
      </w:r>
      <w:r>
        <w:t xml:space="preserve">Delegated</w:t>
      </w:r>
      <w:r>
        <w:t xml:space="preserve"> </w:t>
      </w:r>
      <w:r>
        <w:t xml:space="preserve">Regulation 2020/1224</w:t>
      </w:r>
      <w:r>
        <w:t xml:space="preserve"> </w:t>
      </w:r>
      <w:r>
        <w:t xml:space="preserve">Article 14 of the Covered Bonds Directive</w:t>
      </w:r>
      <w:r>
        <w:t xml:space="preserve"> </w:t>
      </w:r>
      <w:r>
        <w:t xml:space="preserve">(Directive (EU) 2019/2162) - follows a</w:t>
      </w:r>
      <w:r>
        <w:t xml:space="preserve"> </w:t>
      </w:r>
      <w:r>
        <w:t xml:space="preserve">principle-based approach to disclosure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underlying</w:t>
      </w:r>
      <w:r>
        <w:t xml:space="preserve"> </w:t>
      </w:r>
      <w:r>
        <w:t xml:space="preserve">exposures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No, only portfolio level information is</w:t>
      </w:r>
      <w:r>
        <w:t xml:space="preserve"> </w:t>
      </w:r>
      <w:r>
        <w:t xml:space="preserve">required, with an aggregate view on the pool</w:t>
      </w:r>
      <w:r>
        <w:t xml:space="preserve"> </w:t>
      </w:r>
      <w:r>
        <w:t xml:space="preserve">of the underlying exposures</w:t>
      </w:r>
      <w:r>
        <w:t xml:space="preserve"> </w:t>
      </w:r>
      <w:r>
        <w:t xml:space="preserve">Underlying</w:t>
      </w:r>
      <w:r>
        <w:t xml:space="preserve"> </w:t>
      </w:r>
      <w:r>
        <w:t xml:space="preserve">documentation</w:t>
      </w:r>
      <w:r>
        <w:t xml:space="preserve"> </w:t>
      </w:r>
      <w:r>
        <w:t xml:space="preserve">All underlying documentation,</w:t>
      </w:r>
      <w:r>
        <w:t xml:space="preserve"> </w:t>
      </w:r>
      <w:r>
        <w:t xml:space="preserve">including where relevant the</w:t>
      </w:r>
      <w:r>
        <w:t xml:space="preserve"> </w:t>
      </w:r>
      <w:r>
        <w:t xml:space="preserve">STS notification;</w:t>
      </w:r>
      <w:r>
        <w:t xml:space="preserve"> </w:t>
      </w:r>
      <w:r>
        <w:t xml:space="preserve">If no prospectus has been</w:t>
      </w:r>
      <w:r>
        <w:t xml:space="preserve"> </w:t>
      </w:r>
      <w:r>
        <w:t xml:space="preserve">drawn up, i.e. for private</w:t>
      </w:r>
      <w:r>
        <w:t xml:space="preserve"> </w:t>
      </w:r>
      <w:r>
        <w:t xml:space="preserve">securitisations – a summary of</w:t>
      </w:r>
      <w:r>
        <w:t xml:space="preserve"> </w:t>
      </w:r>
      <w:r>
        <w:t xml:space="preserve">the main features.</w:t>
      </w:r>
      <w:r>
        <w:t xml:space="preserve"> </w:t>
      </w:r>
      <w:r>
        <w:t xml:space="preserve">No underlying documentation is required to</w:t>
      </w:r>
      <w:r>
        <w:t xml:space="preserve"> </w:t>
      </w:r>
      <w:r>
        <w:t xml:space="preserve">be disclosed.</w:t>
      </w:r>
      <w:r>
        <w:br/>
      </w:r>
      <w:r>
        <w:t xml:space="preserve">Updates</w:t>
      </w:r>
      <w:r>
        <w:t xml:space="preserve"> </w:t>
      </w:r>
      <w:r>
        <w:t xml:space="preserve">Quarterly</w:t>
      </w:r>
      <w:r>
        <w:t xml:space="preserve"> </w:t>
      </w:r>
      <w:r>
        <w:t xml:space="preserve">investor</w:t>
      </w:r>
      <w:r>
        <w:t xml:space="preserve"> </w:t>
      </w:r>
      <w:r>
        <w:t xml:space="preserve">reports</w:t>
      </w:r>
      <w:r>
        <w:t xml:space="preserve"> </w:t>
      </w:r>
      <w:r>
        <w:t xml:space="preserve">(monthly</w:t>
      </w:r>
      <w:r>
        <w:t xml:space="preserve"> </w:t>
      </w:r>
      <w:r>
        <w:t xml:space="preserve">for</w:t>
      </w:r>
      <w:r>
        <w:t xml:space="preserve"> </w:t>
      </w:r>
      <w:r>
        <w:t xml:space="preserve">short-term</w:t>
      </w:r>
      <w:r>
        <w:t xml:space="preserve"> </w:t>
      </w:r>
      <w:r>
        <w:t xml:space="preserve">ABCPs);</w:t>
      </w:r>
      <w:r>
        <w:t xml:space="preserve"> </w:t>
      </w:r>
      <w:r>
        <w:t xml:space="preserve">Quarterly inside information</w:t>
      </w:r>
      <w:r>
        <w:t xml:space="preserve"> </w:t>
      </w:r>
      <w:r>
        <w:t xml:space="preserve">reports (monthly for short-term</w:t>
      </w:r>
      <w:r>
        <w:t xml:space="preserve"> </w:t>
      </w:r>
      <w:r>
        <w:t xml:space="preserve">ABCPs);</w:t>
      </w:r>
      <w:r>
        <w:t xml:space="preserve"> </w:t>
      </w:r>
      <w:r>
        <w:t xml:space="preserve">At least on a quarterly basis</w:t>
      </w:r>
      <w:r>
        <w:t xml:space="preserve"> </w:t>
      </w:r>
      <w:r>
        <w:t xml:space="preserve">Format</w:t>
      </w:r>
      <w:r>
        <w:t xml:space="preserve"> </w:t>
      </w:r>
      <w:r>
        <w:t xml:space="preserve">Prescribed templates in .xlm</w:t>
      </w:r>
      <w:r>
        <w:t xml:space="preserve"> </w:t>
      </w:r>
      <w:r>
        <w:t xml:space="preserve">format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Commission</w:t>
      </w:r>
      <w:r>
        <w:t xml:space="preserve"> </w:t>
      </w:r>
      <w:r>
        <w:t xml:space="preserve">Delegated Regulation.</w:t>
      </w:r>
      <w:r>
        <w:t xml:space="preserve"> </w:t>
      </w:r>
      <w:r>
        <w:t xml:space="preserve">No prescribed format. The Directive sets out</w:t>
      </w:r>
      <w:r>
        <w:t xml:space="preserve"> </w:t>
      </w:r>
      <w:r>
        <w:t xml:space="preserve">in the Article 14 a high-level list of</w:t>
      </w:r>
      <w:r>
        <w:t xml:space="preserve"> </w:t>
      </w:r>
      <w:r>
        <w:t xml:space="preserve">areas/types of information that need to be</w:t>
      </w:r>
      <w:r>
        <w:t xml:space="preserve"> </w:t>
      </w:r>
      <w:r>
        <w:t xml:space="preserve">provided to investors.</w:t>
      </w:r>
      <w:r>
        <w:br/>
      </w:r>
      <w:r>
        <w:t xml:space="preserve">Method</w:t>
      </w:r>
      <w:r>
        <w:t xml:space="preserve"> </w:t>
      </w:r>
      <w:r>
        <w:t xml:space="preserve">of</w:t>
      </w:r>
      <w:r>
        <w:t xml:space="preserve"> </w:t>
      </w:r>
      <w:r>
        <w:t xml:space="preserve">disclosure</w:t>
      </w:r>
      <w:r>
        <w:t xml:space="preserve"> </w:t>
      </w:r>
      <w:r>
        <w:t xml:space="preserve">For public securitisations – via</w:t>
      </w:r>
      <w:r>
        <w:t xml:space="preserve"> </w:t>
      </w:r>
      <w:r>
        <w:t xml:space="preserve">securitisation repositories.</w:t>
      </w:r>
      <w:r>
        <w:t xml:space="preserve"> </w:t>
      </w:r>
      <w:r>
        <w:t xml:space="preserve">No</w:t>
      </w:r>
      <w:r>
        <w:t xml:space="preserve"> </w:t>
      </w:r>
      <w:r>
        <w:t xml:space="preserve">prescribed</w:t>
      </w:r>
      <w:r>
        <w:t xml:space="preserve"> </w:t>
      </w:r>
      <w:r>
        <w:t xml:space="preserve">disclosure</w:t>
      </w:r>
      <w:r>
        <w:t xml:space="preserve"> </w:t>
      </w:r>
      <w:r>
        <w:t xml:space="preserve">method</w:t>
      </w:r>
      <w:r>
        <w:t xml:space="preserve"> </w:t>
      </w:r>
      <w:r>
        <w:t xml:space="preserve">for</w:t>
      </w:r>
      <w:r>
        <w:t xml:space="preserve"> </w:t>
      </w:r>
      <w:r>
        <w:t xml:space="preserve">private</w:t>
      </w:r>
      <w:r>
        <w:t xml:space="preserve"> </w:t>
      </w:r>
      <w:r>
        <w:t xml:space="preserve">securitisations.</w:t>
      </w:r>
      <w:r>
        <w:t xml:space="preserve"> </w:t>
      </w:r>
      <w:r>
        <w:t xml:space="preserve">The information needs to be published on</w:t>
      </w:r>
      <w:r>
        <w:t xml:space="preserve"> </w:t>
      </w:r>
      <w:r>
        <w:t xml:space="preserve">the website of the credit institution issuing</w:t>
      </w:r>
      <w:r>
        <w:t xml:space="preserve"> </w:t>
      </w:r>
      <w:r>
        <w:t xml:space="preserve">the covered bond.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8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2026-07-31T16:48:37Z</dcterms:created>
  <dcterms:modified xsi:type="dcterms:W3CDTF">2026-07-31T16:48:37Z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