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20.11.2025</w:t>
      </w:r>
      <w:r>
        <w:br/>
      </w:r>
      <w:r>
        <w:t xml:space="preserve">SWD(2025) 838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amending Regulation (EU) 2019/2088 on sustainability-related disclosures in the</w:t>
      </w:r>
      <w:r>
        <w:t xml:space="preserve"> </w:t>
      </w:r>
      <w:r>
        <w:t xml:space="preserve">financial services sector (SFDR), Regulation (EU) No 1286/2014 on key information</w:t>
      </w:r>
      <w:r>
        <w:t xml:space="preserve"> </w:t>
      </w:r>
      <w:r>
        <w:t xml:space="preserve">documents for packaged retail and insurance-based investment products (PRIIPs) and</w:t>
      </w:r>
      <w:r>
        <w:t xml:space="preserve"> </w:t>
      </w:r>
      <w:r>
        <w:t xml:space="preserve">repealing Commission Delegated Regulation (EU) 2022/1288</w:t>
      </w:r>
      <w:r>
        <w:br/>
      </w:r>
      <w:r>
        <w:t xml:space="preserve">{COM(2025) 841 final} - {SEC(2025) 841 final} - {SWD(2025) 839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……………………………………………………… 4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…………………………………………………………………………………………………….. 7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………………………………………………………………………………………….. 16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……………………………………………………………………. 17</w:t>
      </w:r>
    </w:p>
    <w:p>
      <w:pPr>
        <w:pStyle w:val="Compact"/>
        <w:numPr>
          <w:ilvl w:val="0"/>
          <w:numId w:val="1001"/>
        </w:numPr>
      </w:pPr>
      <w:r>
        <w:t xml:space="preserve">WHAT ARE THE AVAILABILITY POLICY OPTIONS? ……………………………………………………… 18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 AND HOW DO THEY</w:t>
      </w:r>
      <w:r>
        <w:br/>
      </w:r>
      <w:r>
        <w:t xml:space="preserve">COMPARE?………………………………………………………………………………………………………………………. 39</w:t>
      </w:r>
    </w:p>
    <w:p>
      <w:pPr>
        <w:pStyle w:val="Compact"/>
        <w:numPr>
          <w:ilvl w:val="0"/>
          <w:numId w:val="1001"/>
        </w:numPr>
      </w:pPr>
      <w:r>
        <w:t xml:space="preserve">PREFERRED COMBINATION OF POLICY OPTIONS ………………………………………………………… 62</w:t>
      </w:r>
    </w:p>
    <w:p>
      <w:pPr>
        <w:pStyle w:val="Compact"/>
        <w:numPr>
          <w:ilvl w:val="0"/>
          <w:numId w:val="1001"/>
        </w:numPr>
      </w:pPr>
      <w:r>
        <w:t xml:space="preserve">HOW WILL ACTUAL IMPACTS BE MONITORED AND EVALUATED? ……………………………. 64</w:t>
      </w:r>
      <w:r>
        <w:t xml:space="preserve"> </w:t>
      </w:r>
      <w:r>
        <w:t xml:space="preserve">ANNEX 1: PROCEDURAL INFORMATION ……………………………………………………………………………….. 66</w:t>
      </w:r>
      <w:r>
        <w:t xml:space="preserve"> </w:t>
      </w:r>
      <w:r>
        <w:t xml:space="preserve">ANNEX 2: STAKEHOLDER CONSULTATION (SYNOPSIS REPORT) ………………………………………… 72</w:t>
      </w:r>
      <w:r>
        <w:t xml:space="preserve"> </w:t>
      </w:r>
      <w:r>
        <w:t xml:space="preserve">ANNEX 3: WHO IS AFFECTED AND HOW? ……………………………………………………………………………… 83</w:t>
      </w:r>
      <w:r>
        <w:t xml:space="preserve"> </w:t>
      </w:r>
      <w:r>
        <w:t xml:space="preserve">ANNEX 4: ANALYTICAL METHODS ……………………………………………………………………………………… 110</w:t>
      </w:r>
      <w:r>
        <w:t xml:space="preserve"> </w:t>
      </w:r>
      <w:r>
        <w:t xml:space="preserve">ANNEX 5: COMPETITIVENESS CHECK …………………………………………………………………………………. 111</w:t>
      </w:r>
      <w:r>
        <w:t xml:space="preserve"> </w:t>
      </w:r>
      <w:r>
        <w:t xml:space="preserve">ANNEX 6: INTERACTIONS BETWEEN THE SFDR AND THE SUSTAINABLE FINANCE AND</w:t>
      </w:r>
      <w:r>
        <w:t xml:space="preserve"> </w:t>
      </w:r>
      <w:r>
        <w:t xml:space="preserve">BROADER CORPORATE SUSTAINABILITY FRAMEWORK ………………………………………….. 113</w:t>
      </w:r>
      <w:r>
        <w:t xml:space="preserve"> </w:t>
      </w:r>
      <w:r>
        <w:t xml:space="preserve">ANNEX 7: ADDITIONAL BACKGROUND ON SPECIFIC SECTORS OR INVESTMENTS …………. 120</w:t>
      </w:r>
      <w:r>
        <w:t xml:space="preserve"> </w:t>
      </w:r>
      <w:r>
        <w:t xml:space="preserve">ANNEX 8: ADDITIONAL INFORMATION AND ILLUSTRATIVE EXAMPLES OF POTENTIAL</w:t>
      </w:r>
      <w:r>
        <w:t xml:space="preserve"> </w:t>
      </w:r>
      <w:r>
        <w:t xml:space="preserve">CRITERIA AND DISCLOSURES (OPTION 3.1 AND 3.2) AND APPROACH TO ESTIMATION124</w:t>
      </w:r>
      <w:r>
        <w:t xml:space="preserve"> </w:t>
      </w:r>
      <w:r>
        <w:t xml:space="preserve">SECTION 1: UNDERLYING CRITERIA FOR THE CATEGORIES PROPOSED UNDER</w:t>
      </w:r>
      <w:r>
        <w:t xml:space="preserve"> </w:t>
      </w:r>
      <w:r>
        <w:t xml:space="preserve">OPTION 3.1 AND 3.2 ………………………………………………………………………………………………………. 125</w:t>
      </w:r>
      <w:r>
        <w:t xml:space="preserve"> </w:t>
      </w:r>
      <w:r>
        <w:t xml:space="preserve">SECTION 2: UNDERLYING DISCLOSURES FOR THE CATEGORIES PROPOSED UNDER OPTION 2.2</w:t>
      </w:r>
      <w:r>
        <w:t xml:space="preserve"> </w:t>
      </w:r>
      <w:r>
        <w:t xml:space="preserve">………………………………………………………………………………………………………………………………………. 145</w:t>
      </w:r>
      <w:r>
        <w:t xml:space="preserve"> </w:t>
      </w:r>
      <w:r>
        <w:t xml:space="preserve">SECTION 3: SUGGESTED APPROACH TO ESTIMATION ……………………………………………………….. 149</w:t>
      </w:r>
      <w:r>
        <w:t xml:space="preserve"> </w:t>
      </w:r>
      <w:r>
        <w:t xml:space="preserve">ANNEX 9:</w:t>
      </w:r>
      <w:r>
        <w:br/>
      </w:r>
      <w:r>
        <w:t xml:space="preserve">EXAMPLES OF EXISTING ESG LABELLING REGIMES AND ESG RULES BY NCAS</w:t>
      </w:r>
      <w:r>
        <w:t xml:space="preserve"> </w:t>
      </w:r>
      <w:r>
        <w:t xml:space="preserve">OR LABEL PROVIDERS …………………………………………………………………………………………………. 152</w:t>
      </w:r>
      <w:r>
        <w:t xml:space="preserve"> </w:t>
      </w:r>
      <w:r>
        <w:t xml:space="preserve">ANNEX 10: FINDINGS FROM CONSUMER TESTING STUDIES ……………………………………………… 157</w:t>
      </w:r>
      <w:r>
        <w:t xml:space="preserve"> </w:t>
      </w:r>
      <w:r>
        <w:t xml:space="preserve">ANNEX 11: EVALUATION ……………………………………………………………………………………………………… 169</w:t>
      </w:r>
      <w:r>
        <w:t xml:space="preserve"> </w:t>
      </w:r>
      <w:r>
        <w:t xml:space="preserve">ANNEX 12: SME CHECK…………………………………………………………………………………………………………. 190</w:t>
      </w:r>
    </w:p>
    <w:p>
      <w:pPr>
        <w:pStyle w:val="FirstParagraph"/>
      </w:pPr>
      <w:r>
        <w:t xml:space="preserve">2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AIFMD</w:t>
      </w:r>
      <w:r>
        <w:t xml:space="preserve"> </w:t>
      </w:r>
      <w:r>
        <w:t xml:space="preserve">Alternative Investment Fund Manager Directive</w:t>
      </w:r>
      <w:r>
        <w:t xml:space="preserve"> </w:t>
      </w:r>
      <w:r>
        <w:t xml:space="preserve">AUM</w:t>
      </w:r>
      <w:r>
        <w:t xml:space="preserve"> </w:t>
      </w:r>
      <w:r>
        <w:t xml:space="preserve">Assets under Management</w:t>
      </w:r>
      <w:r>
        <w:t xml:space="preserve"> </w:t>
      </w:r>
      <w:r>
        <w:t xml:space="preserve">CTB</w:t>
      </w:r>
      <w:r>
        <w:t xml:space="preserve"> </w:t>
      </w:r>
      <w:r>
        <w:t xml:space="preserve">EU Climate Transition Benchmarks</w:t>
      </w:r>
      <w:r>
        <w:t xml:space="preserve"> </w:t>
      </w:r>
      <w:r>
        <w:t xml:space="preserve">CSR</w:t>
      </w:r>
      <w:r>
        <w:t xml:space="preserve"> </w:t>
      </w:r>
      <w:r>
        <w:t xml:space="preserve">Corporate Social Responsibility</w:t>
      </w:r>
      <w:r>
        <w:t xml:space="preserve"> </w:t>
      </w:r>
      <w:r>
        <w:t xml:space="preserve">DG FISMA</w:t>
      </w:r>
      <w:r>
        <w:t xml:space="preserve"> </w:t>
      </w:r>
      <w:r>
        <w:t xml:space="preserve">Directorate-General for Financial Stability, Financial</w:t>
      </w:r>
      <w:r>
        <w:t xml:space="preserve"> </w:t>
      </w:r>
      <w:r>
        <w:t xml:space="preserve">Services and Capital Markets Union</w:t>
      </w:r>
      <w:r>
        <w:t xml:space="preserve"> </w:t>
      </w:r>
      <w:r>
        <w:t xml:space="preserve">ELTIF</w:t>
      </w:r>
      <w:r>
        <w:t xml:space="preserve"> </w:t>
      </w:r>
      <w:r>
        <w:t xml:space="preserve">European Long-Term Investment Funds</w:t>
      </w:r>
      <w:r>
        <w:t xml:space="preserve"> </w:t>
      </w:r>
      <w:r>
        <w:t xml:space="preserve">ESAs</w:t>
      </w:r>
      <w:r>
        <w:t xml:space="preserve"> </w:t>
      </w:r>
      <w:r>
        <w:t xml:space="preserve">European Supervisory Authorities</w:t>
      </w:r>
      <w:r>
        <w:t xml:space="preserve"> </w:t>
      </w:r>
      <w:r>
        <w:t xml:space="preserve">ESG</w:t>
      </w:r>
      <w:r>
        <w:t xml:space="preserve"> </w:t>
      </w:r>
      <w:r>
        <w:t xml:space="preserve">Environmental, Social and Governance</w:t>
      </w:r>
      <w:r>
        <w:t xml:space="preserve"> </w:t>
      </w:r>
      <w:r>
        <w:t xml:space="preserve">ESMA</w:t>
      </w:r>
      <w:r>
        <w:t xml:space="preserve"> </w:t>
      </w:r>
      <w:r>
        <w:t xml:space="preserve">European Securities and Markets Authority</w:t>
      </w:r>
      <w:r>
        <w:t xml:space="preserve"> </w:t>
      </w:r>
      <w:r>
        <w:t xml:space="preserve">Eurosif</w:t>
      </w:r>
      <w:r>
        <w:t xml:space="preserve"> </w:t>
      </w:r>
      <w:r>
        <w:t xml:space="preserve">European Sustainable Investment Forum</w:t>
      </w:r>
      <w:r>
        <w:t xml:space="preserve"> </w:t>
      </w:r>
      <w:r>
        <w:t xml:space="preserve">EuSEF</w:t>
      </w:r>
      <w:r>
        <w:t xml:space="preserve"> </w:t>
      </w:r>
      <w:r>
        <w:t xml:space="preserve">European Social Entrepreneurship Funds</w:t>
      </w:r>
      <w:r>
        <w:t xml:space="preserve"> </w:t>
      </w:r>
      <w:r>
        <w:t xml:space="preserve">EuVECA</w:t>
      </w:r>
      <w:r>
        <w:t xml:space="preserve"> </w:t>
      </w:r>
      <w:r>
        <w:t xml:space="preserve">European Venture Capital Funds</w:t>
      </w:r>
      <w:r>
        <w:t xml:space="preserve"> </w:t>
      </w:r>
      <w:r>
        <w:t xml:space="preserve">FCA</w:t>
      </w:r>
      <w:r>
        <w:t xml:space="preserve"> </w:t>
      </w:r>
      <w:r>
        <w:t xml:space="preserve">Financial Conduct Authority (UK)</w:t>
      </w:r>
      <w:r>
        <w:t xml:space="preserve"> </w:t>
      </w:r>
      <w:r>
        <w:t xml:space="preserve">FMP</w:t>
      </w:r>
      <w:r>
        <w:t xml:space="preserve"> </w:t>
      </w:r>
      <w:r>
        <w:t xml:space="preserve">Financial Market Participant</w:t>
      </w:r>
      <w:r>
        <w:t xml:space="preserve"> </w:t>
      </w:r>
      <w:r>
        <w:t xml:space="preserve">FTE</w:t>
      </w:r>
      <w:r>
        <w:t xml:space="preserve"> </w:t>
      </w:r>
      <w:r>
        <w:t xml:space="preserve">Full-Time Equivalent</w:t>
      </w:r>
      <w:r>
        <w:t xml:space="preserve"> </w:t>
      </w:r>
      <w:r>
        <w:t xml:space="preserve">IBIPs</w:t>
      </w:r>
      <w:r>
        <w:t xml:space="preserve"> </w:t>
      </w:r>
      <w:r>
        <w:t xml:space="preserve">Insurance-based Investment Products</w:t>
      </w:r>
      <w:r>
        <w:t xml:space="preserve"> </w:t>
      </w:r>
      <w:r>
        <w:t xml:space="preserve">IDD</w:t>
      </w:r>
      <w:r>
        <w:t xml:space="preserve"> </w:t>
      </w:r>
      <w:r>
        <w:t xml:space="preserve">Insurance Distribution Directive</w:t>
      </w:r>
      <w:r>
        <w:t xml:space="preserve"> </w:t>
      </w:r>
      <w:r>
        <w:t xml:space="preserve">IORP</w:t>
      </w:r>
      <w:r>
        <w:t xml:space="preserve"> </w:t>
      </w:r>
      <w:r>
        <w:t xml:space="preserve">Institution for Occupational Retirement Provision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KID</w:t>
      </w:r>
      <w:r>
        <w:t xml:space="preserve"> </w:t>
      </w:r>
      <w:r>
        <w:t xml:space="preserve">Key Information Document</w:t>
      </w:r>
      <w:r>
        <w:t xml:space="preserve"> </w:t>
      </w:r>
      <w:r>
        <w:t xml:space="preserve">KPIs</w:t>
      </w:r>
      <w:r>
        <w:t xml:space="preserve"> </w:t>
      </w:r>
      <w:r>
        <w:t xml:space="preserve">Key Performance Indicators</w:t>
      </w:r>
      <w:r>
        <w:t xml:space="preserve"> </w:t>
      </w:r>
      <w:r>
        <w:t xml:space="preserve">MiFID</w:t>
      </w:r>
      <w:r>
        <w:t xml:space="preserve"> </w:t>
      </w:r>
      <w:r>
        <w:t xml:space="preserve">The Markets in Financial Instruments Directive</w:t>
      </w:r>
      <w:r>
        <w:t xml:space="preserve"> </w:t>
      </w: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NGOs</w:t>
      </w:r>
      <w:r>
        <w:t xml:space="preserve"> </w:t>
      </w:r>
      <w:r>
        <w:t xml:space="preserve">Non-Governmental Organizations</w:t>
      </w:r>
      <w:r>
        <w:t xml:space="preserve"> </w:t>
      </w:r>
      <w:r>
        <w:t xml:space="preserve">OECD</w:t>
      </w:r>
      <w:r>
        <w:t xml:space="preserve"> </w:t>
      </w:r>
      <w:r>
        <w:t xml:space="preserve">Organization</w:t>
      </w:r>
      <w:r>
        <w:t xml:space="preserve"> </w:t>
      </w:r>
      <w:r>
        <w:t xml:space="preserve">for</w:t>
      </w:r>
      <w:r>
        <w:t xml:space="preserve"> </w:t>
      </w:r>
      <w:r>
        <w:t xml:space="preserve">Economic</w:t>
      </w:r>
      <w:r>
        <w:t xml:space="preserve"> </w:t>
      </w:r>
      <w:r>
        <w:t xml:space="preserve">Cooperation</w:t>
      </w:r>
      <w:r>
        <w:t xml:space="preserve"> </w:t>
      </w:r>
      <w:r>
        <w:t xml:space="preserve">and</w:t>
      </w:r>
      <w:r>
        <w:t xml:space="preserve"> </w:t>
      </w:r>
      <w:r>
        <w:t xml:space="preserve">Development</w:t>
      </w:r>
      <w:r>
        <w:t xml:space="preserve"> </w:t>
      </w:r>
      <w:r>
        <w:t xml:space="preserve">OJEU</w:t>
      </w:r>
      <w:r>
        <w:t xml:space="preserve"> </w:t>
      </w:r>
      <w:r>
        <w:t xml:space="preserve">Official Journal of the European Union</w:t>
      </w:r>
      <w:r>
        <w:t xml:space="preserve"> </w:t>
      </w:r>
      <w:r>
        <w:t xml:space="preserve">PAB</w:t>
      </w:r>
      <w:r>
        <w:t xml:space="preserve"> </w:t>
      </w:r>
      <w:r>
        <w:t xml:space="preserve">EU Paris-aligned Benchmarks</w:t>
      </w:r>
      <w:r>
        <w:t xml:space="preserve"> </w:t>
      </w:r>
      <w:r>
        <w:t xml:space="preserve">PAI</w:t>
      </w:r>
      <w:r>
        <w:t xml:space="preserve"> </w:t>
      </w:r>
      <w:r>
        <w:t xml:space="preserve">Principal Adverse Impact</w:t>
      </w:r>
      <w:r>
        <w:t xml:space="preserve"> </w:t>
      </w:r>
      <w:r>
        <w:t xml:space="preserve">PEF</w:t>
      </w:r>
      <w:r>
        <w:t xml:space="preserve"> </w:t>
      </w:r>
      <w:r>
        <w:t xml:space="preserve">Product Environmental Footprint</w:t>
      </w:r>
      <w:r>
        <w:t xml:space="preserve"> </w:t>
      </w:r>
      <w:r>
        <w:t xml:space="preserve">PEPP</w:t>
      </w:r>
      <w:r>
        <w:t xml:space="preserve"> </w:t>
      </w:r>
      <w:r>
        <w:t xml:space="preserve">Pan-European Personal Pension Product</w:t>
      </w:r>
      <w:r>
        <w:t xml:space="preserve"> </w:t>
      </w:r>
      <w:r>
        <w:t xml:space="preserve">PRIIP</w:t>
      </w:r>
      <w:r>
        <w:t xml:space="preserve"> </w:t>
      </w:r>
      <w:r>
        <w:t xml:space="preserve">Packaged retail investment and insurance products</w:t>
      </w:r>
      <w:r>
        <w:t xml:space="preserve"> </w:t>
      </w:r>
      <w:r>
        <w:t xml:space="preserve">PSF</w:t>
      </w:r>
      <w:r>
        <w:t xml:space="preserve"> </w:t>
      </w:r>
      <w:r>
        <w:t xml:space="preserve">Platform on Sustainable Finance</w:t>
      </w:r>
      <w:r>
        <w:t xml:space="preserve"> </w:t>
      </w:r>
      <w:r>
        <w:t xml:space="preserve">RSB</w:t>
      </w:r>
      <w:r>
        <w:t xml:space="preserve"> </w:t>
      </w:r>
      <w:r>
        <w:t xml:space="preserve">Regulatory Scrutiny Board</w:t>
      </w:r>
      <w:r>
        <w:t xml:space="preserve"> </w:t>
      </w:r>
      <w:r>
        <w:t xml:space="preserve">RTS</w:t>
      </w:r>
      <w:r>
        <w:t xml:space="preserve"> </w:t>
      </w:r>
      <w:r>
        <w:t xml:space="preserve">Regulatory Technical Standards</w:t>
      </w:r>
      <w:r>
        <w:t xml:space="preserve"> </w:t>
      </w:r>
      <w:r>
        <w:t xml:space="preserve">SDG</w:t>
      </w:r>
      <w:r>
        <w:t xml:space="preserve"> </w:t>
      </w:r>
      <w:r>
        <w:t xml:space="preserve">Sustainable Development Goal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UCITS</w:t>
      </w:r>
      <w:r>
        <w:t xml:space="preserve"> </w:t>
      </w:r>
      <w:r>
        <w:t xml:space="preserve">Undertakings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Collective</w:t>
      </w:r>
      <w:r>
        <w:t xml:space="preserve"> </w:t>
      </w:r>
      <w:r>
        <w:t xml:space="preserve">Investment</w:t>
      </w:r>
      <w:r>
        <w:t xml:space="preserve"> </w:t>
      </w:r>
      <w:r>
        <w:t xml:space="preserve">of</w:t>
      </w:r>
      <w:r>
        <w:t xml:space="preserve"> </w:t>
      </w:r>
      <w:r>
        <w:t xml:space="preserve">Transferable Securities</w:t>
      </w:r>
    </w:p>
    <w:p>
      <w:pPr>
        <w:pStyle w:val="BodyText"/>
      </w:pPr>
      <w:r>
        <w:t xml:space="preserve">4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This impact assessment concerns a proposed initiative to review Regulation (EU) 2019/2088 of 27</w:t>
      </w:r>
      <w:r>
        <w:t xml:space="preserve"> </w:t>
      </w:r>
      <w:r>
        <w:t xml:space="preserve">November 2019 on sustainability-related disclosures in the financial services sector (SFDR)1.</w:t>
      </w:r>
      <w:r>
        <w:br/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European Union is committed to meet the needs of the present without compromising future</w:t>
      </w:r>
      <w:r>
        <w:t xml:space="preserve"> </w:t>
      </w:r>
      <w:r>
        <w:t xml:space="preserve">generations, with sustainability at the heart of these efforts. In this vein, the European Union</w:t>
      </w:r>
      <w:r>
        <w:t xml:space="preserve"> </w:t>
      </w:r>
      <w:r>
        <w:t xml:space="preserve">established the legal objective of becoming a climate-neutral and climate resilient continent by</w:t>
      </w:r>
      <w:r>
        <w:t xml:space="preserve"> </w:t>
      </w:r>
      <w:r>
        <w:t xml:space="preserve">2050 in Regulation (EU) 2021/1119 on the European Climate Law, and it also committed to deliver</w:t>
      </w:r>
      <w:r>
        <w:t xml:space="preserve"> </w:t>
      </w:r>
      <w:r>
        <w:t xml:space="preserve">an environmental transition supported by an innovative and circular economy, where biodiversity</w:t>
      </w:r>
      <w:r>
        <w:t xml:space="preserve"> </w:t>
      </w:r>
      <w:r>
        <w:t xml:space="preserve">and ecosystems are protected and restored, and where pollution and environment-related health</w:t>
      </w:r>
      <w:r>
        <w:t xml:space="preserve"> </w:t>
      </w:r>
      <w:r>
        <w:t xml:space="preserve">risks are reduced to the minimum as well as to meet the UN Sustainable Development Goals</w:t>
      </w:r>
      <w:r>
        <w:t xml:space="preserve"> </w:t>
      </w:r>
      <w:r>
        <w:t xml:space="preserve">(SDGs) by 20302.</w:t>
      </w:r>
      <w:r>
        <w:br/>
      </w:r>
      <w:r>
        <w:t xml:space="preserve">The EU estimates that to meet the objectives of the European Green Deal and RepowerEU alone,</w:t>
      </w:r>
      <w:r>
        <w:t xml:space="preserve"> </w:t>
      </w:r>
      <w:r>
        <w:t xml:space="preserve">additional investments of about EUR 620 billion annually between 2023 and 2030 will be needed,</w:t>
      </w:r>
      <w:r>
        <w:t xml:space="preserve"> </w:t>
      </w:r>
      <w:r>
        <w:t xml:space="preserve">which amounts to 3.7% of the EU’s 2023 GDP3. The bulk of these will need to continue to flow</w:t>
      </w:r>
      <w:r>
        <w:t xml:space="preserve"> </w:t>
      </w:r>
      <w:r>
        <w:t xml:space="preserve">from private sources, also building on efforts to ensure deeper and more integrated EU capital</w:t>
      </w:r>
      <w:r>
        <w:t xml:space="preserve"> </w:t>
      </w:r>
      <w:r>
        <w:t xml:space="preserve">markets4. As a response to market demand and reflecting that achieving EU sustainability goals</w:t>
      </w:r>
      <w:r>
        <w:t xml:space="preserve"> </w:t>
      </w:r>
      <w:r>
        <w:t xml:space="preserve">requires significant investments, with the bulk of it being provided by private financing, the</w:t>
      </w:r>
      <w:r>
        <w:t xml:space="preserve"> </w:t>
      </w:r>
      <w:r>
        <w:t xml:space="preserve">European Commission introduced ambitious sustainability rules in financial services in recent</w:t>
      </w:r>
      <w:r>
        <w:t xml:space="preserve"> </w:t>
      </w:r>
      <w:r>
        <w:t xml:space="preserve">years5, building up the Sustainable Finance framework that includes the SFDR.</w:t>
      </w:r>
      <w:r>
        <w:t xml:space="preserve"> </w:t>
      </w:r>
      <w:r>
        <w:t xml:space="preserve">Applicable since March 2021, the SFDR was one of the first pieces of the EU Sustainable Finance</w:t>
      </w:r>
      <w:r>
        <w:t xml:space="preserve"> </w:t>
      </w:r>
      <w:r>
        <w:t xml:space="preserve">framework. The SFDR is a disclosure framework which sets detailed sustainability disclosures for</w:t>
      </w:r>
      <w:r>
        <w:t xml:space="preserve"> </w:t>
      </w:r>
      <w:r>
        <w:t xml:space="preserve">financial intermediaries and financial products regarding Environmental, Social and Governance</w:t>
      </w:r>
      <w:r>
        <w:t xml:space="preserve"> </w:t>
      </w:r>
      <w:r>
        <w:t xml:space="preserve">(ESG) factors. Its objective is to increase transparency, combat greenwashing and protect end-</w:t>
      </w:r>
      <w:r>
        <w:t xml:space="preserve"> </w:t>
      </w:r>
      <w:r>
        <w:t xml:space="preserve">investors by ensuring that financial market participants (FMPs) and financial advisers substantiate</w:t>
      </w:r>
      <w:r>
        <w:t xml:space="preserve"> </w:t>
      </w:r>
      <w:r>
        <w:t xml:space="preserve">their ESG disclosures. The latter are required to ensure appropriate sustainability information to</w:t>
      </w:r>
      <w:r>
        <w:t xml:space="preserve"> </w:t>
      </w:r>
      <w:r>
        <w:t xml:space="preserve">investors on their websites and in pre-contractual and periodic disclosures for financial products.</w:t>
      </w:r>
      <w:r>
        <w:br/>
      </w:r>
      <w:r>
        <w:t xml:space="preserve">The Regulation rests on two pillars. First, it requires entity-level disclosures, namely for FMPs and</w:t>
      </w:r>
      <w:r>
        <w:t xml:space="preserve"> </w:t>
      </w:r>
      <w:r>
        <w:t xml:space="preserve">financial advisers to explain how they integrate ESG considerations into their internal procedures,</w:t>
      </w:r>
      <w:r>
        <w:t xml:space="preserve"> </w:t>
      </w:r>
      <w:r>
        <w:t xml:space="preserve">including their due diligence processes and consideration of responsible business practices. A</w:t>
      </w:r>
      <w:r>
        <w:t xml:space="preserve"> </w:t>
      </w:r>
      <w:r>
        <w:t xml:space="preserve">crucial element is the introduction of the concept of double materiality, meaning that FMPs must</w:t>
      </w:r>
      <w:r>
        <w:t xml:space="preserve"> </w:t>
      </w:r>
      <w:r>
        <w:t xml:space="preserve">not only consider sustainability risks (i.e. risks to their operations) but must also assess the impact</w:t>
      </w:r>
      <w:r>
        <w:t xml:space="preserve"> </w:t>
      </w:r>
      <w:r>
        <w:t xml:space="preserve">of their investment decisions on the environment and society.</w:t>
      </w:r>
      <w:r>
        <w:t xml:space="preserve"> </w:t>
      </w:r>
      <w:r>
        <w:t xml:space="preserve">Second, as regards product-level disclosures, the SFDR encompasses a broad range of financial</w:t>
      </w:r>
      <w:r>
        <w:t xml:space="preserve"> </w:t>
      </w:r>
      <w:r>
        <w:t xml:space="preserve">products including investment funds, insurance and pension products, requiring those within its</w:t>
      </w:r>
      <w:r>
        <w:t xml:space="preserve"> </w:t>
      </w:r>
      <w:r>
        <w:t xml:space="preserve">scope that promote sustainability characteristics to be substantiated with accompanying disclosures.</w:t>
      </w:r>
      <w:r>
        <w:t xml:space="preserve"> </w:t>
      </w:r>
      <w:r>
        <w:t xml:space="preserve">The SFDR in its Article 8 establishes that, for products that promote environmental or social</w:t>
      </w:r>
    </w:p>
    <w:p>
      <w:pPr>
        <w:pStyle w:val="FirstParagraph"/>
      </w:pPr>
      <w:r>
        <w:t xml:space="preserve">1 Regulation (EU) 2019/2088 of the European Parliament and of the Council of 27 November 2019 on</w:t>
      </w:r>
      <w:r>
        <w:t xml:space="preserve"> </w:t>
      </w:r>
      <w:r>
        <w:t xml:space="preserve">sustainability‐related disclosures in the financial services sector.</w:t>
      </w:r>
      <w:r>
        <w:t xml:space="preserve"> </w:t>
      </w:r>
      <w:r>
        <w:t xml:space="preserve">2 These ambitions were laid out in the Communications on the European Green Deal (COM(2019) 640 final) and on A</w:t>
      </w:r>
      <w:r>
        <w:t xml:space="preserve"> </w:t>
      </w:r>
      <w:r>
        <w:t xml:space="preserve">Strong Social Europe for Just Transition (COM(2020) 14 final).</w:t>
      </w:r>
      <w:r>
        <w:t xml:space="preserve"> </w:t>
      </w:r>
      <w:r>
        <w:t xml:space="preserve">3 Strategic Foresight Report 2023 See also the impact assessment accompanying the 2040 climate target</w:t>
      </w:r>
      <w:r>
        <w:t xml:space="preserve"> </w:t>
      </w:r>
      <w:r>
        <w:t xml:space="preserve">Communication</w:t>
      </w:r>
      <w:r>
        <w:t xml:space="preserve"> </w:t>
      </w:r>
      <w:r>
        <w:t xml:space="preserve">4 Savings and investments union - European Commission</w:t>
      </w:r>
      <w:r>
        <w:t xml:space="preserve"> </w:t>
      </w:r>
      <w:r>
        <w:t xml:space="preserve">5 Overview of sustainable finance - European Commission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characteristics, FMPs must show how the characteristics are promoted and met. Furthermore, in</w:t>
      </w:r>
      <w:r>
        <w:t xml:space="preserve"> </w:t>
      </w:r>
      <w:r>
        <w:t xml:space="preserve">accordance with Article 9 of the SFDR, for products that have sustainable investment as their</w:t>
      </w:r>
      <w:r>
        <w:t xml:space="preserve"> </w:t>
      </w:r>
      <w:r>
        <w:t xml:space="preserve">objective, FMPs must explain the sustainable objective and show how the objective is attained.</w:t>
      </w:r>
      <w:r>
        <w:t xml:space="preserve"> </w:t>
      </w:r>
      <w:r>
        <w:t xml:space="preserve">Finally, for all products in the scope of the SFDR, under Article 6, FMPs must disclose how</w:t>
      </w:r>
      <w:r>
        <w:t xml:space="preserve"> </w:t>
      </w:r>
      <w:r>
        <w:t xml:space="preserve">sustainability risks are integrated in the investment decision process and the results of the</w:t>
      </w:r>
      <w:r>
        <w:t xml:space="preserve"> </w:t>
      </w:r>
      <w:r>
        <w:t xml:space="preserve">assessment of the likely impacts of sustainability risks on the returns of the products, where</w:t>
      </w:r>
      <w:r>
        <w:t xml:space="preserve"> </w:t>
      </w:r>
      <w:r>
        <w:t xml:space="preserve">relevant, or explain why this is not the case. Double materiality also applies at product level. The</w:t>
      </w:r>
      <w:r>
        <w:t xml:space="preserve"> </w:t>
      </w:r>
      <w:r>
        <w:t xml:space="preserve">responsibility for supervising these disclosures lies with the National Competent Authorities in each</w:t>
      </w:r>
      <w:r>
        <w:t xml:space="preserve"> </w:t>
      </w:r>
      <w:r>
        <w:t xml:space="preserve">EU Member State while the European Supervisory Authorities (ESAs) play a coordinating role.</w:t>
      </w:r>
      <w:r>
        <w:br/>
      </w:r>
      <w:r>
        <w:t xml:space="preserve">The SFDR and other pieces of sustainable finance legislation have had broad-reaching effects on</w:t>
      </w:r>
      <w:r>
        <w:t xml:space="preserve"> </w:t>
      </w:r>
      <w:r>
        <w:t xml:space="preserve">the market. According to the Platform on Sustainable Finance (PSF)6, a Commission expert group,</w:t>
      </w:r>
      <w:r>
        <w:t xml:space="preserve"> </w:t>
      </w:r>
      <w:r>
        <w:t xml:space="preserve">the market development of funds that make claims in regulatory filings to be sustainable has been</w:t>
      </w:r>
      <w:r>
        <w:t xml:space="preserve"> </w:t>
      </w:r>
      <w:r>
        <w:t xml:space="preserve">very sizeable in the EU since the SFDR was launched in 2021, clearly outpacing until 2023 the</w:t>
      </w:r>
      <w:r>
        <w:t xml:space="preserve"> </w:t>
      </w:r>
      <w:r>
        <w:t xml:space="preserve">development of funds not stating to be considered sustainable7. Products disclosing ESG</w:t>
      </w:r>
      <w:r>
        <w:t xml:space="preserve"> </w:t>
      </w:r>
      <w:r>
        <w:t xml:space="preserve">information under SFDR account for almost 50% of EU Assets under Management, representing</w:t>
      </w:r>
      <w:r>
        <w:t xml:space="preserve"> </w:t>
      </w:r>
      <w:r>
        <w:t xml:space="preserve">more than 60% of EU funds: funds that promote ESG characteristics (in accordance with Article 8)</w:t>
      </w:r>
      <w:r>
        <w:t xml:space="preserve"> </w:t>
      </w:r>
      <w:r>
        <w:t xml:space="preserve">accounted for 57.6% as of June 2024, while funds that have sustainability as one of their investment</w:t>
      </w:r>
      <w:r>
        <w:t xml:space="preserve"> </w:t>
      </w:r>
      <w:r>
        <w:t xml:space="preserve">objectives (in accordance with Article 9) represented 3.4% of EU funds8. Europe is by far the</w:t>
      </w:r>
      <w:r>
        <w:t xml:space="preserve"> </w:t>
      </w:r>
      <w:r>
        <w:t xml:space="preserve">largest market for such funds, accounting for up to 84% of global sustainable fund assets9.</w:t>
      </w:r>
      <w:r>
        <w:t xml:space="preserve"> </w:t>
      </w:r>
      <w:r>
        <w:t xml:space="preserve">The Political Guidelines of the European Commission for 2024-2029 have reaffirmed that the EU</w:t>
      </w:r>
      <w:r>
        <w:t xml:space="preserve"> </w:t>
      </w:r>
      <w:r>
        <w:t xml:space="preserve">will stay the course on the goals set out in the European Green Deal and aim to further scale-up</w:t>
      </w:r>
      <w:r>
        <w:t xml:space="preserve"> </w:t>
      </w:r>
      <w:r>
        <w:t xml:space="preserve">sustainable finance in support of this as part of deeper more integrated capital markets. The focus is</w:t>
      </w:r>
      <w:r>
        <w:t xml:space="preserve"> </w:t>
      </w:r>
      <w:r>
        <w:t xml:space="preserve">now also on simplification: reducing administrative burdens linked e.g. to sustainability reporting,</w:t>
      </w:r>
      <w:r>
        <w:t xml:space="preserve"> </w:t>
      </w:r>
      <w:r>
        <w:t xml:space="preserve">with simpler rules, and better enforcement. In this context, it is important to consider whether the</w:t>
      </w:r>
      <w:r>
        <w:t xml:space="preserve"> </w:t>
      </w:r>
      <w:r>
        <w:t xml:space="preserve">SFDR can be made more efficient, in line with these political priorities and policy objectives, and</w:t>
      </w:r>
      <w:r>
        <w:t xml:space="preserve"> </w:t>
      </w:r>
      <w:r>
        <w:t xml:space="preserve">in the context of overarching efforts to improve the integration of EU financial markets to support</w:t>
      </w:r>
      <w:r>
        <w:t xml:space="preserve"> </w:t>
      </w:r>
      <w:r>
        <w:t xml:space="preserve">productive investments10. A review of the SFDR is also foreseen in Article 19 of the Regulation.</w:t>
      </w:r>
      <w:r>
        <w:t xml:space="preserve"> </w:t>
      </w:r>
      <w:r>
        <w:t xml:space="preserve">The need for simplification in the field of sustainability reporting and due diligence was highlighted</w:t>
      </w:r>
      <w:r>
        <w:t xml:space="preserve"> </w:t>
      </w:r>
      <w:r>
        <w:t xml:space="preserve">as well in the report “The future of European competitiveness” by M. Draghi, which underlined that</w:t>
      </w:r>
      <w:r>
        <w:t xml:space="preserve"> </w:t>
      </w:r>
      <w:r>
        <w:t xml:space="preserve">excessive regulatory and administrative burden could hinder the competitiveness of EU companies</w:t>
      </w:r>
      <w:r>
        <w:t xml:space="preserve"> </w:t>
      </w:r>
      <w:r>
        <w:t xml:space="preserve">compared to those from other blocs. According to the report, parts of the EU sustainable finance</w:t>
      </w:r>
      <w:r>
        <w:t xml:space="preserve"> </w:t>
      </w:r>
      <w:r>
        <w:t xml:space="preserve">framework entail a major compliance cost for companies in the EU.</w:t>
      </w:r>
      <w:r>
        <w:t xml:space="preserve"> </w:t>
      </w:r>
      <w:r>
        <w:t xml:space="preserve">The evidence gathered to date as part of the review under Article 19 of the Regulation on the</w:t>
      </w:r>
      <w:r>
        <w:t xml:space="preserve"> </w:t>
      </w:r>
      <w:r>
        <w:t xml:space="preserve">implementation of the SFDR signals that, while its objectives remain broadly supported, it is widely</w:t>
      </w:r>
    </w:p>
    <w:p>
      <w:pPr>
        <w:pStyle w:val="BodyText"/>
      </w:pPr>
      <w:r>
        <w:t xml:space="preserve">6 Platform on Sustainable Finance - European Commission</w:t>
      </w:r>
      <w:r>
        <w:t xml:space="preserve"> </w:t>
      </w:r>
      <w:r>
        <w:t xml:space="preserve">7 Categorisation of products under the SFDR: Proposal of the Platform on Sustainable Finance According to Goldman</w:t>
      </w:r>
      <w:r>
        <w:t xml:space="preserve"> </w:t>
      </w:r>
      <w:r>
        <w:t xml:space="preserve">Sachs Global Investment Research, cumulative flows into ESG equity funds have been 2.7 times higher compared to</w:t>
      </w:r>
      <w:r>
        <w:t xml:space="preserve"> </w:t>
      </w:r>
      <w:r>
        <w:t xml:space="preserve">non-ESG counterparts from 2019 to 2023. However, since 2023, more inflows have gone into non-ESG (Article 6)</w:t>
      </w:r>
      <w:r>
        <w:t xml:space="preserve"> </w:t>
      </w:r>
      <w:r>
        <w:t xml:space="preserve">funds compared to ESG funds (Article 8 and 9).</w:t>
      </w:r>
      <w:r>
        <w:t xml:space="preserve"> </w:t>
      </w:r>
      <w:r>
        <w:t xml:space="preserve">8 Data based on FISMA calculations from Morningstar. These shares have remained relatively stable in recent years</w:t>
      </w:r>
      <w:r>
        <w:t xml:space="preserve"> </w:t>
      </w:r>
      <w:r>
        <w:t xml:space="preserve">even amid some shifting investor preferences of late, including in the context of geopolitical changes.</w:t>
      </w:r>
      <w:r>
        <w:t xml:space="preserve"> </w:t>
      </w:r>
      <w:r>
        <w:t xml:space="preserve">9 Recent quarterly figures show positive net inflows to EU sustainable funds between 2022 and end-2024. While Q1</w:t>
      </w:r>
      <w:r>
        <w:t xml:space="preserve"> </w:t>
      </w:r>
      <w:r>
        <w:t xml:space="preserve">2025 saw the first net outflows from EU sustainable funds, these represented only 0.04% of total fund assets. Equity</w:t>
      </w:r>
      <w:r>
        <w:t xml:space="preserve"> </w:t>
      </w:r>
      <w:r>
        <w:t xml:space="preserve">funds continue to dominate the sector, but with recent growth into sustainable bond funds as the green bond market</w:t>
      </w:r>
      <w:r>
        <w:t xml:space="preserve"> </w:t>
      </w:r>
      <w:r>
        <w:t xml:space="preserve">continues to expand. In terms of performance, sustainable funds lost 0.7% of their value in Q1 2025, faring better than</w:t>
      </w:r>
      <w:r>
        <w:t xml:space="preserve"> </w:t>
      </w:r>
      <w:r>
        <w:t xml:space="preserve">the wider market (1.4% decline for the Morningstar Global Market index). Source: FT “Making sense of a rough</w:t>
      </w:r>
      <w:r>
        <w:t xml:space="preserve"> </w:t>
      </w:r>
      <w:r>
        <w:t xml:space="preserve">quarter for ESG funds”, 28 April 2025</w:t>
      </w:r>
      <w:r>
        <w:t xml:space="preserve"> </w:t>
      </w:r>
      <w:r>
        <w:t xml:space="preserve">10 Savings and investments union - European Commission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seen as a complex and costly regime11. There have been calls for significantly simplifying and</w:t>
      </w:r>
      <w:r>
        <w:t xml:space="preserve"> </w:t>
      </w:r>
      <w:r>
        <w:t xml:space="preserve">reducing the administrative burdens linked to the rules12. The SFDR review has therefore been</w:t>
      </w:r>
      <w:r>
        <w:t xml:space="preserve"> </w:t>
      </w:r>
      <w:r>
        <w:t xml:space="preserve">included among the simplification initiatives of the European Commission in the Mission Letter to</w:t>
      </w:r>
      <w:r>
        <w:t xml:space="preserve"> </w:t>
      </w:r>
      <w:r>
        <w:t xml:space="preserve">the Commissioner for Financial Services and the Savings and Investments Union13 and in the 2025</w:t>
      </w:r>
      <w:r>
        <w:t xml:space="preserve"> </w:t>
      </w:r>
      <w:r>
        <w:t xml:space="preserve">Commission Work Programme14.</w:t>
      </w:r>
      <w:r>
        <w:br/>
      </w:r>
      <w:r>
        <w:t xml:space="preserve">1.2.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SFDR is supplemented by Commission Delegated Regulation (EU) 2022/201815, published in</w:t>
      </w:r>
      <w:r>
        <w:t xml:space="preserve"> </w:t>
      </w:r>
      <w:r>
        <w:t xml:space="preserve">April 2022 and amended in February 2023, with regulatory technical standards specifying key</w:t>
      </w:r>
      <w:r>
        <w:t xml:space="preserve"> </w:t>
      </w:r>
      <w:r>
        <w:t xml:space="preserve">elements of the disclosure regime, notably in relation to sustainability indicators and adverse</w:t>
      </w:r>
      <w:r>
        <w:t xml:space="preserve"> </w:t>
      </w:r>
      <w:r>
        <w:t xml:space="preserve">sustainability impacts, and the content and presentation of the information in relation to the</w:t>
      </w:r>
      <w:r>
        <w:t xml:space="preserve"> </w:t>
      </w:r>
      <w:r>
        <w:t xml:space="preserve">promotion of environmental or social characteristics and sustainable investment objectives in pre-</w:t>
      </w:r>
      <w:r>
        <w:t xml:space="preserve"> </w:t>
      </w:r>
      <w:r>
        <w:t xml:space="preserve">contractual documents, on websites and in periodic reports.</w:t>
      </w:r>
      <w:r>
        <w:t xml:space="preserve"> </w:t>
      </w:r>
      <w:r>
        <w:t xml:space="preserve">It should also be noted that the SFDR interacts with ESMA’s Guidelines on funds’ names using</w:t>
      </w:r>
      <w:r>
        <w:t xml:space="preserve"> </w:t>
      </w:r>
      <w:r>
        <w:t xml:space="preserve">ESG or sustainability-related terms16. The guidelines stem from the strong demand in recent years</w:t>
      </w:r>
      <w:r>
        <w:t xml:space="preserve"> </w:t>
      </w:r>
      <w:r>
        <w:t xml:space="preserve">for investment funds that incorporate ESG factors and the competitive market pressures for asset</w:t>
      </w:r>
      <w:r>
        <w:t xml:space="preserve"> </w:t>
      </w:r>
      <w:r>
        <w:t xml:space="preserve">managers to include terminology in their funds’ names to attract investors which caused concern in</w:t>
      </w:r>
      <w:r>
        <w:t xml:space="preserve"> </w:t>
      </w:r>
      <w:r>
        <w:t xml:space="preserve">ESMA over heightened greenwashing risks: i.e. that funds would be named as green or socially</w:t>
      </w:r>
      <w:r>
        <w:t xml:space="preserve"> </w:t>
      </w:r>
      <w:r>
        <w:t xml:space="preserve">sustainable, while commensurate sustainability standards are not met.</w:t>
      </w:r>
      <w:r>
        <w:br/>
      </w:r>
      <w:r>
        <w:t xml:space="preserve">Further, the SFDR interacts with the other pieces of legislation of the sustainable finance</w:t>
      </w:r>
      <w:r>
        <w:t xml:space="preserve"> </w:t>
      </w:r>
      <w:r>
        <w:t xml:space="preserve">framework, including the EU Taxonomy17, EU Benchmark Regulation18, Corporate Sustainability</w:t>
      </w:r>
      <w:r>
        <w:t xml:space="preserve"> </w:t>
      </w:r>
      <w:r>
        <w:t xml:space="preserve">Reporting Directive (CSRD)19, the Corporate Sustainability Due Diligence Directive (CSDDD)20,</w:t>
      </w:r>
    </w:p>
    <w:p>
      <w:pPr>
        <w:pStyle w:val="BodyText"/>
      </w:pPr>
      <w:r>
        <w:t xml:space="preserve">11 A comprehensive assessment of the framework to assess potential shortcomings, focusing on legal certainty,</w:t>
      </w:r>
      <w:r>
        <w:t xml:space="preserve"> </w:t>
      </w:r>
      <w:r>
        <w:t xml:space="preserve">useability of the regulation and its ability to play its part in tackling greenwashing was announced in December 2022.</w:t>
      </w:r>
      <w:r>
        <w:t xml:space="preserve"> </w:t>
      </w:r>
      <w:r>
        <w:t xml:space="preserve">Two public consultations (targeted and open) ensued, running from September to December 2023. The European</w:t>
      </w:r>
      <w:r>
        <w:t xml:space="preserve"> </w:t>
      </w:r>
      <w:r>
        <w:t xml:space="preserve">Supervisory Authorities (ESAs) published a joint opinion on the assessment of the SFDR in June 2024, addressing</w:t>
      </w:r>
      <w:r>
        <w:t xml:space="preserve"> </w:t>
      </w:r>
      <w:r>
        <w:t xml:space="preserve">recommendations to the Commission. The Platform for Sustainable Finance provided two opinions in December 2023</w:t>
      </w:r>
      <w:r>
        <w:t xml:space="preserve"> </w:t>
      </w:r>
      <w:r>
        <w:t xml:space="preserve">and December 2024 on key issues to address and recommending setting up categories for financial products. Full</w:t>
      </w:r>
      <w:r>
        <w:t xml:space="preserve"> </w:t>
      </w:r>
      <w:r>
        <w:t xml:space="preserve">details are provided in Annex II.</w:t>
      </w:r>
      <w:r>
        <w:t xml:space="preserve"> </w:t>
      </w:r>
      <w:r>
        <w:t xml:space="preserve">12 This includes calls expressed by Member States e.g. in the 11 March 2024 Statement of the Eurogroup on the future</w:t>
      </w:r>
      <w:r>
        <w:t xml:space="preserve"> </w:t>
      </w:r>
      <w:r>
        <w:t xml:space="preserve">of the capital markets union to improve usability, enhance clarity and reduce burdens in the EU sustainable finance</w:t>
      </w:r>
      <w:r>
        <w:t xml:space="preserve"> </w:t>
      </w:r>
      <w:r>
        <w:t xml:space="preserve">framework, as well as the July 2024 study prepared for the ECON committee of the European Parliament.</w:t>
      </w:r>
      <w:r>
        <w:br/>
      </w:r>
      <w:r>
        <w:t xml:space="preserve">13 ac06a896-2645-4857-9958-467d2ce6f221_en</w:t>
      </w:r>
      <w:r>
        <w:t xml:space="preserve"> </w:t>
      </w:r>
      <w:r>
        <w:t xml:space="preserve">14 Commission work programme 2025 - European Commission</w:t>
      </w:r>
      <w:r>
        <w:t xml:space="preserve"> </w:t>
      </w:r>
      <w:r>
        <w:t xml:space="preserve">15 Commission Delegated Regulation (EU) 2022/1288</w:t>
      </w:r>
      <w:r>
        <w:t xml:space="preserve"> </w:t>
      </w:r>
      <w:r>
        <w:t xml:space="preserve">16 ESMA34-1592494965-657 Guidelines on funds names using ESG or sustainability related terms. The guidelines</w:t>
      </w:r>
      <w:r>
        <w:t xml:space="preserve"> </w:t>
      </w:r>
      <w:r>
        <w:t xml:space="preserve">reflected feedback to a consultation launched in November 2022 and were published in August 2024 to address</w:t>
      </w:r>
      <w:r>
        <w:t xml:space="preserve"> </w:t>
      </w:r>
      <w:r>
        <w:t xml:space="preserve">greenwashing risk stemming from ESG- or sustainability-related terms used in investment fund names. They became</w:t>
      </w:r>
      <w:r>
        <w:t xml:space="preserve"> </w:t>
      </w:r>
      <w:r>
        <w:t xml:space="preserve">applicable in November 2024 for new funds. For funds existing before this date, there is a transition period extending</w:t>
      </w:r>
      <w:r>
        <w:t xml:space="preserve"> </w:t>
      </w:r>
      <w:r>
        <w:t xml:space="preserve">until 21 May 2025. The criteria of the guidelines are detailed in Annex 6.</w:t>
      </w:r>
      <w:r>
        <w:t xml:space="preserve"> </w:t>
      </w:r>
      <w:r>
        <w:t xml:space="preserve">17 Regulation (EU) 2020/852 of the European Parliament and of the Council of 18 June 2020 on the establishment of a</w:t>
      </w:r>
      <w:r>
        <w:t xml:space="preserve"> </w:t>
      </w:r>
      <w:r>
        <w:t xml:space="preserve">framework to facilitate sustainable investment, and amending Regulation (EU) 2019/2088</w:t>
      </w:r>
      <w:r>
        <w:t xml:space="preserve"> </w:t>
      </w:r>
      <w:r>
        <w:t xml:space="preserve">18 Regulation (EU) 2016/1011 of the European Parliament and of the Council of 8 June 2016 on indices used as</w:t>
      </w:r>
      <w:r>
        <w:t xml:space="preserve"> </w:t>
      </w:r>
      <w:r>
        <w:t xml:space="preserve">benchmarks in financial instruments and financial contracts or to measure the performance of investment funds and</w:t>
      </w:r>
      <w:r>
        <w:t xml:space="preserve"> </w:t>
      </w:r>
      <w:r>
        <w:t xml:space="preserve">amending Directives 2008/48/EC and 2014/17/EU and Regulation (EU) No 596/2014</w:t>
      </w:r>
      <w:r>
        <w:t xml:space="preserve"> </w:t>
      </w:r>
      <w:r>
        <w:t xml:space="preserve">19 Directive (EU) 2022/2464 of the European Parliament and of the Council of 14 December 2022 amending Regulation</w:t>
      </w:r>
      <w:r>
        <w:t xml:space="preserve"> </w:t>
      </w:r>
      <w:r>
        <w:t xml:space="preserve">(EU) No 537/2014, Directive 2004/109/EC, Directive 2006/43/EC and Directive 2013/34/EU, as regards corporate</w:t>
      </w:r>
      <w:r>
        <w:t xml:space="preserve"> </w:t>
      </w:r>
      <w:r>
        <w:t xml:space="preserve">sustainability reporting</w:t>
      </w:r>
      <w:r>
        <w:t xml:space="preserve"> </w:t>
      </w:r>
      <w:r>
        <w:t xml:space="preserve">20 Directive (EU) 2024/1760 of the European Parliament and of the Council of 13 June 2024 on corporate sustainability</w:t>
      </w:r>
      <w:r>
        <w:t xml:space="preserve"> </w:t>
      </w:r>
      <w:r>
        <w:t xml:space="preserve">due diligence and amending Directive (EU) 2019/1937 and Regulation (EU) 2023/2859 (to apply from July 2028)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as well as relevant parts of the Markets in Financial Instruments Directive (MiFID II)21 and</w:t>
      </w:r>
      <w:r>
        <w:t xml:space="preserve"> </w:t>
      </w:r>
      <w:r>
        <w:t xml:space="preserve">Insurance Distribution Directive (IDD)22 and links with the Shareholder Rights Directive (SRD)23.</w:t>
      </w:r>
      <w:r>
        <w:t xml:space="preserve"> </w:t>
      </w:r>
      <w:r>
        <w:t xml:space="preserve">Together, they help support companies and the financial sector in directing private funding into</w:t>
      </w:r>
      <w:r>
        <w:t xml:space="preserve"> </w:t>
      </w:r>
      <w:r>
        <w:t xml:space="preserve">sustainable investment projects and technologies. In particular, reporting obligations for FMPs</w:t>
      </w:r>
      <w:r>
        <w:t xml:space="preserve"> </w:t>
      </w:r>
      <w:r>
        <w:t xml:space="preserve">under the current SFDR largely depend on the reporting obligations for companies under the CSRD</w:t>
      </w:r>
      <w:r>
        <w:t xml:space="preserve"> </w:t>
      </w:r>
      <w:r>
        <w:t xml:space="preserve">and the Taxonomy Regulation. Therefore, the review of the SFDR will duly take into consideration</w:t>
      </w:r>
      <w:r>
        <w:t xml:space="preserve"> </w:t>
      </w:r>
      <w:r>
        <w:t xml:space="preserve">the changes introduced by the proposed ‘Omnibus’ simplifications regarding sustainability</w:t>
      </w:r>
      <w:r>
        <w:t xml:space="preserve"> </w:t>
      </w:r>
      <w:r>
        <w:t xml:space="preserve">information from companies24. Annex 6 describes in detail the interactions between the SFDR and</w:t>
      </w:r>
      <w:r>
        <w:t xml:space="preserve"> </w:t>
      </w:r>
      <w:r>
        <w:t xml:space="preserve">the rest of the framework and highlights the special considerations regarding these interactions for</w:t>
      </w:r>
      <w:r>
        <w:t xml:space="preserve"> </w:t>
      </w:r>
      <w:r>
        <w:t xml:space="preserve">the review.</w:t>
      </w:r>
      <w:r>
        <w:br/>
      </w:r>
      <w:r>
        <w:t xml:space="preserve">2. PROBLEM DEFINITION</w:t>
      </w:r>
      <w:r>
        <w:t xml:space="preserve"> </w:t>
      </w:r>
      <w:r>
        <w:t xml:space="preserve">The SFDR sets a series of entity level disclosure requirements for financial market participants</w:t>
      </w:r>
      <w:r>
        <w:t xml:space="preserve"> </w:t>
      </w:r>
      <w:r>
        <w:t xml:space="preserve">and financial advisers. They must disclose how they integrate sustainability risks into their</w:t>
      </w:r>
      <w:r>
        <w:t xml:space="preserve"> </w:t>
      </w:r>
      <w:r>
        <w:t xml:space="preserve">investment decision-making processes (Article 3) and remuneration policies (Article 5). Large</w:t>
      </w:r>
      <w:r>
        <w:t xml:space="preserve"> </w:t>
      </w:r>
      <w:r>
        <w:t xml:space="preserve">firms (more than 500 employees) must also disclose how they consider the principal adverse</w:t>
      </w:r>
      <w:r>
        <w:t xml:space="preserve"> </w:t>
      </w:r>
      <w:r>
        <w:t xml:space="preserve">impacts of their investment decisions on sustainability factors, while others are subject to a comply</w:t>
      </w:r>
      <w:r>
        <w:t xml:space="preserve"> </w:t>
      </w:r>
      <w:r>
        <w:t xml:space="preserve">or explain approach (Article 4).</w:t>
      </w:r>
      <w:r>
        <w:t xml:space="preserve"> </w:t>
      </w:r>
      <w:r>
        <w:t xml:space="preserve">The SFDR also sets a series of product level disclosure requirements. All financial products in</w:t>
      </w:r>
      <w:r>
        <w:t xml:space="preserve"> </w:t>
      </w:r>
      <w:r>
        <w:t xml:space="preserve">scope25 must disclose whether and how they consider sustainability risks (Article 6). Financial</w:t>
      </w:r>
      <w:r>
        <w:t xml:space="preserve"> </w:t>
      </w:r>
      <w:r>
        <w:t xml:space="preserve">products promoting environmental or social characteristics (Article 8) or those with a sustainable</w:t>
      </w:r>
      <w:r>
        <w:t xml:space="preserve"> </w:t>
      </w:r>
      <w:r>
        <w:t xml:space="preserve">investment objective (Article 9) must provide detailed sustainability-related disclosures in their pre-</w:t>
      </w:r>
      <w:r>
        <w:t xml:space="preserve"> </w:t>
      </w:r>
      <w:r>
        <w:t xml:space="preserve">contractual and periodic reporting (Article 10) as well as on their website (Article 11).</w:t>
      </w:r>
      <w:r>
        <w:t xml:space="preserve"> </w:t>
      </w:r>
      <w:r>
        <w:t xml:space="preserve">The SFDR also provides a definition for the concept of ‘sustainable investment’ (SI), which</w:t>
      </w:r>
      <w:r>
        <w:t xml:space="preserve"> </w:t>
      </w:r>
      <w:r>
        <w:t xml:space="preserve">underpins the Article 9 disclosures (and the Article 8 disclosures to a lesser extent). It is defined as</w:t>
      </w:r>
      <w:r>
        <w:t xml:space="preserve"> </w:t>
      </w:r>
      <w:r>
        <w:t xml:space="preserve">an economic activity that contributes to an environmental or social objective, provided that such</w:t>
      </w:r>
      <w:r>
        <w:t xml:space="preserve"> </w:t>
      </w:r>
      <w:r>
        <w:t xml:space="preserve">investments do not significantly harm (DNSH) any of those objectives and that the investee</w:t>
      </w:r>
      <w:r>
        <w:t xml:space="preserve"> </w:t>
      </w:r>
      <w:r>
        <w:t xml:space="preserve">companies follow good governance practices. Importantly, the DNSH is based on the</w:t>
      </w:r>
      <w:r>
        <w:t xml:space="preserve"> </w:t>
      </w:r>
      <w:r>
        <w:t xml:space="preserve">‘consideration’ of a number of principal adverse impact indicators (PAIs) provided in Annex I of</w:t>
      </w:r>
      <w:r>
        <w:t xml:space="preserve"> </w:t>
      </w:r>
      <w:r>
        <w:t xml:space="preserve">the delegated regulation.</w:t>
      </w:r>
      <w:r>
        <w:br/>
      </w:r>
      <w:r>
        <w:t xml:space="preserve">The assessment carried out for the review of the underlying drivers behind the problems associated</w:t>
      </w:r>
      <w:r>
        <w:t xml:space="preserve"> </w:t>
      </w:r>
      <w:r>
        <w:t xml:space="preserve">with the SFDR is explained in detail in Annex 11 (Evaluation). On this basis, four regulatory</w:t>
      </w:r>
      <w:r>
        <w:t xml:space="preserve"> </w:t>
      </w:r>
      <w:r>
        <w:t xml:space="preserve">problem drivers were identified:</w:t>
      </w:r>
      <w:r>
        <w:br/>
      </w:r>
      <w:r>
        <w:t xml:space="preserve">First, the Sustainable Finance Disclosure Regulation (SFDR) has faced widespread criticism for</w:t>
      </w:r>
      <w:r>
        <w:t xml:space="preserve"> </w:t>
      </w:r>
      <w:r>
        <w:t xml:space="preserve">being unclear, complex, and difficult to implement, particularly regarding sustainability-related</w:t>
      </w:r>
    </w:p>
    <w:p>
      <w:pPr>
        <w:pStyle w:val="BodyText"/>
      </w:pPr>
      <w:r>
        <w:t xml:space="preserve">21 Commission Delegated Regulation (EU) 2021/1253 of 21 April 2021 amending Delegated Regulation (EU) 2017/565</w:t>
      </w:r>
      <w:r>
        <w:t xml:space="preserve"> </w:t>
      </w:r>
      <w:r>
        <w:t xml:space="preserve">as regards the integration of sustainability factors, risks and preferences into certain organisational requirements and</w:t>
      </w:r>
      <w:r>
        <w:t xml:space="preserve"> </w:t>
      </w:r>
      <w:r>
        <w:t xml:space="preserve">operating conditions for investment firms</w:t>
      </w:r>
      <w:r>
        <w:t xml:space="preserve"> </w:t>
      </w:r>
      <w:r>
        <w:t xml:space="preserve">22 Commission Delegated Regulation (EU) 2021/1257 of 21 April 2021 amending Delegated Regulations (EU)</w:t>
      </w:r>
      <w:r>
        <w:t xml:space="preserve"> </w:t>
      </w:r>
      <w:r>
        <w:t xml:space="preserve">2017/2358 and (EU) 2017/2359 as regards the integration of sustainability factors, risks and preferences into the</w:t>
      </w:r>
      <w:r>
        <w:t xml:space="preserve"> </w:t>
      </w:r>
      <w:r>
        <w:t xml:space="preserve">product oversight and governance requirements for insurance undertakings and insurance distributors and into the rules</w:t>
      </w:r>
      <w:r>
        <w:t xml:space="preserve"> </w:t>
      </w:r>
      <w:r>
        <w:t xml:space="preserve">on conduct of business and investment advice for insurance-based investment products</w:t>
      </w:r>
      <w:r>
        <w:t xml:space="preserve"> </w:t>
      </w:r>
      <w:r>
        <w:t xml:space="preserve">23 Directive 2007/36/EC of the European Parliament and of the Council of 11 July 2007 on the exercise of certain rights</w:t>
      </w:r>
      <w:r>
        <w:t xml:space="preserve"> </w:t>
      </w:r>
      <w:r>
        <w:t xml:space="preserve">of shareholders in listed companies, as amended in 2017, notably Chapter Ib</w:t>
      </w:r>
      <w:r>
        <w:t xml:space="preserve"> </w:t>
      </w:r>
      <w:r>
        <w:t xml:space="preserve">24 Commission proposes to cut red tape and simplify business environment - European Commission The SFDR will</w:t>
      </w:r>
      <w:r>
        <w:t xml:space="preserve"> </w:t>
      </w:r>
      <w:r>
        <w:t xml:space="preserve">also interact with the Directive Corporate Sustainability Due Diligence (CSDDD) (Directive (EU) 2024/1760), which</w:t>
      </w:r>
      <w:r>
        <w:t xml:space="preserve"> </w:t>
      </w:r>
      <w:r>
        <w:t xml:space="preserve">will start to apply as from July 2028, with amendments also to be introduced by the Omnibus simplifications.</w:t>
      </w:r>
      <w:r>
        <w:t xml:space="preserve"> </w:t>
      </w:r>
      <w:r>
        <w:t xml:space="preserve">25 The scope of SFDR includes funds, insurance and pension products.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concepts and disclosure requirements. A key issue is the definition of</w:t>
      </w:r>
      <w:r>
        <w:t xml:space="preserve"> </w:t>
      </w:r>
      <w:r>
        <w:t xml:space="preserve">“sustainable investment,”</w:t>
      </w:r>
      <w:r>
        <w:t xml:space="preserve"> </w:t>
      </w:r>
      <w:r>
        <w:t xml:space="preserve">which includes complex criteria and lacks clarity, especially in relation to the</w:t>
      </w:r>
      <w:r>
        <w:t xml:space="preserve"> </w:t>
      </w:r>
      <w:r>
        <w:t xml:space="preserve">“do no significant</w:t>
      </w:r>
      <w:r>
        <w:t xml:space="preserve"> </w:t>
      </w:r>
      <w:r>
        <w:t xml:space="preserve">harm”</w:t>
      </w:r>
      <w:r>
        <w:t xml:space="preserve"> </w:t>
      </w:r>
      <w:r>
        <w:t xml:space="preserve">principle. Uncertainty also surrounds what constitutes the</w:t>
      </w:r>
      <w:r>
        <w:t xml:space="preserve"> </w:t>
      </w:r>
      <w:r>
        <w:t xml:space="preserve">“promotion”</w:t>
      </w:r>
      <w:r>
        <w:t xml:space="preserve"> </w:t>
      </w:r>
      <w:r>
        <w:t xml:space="preserve">of sustainability</w:t>
      </w:r>
      <w:r>
        <w:t xml:space="preserve"> </w:t>
      </w:r>
      <w:r>
        <w:t xml:space="preserve">characteristics and how to apply entity- and product-level disclosures on principal adverse impacts.</w:t>
      </w:r>
      <w:r>
        <w:t xml:space="preserve"> </w:t>
      </w:r>
      <w:r>
        <w:t xml:space="preserve">These challenges create ambiguity for financial market participants (FMPs), who must navigate</w:t>
      </w:r>
      <w:r>
        <w:t xml:space="preserve"> </w:t>
      </w:r>
      <w:r>
        <w:t xml:space="preserve">unclear requirements and undefined terms. Additionally, the disclosure obligations are often</w:t>
      </w:r>
      <w:r>
        <w:t xml:space="preserve"> </w:t>
      </w:r>
      <w:r>
        <w:t xml:space="preserve">lengthy, overly technical, and lack comparability, reducing their value for end-investors and</w:t>
      </w:r>
      <w:r>
        <w:t xml:space="preserve"> </w:t>
      </w:r>
      <w:r>
        <w:t xml:space="preserve">undermining efforts to combat greenwashing.</w:t>
      </w:r>
      <w:r>
        <w:t xml:space="preserve"> </w:t>
      </w:r>
      <w:r>
        <w:t xml:space="preserve">Second, another significant problem stems from legal misalignments between the SFDR and other</w:t>
      </w:r>
      <w:r>
        <w:t xml:space="preserve"> </w:t>
      </w:r>
      <w:r>
        <w:t xml:space="preserve">EU sustainable finance legislation, such as the Corporate Sustainability Reporting Directive</w:t>
      </w:r>
      <w:r>
        <w:t xml:space="preserve"> </w:t>
      </w:r>
      <w:r>
        <w:t xml:space="preserve">(CSRD), the EU Taxonomy, and MiFID/IDD. These frameworks are meant to work together, but</w:t>
      </w:r>
      <w:r>
        <w:t xml:space="preserve"> </w:t>
      </w:r>
      <w:r>
        <w:t xml:space="preserve">inconsistencies in legal definitions and technical requirements create confusion and hinder legal</w:t>
      </w:r>
      <w:r>
        <w:t xml:space="preserve"> </w:t>
      </w:r>
      <w:r>
        <w:t xml:space="preserve">certainty. Notable discrepancies exist in how sustainability is defined across the SFDR, the</w:t>
      </w:r>
      <w:r>
        <w:t xml:space="preserve"> </w:t>
      </w:r>
      <w:r>
        <w:t xml:space="preserve">Taxonomy Regulation, and the EU Climate Benchmarks, leading to fragmentation and</w:t>
      </w:r>
      <w:r>
        <w:t xml:space="preserve"> </w:t>
      </w:r>
      <w:r>
        <w:t xml:space="preserve">implementation difficulties.</w:t>
      </w:r>
      <w:r>
        <w:t xml:space="preserve"> </w:t>
      </w:r>
      <w:r>
        <w:t xml:space="preserve">Third, the lack of reliable and comprehensive ESG data further hampers effective disclosures.</w:t>
      </w:r>
      <w:r>
        <w:t xml:space="preserve"> </w:t>
      </w:r>
      <w:r>
        <w:t xml:space="preserve">FMPs and financial advisors rely on sustainability information from issuers, but such data is often</w:t>
      </w:r>
      <w:r>
        <w:t xml:space="preserve"> </w:t>
      </w:r>
      <w:r>
        <w:t xml:space="preserve">incomplete or unavailable. This data gap results partly from inconsistencies across the legislative</w:t>
      </w:r>
      <w:r>
        <w:t xml:space="preserve"> </w:t>
      </w:r>
      <w:r>
        <w:t xml:space="preserve">frameworks and from limited ESG disclosure obligations for assets not covered by EU rules,</w:t>
      </w:r>
      <w:r>
        <w:t xml:space="preserve"> </w:t>
      </w:r>
      <w:r>
        <w:t xml:space="preserve">especially those located outside the EU.</w:t>
      </w:r>
      <w:r>
        <w:t xml:space="preserve"> </w:t>
      </w:r>
      <w:r>
        <w:t xml:space="preserve">Finally, the SFDR’s disclosures —Articles 6, 8, and 9—are frequently misused as de facto labels by</w:t>
      </w:r>
      <w:r>
        <w:t xml:space="preserve"> </w:t>
      </w:r>
      <w:r>
        <w:t xml:space="preserve">FMPs, investors, and distributors, despite the regulation not being designed as a labelling</w:t>
      </w:r>
      <w:r>
        <w:t xml:space="preserve"> </w:t>
      </w:r>
      <w:r>
        <w:t xml:space="preserve">framework and lacking harmonised standards. This leads to confusion and inconsistency in their</w:t>
      </w:r>
      <w:r>
        <w:t xml:space="preserve"> </w:t>
      </w:r>
      <w:r>
        <w:t xml:space="preserve">use and interpretation.</w:t>
      </w:r>
      <w:r>
        <w:t xml:space="preserve"> </w:t>
      </w:r>
      <w:r>
        <w:t xml:space="preserve">As summarised in the conclusion of Annex 11, there are a number of root causes for these problem</w:t>
      </w:r>
      <w:r>
        <w:t xml:space="preserve"> </w:t>
      </w:r>
      <w:r>
        <w:t xml:space="preserve">drivers, for a framework which has been in application for only a relatively short period of time,</w:t>
      </w:r>
      <w:r>
        <w:t xml:space="preserve"> </w:t>
      </w:r>
      <w:r>
        <w:t xml:space="preserve">and which inform the lessons learned for the review. Different dates of application for the Level 1</w:t>
      </w:r>
      <w:r>
        <w:t xml:space="preserve"> </w:t>
      </w:r>
      <w:r>
        <w:t xml:space="preserve">and Level 2 implementing measures of the SFDR26 created uncertainty around the key requirements</w:t>
      </w:r>
      <w:r>
        <w:t xml:space="preserve"> </w:t>
      </w:r>
      <w:r>
        <w:t xml:space="preserve">and concepts of the SFDR from the outset27. Challenges in accessing ESG data needed to comply</w:t>
      </w:r>
      <w:r>
        <w:t xml:space="preserve"> </w:t>
      </w:r>
      <w:r>
        <w:t xml:space="preserve">with the new requirements were present from the beginning, exacerbated by the way the SFDR</w:t>
      </w:r>
      <w:r>
        <w:t xml:space="preserve"> </w:t>
      </w:r>
      <w:r>
        <w:t xml:space="preserve">began to apply before other parts of the sustainable finance framework, namely the CSRD and EU</w:t>
      </w:r>
      <w:r>
        <w:t xml:space="preserve"> </w:t>
      </w:r>
      <w:r>
        <w:t xml:space="preserve">Taxonomy, which were intended to increasingly inform product disclosures under the SFDR.</w:t>
      </w:r>
      <w:r>
        <w:t xml:space="preserve"> </w:t>
      </w:r>
      <w:r>
        <w:t xml:space="preserve">Throughout, it also became increasingly evident that investors were not well served by the new,</w:t>
      </w:r>
      <w:r>
        <w:t xml:space="preserve"> </w:t>
      </w:r>
      <w:r>
        <w:t xml:space="preserve">lengthy and complicated disclosures and rules, something which contributed to markets adopting</w:t>
      </w:r>
      <w:r>
        <w:t xml:space="preserve"> </w:t>
      </w:r>
      <w:r>
        <w:t xml:space="preserve">the main disclosure Articles 6, 8 and 9 as a short-hand, misleading technique to convey a high-level</w:t>
      </w:r>
      <w:r>
        <w:t xml:space="preserve"> </w:t>
      </w:r>
      <w:r>
        <w:t xml:space="preserve">sense of diverse products’ key features28.</w:t>
      </w:r>
    </w:p>
    <w:p>
      <w:pPr>
        <w:pStyle w:val="BodyText"/>
      </w:pPr>
      <w:r>
        <w:t xml:space="preserve">26 March 2021 and January 2023, respectively</w:t>
      </w:r>
      <w:r>
        <w:t xml:space="preserve"> </w:t>
      </w:r>
      <w:r>
        <w:t xml:space="preserve">27 Extensive implementation guidance from the European Supervisory Authorities (ESAs) and the Commission was</w:t>
      </w:r>
      <w:r>
        <w:t xml:space="preserve"> </w:t>
      </w:r>
      <w:r>
        <w:t xml:space="preserve">needed to address the underlying complexity of the concepts, and entailed some adjustments in the composition,</w:t>
      </w:r>
      <w:r>
        <w:t xml:space="preserve"> </w:t>
      </w:r>
      <w:r>
        <w:t xml:space="preserve">naming and disclosures of various financial products, adding to the perceived implementation burden.</w:t>
      </w:r>
      <w:r>
        <w:t xml:space="preserve"> </w:t>
      </w:r>
      <w:r>
        <w:t xml:space="preserve">28 Additional national rules in place in some Member States to address perceived shortcomings in the framework also</w:t>
      </w:r>
      <w:r>
        <w:t xml:space="preserve"> </w:t>
      </w:r>
      <w:r>
        <w:t xml:space="preserve">added further complexity and fragmented the single market.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Box 1: problem tree</w:t>
      </w:r>
    </w:p>
    <w:p>
      <w:pPr>
        <w:pStyle w:val="BodyText"/>
      </w:pP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Against this background, it is useful to make a distinction between problems which have resulted</w:t>
      </w:r>
      <w:r>
        <w:t xml:space="preserve"> </w:t>
      </w:r>
      <w:r>
        <w:t xml:space="preserve">for preparers of the SFDR disclosures (i.e. financial market participants) on the one hand, and users</w:t>
      </w:r>
      <w:r>
        <w:t xml:space="preserve"> </w:t>
      </w:r>
      <w:r>
        <w:t xml:space="preserve">of the SFDR disclosures (end-investors and distributors) on the other.</w:t>
      </w:r>
      <w:r>
        <w:br/>
      </w:r>
      <w:r>
        <w:t xml:space="preserve">Problems for FMPs, from a preparer perspective: FMPs are facing difficulties in coping with</w:t>
      </w:r>
      <w:r>
        <w:t xml:space="preserve"> </w:t>
      </w:r>
      <w:r>
        <w:t xml:space="preserve">the lengthy and complex disclosure requirements detailed in the Level 2 Regulation, and in</w:t>
      </w:r>
      <w:r>
        <w:t xml:space="preserve"> </w:t>
      </w:r>
      <w:r>
        <w:t xml:space="preserve">navigating the uncertainty surrounding key sustainability-related obligations and concepts. These</w:t>
      </w:r>
      <w:r>
        <w:t xml:space="preserve"> </w:t>
      </w:r>
      <w:r>
        <w:t xml:space="preserve">lead to high undue burdens and costs which can negatively affect FMPs’ ability and willingness to</w:t>
      </w:r>
      <w:r>
        <w:t xml:space="preserve"> </w:t>
      </w:r>
      <w:r>
        <w:t xml:space="preserve">develop ESG products29 (compared to the absence of such requirements for non-ESG products).</w:t>
      </w:r>
      <w:r>
        <w:br/>
      </w:r>
      <w:r>
        <w:t xml:space="preserve">Problems for investors and distributors, from a user perspective: investors and distributors</w:t>
      </w:r>
      <w:r>
        <w:t xml:space="preserve"> </w:t>
      </w:r>
      <w:r>
        <w:t xml:space="preserve">cannot easily understand or compare ESG claims made by preparers of financial products as per the</w:t>
      </w:r>
      <w:r>
        <w:t xml:space="preserve"> </w:t>
      </w:r>
      <w:r>
        <w:t xml:space="preserve">above, creating misinterpretation and misrepresentation risks, which are being exacerbated by the</w:t>
      </w:r>
      <w:r>
        <w:t xml:space="preserve"> </w:t>
      </w:r>
      <w:r>
        <w:t xml:space="preserve">misuse of the disclosure regime as a de facto labelling system despite the lack of common criteria</w:t>
      </w:r>
      <w:r>
        <w:t xml:space="preserve"> </w:t>
      </w:r>
      <w:r>
        <w:t xml:space="preserve">that could be fit for this purpose.</w:t>
      </w:r>
    </w:p>
    <w:p>
      <w:pPr>
        <w:pStyle w:val="BodyText"/>
      </w:pPr>
      <w:r>
        <w:t xml:space="preserve">29 The terms ‘ESG products’ and ‘sustainability-linked products’ under the SFDR are used interchangeably in this</w:t>
      </w:r>
      <w:r>
        <w:t xml:space="preserve"> </w:t>
      </w:r>
      <w:r>
        <w:t xml:space="preserve">impact assessment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2.1.1. Specific problems from a preparer perspective</w:t>
      </w:r>
      <w:r>
        <w:br/>
      </w:r>
      <w:r>
        <w:t xml:space="preserve">FMPs are struggling to cope with the lengthy and complex disclosure requirements and face</w:t>
      </w:r>
      <w:r>
        <w:t xml:space="preserve"> </w:t>
      </w:r>
      <w:r>
        <w:t xml:space="preserve">uncertainty about SFDR compliance.</w:t>
      </w:r>
      <w:r>
        <w:br/>
      </w:r>
      <w:r>
        <w:t xml:space="preserve">First, FMPs are facing difficulties in accessing the necessary data from underlying</w:t>
      </w:r>
      <w:r>
        <w:t xml:space="preserve"> </w:t>
      </w:r>
      <w:r>
        <w:t xml:space="preserve">investments30. They often struggle to collect, measure or quantify certain indicators to comply with</w:t>
      </w:r>
      <w:r>
        <w:t xml:space="preserve"> </w:t>
      </w:r>
      <w:r>
        <w:t xml:space="preserve">their reporting obligations (described in section 2.2.). 98% of FMPs who responded to the public</w:t>
      </w:r>
      <w:r>
        <w:t xml:space="preserve"> </w:t>
      </w:r>
      <w:r>
        <w:t xml:space="preserve">consultation (176 out of 180) stated facing difficulties in obtaining good-quality data31.</w:t>
      </w:r>
      <w:r>
        <w:br/>
      </w:r>
      <w:r>
        <w:t xml:space="preserve">This is partly due to misalignments in scope between the SFDR and the other sustainable finance</w:t>
      </w:r>
      <w:r>
        <w:t xml:space="preserve"> </w:t>
      </w:r>
      <w:r>
        <w:t xml:space="preserve">rules, and the fact that FMPs invest a large portion of their portfolio in assets that are not subject to</w:t>
      </w:r>
      <w:r>
        <w:t xml:space="preserve"> </w:t>
      </w:r>
      <w:r>
        <w:t xml:space="preserve">EU legislation. As explained in the evaluation, Annex 11 (and Annex 6 on the different pieces of</w:t>
      </w:r>
      <w:r>
        <w:t xml:space="preserve"> </w:t>
      </w:r>
      <w:r>
        <w:t xml:space="preserve">the sustainable finance framework), CSRD and EU Taxonomy Regulation disclosures were</w:t>
      </w:r>
      <w:r>
        <w:t xml:space="preserve"> </w:t>
      </w:r>
      <w:r>
        <w:t xml:space="preserve">supposed to feed into the SFDR reporting requirements (i.e. ensuring that FMPs are receiving high</w:t>
      </w:r>
      <w:r>
        <w:t xml:space="preserve"> </w:t>
      </w:r>
      <w:r>
        <w:t xml:space="preserve">quality and publicly available ESG data from their underlying investments). However, the scope of</w:t>
      </w:r>
      <w:r>
        <w:t xml:space="preserve"> </w:t>
      </w:r>
      <w:r>
        <w:t xml:space="preserve">assets included in FMPs’ portfolios is much larger than the respective scopes of the CSRD and the</w:t>
      </w:r>
      <w:r>
        <w:t xml:space="preserve"> </w:t>
      </w:r>
      <w:r>
        <w:t xml:space="preserve">EU Taxonomy32. As a result, FMPs are not getting public information for certain EU assets (e.g. </w:t>
      </w:r>
      <w:r>
        <w:t xml:space="preserve"> </w:t>
      </w:r>
      <w:r>
        <w:t xml:space="preserve">small non listed companies) and for their investments outside the EU.</w:t>
      </w:r>
      <w:r>
        <w:br/>
      </w:r>
      <w:r>
        <w:t xml:space="preserve">To illustrate this point, between 30% and 50% of the average holdings of EU asset managers</w:t>
      </w:r>
      <w:r>
        <w:t xml:space="preserve"> </w:t>
      </w:r>
      <w:r>
        <w:t xml:space="preserve">consist of entities not subject to CSRD reporting requirements (and therefore do not publish</w:t>
      </w:r>
      <w:r>
        <w:t xml:space="preserve"> </w:t>
      </w:r>
      <w:r>
        <w:t xml:space="preserve">Taxonomy or CSRD related sustainability data)33. For example, the Platform for Sustainable</w:t>
      </w:r>
      <w:r>
        <w:t xml:space="preserve"> </w:t>
      </w:r>
      <w:r>
        <w:t xml:space="preserve">Finance (PSF) highlights the lack of Taxonomy reporting outside of the European Union34 and</w:t>
      </w:r>
      <w:r>
        <w:t xml:space="preserve"> </w:t>
      </w:r>
      <w:r>
        <w:t xml:space="preserve">shows that PAI data is not universally available, despite several indicators. The evidence showed in</w:t>
      </w:r>
      <w:r>
        <w:t xml:space="preserve"> </w:t>
      </w:r>
      <w:r>
        <w:t xml:space="preserve">the evaluation, Annex 11, boxes 12 and 13 shows that companies in the sample (12,000 issuers)</w:t>
      </w:r>
      <w:r>
        <w:t xml:space="preserve"> </w:t>
      </w:r>
      <w:r>
        <w:t xml:space="preserve">were largely able to report data for over half of the mandatory PAIs. However, no single issuer</w:t>
      </w:r>
      <w:r>
        <w:t xml:space="preserve"> </w:t>
      </w:r>
      <w:r>
        <w:t xml:space="preserve">reported data across all indicators. In addition, the evidence shows that the data availability for</w:t>
      </w:r>
      <w:r>
        <w:t xml:space="preserve"> </w:t>
      </w:r>
      <w:r>
        <w:t xml:space="preserve">mandatory PAIs varies widely depending on the indicators and on the type of companies. For</w:t>
      </w:r>
      <w:r>
        <w:t xml:space="preserve"> </w:t>
      </w:r>
      <w:r>
        <w:t xml:space="preserve">example, the SFDR mandatory environmental PAI coverage for small and medium EU companies</w:t>
      </w:r>
      <w:r>
        <w:t xml:space="preserve"> </w:t>
      </w:r>
      <w:r>
        <w:t xml:space="preserve">is close to 0%, and the one of large EU companies is about 30 to 40%. Further, some indicators are</w:t>
      </w:r>
      <w:r>
        <w:t xml:space="preserve"> </w:t>
      </w:r>
      <w:r>
        <w:t xml:space="preserve">being reported by less than 10% of issuers, such as the PAI on biodiversity, water, violations of the</w:t>
      </w:r>
      <w:r>
        <w:t xml:space="preserve"> </w:t>
      </w:r>
      <w:r>
        <w:t xml:space="preserve">UNGC principles ad OECD Guidelines for SMEs, and gender pay gap.</w:t>
      </w:r>
      <w:r>
        <w:br/>
      </w:r>
      <w:r>
        <w:t xml:space="preserve">As a result, FMPs often source the missing data either internally or commercially from third party</w:t>
      </w:r>
      <w:r>
        <w:t xml:space="preserve"> </w:t>
      </w:r>
      <w:r>
        <w:t xml:space="preserve">providers35. The over-reliance on the use of estimates, coupled with the lack of guidance on how to</w:t>
      </w:r>
      <w:r>
        <w:t xml:space="preserve"> </w:t>
      </w:r>
      <w:r>
        <w:t xml:space="preserve">produce such estimates and the lack of regulatory framework on third-party providers of such</w:t>
      </w:r>
      <w:r>
        <w:t xml:space="preserve"> </w:t>
      </w:r>
      <w:r>
        <w:t xml:space="preserve">estimates, results in additional operational, regulatory and reputational risk for FMPs.</w:t>
      </w:r>
    </w:p>
    <w:p>
      <w:pPr>
        <w:pStyle w:val="BodyText"/>
      </w:pPr>
      <w:r>
        <w:t xml:space="preserve">30 Associated problem drivers: (1) misalignments with other sustainable finance rules; (2) lack of ESG data and</w:t>
      </w:r>
      <w:r>
        <w:t xml:space="preserve"> </w:t>
      </w:r>
      <w:r>
        <w:t xml:space="preserve">insufficient guidance on estimations</w:t>
      </w:r>
      <w:r>
        <w:t xml:space="preserve"> </w:t>
      </w:r>
      <w:r>
        <w:t xml:space="preserve">31 European Commission, Summary Report of the open and targeted consultations of the SFDR assessment, published</w:t>
      </w:r>
      <w:r>
        <w:t xml:space="preserve"> </w:t>
      </w:r>
      <w:r>
        <w:t xml:space="preserve">May 2024</w:t>
      </w:r>
      <w:r>
        <w:t xml:space="preserve"> </w:t>
      </w:r>
      <w:r>
        <w:t xml:space="preserve">32 Current scope and timing for reporting under the CSRD and the EU Taxonomy (for financial year 2024): large EU</w:t>
      </w:r>
      <w:r>
        <w:t xml:space="preserve"> </w:t>
      </w:r>
      <w:r>
        <w:t xml:space="preserve">undertakings within the meaning of Article 3(4) of Directive 2013/34/EU which are public-interest entities (listed</w:t>
      </w:r>
      <w:r>
        <w:t xml:space="preserve"> </w:t>
      </w:r>
      <w:r>
        <w:t xml:space="preserve">companies, credit institutions, insurance undertakings, others designated as public-interest entities by Member States)</w:t>
      </w:r>
      <w:r>
        <w:t xml:space="preserve"> </w:t>
      </w:r>
      <w:r>
        <w:t xml:space="preserve">exceeding on their balance sheet dates the average number of 500 employees during the financial year.</w:t>
      </w:r>
      <w:r>
        <w:br/>
      </w:r>
      <w:r>
        <w:t xml:space="preserve">33 ESMA report on Trends, Risks and Vulnerabilities (TRV), 2023</w:t>
      </w:r>
      <w:r>
        <w:t xml:space="preserve"> </w:t>
      </w:r>
      <w:r>
        <w:t xml:space="preserve">34 Platform for Sustainable, Briefing on EC targeted consultation regarding SFDR implementation, Annex A p.50,</w:t>
      </w:r>
      <w:r>
        <w:t xml:space="preserve"> </w:t>
      </w:r>
      <w:r>
        <w:t xml:space="preserve">December 2023. Only 72 companies outside of the EU report data, including 43 in the US and Canada, 5 in Latin</w:t>
      </w:r>
      <w:r>
        <w:t xml:space="preserve"> </w:t>
      </w:r>
      <w:r>
        <w:t xml:space="preserve">America and Caribbean, 5 in Asia/Pacific, and 2 in Africa/Middle East.</w:t>
      </w:r>
      <w:r>
        <w:t xml:space="preserve"> </w:t>
      </w:r>
      <w:r>
        <w:t xml:space="preserve">35 EFAMA responses to EC targeted consultation on the implementation of the SFDR, 20 December 2023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In addition, FMPs are facing difficulties in applying the complex and sometimes mis-aligned</w:t>
      </w:r>
      <w:r>
        <w:t xml:space="preserve"> </w:t>
      </w:r>
      <w:r>
        <w:t xml:space="preserve">sustainability-related concepts underlying the disclosure requirements36. The bulk of the</w:t>
      </w:r>
      <w:r>
        <w:t xml:space="preserve"> </w:t>
      </w:r>
      <w:r>
        <w:t xml:space="preserve">complexities (as described in the evaluation annex 11 section 3.1) comes from the multiple layers</w:t>
      </w:r>
      <w:r>
        <w:t xml:space="preserve"> </w:t>
      </w:r>
      <w:r>
        <w:t xml:space="preserve">of the sustainability assessment introduced by the definition of sustainable investment (Article</w:t>
      </w:r>
      <w:r>
        <w:t xml:space="preserve"> </w:t>
      </w:r>
      <w:r>
        <w:t xml:space="preserve">2(17) SFDR) as well as several misalignments between the SFDR concepts and sustainability-</w:t>
      </w:r>
      <w:r>
        <w:t xml:space="preserve"> </w:t>
      </w:r>
      <w:r>
        <w:t xml:space="preserve">related concepts defined under other pieces of the sustainable finance framework (e.g. the EU</w:t>
      </w:r>
      <w:r>
        <w:t xml:space="preserve"> </w:t>
      </w:r>
      <w:r>
        <w:t xml:space="preserve">Taxonomy and the EU Climate Benchmarks)37.</w:t>
      </w:r>
      <w:r>
        <w:br/>
      </w:r>
      <w:r>
        <w:t xml:space="preserve">As a result, FMPs pointed to several operational difficulties when applying certain SFDR concepts.</w:t>
      </w:r>
      <w:r>
        <w:t xml:space="preserve"> </w:t>
      </w:r>
      <w:r>
        <w:t xml:space="preserve">For example, 80% of FMPs that responded to the public consultation stated facing uncertainty and</w:t>
      </w:r>
      <w:r>
        <w:t xml:space="preserve"> </w:t>
      </w:r>
      <w:r>
        <w:t xml:space="preserve">methodological challenges with the requirement to ‘take into account of’ the principal adverse</w:t>
      </w:r>
      <w:r>
        <w:t xml:space="preserve"> </w:t>
      </w:r>
      <w:r>
        <w:t xml:space="preserve">impact (PAI) indicators established in the Level 2 Regulation at entity level for the ‘do no</w:t>
      </w:r>
      <w:r>
        <w:t xml:space="preserve"> </w:t>
      </w:r>
      <w:r>
        <w:t xml:space="preserve">significant harm’(DNSH) test at product level38. Stakeholders also flagged difficulties when</w:t>
      </w:r>
      <w:r>
        <w:t xml:space="preserve"> </w:t>
      </w:r>
      <w:r>
        <w:t xml:space="preserve">applying the Taxonomy-related concepts or the EU Climate Benchmark due to misalignments and</w:t>
      </w:r>
      <w:r>
        <w:t xml:space="preserve"> </w:t>
      </w:r>
      <w:r>
        <w:t xml:space="preserve">legal uncertainties regarding the status of investments in taxonomy aligned economic activities and</w:t>
      </w:r>
      <w:r>
        <w:t xml:space="preserve"> </w:t>
      </w:r>
      <w:r>
        <w:t xml:space="preserve">of products tracking EU climate benchmarks under the SFDR.</w:t>
      </w:r>
      <w:r>
        <w:br/>
      </w:r>
      <w:r>
        <w:t xml:space="preserve">The problems mentioned have been notably acute for FMPs active in the pension and insurance</w:t>
      </w:r>
      <w:r>
        <w:t xml:space="preserve"> </w:t>
      </w:r>
      <w:r>
        <w:t xml:space="preserve">sectors. Pension products, schemes and insurance-based investment products are covered the SFDR</w:t>
      </w:r>
      <w:r>
        <w:t xml:space="preserve"> </w:t>
      </w:r>
      <w:r>
        <w:t xml:space="preserve">disclosures, yet some of the main assets they invest in (i.e. including sovereign debt), maintained</w:t>
      </w:r>
      <w:r>
        <w:t xml:space="preserve"> </w:t>
      </w:r>
      <w:r>
        <w:t xml:space="preserve">for regulatory and diversification purposes, cannot be easily assessed against specific metrics in the</w:t>
      </w:r>
      <w:r>
        <w:t xml:space="preserve"> </w:t>
      </w:r>
      <w:r>
        <w:t xml:space="preserve">SFDR and broader ESG framework (i.e. principal adverse impacts, taxonomy-alignment, etc). This,</w:t>
      </w:r>
      <w:r>
        <w:t xml:space="preserve"> </w:t>
      </w:r>
      <w:r>
        <w:t xml:space="preserve">coupled with data availability issues, has led to difficulties for them to align their portfolios with</w:t>
      </w:r>
      <w:r>
        <w:t xml:space="preserve"> </w:t>
      </w:r>
      <w:r>
        <w:t xml:space="preserve">the defined sustainability concepts (i.e. taxonomy-alignment or sustainable investment), hindering</w:t>
      </w:r>
      <w:r>
        <w:t xml:space="preserve"> </w:t>
      </w:r>
      <w:r>
        <w:t xml:space="preserve">these FMPs from providing an accurate picture of their ESG profile39.</w:t>
      </w:r>
      <w:r>
        <w:br/>
      </w:r>
      <w:r>
        <w:t xml:space="preserve">FMPs have also reported barriers to implement strategies linked to transition finance due to the</w:t>
      </w:r>
      <w:r>
        <w:t xml:space="preserve"> </w:t>
      </w:r>
      <w:r>
        <w:t xml:space="preserve">misalignments between the underlying elements of the SFDR sustainable investment definition and</w:t>
      </w:r>
      <w:r>
        <w:t xml:space="preserve"> </w:t>
      </w:r>
      <w:r>
        <w:t xml:space="preserve">the features of transitional investments (more details in the evaluation annex 11).</w:t>
      </w:r>
      <w:r>
        <w:br/>
      </w:r>
      <w:r>
        <w:t xml:space="preserve">Finally, FMPs are facing uncertainty about SFDR compliance due to the lack of clarity</w:t>
      </w:r>
      <w:r>
        <w:t xml:space="preserve"> </w:t>
      </w:r>
      <w:r>
        <w:t xml:space="preserve">surrounding key sustainability-related concepts and their interactions40. As noted in the</w:t>
      </w:r>
      <w:r>
        <w:t xml:space="preserve"> </w:t>
      </w:r>
      <w:r>
        <w:t xml:space="preserve">evaluation, Annex 11, different interpretations of the regulatory requirements are possible and have</w:t>
      </w:r>
      <w:r>
        <w:t xml:space="preserve"> </w:t>
      </w:r>
      <w:r>
        <w:t xml:space="preserve">led FMPs to adopt different approaches. This is particularly the case for the calculation of</w:t>
      </w:r>
      <w:r>
        <w:t xml:space="preserve"> </w:t>
      </w:r>
      <w:r>
        <w:t xml:space="preserve">sustainable investment exposure, which led to diverging approaches within the market and yielded</w:t>
      </w:r>
      <w:r>
        <w:t xml:space="preserve"> </w:t>
      </w:r>
      <w:r>
        <w:t xml:space="preserve">significantly different outcomes/results (see box 9, 10 and 11 in annex 11 illustrative examples</w:t>
      </w:r>
      <w:r>
        <w:t xml:space="preserve"> </w:t>
      </w:r>
      <w:r>
        <w:t xml:space="preserve">and explanation).</w:t>
      </w:r>
      <w:r>
        <w:br/>
      </w:r>
      <w:r>
        <w:t xml:space="preserve">The ambiguity of the legal text poses difficulties for a uniform interpretation and</w:t>
      </w:r>
      <w:r>
        <w:t xml:space="preserve"> </w:t>
      </w:r>
      <w:r>
        <w:t xml:space="preserve">implementation of the law. While a certain level of flexibility is desirable and necessary for</w:t>
      </w:r>
      <w:r>
        <w:t xml:space="preserve"> </w:t>
      </w:r>
      <w:r>
        <w:t xml:space="preserve">product innovation and to accommodate different ESG strategies and assets, the important</w:t>
      </w:r>
      <w:r>
        <w:t xml:space="preserve"> </w:t>
      </w:r>
      <w:r>
        <w:t xml:space="preserve">differences in FMPs’ implementation approaches have raised doubts concerning the regulatory</w:t>
      </w:r>
    </w:p>
    <w:p>
      <w:pPr>
        <w:pStyle w:val="BodyText"/>
      </w:pPr>
      <w:r>
        <w:t xml:space="preserve">36 Associate problem drivers: (1) unclear, lengthy and complex disclosure requirements and ESG concepts ; (2)</w:t>
      </w:r>
      <w:r>
        <w:t xml:space="preserve"> </w:t>
      </w:r>
      <w:r>
        <w:t xml:space="preserve">misalignments with other sustainable finance rules.</w:t>
      </w:r>
      <w:r>
        <w:t xml:space="preserve"> </w:t>
      </w:r>
      <w:r>
        <w:t xml:space="preserve">37 The fact that different parts of the EU sustainable finance framework were developed and entered into application at</w:t>
      </w:r>
      <w:r>
        <w:t xml:space="preserve"> </w:t>
      </w:r>
      <w:r>
        <w:t xml:space="preserve">different times, spanning 2018-2025 through a combination of Level 1 and Level 2 texts (and Level 3 guidance/Q&amp;As),</w:t>
      </w:r>
      <w:r>
        <w:t xml:space="preserve"> </w:t>
      </w:r>
      <w:r>
        <w:t xml:space="preserve">is a contributing factor to the complexity (see also section 3.1 of Annex 9).</w:t>
      </w:r>
      <w:r>
        <w:br/>
      </w:r>
      <w:r>
        <w:t xml:space="preserve">38 European Commission, Summary Report of the open and targeted consultations of the SFDR assessment, published</w:t>
      </w:r>
      <w:r>
        <w:t xml:space="preserve"> </w:t>
      </w:r>
      <w:r>
        <w:t xml:space="preserve">May 2024</w:t>
      </w:r>
      <w:r>
        <w:t xml:space="preserve"> </w:t>
      </w:r>
      <w:r>
        <w:t xml:space="preserve">39 Annex 6 gives further background on the challenges for pensions and insurance providers</w:t>
      </w:r>
      <w:r>
        <w:t xml:space="preserve"> </w:t>
      </w:r>
      <w:r>
        <w:t xml:space="preserve">40 Associated problem drivers : (1) unclear requirements and ESG concepts ; (2) misalignments with other sustainable</w:t>
      </w:r>
      <w:r>
        <w:t xml:space="preserve"> </w:t>
      </w:r>
      <w:r>
        <w:t xml:space="preserve">finance rules ; (3) disclosure articles used as categorisation while not being fit for this purpose.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expectations under the SFDR. In addition, the lack of transparency on the approaches taken and</w:t>
      </w:r>
      <w:r>
        <w:t xml:space="preserve"> </w:t>
      </w:r>
      <w:r>
        <w:t xml:space="preserve">underlying methodologies has created concerns about potential misinterpretation for both</w:t>
      </w:r>
      <w:r>
        <w:t xml:space="preserve"> </w:t>
      </w:r>
      <w:r>
        <w:t xml:space="preserve">investors and distributors/advisers. (see evaluation, Annex 11)</w:t>
      </w:r>
      <w:r>
        <w:t xml:space="preserve"> </w:t>
      </w:r>
      <w:r>
        <w:t xml:space="preserve">The ESAs and Commission have provided extensive guidance in the shape of Q&amp;As to facilitate</w:t>
      </w:r>
      <w:r>
        <w:t xml:space="preserve"> </w:t>
      </w:r>
      <w:r>
        <w:t xml:space="preserve">common interpretations and practical application41. However, this has not prevented some national</w:t>
      </w:r>
      <w:r>
        <w:t xml:space="preserve"> </w:t>
      </w:r>
      <w:r>
        <w:t xml:space="preserve">competent authorities (NCAs) from assuming diverging national supervisory expectations (e.g. </w:t>
      </w:r>
      <w:r>
        <w:t xml:space="preserve"> </w:t>
      </w:r>
      <w:r>
        <w:t xml:space="preserve">what they consider as an acceptable approach to ‘sustainable investment’) and the emergence of</w:t>
      </w:r>
      <w:r>
        <w:t xml:space="preserve"> </w:t>
      </w:r>
      <w:r>
        <w:t xml:space="preserve">additional national requirements (e.g. minimum criteria for communicating on ESG features and</w:t>
      </w:r>
      <w:r>
        <w:t xml:space="preserve"> </w:t>
      </w:r>
      <w:r>
        <w:t xml:space="preserve">ESG national labels). A summary of the different national rules and labels is provided in Annex 9.</w:t>
      </w:r>
      <w:r>
        <w:t xml:space="preserve"> </w:t>
      </w:r>
      <w:r>
        <w:t xml:space="preserve">As a result, most respondents of the public consultations confirmed that these limitations (i.e. lack</w:t>
      </w:r>
      <w:r>
        <w:t xml:space="preserve"> </w:t>
      </w:r>
      <w:r>
        <w:t xml:space="preserve">of clarity and diverging national supervisory expectations and rules) are currently creating high</w:t>
      </w:r>
      <w:r>
        <w:t xml:space="preserve"> </w:t>
      </w:r>
      <w:r>
        <w:t xml:space="preserve">levels of legal uncertainty (79%, 233 out of 296)42 and reputation risks for FMPs and financial</w:t>
      </w:r>
      <w:r>
        <w:t xml:space="preserve"> </w:t>
      </w:r>
      <w:r>
        <w:t xml:space="preserve">advisers (80%, 237 out of 297)43.</w:t>
      </w:r>
      <w:r>
        <w:br/>
      </w:r>
      <w:r>
        <w:t xml:space="preserve">As a result, FMPs are facing excessive compliance costs and burdens</w:t>
      </w:r>
      <w:r>
        <w:br/>
      </w:r>
      <w:r>
        <w:t xml:space="preserve">The complexities of the SFDR concepts and the length of the disclosure obligations are creating</w:t>
      </w:r>
      <w:r>
        <w:t xml:space="preserve"> </w:t>
      </w:r>
      <w:r>
        <w:t xml:space="preserve">considerable burdens on FMPs. The implementation has been reported as very costly, time</w:t>
      </w:r>
      <w:r>
        <w:t xml:space="preserve"> </w:t>
      </w:r>
      <w:r>
        <w:t xml:space="preserve">consuming, and the resources needed have been flagged as disproportionate.</w:t>
      </w:r>
      <w:r>
        <w:br/>
      </w:r>
      <w:r>
        <w:t xml:space="preserve">In addition, the lack of clarity of the requirements and the inconsistencies, as well as some</w:t>
      </w:r>
      <w:r>
        <w:t xml:space="preserve"> </w:t>
      </w:r>
      <w:r>
        <w:t xml:space="preserve">overlaps44 with the rest of the sustainable finance framework is generating additional undue costs</w:t>
      </w:r>
      <w:r>
        <w:t xml:space="preserve"> </w:t>
      </w:r>
      <w:r>
        <w:t xml:space="preserve">and efforts for FMPs45. National gold plating measures and diverging national expectations also</w:t>
      </w:r>
      <w:r>
        <w:t xml:space="preserve"> </w:t>
      </w:r>
      <w:r>
        <w:t xml:space="preserve">translate into additional burdens, especially for FMPs marketing products in different member</w:t>
      </w:r>
      <w:r>
        <w:t xml:space="preserve"> </w:t>
      </w:r>
      <w:r>
        <w:t xml:space="preserve">states (need to meet different regulatory expectations).</w:t>
      </w:r>
      <w:r>
        <w:br/>
      </w:r>
      <w:r>
        <w:t xml:space="preserve">Finally, the lack of availability/comparability of ESG information from underlying investments on</w:t>
      </w:r>
      <w:r>
        <w:t xml:space="preserve"> </w:t>
      </w:r>
      <w:r>
        <w:t xml:space="preserve">a geographical/jurisdictional basis links with increases in search costs for investors (see next</w:t>
      </w:r>
      <w:r>
        <w:t xml:space="preserve"> </w:t>
      </w:r>
      <w:r>
        <w:t xml:space="preserve">section, thereby undermining their ability to scale their investment strategies internationally.</w:t>
      </w:r>
    </w:p>
    <w:p>
      <w:pPr>
        <w:pStyle w:val="BodyText"/>
      </w:pPr>
      <w:r>
        <w:t xml:space="preserve">41 Consolidated Q&amp;As on the SFDR - JC 2023 18 - Consolidated JC SFDR QAs</w:t>
      </w:r>
      <w:r>
        <w:br/>
      </w:r>
      <w:r>
        <w:t xml:space="preserve">42 European Commission, Summary Report of the open and targeted consultations of the SFDR assessment, published</w:t>
      </w:r>
      <w:r>
        <w:t xml:space="preserve"> </w:t>
      </w:r>
      <w:r>
        <w:t xml:space="preserve">May 2024</w:t>
      </w:r>
      <w:r>
        <w:t xml:space="preserve"> </w:t>
      </w:r>
      <w:r>
        <w:t xml:space="preserve">43 European Commission, Summary Report of the open and targeted consultations of the SFDR assessment, published</w:t>
      </w:r>
      <w:r>
        <w:t xml:space="preserve"> </w:t>
      </w:r>
      <w:r>
        <w:t xml:space="preserve">May 2024</w:t>
      </w:r>
      <w:r>
        <w:t xml:space="preserve"> </w:t>
      </w:r>
      <w:r>
        <w:t xml:space="preserve">44 Notably, FMPs with more than 500 employees, totalling around 400 entities, are subject both to mandatory PAI</w:t>
      </w:r>
      <w:r>
        <w:t xml:space="preserve"> </w:t>
      </w:r>
      <w:r>
        <w:t xml:space="preserve">disclosures under Article 4(3) SFDR and disclosures under the CSRD according to ESRS (Source: ESAs report on PAI</w:t>
      </w:r>
      <w:r>
        <w:t xml:space="preserve"> </w:t>
      </w:r>
      <w:r>
        <w:t xml:space="preserve">disclosures 2024). In the consultation, while many FMPs and financial advisers welcomed the alignment between the</w:t>
      </w:r>
      <w:r>
        <w:t xml:space="preserve"> </w:t>
      </w:r>
      <w:r>
        <w:t xml:space="preserve">PAI indicators of the SFDR and ESRS, when asked if the SFDR disclosures are consistent with the CSRD</w:t>
      </w:r>
      <w:r>
        <w:t xml:space="preserve"> </w:t>
      </w:r>
      <w:r>
        <w:t xml:space="preserve">requirements, more respondents disagreed (47%, 134 out of 285) than agreed (15%, 42 out of 285). A large majority of</w:t>
      </w:r>
      <w:r>
        <w:t xml:space="preserve"> </w:t>
      </w:r>
      <w:r>
        <w:t xml:space="preserve">respondents totally or mostly agreed (76%, 216 out of 284) that there is room to streamline entity-level disclosure</w:t>
      </w:r>
      <w:r>
        <w:t xml:space="preserve"> </w:t>
      </w:r>
      <w:r>
        <w:t xml:space="preserve">requirements under the SFDR and the CSRD. European Commission, Summary Report of the open and targeted</w:t>
      </w:r>
      <w:r>
        <w:t xml:space="preserve"> </w:t>
      </w:r>
      <w:r>
        <w:t xml:space="preserve">consultations of the SFDR assessment, published May 2024</w:t>
      </w:r>
      <w:r>
        <w:t xml:space="preserve"> </w:t>
      </w:r>
      <w:r>
        <w:t xml:space="preserve">45 For example, the European Fund and Asset Management Association (EFAMA) states that ‘some unclear aspects of</w:t>
      </w:r>
      <w:r>
        <w:t xml:space="preserve"> </w:t>
      </w:r>
      <w:r>
        <w:t xml:space="preserve">the SFDR have forced our members to (…) seek expensive external legal advice, further increasing the implementation</w:t>
      </w:r>
      <w:r>
        <w:t xml:space="preserve"> </w:t>
      </w:r>
      <w:r>
        <w:t xml:space="preserve">costs.’ EFAMA responses to EC targeted consultation on the implementation of the SFDR, 20 December 2023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2.1.2. Specific problems from a user perspective (investors and distributors)</w:t>
      </w:r>
      <w:r>
        <w:t xml:space="preserve"> </w:t>
      </w:r>
      <w:r>
        <w:t xml:space="preserve">Investors (and distributors) cannot easily understand or compare the ESG features and claims of</w:t>
      </w:r>
      <w:r>
        <w:t xml:space="preserve"> </w:t>
      </w:r>
      <w:r>
        <w:t xml:space="preserve">financial products</w:t>
      </w:r>
      <w:r>
        <w:br/>
      </w:r>
      <w:r>
        <w:t xml:space="preserve">First, the length and complexity of the SFDR disclosures have not empowered end-investors</w:t>
      </w:r>
      <w:r>
        <w:t xml:space="preserve"> </w:t>
      </w:r>
      <w:r>
        <w:t xml:space="preserve">(and distributors) to understand and compare ESG features46. The information provided to</w:t>
      </w:r>
      <w:r>
        <w:t xml:space="preserve"> </w:t>
      </w:r>
      <w:r>
        <w:t xml:space="preserve">investors at the level of product is ‘not easily comprehensible and demands a high level of</w:t>
      </w:r>
      <w:r>
        <w:t xml:space="preserve"> </w:t>
      </w:r>
      <w:r>
        <w:t xml:space="preserve">familiarity with environmental metrics, performance data and the regulatory framework’47. The</w:t>
      </w:r>
      <w:r>
        <w:t xml:space="preserve"> </w:t>
      </w:r>
      <w:r>
        <w:t xml:space="preserve">SFDR concepts (e.g. ‘taxonomy-alignment’, ‘proportion of sustainable investment’, ‘consideration</w:t>
      </w:r>
      <w:r>
        <w:t xml:space="preserve"> </w:t>
      </w:r>
      <w:r>
        <w:t xml:space="preserve">of principal adverse impact’) contrast starkly with the way retail investors express their</w:t>
      </w:r>
      <w:r>
        <w:t xml:space="preserve"> </w:t>
      </w:r>
      <w:r>
        <w:t xml:space="preserve">sustainability preferences, and many investors do not possess the necessary understanding to</w:t>
      </w:r>
      <w:r>
        <w:t xml:space="preserve"> </w:t>
      </w:r>
      <w:r>
        <w:t xml:space="preserve">interpret such information. This affects their ability to assess the sustainability performance of</w:t>
      </w:r>
      <w:r>
        <w:t xml:space="preserve"> </w:t>
      </w:r>
      <w:r>
        <w:t xml:space="preserve">financial products. Findings from the majority of the EU consumer studies conducted in recent</w:t>
      </w:r>
      <w:r>
        <w:t xml:space="preserve"> </w:t>
      </w:r>
      <w:r>
        <w:t xml:space="preserve">years confirm these statements.</w:t>
      </w:r>
      <w:r>
        <w:br/>
      </w:r>
      <w:r>
        <w:t xml:space="preserve">Consumers’ associations also argue that ‘pre-disclosure templates are unnecessarily long and can</w:t>
      </w:r>
      <w:r>
        <w:t xml:space="preserve"> </w:t>
      </w:r>
      <w:r>
        <w:t xml:space="preserve">be very confusing and time consuming for retail investors48’ and ‘and not designed in a way that</w:t>
      </w:r>
      <w:r>
        <w:t xml:space="preserve"> </w:t>
      </w:r>
      <w:r>
        <w:t xml:space="preserve">can be easily understood49’. Certain studies also argue that such ‘overflow of complex disclosures</w:t>
      </w:r>
      <w:r>
        <w:t xml:space="preserve"> </w:t>
      </w:r>
      <w:r>
        <w:t xml:space="preserve">form a barrier to understanding the ESG strategy employed in their investments50’. The findings</w:t>
      </w:r>
      <w:r>
        <w:t xml:space="preserve"> </w:t>
      </w:r>
      <w:r>
        <w:t xml:space="preserve">are summarised in annex 10.</w:t>
      </w:r>
      <w:r>
        <w:t xml:space="preserve"> </w:t>
      </w:r>
      <w:r>
        <w:t xml:space="preserve">This assessment is reflected in the responses to the public consultation, with 84% (249 out of 296)</w:t>
      </w:r>
      <w:r>
        <w:t xml:space="preserve"> </w:t>
      </w:r>
      <w:r>
        <w:t xml:space="preserve">of respondents stating that the disclosures required by the SFDR are not sufficiently useful to</w:t>
      </w:r>
      <w:r>
        <w:t xml:space="preserve"> </w:t>
      </w:r>
      <w:r>
        <w:t xml:space="preserve">investors51. A majority of stakeholders also sees limited usefulness in the SFDR disclosures</w:t>
      </w:r>
      <w:r>
        <w:t xml:space="preserve"> </w:t>
      </w:r>
      <w:r>
        <w:t xml:space="preserve">provided at the level of the entities to end-investors, with only 31% (86 out of 281) of respondents</w:t>
      </w:r>
      <w:r>
        <w:t xml:space="preserve"> </w:t>
      </w:r>
      <w:r>
        <w:t xml:space="preserve">to the public consultation considering them useful. According to EFAMA, retail investors typically</w:t>
      </w:r>
      <w:r>
        <w:t xml:space="preserve"> </w:t>
      </w:r>
      <w:r>
        <w:t xml:space="preserve">focus on disclosures in relation to specific financial products rather than the companies managing</w:t>
      </w:r>
      <w:r>
        <w:t xml:space="preserve"> </w:t>
      </w:r>
      <w:r>
        <w:t xml:space="preserve">these products. Consequently, ‘the demand for entity-level disclosures is relatively low, as</w:t>
      </w:r>
      <w:r>
        <w:t xml:space="preserve"> </w:t>
      </w:r>
      <w:r>
        <w:t xml:space="preserve">(investors’) primary concern lies with the details of the individual investment products</w:t>
      </w:r>
      <w:r>
        <w:t xml:space="preserve"> </w:t>
      </w:r>
      <w:r>
        <w:t xml:space="preserve">themselves’52.</w:t>
      </w:r>
      <w:r>
        <w:br/>
      </w:r>
      <w:r>
        <w:t xml:space="preserve">In addition, the disclosures made under the SFDR often lack comparability53. Different</w:t>
      </w:r>
      <w:r>
        <w:t xml:space="preserve"> </w:t>
      </w:r>
      <w:r>
        <w:t xml:space="preserve">interpretations of the regulation have led FMPs to adopt different approaches when applying key</w:t>
      </w:r>
      <w:r>
        <w:t xml:space="preserve"> </w:t>
      </w:r>
      <w:r>
        <w:t xml:space="preserve">SFDR concepts, especially the calculation of sustainable investment exposure (see the illustrative</w:t>
      </w:r>
      <w:r>
        <w:t xml:space="preserve"> </w:t>
      </w:r>
      <w:r>
        <w:t xml:space="preserve">example in the evaluation annex 11 box 11). As a result, products with similar mandates and</w:t>
      </w:r>
      <w:r>
        <w:t xml:space="preserve"> </w:t>
      </w:r>
      <w:r>
        <w:t xml:space="preserve">portfolios will report divergent exposures to sustainable investments depending on the methodology</w:t>
      </w:r>
      <w:r>
        <w:t xml:space="preserve"> </w:t>
      </w:r>
      <w:r>
        <w:t xml:space="preserve">chosen. The lack of transparency regarding the approach taken and the underlying methodologies is</w:t>
      </w:r>
      <w:r>
        <w:t xml:space="preserve"> </w:t>
      </w:r>
      <w:r>
        <w:t xml:space="preserve">making it impossible for end-investors to compare competing products. The discretion in how to</w:t>
      </w:r>
      <w:r>
        <w:t xml:space="preserve"> </w:t>
      </w:r>
      <w:r>
        <w:t xml:space="preserve">consider PAIs also does not ensure comparability, while reporting on products’ Taxonomy-</w:t>
      </w:r>
      <w:r>
        <w:t xml:space="preserve"> </w:t>
      </w:r>
      <w:r>
        <w:t xml:space="preserve">alignment is limited and only gives a partial account of their overall footprint. The reasons</w:t>
      </w:r>
    </w:p>
    <w:p>
      <w:pPr>
        <w:pStyle w:val="BodyText"/>
      </w:pPr>
      <w:r>
        <w:t xml:space="preserve">46 Associated problem driver: unclear, lengthy and complex disclosure requirements and ESG concepts</w:t>
      </w:r>
      <w:r>
        <w:t xml:space="preserve"> </w:t>
      </w:r>
      <w:r>
        <w:t xml:space="preserve">47 Platform for Sustainable, Briefing on EC targeted consultation regarding SFDR implementation, December 2023</w:t>
      </w:r>
      <w:r>
        <w:t xml:space="preserve"> </w:t>
      </w:r>
      <w:r>
        <w:t xml:space="preserve">48 FSUG response to SFDR consultation, December 2023</w:t>
      </w:r>
      <w:r>
        <w:br/>
      </w:r>
      <w:r>
        <w:t xml:space="preserve">49 Finance Watch response to SFDR consultation, December 2023</w:t>
      </w:r>
      <w:r>
        <w:br/>
      </w:r>
      <w:r>
        <w:t xml:space="preserve">50 EFAMA responses to EC targeted consultation on the implementation of the SFDR, 20 December 2023</w:t>
      </w:r>
      <w:r>
        <w:t xml:space="preserve"> </w:t>
      </w:r>
      <w:r>
        <w:t xml:space="preserve">51 European Commission, Summary Report of the open and targeted consultations of the SFDR assessment, published</w:t>
      </w:r>
      <w:r>
        <w:t xml:space="preserve"> </w:t>
      </w:r>
      <w:r>
        <w:t xml:space="preserve">May 2024</w:t>
      </w:r>
      <w:r>
        <w:t xml:space="preserve"> </w:t>
      </w:r>
      <w:r>
        <w:t xml:space="preserve">52 EFAMA responses to EC targeted consultation on the implementation of the SFDR, 20 December 2023</w:t>
      </w:r>
      <w:r>
        <w:t xml:space="preserve"> </w:t>
      </w:r>
      <w:r>
        <w:t xml:space="preserve">53 Associated problem drivers : (1) unclear, lengthy and complex disclosure requirements and ESG concepts ; (2)</w:t>
      </w:r>
      <w:r>
        <w:t xml:space="preserve"> </w:t>
      </w:r>
      <w:r>
        <w:t xml:space="preserve">misalignments and duplications with other sustainable finance rules; (3) lack of ESG data and insufficient guidance on</w:t>
      </w:r>
      <w:r>
        <w:t xml:space="preserve"> </w:t>
      </w:r>
      <w:r>
        <w:t xml:space="preserve">estimations.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underlying the lack of comparability are further described in the evaluation, Annex 11 under</w:t>
      </w:r>
      <w:r>
        <w:t xml:space="preserve"> </w:t>
      </w:r>
      <w:r>
        <w:t xml:space="preserve">section 3.1.1.</w:t>
      </w:r>
      <w:r>
        <w:br/>
      </w:r>
      <w:r>
        <w:t xml:space="preserve">Distributors are facing similar difficulties when having to interpret SFDR disclosures to implement</w:t>
      </w:r>
      <w:r>
        <w:t xml:space="preserve"> </w:t>
      </w:r>
      <w:r>
        <w:t xml:space="preserve">the sustainability preferences rules under MiFID and IDD. Distributors have to provide clients that</w:t>
      </w:r>
      <w:r>
        <w:t xml:space="preserve"> </w:t>
      </w:r>
      <w:r>
        <w:t xml:space="preserve">expressed sustainability preferences with suitable investments that reflect (among others) such</w:t>
      </w:r>
      <w:r>
        <w:t xml:space="preserve"> </w:t>
      </w:r>
      <w:r>
        <w:t xml:space="preserve">preferences. In doing so, distributors have to assess, for each product they distribute, to what target</w:t>
      </w:r>
      <w:r>
        <w:t xml:space="preserve"> </w:t>
      </w:r>
      <w:r>
        <w:t xml:space="preserve">market a given product will be suitable. Their assessments rely, among others, on information</w:t>
      </w:r>
      <w:r>
        <w:t xml:space="preserve"> </w:t>
      </w:r>
      <w:r>
        <w:t xml:space="preserve">disclosed by product manufacturers under the SFDR. These disclosures do not enable them to</w:t>
      </w:r>
      <w:r>
        <w:t xml:space="preserve"> </w:t>
      </w:r>
      <w:r>
        <w:t xml:space="preserve">develop sufficient knowledge of the sustainability profile of the products they distribute, leading to</w:t>
      </w:r>
      <w:r>
        <w:t xml:space="preserve"> </w:t>
      </w:r>
      <w:r>
        <w:t xml:space="preserve">reputational risks and operational costs (to implement additional due diligence processes and</w:t>
      </w:r>
      <w:r>
        <w:t xml:space="preserve"> </w:t>
      </w:r>
      <w:r>
        <w:t xml:space="preserve">checks).</w:t>
      </w:r>
      <w:r>
        <w:br/>
      </w:r>
      <w:r>
        <w:t xml:space="preserve">An additional problem for distributors (and ultimately for retail investors) is the lack of</w:t>
      </w:r>
      <w:r>
        <w:t xml:space="preserve"> </w:t>
      </w:r>
      <w:r>
        <w:t xml:space="preserve">sustainability disclosure requirements comparable to SFDR disclosures for several financial</w:t>
      </w:r>
      <w:r>
        <w:t xml:space="preserve"> </w:t>
      </w:r>
      <w:r>
        <w:t xml:space="preserve">instruments as defined under MiFID and PRIIPs that may be distributed to clients with</w:t>
      </w:r>
      <w:r>
        <w:t xml:space="preserve"> </w:t>
      </w:r>
      <w:r>
        <w:t xml:space="preserve">sustainability preferences, such as shares, bonds, and structured notes. This is due to differences in</w:t>
      </w:r>
      <w:r>
        <w:t xml:space="preserve"> </w:t>
      </w:r>
      <w:r>
        <w:t xml:space="preserve">objectives and scope between the SFDR and MiFID (and PRIIP), for instance disclosure obligations</w:t>
      </w:r>
      <w:r>
        <w:t xml:space="preserve"> </w:t>
      </w:r>
      <w:r>
        <w:t xml:space="preserve">under MiFID cover investor protection more generally than those under SFDR or PRIIPs, and due</w:t>
      </w:r>
      <w:r>
        <w:t xml:space="preserve"> </w:t>
      </w:r>
      <w:r>
        <w:t xml:space="preserve">to differences in type of financial product coverage54. Stakeholders have flagged that this issue is</w:t>
      </w:r>
      <w:r>
        <w:t xml:space="preserve"> </w:t>
      </w:r>
      <w:r>
        <w:t xml:space="preserve">particularly problematic for structured notes which currently fall outside the scope of the SFDR</w:t>
      </w:r>
      <w:r>
        <w:t xml:space="preserve"> </w:t>
      </w:r>
      <w:r>
        <w:t xml:space="preserve">despite having common features with investment funds, thereby giving rise to a form of regulatory</w:t>
      </w:r>
      <w:r>
        <w:t xml:space="preserve"> </w:t>
      </w:r>
      <w:r>
        <w:t xml:space="preserve">arbitrage.</w:t>
      </w:r>
      <w:r>
        <w:br/>
      </w:r>
      <w:r>
        <w:t xml:space="preserve">An additional obstacle to investors’ understanding is that ESG claims in product names and</w:t>
      </w:r>
      <w:r>
        <w:t xml:space="preserve"> </w:t>
      </w:r>
      <w:r>
        <w:t xml:space="preserve">marketing materials do not always accurately reflect the products’ actual ESG objectives or</w:t>
      </w:r>
      <w:r>
        <w:t xml:space="preserve"> </w:t>
      </w:r>
      <w:r>
        <w:t xml:space="preserve">strategies. In fact, the SFDR does not include detailed rules on the extent to which financial</w:t>
      </w:r>
      <w:r>
        <w:t xml:space="preserve"> </w:t>
      </w:r>
      <w:r>
        <w:t xml:space="preserve">products can make references to ESG elements in their names or marketing documentations. These</w:t>
      </w:r>
      <w:r>
        <w:t xml:space="preserve"> </w:t>
      </w:r>
      <w:r>
        <w:t xml:space="preserve">claims are only covered by the high-level requirements under the SFDR Article 13 (FMPs must</w:t>
      </w:r>
      <w:r>
        <w:t xml:space="preserve"> </w:t>
      </w:r>
      <w:r>
        <w:t xml:space="preserve">‘ensure that their marketing documentations do not contradict the information disclosures’) and</w:t>
      </w:r>
      <w:r>
        <w:t xml:space="preserve"> </w:t>
      </w:r>
      <w:r>
        <w:t xml:space="preserve">MiFID II and IDD (which also provide that all information, including marketing communications</w:t>
      </w:r>
      <w:r>
        <w:t xml:space="preserve"> </w:t>
      </w:r>
      <w:r>
        <w:t xml:space="preserve">shall be fair, clear, and not misleading).</w:t>
      </w:r>
      <w:r>
        <w:br/>
      </w:r>
      <w:r>
        <w:t xml:space="preserve">The lack of minimum ESG transparency or performance requirements for making such claims has</w:t>
      </w:r>
      <w:r>
        <w:t xml:space="preserve"> </w:t>
      </w:r>
      <w:r>
        <w:t xml:space="preserve">led NCAs to adopt different national approaches, adding complexity to the different rules and</w:t>
      </w:r>
      <w:r>
        <w:t xml:space="preserve"> </w:t>
      </w:r>
      <w:r>
        <w:t xml:space="preserve">different levels of safeguards against greenwashing. The ESMA guidelines55 partly addresses this</w:t>
      </w:r>
      <w:r>
        <w:t xml:space="preserve"> </w:t>
      </w:r>
      <w:r>
        <w:t xml:space="preserve">regulatory gap by introducing minimum criteria for funds using certain ESG terms in their names.</w:t>
      </w:r>
      <w:r>
        <w:t xml:space="preserve"> </w:t>
      </w:r>
      <w:r>
        <w:t xml:space="preserve">The guidelines aim to bring clarity for investors amid FMPs’ myriad sustainability claims56.</w:t>
      </w:r>
      <w:r>
        <w:t xml:space="preserve"> </w:t>
      </w:r>
      <w:r>
        <w:t xml:space="preserve">However, the guidelines do not cover the entirety of financial products in scope of the SFDR and of</w:t>
      </w:r>
      <w:r>
        <w:t xml:space="preserve"> </w:t>
      </w:r>
      <w:r>
        <w:t xml:space="preserve">the MiFID/IDD sustainability preferences rules. For example, insurance and pension products are</w:t>
      </w:r>
      <w:r>
        <w:t xml:space="preserve"> </w:t>
      </w:r>
      <w:r>
        <w:t xml:space="preserve">not currently subject to similar rules.</w:t>
      </w:r>
    </w:p>
    <w:p>
      <w:pPr>
        <w:pStyle w:val="BodyText"/>
      </w:pPr>
      <w:r>
        <w:t xml:space="preserve">54 Shares, bonds, derivatives and structured notes are covered by MiFID II but not the SFDR. More information in</w:t>
      </w:r>
      <w:r>
        <w:t xml:space="preserve"> </w:t>
      </w:r>
      <w:r>
        <w:t xml:space="preserve">annex 6.</w:t>
      </w:r>
      <w:r>
        <w:t xml:space="preserve"> </w:t>
      </w:r>
      <w:r>
        <w:t xml:space="preserve">55 ESMA guidelines. More details on the guidelines in section 2.2.2.</w:t>
      </w:r>
      <w:r>
        <w:t xml:space="preserve"> </w:t>
      </w:r>
      <w:r>
        <w:t xml:space="preserve">56 As highlighted in ESMA analysis, more and more funds include ESG terms in their names in response to high and</w:t>
      </w:r>
      <w:r>
        <w:t xml:space="preserve"> </w:t>
      </w:r>
      <w:r>
        <w:t xml:space="preserve">consistent investors’ appetite for funds with ESG-related terms in their names. Morningstar has identified close to 4300</w:t>
      </w:r>
      <w:r>
        <w:t xml:space="preserve"> </w:t>
      </w:r>
      <w:r>
        <w:t xml:space="preserve">mutual funds and exchange-traded funds available for sale in the EU that use ESG or sustainability-related names.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End-investors are also being misled by the self-categorisation practices57</w:t>
      </w:r>
    </w:p>
    <w:p>
      <w:pPr>
        <w:pStyle w:val="BodyText"/>
      </w:pPr>
      <w:r>
        <w:t xml:space="preserve">As described in evaluation annex 11, the SFDR is ‘de facto’ being used as a categorisation/labelling</w:t>
      </w:r>
      <w:r>
        <w:t xml:space="preserve"> </w:t>
      </w:r>
      <w:r>
        <w:t xml:space="preserve">system where products disclosing under Article 8 and Article 9 have been commonly referred to as</w:t>
      </w:r>
      <w:r>
        <w:t xml:space="preserve"> </w:t>
      </w:r>
      <w:r>
        <w:t xml:space="preserve">‘light green’ and ‘dark green’ products, respectively.</w:t>
      </w:r>
      <w:r>
        <w:t xml:space="preserve"> </w:t>
      </w:r>
      <w:r>
        <w:t xml:space="preserve">The wide, but unintended, use of SFDR disclosures as product labels by the market gives rise to</w:t>
      </w:r>
      <w:r>
        <w:t xml:space="preserve"> </w:t>
      </w:r>
      <w:r>
        <w:t xml:space="preserve">some concerns. First, the Article 8 category based on the “promotion of environmental or social</w:t>
      </w:r>
      <w:r>
        <w:t xml:space="preserve"> </w:t>
      </w:r>
      <w:r>
        <w:t xml:space="preserve">characteristics” is very broad and lacks minimum quality conditions to serve as a reliable</w:t>
      </w:r>
      <w:r>
        <w:t xml:space="preserve"> </w:t>
      </w:r>
      <w:r>
        <w:t xml:space="preserve">categorisation. Second, the key concepts (e.g. contribution to an environmental or social objective</w:t>
      </w:r>
      <w:r>
        <w:t xml:space="preserve"> </w:t>
      </w:r>
      <w:r>
        <w:t xml:space="preserve">or the DNSH for “sustainable investment”) underpinning Article 9 lack clear criteria leading to</w:t>
      </w:r>
      <w:r>
        <w:t xml:space="preserve"> </w:t>
      </w:r>
      <w:r>
        <w:t xml:space="preserve">divergent interpretations and lack of comparability, linked to the problems above.</w:t>
      </w:r>
      <w:r>
        <w:br/>
      </w:r>
      <w:r>
        <w:t xml:space="preserve">The disclosure regimes under Articles 8 and 9 do not have any harmonised criteria that could allow</w:t>
      </w:r>
      <w:r>
        <w:t xml:space="preserve"> </w:t>
      </w:r>
      <w:r>
        <w:t xml:space="preserve">investors (and distributors) to compare the relative ESG performance. This had led to confusion,</w:t>
      </w:r>
      <w:r>
        <w:t xml:space="preserve"> </w:t>
      </w:r>
      <w:r>
        <w:t xml:space="preserve">especially among retail investors, who often assume that products disclosing under Article 9 are</w:t>
      </w:r>
      <w:r>
        <w:t xml:space="preserve"> </w:t>
      </w:r>
      <w:r>
        <w:t xml:space="preserve">fully sustainable and that products disclosing under Article 8 strongly integrate ESG factors, even</w:t>
      </w:r>
      <w:r>
        <w:t xml:space="preserve"> </w:t>
      </w:r>
      <w:r>
        <w:t xml:space="preserve">though this is not necessarily the case58.</w:t>
      </w:r>
      <w:r>
        <w:br/>
      </w:r>
      <w:r>
        <w:t xml:space="preserve">2.1.3. Consequences</w:t>
      </w:r>
      <w:r>
        <w:br/>
      </w:r>
      <w:r>
        <w:t xml:space="preserve">First, the limitations related to the SFDR concepts and disclosures lead to risks of</w:t>
      </w:r>
      <w:r>
        <w:t xml:space="preserve"> </w:t>
      </w:r>
      <w:r>
        <w:t xml:space="preserve">greenwashing and mis-selling of investment products. The low levels of comparability and</w:t>
      </w:r>
      <w:r>
        <w:t xml:space="preserve"> </w:t>
      </w:r>
      <w:r>
        <w:t xml:space="preserve">reliability of the disclosures, the lack of alignment between products’ ESG claims in names and</w:t>
      </w:r>
      <w:r>
        <w:t xml:space="preserve"> </w:t>
      </w:r>
      <w:r>
        <w:t xml:space="preserve">marketing documentations, and the misuse of the SFDR as a categorisation system give rise to risks</w:t>
      </w:r>
      <w:r>
        <w:t xml:space="preserve"> </w:t>
      </w:r>
      <w:r>
        <w:t xml:space="preserve">for investor protection linked to misrepresentation and misinterpretation. This is further impacted</w:t>
      </w:r>
      <w:r>
        <w:t xml:space="preserve"> </w:t>
      </w:r>
      <w:r>
        <w:t xml:space="preserve">by differing supervisory expectations and lack of criteria underlying key sustainability concepts and</w:t>
      </w:r>
      <w:r>
        <w:t xml:space="preserve"> </w:t>
      </w:r>
      <w:r>
        <w:t xml:space="preserve">obligations. These findings are supported by the responses to the public consultations, with 62%</w:t>
      </w:r>
      <w:r>
        <w:t xml:space="preserve"> </w:t>
      </w:r>
      <w:r>
        <w:t xml:space="preserve">(181 out of 292) of respondents claiming that the SFDR has not effectively strengthened the</w:t>
      </w:r>
      <w:r>
        <w:t xml:space="preserve"> </w:t>
      </w:r>
      <w:r>
        <w:t xml:space="preserve">protection of end investors and 81% (237 out of 297) identifying important risks of greenwashing</w:t>
      </w:r>
      <w:r>
        <w:t xml:space="preserve"> </w:t>
      </w:r>
      <w:r>
        <w:t xml:space="preserve">and mis-selling59.</w:t>
      </w:r>
      <w:r>
        <w:br/>
      </w:r>
      <w:r>
        <w:t xml:space="preserve">Second, these problems are limiting the EU financial sector’s ability to efficiently allocate</w:t>
      </w:r>
      <w:r>
        <w:t xml:space="preserve"> </w:t>
      </w:r>
      <w:r>
        <w:t xml:space="preserve">capital for Europe’s sustainable prosperity. The lack of clarity and the complexity of the SFDR</w:t>
      </w:r>
      <w:r>
        <w:t xml:space="preserve"> </w:t>
      </w:r>
      <w:r>
        <w:t xml:space="preserve">requirements are currently limiting FMPs’ ability to develop ESG products across the single market</w:t>
      </w:r>
      <w:r>
        <w:t xml:space="preserve"> </w:t>
      </w:r>
      <w:r>
        <w:t xml:space="preserve">without incurring undue costs and burdens. Solutions for investors to effectively channel</w:t>
      </w:r>
      <w:r>
        <w:t xml:space="preserve"> </w:t>
      </w:r>
      <w:r>
        <w:t xml:space="preserve">investments towards projects that advance environmental, social and governance objectives are thus</w:t>
      </w:r>
      <w:r>
        <w:t xml:space="preserve"> </w:t>
      </w:r>
      <w:r>
        <w:t xml:space="preserve">suboptimal or lacking60, frustrating the continuing demand on their part for ESG investments. In</w:t>
      </w:r>
      <w:r>
        <w:t xml:space="preserve"> </w:t>
      </w:r>
      <w:r>
        <w:t xml:space="preserve">addition, the fact that the SFDR does not define and adequately integrate the concept of transition</w:t>
      </w:r>
      <w:r>
        <w:t xml:space="preserve"> </w:t>
      </w:r>
      <w:r>
        <w:t xml:space="preserve">finance is hindering FMPs from supporting companies while they pivot towards sustainable</w:t>
      </w:r>
      <w:r>
        <w:t xml:space="preserve"> </w:t>
      </w:r>
      <w:r>
        <w:t xml:space="preserve">practices.</w:t>
      </w:r>
    </w:p>
    <w:p>
      <w:pPr>
        <w:pStyle w:val="BodyText"/>
      </w:pPr>
      <w:r>
        <w:t xml:space="preserve">57 Associated problem driver: disclosure articles used a categorisation while not being fit for this purpose.</w:t>
      </w:r>
      <w:r>
        <w:br/>
      </w:r>
      <w:r>
        <w:t xml:space="preserve">58 83% of respondents in the consultation (245 out of 296) agreed that the SFDR is currently not being used solely as a</w:t>
      </w:r>
      <w:r>
        <w:t xml:space="preserve"> </w:t>
      </w:r>
      <w:r>
        <w:t xml:space="preserve">disclosure framework as intended but is also being used as a labelling and marketing tool. European Commission,</w:t>
      </w:r>
      <w:r>
        <w:t xml:space="preserve"> </w:t>
      </w:r>
      <w:r>
        <w:t xml:space="preserve">Summary Report of the open and targeted consultations of the SFDR assessment, published May 2024</w:t>
      </w:r>
      <w:r>
        <w:t xml:space="preserve"> </w:t>
      </w:r>
      <w:r>
        <w:t xml:space="preserve">59 European Commission, Summary Report of the open and targeted consultations of the SFDR assessment, published</w:t>
      </w:r>
      <w:r>
        <w:t xml:space="preserve"> </w:t>
      </w:r>
      <w:r>
        <w:t xml:space="preserve">May 2024</w:t>
      </w:r>
      <w:r>
        <w:t xml:space="preserve"> </w:t>
      </w:r>
      <w:r>
        <w:t xml:space="preserve">60 As observed for example in the low share of products offering significant shares of sustainable investments,</w:t>
      </w:r>
      <w:r>
        <w:t xml:space="preserve"> </w:t>
      </w:r>
      <w:r>
        <w:t xml:space="preserve">including towards Taxonomy-aligned activities.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Finally, the current SFDR rules are impacting the international competitiveness of the EU</w:t>
      </w:r>
      <w:r>
        <w:t xml:space="preserve"> </w:t>
      </w:r>
      <w:r>
        <w:t xml:space="preserve">financial sector. Undue costs and burdens associated with the implementation of the complex</w:t>
      </w:r>
      <w:r>
        <w:t xml:space="preserve"> </w:t>
      </w:r>
      <w:r>
        <w:t xml:space="preserve">SFDR disclosure regime risk putting EU market actors at a disadvantage compared to FMPs</w:t>
      </w:r>
      <w:r>
        <w:t xml:space="preserve"> </w:t>
      </w:r>
      <w:r>
        <w:t xml:space="preserve">operating in jurisdictions with lighter requirements. In addition, the emergence of various national</w:t>
      </w:r>
      <w:r>
        <w:t xml:space="preserve"> </w:t>
      </w:r>
      <w:r>
        <w:t xml:space="preserve">requirements in the EU pose barriers to cross-border distribution of financial products and prevent</w:t>
      </w:r>
      <w:r>
        <w:t xml:space="preserve"> </w:t>
      </w:r>
      <w:r>
        <w:t xml:space="preserve">the creating of a true single market for ESG financial products, frustrating the potential of the single</w:t>
      </w:r>
      <w:r>
        <w:t xml:space="preserve"> </w:t>
      </w:r>
      <w:r>
        <w:t xml:space="preserve">market to effectively channel savings towards Europe’s sustainable prosperity.</w:t>
      </w:r>
      <w:r>
        <w:t xml:space="preserve"> </w:t>
      </w:r>
      <w:r>
        <w:t xml:space="preserve">2.2.</w:t>
      </w:r>
      <w:r>
        <w:t xml:space="preserve"> </w:t>
      </w:r>
      <w:r>
        <w:t xml:space="preserve">How likely is the problem to persist?</w:t>
      </w:r>
      <w:r>
        <w:br/>
      </w:r>
      <w:r>
        <w:t xml:space="preserve">Without EU-level action, it is highly unlikely that the problems identified for FMPs (preparers) and</w:t>
      </w:r>
      <w:r>
        <w:t xml:space="preserve"> </w:t>
      </w:r>
      <w:r>
        <w:t xml:space="preserve">investors and distributors (users) would be tackled in an effective, efficient and coherent way.</w:t>
      </w:r>
      <w:r>
        <w:t xml:space="preserve"> </w:t>
      </w:r>
      <w:r>
        <w:t xml:space="preserve">Difficulties and undue costs would persist for both groups in navigating the complexities and</w:t>
      </w:r>
      <w:r>
        <w:t xml:space="preserve"> </w:t>
      </w:r>
      <w:r>
        <w:t xml:space="preserve">uncertainties linked to the implementation of the SFDR, amid the need to also observe differing</w:t>
      </w:r>
      <w:r>
        <w:t xml:space="preserve"> </w:t>
      </w:r>
      <w:r>
        <w:t xml:space="preserve">relevant national level requirements as well as the ESMA guidelines for funds.</w:t>
      </w:r>
      <w:r>
        <w:t xml:space="preserve"> </w:t>
      </w:r>
      <w:r>
        <w:t xml:space="preserve">3. 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legal basis is the same as for the existing Regulation, namely Article 114 of the Treaty on the</w:t>
      </w:r>
      <w:r>
        <w:t xml:space="preserve"> </w:t>
      </w:r>
      <w:r>
        <w:t xml:space="preserve">Functioning of the European Union, with the objective of establishing and ensuring the functioning</w:t>
      </w:r>
      <w:r>
        <w:t xml:space="preserve"> </w:t>
      </w:r>
      <w:r>
        <w:t xml:space="preserve">of the internal market, in this case for the sale and distribution of financial products with</w:t>
      </w:r>
      <w:r>
        <w:t xml:space="preserve"> </w:t>
      </w:r>
      <w:r>
        <w:t xml:space="preserve">sustainability-related features.</w:t>
      </w:r>
      <w:r>
        <w:br/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The need for a coherent common framework for sustainability-related disclosures for financial</w:t>
      </w:r>
      <w:r>
        <w:t xml:space="preserve"> </w:t>
      </w:r>
      <w:r>
        <w:t xml:space="preserve">products across the EU was established as part of the original SFDR. The objectives remain fully</w:t>
      </w:r>
      <w:r>
        <w:t xml:space="preserve"> </w:t>
      </w:r>
      <w:r>
        <w:t xml:space="preserve">valid, and enjoy broad stakeholder support61. Without effective Union-level action, the problems</w:t>
      </w:r>
      <w:r>
        <w:t xml:space="preserve"> </w:t>
      </w:r>
      <w:r>
        <w:t xml:space="preserve">identified would persist. That is, financial market participants, financial advisers and distributors, as</w:t>
      </w:r>
      <w:r>
        <w:t xml:space="preserve"> </w:t>
      </w:r>
      <w:r>
        <w:t xml:space="preserve">well as investors would continue to face undue complexity in the application of the rules.</w:t>
      </w:r>
      <w:r>
        <w:t xml:space="preserve"> </w:t>
      </w:r>
      <w:r>
        <w:t xml:space="preserve">Excessively lengthy disclosure rules and templates involving sustainability characteristics in the</w:t>
      </w:r>
      <w:r>
        <w:t xml:space="preserve"> </w:t>
      </w:r>
      <w:r>
        <w:t xml:space="preserve">business practices of financial market participants, as well as in the financial products they offer to</w:t>
      </w:r>
      <w:r>
        <w:t xml:space="preserve"> </w:t>
      </w:r>
      <w:r>
        <w:t xml:space="preserve">investors, would remain in place. A high degree of confusion, uncertainty and a lack of</w:t>
      </w:r>
      <w:r>
        <w:t xml:space="preserve"> </w:t>
      </w:r>
      <w:r>
        <w:t xml:space="preserve">comparability would continue to mark the availability of financial products with sustainability-</w:t>
      </w:r>
      <w:r>
        <w:t xml:space="preserve"> </w:t>
      </w:r>
      <w:r>
        <w:t xml:space="preserve">linked features, negatively impacting their credibility and uptake.</w:t>
      </w:r>
      <w:r>
        <w:br/>
      </w:r>
      <w:r>
        <w:t xml:space="preserve">To overcome these problems and boost the effectiveness and efficiency of the single market for</w:t>
      </w:r>
      <w:r>
        <w:t xml:space="preserve"> </w:t>
      </w:r>
      <w:r>
        <w:t xml:space="preserve">sustainable finance products, the necessary simplification and adjustment of the existing SFDR</w:t>
      </w:r>
      <w:r>
        <w:t xml:space="preserve"> </w:t>
      </w:r>
      <w:r>
        <w:t xml:space="preserve">framework can only be done in a coherent and effective way at EU level. Addressing the problems</w:t>
      </w:r>
      <w:r>
        <w:t xml:space="preserve"> </w:t>
      </w:r>
      <w:r>
        <w:t xml:space="preserve">and consequences arising from the lack of clarity and comparability in the characteristics of</w:t>
      </w:r>
      <w:r>
        <w:t xml:space="preserve"> </w:t>
      </w:r>
      <w:r>
        <w:t xml:space="preserve">sustainability-linked financial products as well as from the undue complexities posed for the</w:t>
      </w:r>
      <w:r>
        <w:t xml:space="preserve"> </w:t>
      </w:r>
      <w:r>
        <w:t xml:space="preserve">operations of financial market participants cannot be sufficiently achieved by Member States acting</w:t>
      </w:r>
      <w:r>
        <w:t xml:space="preserve"> </w:t>
      </w:r>
      <w:r>
        <w:t xml:space="preserve">independently. To be sure, actions by Member States to address (some of) the identified problems</w:t>
      </w:r>
      <w:r>
        <w:t xml:space="preserve"> </w:t>
      </w:r>
      <w:r>
        <w:t xml:space="preserve">could help act on some of the problem drivers e.g. by overcoming a lack of clarity as regards</w:t>
      </w:r>
      <w:r>
        <w:t xml:space="preserve"> </w:t>
      </w:r>
      <w:r>
        <w:t xml:space="preserve">sustainability-features of financial products through the introduction of, or continued reliance on,</w:t>
      </w:r>
      <w:r>
        <w:t xml:space="preserve"> </w:t>
      </w:r>
      <w:r>
        <w:t xml:space="preserve">sustainability labels at national level. However, although Member States could individually take</w:t>
      </w:r>
      <w:r>
        <w:t xml:space="preserve"> </w:t>
      </w:r>
      <w:r>
        <w:t xml:space="preserve">such action to strengthen the reliability and comparability of sustainability-linked financial products</w:t>
      </w:r>
    </w:p>
    <w:p>
      <w:pPr>
        <w:pStyle w:val="BodyText"/>
      </w:pPr>
      <w:r>
        <w:t xml:space="preserve">61 89% of consultation-respondents consider that the objective to strengthen transparency through sustainability-related</w:t>
      </w:r>
      <w:r>
        <w:t xml:space="preserve"> </w:t>
      </w:r>
      <w:r>
        <w:t xml:space="preserve">disclosures in the financial services sector is still fully relevant.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in their national markets, there is a high risk that any measures of this kind would differ between</w:t>
      </w:r>
      <w:r>
        <w:t xml:space="preserve"> </w:t>
      </w:r>
      <w:r>
        <w:t xml:space="preserve">them. This could give rise to further diverging levels of transparency between national markets,</w:t>
      </w:r>
      <w:r>
        <w:t xml:space="preserve"> </w:t>
      </w:r>
      <w:r>
        <w:t xml:space="preserve">growing disparities in investor confidence in ESG products across Member States, risks of more</w:t>
      </w:r>
      <w:r>
        <w:t xml:space="preserve"> </w:t>
      </w:r>
      <w:r>
        <w:t xml:space="preserve">barriers and challenges for cross-border market participants, and further limits to the comparability</w:t>
      </w:r>
      <w:r>
        <w:t xml:space="preserve"> </w:t>
      </w:r>
      <w:r>
        <w:t xml:space="preserve">of products across the single market. Therefore, such actions could, in isolation and potentially</w:t>
      </w:r>
      <w:r>
        <w:t xml:space="preserve"> </w:t>
      </w:r>
      <w:r>
        <w:t xml:space="preserve">conducted in an uncoordinated manner, further fragment the single market for sustainable finance</w:t>
      </w:r>
      <w:r>
        <w:t xml:space="preserve"> </w:t>
      </w:r>
      <w:r>
        <w:t xml:space="preserve">products and fail to address the consequences identified in the previous section in an efficient way.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Action at EU level to tackle the identified problems would be conducive to a more harmonised,</w:t>
      </w:r>
      <w:r>
        <w:t xml:space="preserve"> </w:t>
      </w:r>
      <w:r>
        <w:t xml:space="preserve">effective, efficient and coherent outcome across the single market, and in support of the broader</w:t>
      </w:r>
      <w:r>
        <w:t xml:space="preserve"> </w:t>
      </w:r>
      <w:r>
        <w:t xml:space="preserve">strategic objectives of the Union. In contrast to sticking with the status quo and relying on national</w:t>
      </w:r>
      <w:r>
        <w:t xml:space="preserve"> </w:t>
      </w:r>
      <w:r>
        <w:t xml:space="preserve">level actions together with requirements regarding the use of fund names pursuant to the ESMA</w:t>
      </w:r>
      <w:r>
        <w:t xml:space="preserve"> </w:t>
      </w:r>
      <w:r>
        <w:t xml:space="preserve">guidelines, EU level policy measures to address the shortcomings in the current SFDR framework</w:t>
      </w:r>
      <w:r>
        <w:t xml:space="preserve"> </w:t>
      </w:r>
      <w:r>
        <w:t xml:space="preserve">would act on the problem drivers in a comprehensive way. Requirements and disclosures could be</w:t>
      </w:r>
      <w:r>
        <w:t xml:space="preserve"> </w:t>
      </w:r>
      <w:r>
        <w:t xml:space="preserve">simplified across the board, both for the benefit of financial market participants and investors, in a</w:t>
      </w:r>
      <w:r>
        <w:t xml:space="preserve"> </w:t>
      </w:r>
      <w:r>
        <w:t xml:space="preserve">harmonised way throughout the Union. Common solutions to transparency-related challenges</w:t>
      </w:r>
      <w:r>
        <w:t xml:space="preserve"> </w:t>
      </w:r>
      <w:r>
        <w:t xml:space="preserve">regarding access to ESG datapoints could be designed in a way which facilitates the business of</w:t>
      </w:r>
      <w:r>
        <w:t xml:space="preserve"> </w:t>
      </w:r>
      <w:r>
        <w:t xml:space="preserve">financial market participants in an even way across the EU and protects investors, and tackles</w:t>
      </w:r>
      <w:r>
        <w:t xml:space="preserve"> </w:t>
      </w:r>
      <w:r>
        <w:t xml:space="preserve">information asymmetries, equally regardless of which Member State they are located in. National</w:t>
      </w:r>
      <w:r>
        <w:t xml:space="preserve"> </w:t>
      </w:r>
      <w:r>
        <w:t xml:space="preserve">disparities in available levels of information regarding the sustainability-linked features of financial</w:t>
      </w:r>
      <w:r>
        <w:t xml:space="preserve"> </w:t>
      </w:r>
      <w:r>
        <w:t xml:space="preserve">products could thus be addressed to benefit investors more evenly and fairly across the EU, for</w:t>
      </w:r>
      <w:r>
        <w:t xml:space="preserve"> </w:t>
      </w:r>
      <w:r>
        <w:t xml:space="preserve">instance helping overcome wide national differences today in the relative shares of products</w:t>
      </w:r>
      <w:r>
        <w:t xml:space="preserve"> </w:t>
      </w:r>
      <w:r>
        <w:t xml:space="preserve">disclosing under Articles 8 and 9 of the SFDR62.</w:t>
      </w:r>
      <w:r>
        <w:br/>
      </w:r>
      <w:r>
        <w:t xml:space="preserve">Therefore, effective EU level action to tackle the problems identified in the previous section would</w:t>
      </w:r>
      <w:r>
        <w:t xml:space="preserve"> </w:t>
      </w:r>
      <w:r>
        <w:t xml:space="preserve">be better to help scale up private sustainable finance across the Union. In turn, this could better</w:t>
      </w:r>
      <w:r>
        <w:t xml:space="preserve"> </w:t>
      </w:r>
      <w:r>
        <w:t xml:space="preserve">serve the objective of mobilising funds toward the competitive opportunities in the green transition</w:t>
      </w:r>
      <w:r>
        <w:t xml:space="preserve"> </w:t>
      </w:r>
      <w:r>
        <w:t xml:space="preserve">and other evolving strategic priorities in line with Union objectives. As such, it could ease the</w:t>
      </w:r>
      <w:r>
        <w:t xml:space="preserve"> </w:t>
      </w:r>
      <w:r>
        <w:t xml:space="preserve">pressure off public funds, which are increasingly stretched in terms of competing and new</w:t>
      </w:r>
      <w:r>
        <w:t xml:space="preserve"> </w:t>
      </w:r>
      <w:r>
        <w:t xml:space="preserve">emerging priorities, to finance and catalyse funds towards sustainability objectives. In short, EU</w:t>
      </w:r>
      <w:r>
        <w:t xml:space="preserve"> </w:t>
      </w:r>
      <w:r>
        <w:t xml:space="preserve">level action would boost the proper functioning of the single market for sustainable finance and in</w:t>
      </w:r>
      <w:r>
        <w:t xml:space="preserve"> </w:t>
      </w:r>
      <w:r>
        <w:t xml:space="preserve">addition contribute to improving transparency for investors across the Union to enable their</w:t>
      </w:r>
      <w:r>
        <w:t xml:space="preserve"> </w:t>
      </w:r>
      <w:r>
        <w:t xml:space="preserve">participation in EU capital markets in general, in line with the objectives of the Savings and</w:t>
      </w:r>
      <w:r>
        <w:t xml:space="preserve"> </w:t>
      </w:r>
      <w:r>
        <w:t xml:space="preserve">Investments Union63.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In order to tackle the consequences identified in section 2, the initiative aims at pursuing two</w:t>
      </w:r>
      <w:r>
        <w:t xml:space="preserve"> </w:t>
      </w:r>
      <w:r>
        <w:t xml:space="preserve">general objectives, in line with the political guidelines for the current Commission to deliver for</w:t>
      </w:r>
      <w:r>
        <w:t xml:space="preserve"> </w:t>
      </w:r>
      <w:r>
        <w:t xml:space="preserve">Europe’s sustainable prosperity and competitiveness and to unlock private financing and turbo-</w:t>
      </w:r>
      <w:r>
        <w:t xml:space="preserve"> </w:t>
      </w:r>
      <w:r>
        <w:t xml:space="preserve">charge investment as part of deeper and more liquid capital markets64. These objectives in turn</w:t>
      </w:r>
    </w:p>
    <w:p>
      <w:pPr>
        <w:pStyle w:val="BodyText"/>
      </w:pPr>
      <w:r>
        <w:t xml:space="preserve">62 As an illustration, Article 8 and 9 together account for over 80% of funds e.g. in SE, NL, DK and FI, while they</w:t>
      </w:r>
      <w:r>
        <w:t xml:space="preserve"> </w:t>
      </w:r>
      <w:r>
        <w:t xml:space="preserve">represent 0% in CY, EL, PL and LT (Source: DG FISMA calculations based on Morningstar data in Q2 2024)</w:t>
      </w:r>
      <w:r>
        <w:t xml:space="preserve"> </w:t>
      </w:r>
      <w:r>
        <w:t xml:space="preserve">63 Savings and Investments Union</w:t>
      </w:r>
      <w:r>
        <w:t xml:space="preserve"> </w:t>
      </w:r>
      <w:r>
        <w:t xml:space="preserve">64 https://commission.europa.eu/document/download/e6cd4328-673c-4e7a-8683-f63ffb2cf648_en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support investment toward the following Sustainable Development Goals, namely those related to</w:t>
      </w:r>
      <w:r>
        <w:t xml:space="preserve"> </w:t>
      </w:r>
      <w:r>
        <w:t xml:space="preserve">the climate and environment65 and social progress66.</w:t>
      </w:r>
      <w:r>
        <w:t xml:space="preserve"> </w:t>
      </w:r>
      <w:r>
        <w:t xml:space="preserve">To reach these general objectives, two specific objectives are identified in order to tackle the</w:t>
      </w:r>
      <w:r>
        <w:t xml:space="preserve"> </w:t>
      </w:r>
      <w:r>
        <w:t xml:space="preserve">problems identified in section 2, and notably to help financial market participants and investors to</w:t>
      </w:r>
      <w:r>
        <w:t xml:space="preserve"> </w:t>
      </w:r>
      <w:r>
        <w:t xml:space="preserve">overcome the complexity of the status quo. These in turn fully respect and support the EU Charter</w:t>
      </w:r>
      <w:r>
        <w:t xml:space="preserve"> </w:t>
      </w:r>
      <w:r>
        <w:t xml:space="preserve">of Fundamental Rights.</w:t>
      </w:r>
      <w:r>
        <w:br/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first general objective of the initiative is to protect the integrity of the EU single market for</w:t>
      </w:r>
      <w:r>
        <w:t xml:space="preserve"> </w:t>
      </w:r>
      <w:r>
        <w:t xml:space="preserve">sustainable finance by ensuring requirements which mitigate risks of greenwashing, and to better</w:t>
      </w:r>
      <w:r>
        <w:t xml:space="preserve"> </w:t>
      </w:r>
      <w:r>
        <w:t xml:space="preserve">help investors seize opportunities in sustainability-linked financial products. The second general</w:t>
      </w:r>
      <w:r>
        <w:t xml:space="preserve"> </w:t>
      </w:r>
      <w:r>
        <w:t xml:space="preserve">objective is to boost the competitiveness of Europe’s financial sector by ensuring conditions which</w:t>
      </w:r>
      <w:r>
        <w:t xml:space="preserve"> </w:t>
      </w:r>
      <w:r>
        <w:t xml:space="preserve">make business easier and help to deepen our single market for sustainability-linked financial</w:t>
      </w:r>
      <w:r>
        <w:t xml:space="preserve"> </w:t>
      </w:r>
      <w:r>
        <w:t xml:space="preserve">products and thus to efficiently allocate capital for Europe’s sustainable prosperity. Overall, the</w:t>
      </w:r>
      <w:r>
        <w:t xml:space="preserve"> </w:t>
      </w:r>
      <w:r>
        <w:t xml:space="preserve">general objectives of the review are thus conceived to create conditions on both the demand-side</w:t>
      </w:r>
      <w:r>
        <w:t xml:space="preserve"> </w:t>
      </w:r>
      <w:r>
        <w:t xml:space="preserve">and the supply-side to ensure a better use of the potential of the European single market for</w:t>
      </w:r>
      <w:r>
        <w:t xml:space="preserve"> </w:t>
      </w:r>
      <w:r>
        <w:t xml:space="preserve">sustainable finance to contribute to funding the transition towards Europe’s sustainable prosperity</w:t>
      </w:r>
      <w:r>
        <w:t xml:space="preserve"> </w:t>
      </w:r>
      <w:r>
        <w:t xml:space="preserve">and competitiveness.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To reach these objectives, and to tackle the shortcomings observed in the status quo, the measures</w:t>
      </w:r>
      <w:r>
        <w:t xml:space="preserve"> </w:t>
      </w:r>
      <w:r>
        <w:t xml:space="preserve">of the review should pursue two specific objectives. The first specific objective is to simplify and</w:t>
      </w:r>
      <w:r>
        <w:t xml:space="preserve"> </w:t>
      </w:r>
      <w:r>
        <w:t xml:space="preserve">reduce the sustainability-related administrative requirements of the framework for financial market</w:t>
      </w:r>
      <w:r>
        <w:t xml:space="preserve"> </w:t>
      </w:r>
      <w:r>
        <w:t xml:space="preserve">participants, as well as to enhance the coherence of the framework for their operational needs. The</w:t>
      </w:r>
      <w:r>
        <w:t xml:space="preserve"> </w:t>
      </w:r>
      <w:r>
        <w:t xml:space="preserve">second specific objective is to improve end-investors’ ability to understand and compare</w:t>
      </w:r>
      <w:r>
        <w:t xml:space="preserve"> </w:t>
      </w:r>
      <w:r>
        <w:t xml:space="preserve">sustainability-linked financial products. The specific objectives of the initiative thus tackle the main</w:t>
      </w:r>
      <w:r>
        <w:t xml:space="preserve"> </w:t>
      </w:r>
      <w:r>
        <w:t xml:space="preserve">problems which have been identified both for financial market participants on the one hand, and for</w:t>
      </w:r>
      <w:r>
        <w:t xml:space="preserve"> </w:t>
      </w:r>
      <w:r>
        <w:t xml:space="preserve">investors on the other, which inhibit their ability to, respectively, design financial products and</w:t>
      </w:r>
      <w:r>
        <w:t xml:space="preserve"> </w:t>
      </w:r>
      <w:r>
        <w:t xml:space="preserve">deploy corresponding investments in an efficient and effective manner toward the EU’s</w:t>
      </w:r>
      <w:r>
        <w:t xml:space="preserve"> </w:t>
      </w:r>
      <w:r>
        <w:t xml:space="preserve">sustainability, competitiveness and other strategic policy goals.</w:t>
      </w:r>
      <w:r>
        <w:br/>
      </w:r>
      <w:r>
        <w:t xml:space="preserve">5. WHAT ARE THE AVAILABILITY POLICY OPTIONS?</w:t>
      </w:r>
      <w:r>
        <w:t xml:space="preserve"> </w:t>
      </w:r>
      <w:r>
        <w:t xml:space="preserve">The available policy options for the review are assessed against the specific objectives identified</w:t>
      </w:r>
      <w:r>
        <w:t xml:space="preserve"> </w:t>
      </w:r>
      <w:r>
        <w:t xml:space="preserve">above. They are analysed in terms of their relative merits in how well they can simplify and clarify</w:t>
      </w:r>
      <w:r>
        <w:t xml:space="preserve"> </w:t>
      </w:r>
      <w:r>
        <w:t xml:space="preserve">the regulatory expectations under the SFDR while enhancing investor protection and improving</w:t>
      </w:r>
      <w:r>
        <w:t xml:space="preserve"> </w:t>
      </w:r>
      <w:r>
        <w:t xml:space="preserve">their ability to understand the ESG features of financial products. The overarching goals of the</w:t>
      </w:r>
      <w:r>
        <w:t xml:space="preserve"> </w:t>
      </w:r>
      <w:r>
        <w:t xml:space="preserve">policy options are to support the scale up of sustainable finance towards Europe’s sustainability and</w:t>
      </w:r>
      <w:r>
        <w:t xml:space="preserve"> </w:t>
      </w:r>
      <w:r>
        <w:t xml:space="preserve">competitiveness goals in the most effective and efficient fashion.</w:t>
      </w:r>
      <w:r>
        <w:t xml:space="preserve"> </w:t>
      </w:r>
      <w:r>
        <w:t xml:space="preserve">This section is structured as follows. Section 5.1 illustrates the baseline scenario of no change to the</w:t>
      </w:r>
      <w:r>
        <w:t xml:space="preserve"> </w:t>
      </w:r>
      <w:r>
        <w:t xml:space="preserve">SFDR. Section 5.2 considers its repeal. Section 5.3 considers a first alternative area of action,</w:t>
      </w:r>
      <w:r>
        <w:t xml:space="preserve"> </w:t>
      </w:r>
      <w:r>
        <w:t xml:space="preserve">namely options for alleviating the reporting burdens through changes to entity-level and product</w:t>
      </w:r>
      <w:r>
        <w:t xml:space="preserve"> </w:t>
      </w:r>
      <w:r>
        <w:t xml:space="preserve">level disclosures. These changes include both a reduction of data points required as well as a</w:t>
      </w:r>
      <w:r>
        <w:t xml:space="preserve"> </w:t>
      </w:r>
      <w:r>
        <w:t xml:space="preserve">simplification of the sustainability-concepts. Section 5.4 considers a second area of action, namely</w:t>
      </w:r>
    </w:p>
    <w:p>
      <w:pPr>
        <w:pStyle w:val="BodyText"/>
      </w:pPr>
      <w:r>
        <w:t xml:space="preserve">65 E.g. Goal 13 “Climate Action”, goal 6 “Clean Water and Sanitation”; goal 7 “Affordable and Clean Energy”; goal 9</w:t>
      </w:r>
      <w:r>
        <w:t xml:space="preserve"> </w:t>
      </w:r>
      <w:r>
        <w:t xml:space="preserve">“Industry, Innovation and Infrastructure”</w:t>
      </w:r>
      <w:r>
        <w:br/>
      </w:r>
      <w:r>
        <w:t xml:space="preserve">66 E.g. Goal 3 “Good Health and Well-being”; 5 “Gender Equality”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setting up a clear product categorisation system to address the current misuse of the disclosure</w:t>
      </w:r>
      <w:r>
        <w:t xml:space="preserve"> </w:t>
      </w:r>
      <w:r>
        <w:t xml:space="preserve">articles. Section 5.5 discusses some options discarded at an early stage.</w:t>
      </w:r>
      <w:r>
        <w:t xml:space="preserve"> </w:t>
      </w:r>
      <w:r>
        <w:t xml:space="preserve">The options in Sections 5.3 and 5.4 relate to one another as follows. The options under Section</w:t>
      </w:r>
      <w:r>
        <w:t xml:space="preserve"> </w:t>
      </w:r>
      <w:r>
        <w:t xml:space="preserve">5.3.1 to significantly reduce or delete entity level disclosures are distinct. They concern financial</w:t>
      </w:r>
      <w:r>
        <w:t xml:space="preserve"> </w:t>
      </w:r>
      <w:r>
        <w:t xml:space="preserve">market participants’ disclosures at entity-level, regarding their investment decisions and business</w:t>
      </w:r>
      <w:r>
        <w:t xml:space="preserve"> </w:t>
      </w:r>
      <w:r>
        <w:t xml:space="preserve">practices. The options under Section 5.3.2 to make either minimal or more significant changes to</w:t>
      </w:r>
      <w:r>
        <w:t xml:space="preserve"> </w:t>
      </w:r>
      <w:r>
        <w:t xml:space="preserve">sustainability-related product-level disclosures connect closely to the options in Section 5.4</w:t>
      </w:r>
      <w:r>
        <w:t xml:space="preserve"> </w:t>
      </w:r>
      <w:r>
        <w:t xml:space="preserve">regarding whether and how to set up a categorisation system for those products. The options under</w:t>
      </w:r>
      <w:r>
        <w:t xml:space="preserve"> </w:t>
      </w:r>
      <w:r>
        <w:t xml:space="preserve">Section 5.3.1 could be pursued more in isolation (but coherent with the rest of the EU sustainable</w:t>
      </w:r>
      <w:r>
        <w:t xml:space="preserve"> </w:t>
      </w:r>
      <w:r>
        <w:t xml:space="preserve">finance framework) while those in Sections 5.3.2 would be more difficult to pursue without</w:t>
      </w:r>
      <w:r>
        <w:t xml:space="preserve"> </w:t>
      </w:r>
      <w:r>
        <w:t xml:space="preserve">considering those in Section 5.4. To illustrate, Box 2 shows how the options relate to the problems</w:t>
      </w:r>
      <w:r>
        <w:t xml:space="preserve"> </w:t>
      </w:r>
      <w:r>
        <w:t xml:space="preserve">and specific objectives of previous Sections, while the text below under the options explains further</w:t>
      </w:r>
      <w:r>
        <w:t xml:space="preserve"> </w:t>
      </w:r>
      <w:r>
        <w:t xml:space="preserve">how notably options in Sections 5.3.2 and 5.4 should be pursued more closely together, for a</w:t>
      </w:r>
      <w:r>
        <w:t xml:space="preserve"> </w:t>
      </w:r>
      <w:r>
        <w:t xml:space="preserve">coherent outcome which achieves the objectives effectively and efficiently.</w:t>
      </w:r>
    </w:p>
    <w:p>
      <w:pPr>
        <w:pStyle w:val="BodyText"/>
      </w:pPr>
      <w:r>
        <w:t xml:space="preserve">Box 2: how the policy options in Sections 5.3 and 5.4 interact with the problems of the current SFDR and</w:t>
      </w:r>
      <w:r>
        <w:t xml:space="preserve"> </w:t>
      </w:r>
      <w:r>
        <w:t xml:space="preserve">the objectives for the review</w:t>
      </w:r>
    </w:p>
    <w:p>
      <w:pPr>
        <w:pStyle w:val="BodyText"/>
      </w:pPr>
      <w:r>
        <w:t xml:space="preserve">The policy options below focus primarily on the necessary changes to the Level 1 SFDR text.</w:t>
      </w:r>
      <w:r>
        <w:t xml:space="preserve"> </w:t>
      </w:r>
      <w:r>
        <w:t xml:space="preserve">These would need to be complemented by corresponding changes or replacements of the Level 2</w:t>
      </w:r>
      <w:r>
        <w:t xml:space="preserve"> </w:t>
      </w:r>
      <w:r>
        <w:t xml:space="preserve">Regulation. The policy options are explored to establish all essential features of the disclosures and</w:t>
      </w:r>
      <w:r>
        <w:t xml:space="preserve"> </w:t>
      </w:r>
      <w:r>
        <w:t xml:space="preserve">categories in the Level 1 text, framing the supplementary rules in the Level 2 Regulation (contrary</w:t>
      </w:r>
      <w:r>
        <w:t xml:space="preserve"> </w:t>
      </w:r>
      <w:r>
        <w:t xml:space="preserve">to the current SFDR, which allowed for the elaboration of complex and lengthy level 2 rules,</w:t>
      </w:r>
      <w:r>
        <w:t xml:space="preserve"> </w:t>
      </w:r>
      <w:r>
        <w:t xml:space="preserve">leading to increased complexity and burdens).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Specific considerations for the formulation of policy options arising from the Omnibus proposal67,</w:t>
      </w:r>
      <w:r>
        <w:t xml:space="preserve"> </w:t>
      </w:r>
      <w:r>
        <w:t xml:space="preserve">the ESMA fund name guidelines and the principle of proportionality</w:t>
      </w:r>
      <w:r>
        <w:t xml:space="preserve"> </w:t>
      </w:r>
      <w:r>
        <w:t xml:space="preserve">One of the key considerations is to foster coherence between the SFDR and the rest of the</w:t>
      </w:r>
      <w:r>
        <w:t xml:space="preserve"> </w:t>
      </w:r>
      <w:r>
        <w:t xml:space="preserve">sustainable finance framework, and in particular with the changes entailed by the Omnibus</w:t>
      </w:r>
      <w:r>
        <w:t xml:space="preserve"> </w:t>
      </w:r>
      <w:r>
        <w:t xml:space="preserve">proposals in terms of sustainability disclosures applicable to corporates. The policy options for the</w:t>
      </w:r>
      <w:r>
        <w:t xml:space="preserve"> </w:t>
      </w:r>
      <w:r>
        <w:t xml:space="preserve">SFDR review need to be coherent with this new context. Prior to the Omnibus, disclosures from</w:t>
      </w:r>
      <w:r>
        <w:t xml:space="preserve"> </w:t>
      </w:r>
      <w:r>
        <w:t xml:space="preserve">corporates/investees were set to expand over time and provide a wider range of the granular data</w:t>
      </w:r>
      <w:r>
        <w:t xml:space="preserve"> </w:t>
      </w:r>
      <w:r>
        <w:t xml:space="preserve">needed by financial market participants for their own disclosures. Post-Omnibus68, the policy</w:t>
      </w:r>
      <w:r>
        <w:t xml:space="preserve"> </w:t>
      </w:r>
      <w:r>
        <w:t xml:space="preserve">options need to take account of the future scope of the disclosures for corporates, which will not</w:t>
      </w:r>
      <w:r>
        <w:t xml:space="preserve"> </w:t>
      </w:r>
      <w:r>
        <w:t xml:space="preserve">improve FMPs’ ability to access ESG data for their underlying investments. Therefore, the future</w:t>
      </w:r>
      <w:r>
        <w:t xml:space="preserve"> </w:t>
      </w:r>
      <w:r>
        <w:t xml:space="preserve">system should reflect the fact that granular sustainability-related information will not be more</w:t>
      </w:r>
      <w:r>
        <w:t xml:space="preserve"> </w:t>
      </w:r>
      <w:r>
        <w:t xml:space="preserve">readily available directly from all investees. Here, it needs to be carefully considered whether the</w:t>
      </w:r>
      <w:r>
        <w:t xml:space="preserve"> </w:t>
      </w:r>
      <w:r>
        <w:t xml:space="preserve">new context under the Omnibus would favour repealing the SFDR and leaving the organisation of</w:t>
      </w:r>
      <w:r>
        <w:t xml:space="preserve"> </w:t>
      </w:r>
      <w:r>
        <w:t xml:space="preserve">information on ESG-features of financial products to the market, or whether other options to review</w:t>
      </w:r>
      <w:r>
        <w:t xml:space="preserve"> </w:t>
      </w:r>
      <w:r>
        <w:t xml:space="preserve">the SFDR would be more effective, efficient and coherent to deliver on the objectives69.</w:t>
      </w:r>
      <w:r>
        <w:br/>
      </w:r>
      <w:r>
        <w:t xml:space="preserve">Second, in this context, due consideration should also be given to recognising and building upon</w:t>
      </w:r>
      <w:r>
        <w:t xml:space="preserve"> </w:t>
      </w:r>
      <w:r>
        <w:t xml:space="preserve">current market practices. While not a standalone objective, a sufficient degree of continuity/stability</w:t>
      </w:r>
      <w:r>
        <w:t xml:space="preserve"> </w:t>
      </w:r>
      <w:r>
        <w:t xml:space="preserve">with appropriate criteria in the categorisation of products that are already being applied by the</w:t>
      </w:r>
      <w:r>
        <w:t xml:space="preserve"> </w:t>
      </w:r>
      <w:r>
        <w:t xml:space="preserve">markets, namely reflecting the ESMA fund name guidelines70, is considered advisable. These have</w:t>
      </w:r>
      <w:r>
        <w:t xml:space="preserve"> </w:t>
      </w:r>
      <w:r>
        <w:t xml:space="preserve">become a broadly accepted and useful source of clarity for FMPs and investors. Duly reflecting</w:t>
      </w:r>
      <w:r>
        <w:t xml:space="preserve"> </w:t>
      </w:r>
      <w:r>
        <w:t xml:space="preserve">them aims to avoid a ‘re-categorisation’ wave which could be disruptive to the offer of products to</w:t>
      </w:r>
      <w:r>
        <w:t xml:space="preserve"> </w:t>
      </w:r>
      <w:r>
        <w:t xml:space="preserve">investors. It could also be unduly costly for FMPs, especially given evolving data constraints, and</w:t>
      </w:r>
      <w:r>
        <w:t xml:space="preserve"> </w:t>
      </w:r>
      <w:r>
        <w:t xml:space="preserve">be at odds with the overall objective of simplification and burden reduction. Rather, where existing</w:t>
      </w:r>
      <w:r>
        <w:t xml:space="preserve"> </w:t>
      </w:r>
      <w:r>
        <w:t xml:space="preserve">categorisation practices are considered to help support the objectives in Section 4, this should be</w:t>
      </w:r>
      <w:r>
        <w:t xml:space="preserve"> </w:t>
      </w:r>
      <w:r>
        <w:t xml:space="preserve">reflected in the assessment of the relative merits of the options.</w:t>
      </w:r>
      <w:r>
        <w:t xml:space="preserve"> </w:t>
      </w:r>
      <w:r>
        <w:t xml:space="preserve">Finally, and linked to this, following the principle of proportionality, the options should further</w:t>
      </w:r>
      <w:r>
        <w:t xml:space="preserve"> </w:t>
      </w:r>
      <w:r>
        <w:t xml:space="preserve">seek to work with the grain of market practices and not go beyond what is necessary to reach the</w:t>
      </w:r>
      <w:r>
        <w:t xml:space="preserve"> </w:t>
      </w:r>
      <w:r>
        <w:t xml:space="preserve">objectives, also taking into account other existing regulatory requirements regarding</w:t>
      </w:r>
      <w:r>
        <w:t xml:space="preserve"> </w:t>
      </w:r>
      <w:r>
        <w:t xml:space="preserve">‘environmental’ claims71. While there is no obligation in the current SFDR for FMPs to offer</w:t>
      </w:r>
      <w:r>
        <w:t xml:space="preserve"> </w:t>
      </w:r>
      <w:r>
        <w:t xml:space="preserve">sustainability-linked products, the scope of its current disclosure requirements is not clearly</w:t>
      </w:r>
      <w:r>
        <w:t xml:space="preserve"> </w:t>
      </w:r>
      <w:r>
        <w:t xml:space="preserve">delineated and as a result applies broadly to the market. As explained in section 2 and Annex 11</w:t>
      </w:r>
      <w:r>
        <w:t xml:space="preserve"> </w:t>
      </w:r>
      <w:r>
        <w:t xml:space="preserve">(evaluation), the scope of application of the SFDR Article 8 has been subject to different</w:t>
      </w:r>
      <w:r>
        <w:t xml:space="preserve"> </w:t>
      </w:r>
      <w:r>
        <w:t xml:space="preserve">interpretations (from FMPs and supervisors), i.e. the triggers of the mandatory ESG disclosures are</w:t>
      </w:r>
      <w:r>
        <w:t xml:space="preserve"> </w:t>
      </w:r>
      <w:r>
        <w:t xml:space="preserve">not clear and led to a very large scope of financial products falling under these obligations (for</w:t>
      </w:r>
      <w:r>
        <w:t xml:space="preserve"> </w:t>
      </w:r>
      <w:r>
        <w:t xml:space="preserve">example investment funds disclosing under Article 8 accounted for about 51% of the total UCITS</w:t>
      </w:r>
      <w:r>
        <w:t xml:space="preserve"> </w:t>
      </w:r>
      <w:r>
        <w:t xml:space="preserve">and AIF fund market at end of 202472).</w:t>
      </w:r>
    </w:p>
    <w:p>
      <w:pPr>
        <w:pStyle w:val="BodyText"/>
      </w:pPr>
      <w:r>
        <w:t xml:space="preserve">67 Omnibus I - European Commission</w:t>
      </w:r>
      <w:r>
        <w:t xml:space="preserve"> </w:t>
      </w:r>
      <w:r>
        <w:t xml:space="preserve">68 Estimated notably to result in a reduction in the number of undertakings in scope of the CSRD of about 80%</w:t>
      </w:r>
      <w:r>
        <w:br/>
      </w:r>
      <w:r>
        <w:t xml:space="preserve">69 Details on the links between the SFDR review and the Omnibus are presented in Annex 6, Section 5.</w:t>
      </w:r>
      <w:r>
        <w:t xml:space="preserve"> </w:t>
      </w:r>
      <w:r>
        <w:t xml:space="preserve">70 ESMA guidelines were largely an attempt to bring clarity for investors amid FMPs’ myriad sustainability-linked</w:t>
      </w:r>
      <w:r>
        <w:t xml:space="preserve"> </w:t>
      </w:r>
      <w:r>
        <w:t xml:space="preserve">claims through the introduction of minimum criteria. They constitute the latest regulatory guidance, after notably a</w:t>
      </w:r>
      <w:r>
        <w:t xml:space="preserve"> </w:t>
      </w:r>
      <w:r>
        <w:t xml:space="preserve">prior reclassification of Art. 9 funds in Q4 2022, having resulted in some relabelling and renaming of EU sustainable</w:t>
      </w:r>
      <w:r>
        <w:t xml:space="preserve"> </w:t>
      </w:r>
      <w:r>
        <w:t xml:space="preserve">finance funds.</w:t>
      </w:r>
      <w:r>
        <w:t xml:space="preserve"> </w:t>
      </w:r>
      <w:r>
        <w:t xml:space="preserve">71 Namely, changes introduced by Directive (EU) 2024/825 amending Directives 2005/29/EC and 2011/83/EU as</w:t>
      </w:r>
      <w:r>
        <w:t xml:space="preserve"> </w:t>
      </w:r>
      <w:r>
        <w:t xml:space="preserve">regards empowering consumers for the green transition through better protection against unfair practices and through</w:t>
      </w:r>
      <w:r>
        <w:t xml:space="preserve"> </w:t>
      </w:r>
      <w:r>
        <w:t xml:space="preserve">better information (see also Annex 6, section 3).</w:t>
      </w:r>
      <w:r>
        <w:br/>
      </w:r>
      <w:r>
        <w:t xml:space="preserve">72 EFAMA, Market Insights, April 2025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In this respect, the options should more clearly focus the obligations under SFDR to cater for FMPs</w:t>
      </w:r>
      <w:r>
        <w:t xml:space="preserve"> </w:t>
      </w:r>
      <w:r>
        <w:t xml:space="preserve">which are committed to offering sustainability-linked financial products and for their clients which</w:t>
      </w:r>
      <w:r>
        <w:t xml:space="preserve"> </w:t>
      </w:r>
      <w:r>
        <w:t xml:space="preserve">are interested in investing in them. That is, compared to the status quo, it should be ensured more</w:t>
      </w:r>
      <w:r>
        <w:t xml:space="preserve"> </w:t>
      </w:r>
      <w:r>
        <w:t xml:space="preserve">clearly that the future policy framework constitutes a voluntary regime for FMPs and investors</w:t>
      </w:r>
      <w:r>
        <w:t xml:space="preserve"> </w:t>
      </w:r>
      <w:r>
        <w:t xml:space="preserve">interested in sustainability-linked products. It would apply only in case of explicit decisions by</w:t>
      </w:r>
      <w:r>
        <w:t xml:space="preserve"> </w:t>
      </w:r>
      <w:r>
        <w:t xml:space="preserve">FMPs to offer ESG-focused products and by investors to seek and select them. A key consideration</w:t>
      </w:r>
      <w:r>
        <w:t xml:space="preserve"> </w:t>
      </w:r>
      <w:r>
        <w:t xml:space="preserve">would be that ‘claims’ by FMPs regarding how and the extent to which financial products invest in,</w:t>
      </w:r>
      <w:r>
        <w:t xml:space="preserve"> </w:t>
      </w:r>
      <w:r>
        <w:t xml:space="preserve">contribute to, or integrate sustainability factors in their investment strategy, understood as any</w:t>
      </w:r>
      <w:r>
        <w:t xml:space="preserve"> </w:t>
      </w:r>
      <w:r>
        <w:t xml:space="preserve">messaging stating or implying environmental or social benefits associated with investments in and</w:t>
      </w:r>
      <w:r>
        <w:t xml:space="preserve"> </w:t>
      </w:r>
      <w:r>
        <w:t xml:space="preserve">by those financial products, would trigger the categorisation of products under the revised SFDR.</w:t>
      </w:r>
      <w:r>
        <w:t xml:space="preserve"> </w:t>
      </w:r>
      <w:r>
        <w:t xml:space="preserve">Conversely, if products do not meet the criteria required by the voluntary categories, they should be</w:t>
      </w:r>
      <w:r>
        <w:t xml:space="preserve"> </w:t>
      </w:r>
      <w:r>
        <w:t xml:space="preserve">restricted from using certain names or be marketed as sustainable or ESG focused.</w:t>
      </w:r>
      <w:r>
        <w:br/>
      </w:r>
      <w:r>
        <w:t xml:space="preserve">5.1.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baseline scenario assumes no changes are made to the SFDR and that the Omnibus proposals</w:t>
      </w:r>
      <w:r>
        <w:t xml:space="preserve"> </w:t>
      </w:r>
      <w:r>
        <w:t xml:space="preserve">are adopted by co-legislators73. In this scenario, the problems and challenges identified in section 2</w:t>
      </w:r>
      <w:r>
        <w:t xml:space="preserve"> </w:t>
      </w:r>
      <w:r>
        <w:t xml:space="preserve">would continue. Namely, the complexity, burdens, confusion and suboptimal outcomes associated</w:t>
      </w:r>
      <w:r>
        <w:t xml:space="preserve"> </w:t>
      </w:r>
      <w:r>
        <w:t xml:space="preserve">with the current rules, both in terms of disclosures and the misuse of Articles 8 and 9 as labels,</w:t>
      </w:r>
      <w:r>
        <w:t xml:space="preserve"> </w:t>
      </w:r>
      <w:r>
        <w:t xml:space="preserve">would not be tackled. Questions from FMPs how to interpret and implement the rules would</w:t>
      </w:r>
      <w:r>
        <w:t xml:space="preserve"> </w:t>
      </w:r>
      <w:r>
        <w:t xml:space="preserve">continue, adding extensively to the corpus of Level 3 guidance which they have to observe74.</w:t>
      </w:r>
      <w:r>
        <w:t xml:space="preserve"> </w:t>
      </w:r>
      <w:r>
        <w:t xml:space="preserve">Certain duplications within the existing sustainable finance framework for financial market</w:t>
      </w:r>
      <w:r>
        <w:t xml:space="preserve"> </w:t>
      </w:r>
      <w:r>
        <w:t xml:space="preserve">participants would remain in place, and new challenges arising for them from the Omnibus</w:t>
      </w:r>
      <w:r>
        <w:t xml:space="preserve"> </w:t>
      </w:r>
      <w:r>
        <w:t xml:space="preserve">proposals would emerge. Rather than receiving increasingly granular data from investees as would</w:t>
      </w:r>
      <w:r>
        <w:t xml:space="preserve"> </w:t>
      </w:r>
      <w:r>
        <w:t xml:space="preserve">have been the case prior to the Omnibus, FMPs would have to make do with less for their own</w:t>
      </w:r>
      <w:r>
        <w:t xml:space="preserve"> </w:t>
      </w:r>
      <w:r>
        <w:t xml:space="preserve">disclosures75, and from a smaller range of entities. In response to a perpetuated status quo, the</w:t>
      </w:r>
      <w:r>
        <w:t xml:space="preserve"> </w:t>
      </w:r>
      <w:r>
        <w:t xml:space="preserve">likelihood of divergent national measures would increase, even more so in case national authorities</w:t>
      </w:r>
      <w:r>
        <w:t xml:space="preserve"> </w:t>
      </w:r>
      <w:r>
        <w:t xml:space="preserve">were to adjust national regimes for financial market participants to reflect the evolving post-</w:t>
      </w:r>
      <w:r>
        <w:t xml:space="preserve"> </w:t>
      </w:r>
      <w:r>
        <w:t xml:space="preserve">Omnibus landscape. Worsening fragmentation of the single market, contrary to the objectives of the</w:t>
      </w:r>
      <w:r>
        <w:t xml:space="preserve"> </w:t>
      </w:r>
      <w:r>
        <w:t xml:space="preserve">Savings and Investments Union, would ensue. The ESMA guidelines could help mitigate this to an</w:t>
      </w:r>
      <w:r>
        <w:t xml:space="preserve"> </w:t>
      </w:r>
      <w:r>
        <w:t xml:space="preserve">extent, continuing to apply to govern the use of ESG terms in fund names. However, tensions could</w:t>
      </w:r>
      <w:r>
        <w:t xml:space="preserve"> </w:t>
      </w:r>
      <w:r>
        <w:t xml:space="preserve">emerge amid a growing disconnect between the simple rules introduced by the guidelines on the</w:t>
      </w:r>
      <w:r>
        <w:t xml:space="preserve"> </w:t>
      </w:r>
      <w:r>
        <w:t xml:space="preserve">one hand, and the complexity of the underlying SFDR disclosures and concepts (e.g. ‘sustainable</w:t>
      </w:r>
      <w:r>
        <w:t xml:space="preserve"> </w:t>
      </w:r>
      <w:r>
        <w:t xml:space="preserve">investment’, which is integrated in the guidelines) amid heightened post-Omnibus data availability</w:t>
      </w:r>
      <w:r>
        <w:t xml:space="preserve"> </w:t>
      </w:r>
      <w:r>
        <w:t xml:space="preserve">challenges on the other.</w:t>
      </w:r>
      <w:r>
        <w:br/>
      </w:r>
      <w:r>
        <w:t xml:space="preserve">5.2.</w:t>
      </w:r>
      <w:r>
        <w:t xml:space="preserve"> </w:t>
      </w:r>
      <w:r>
        <w:t xml:space="preserve">Repeal of the SFDR</w:t>
      </w:r>
      <w:r>
        <w:t xml:space="preserve"> </w:t>
      </w:r>
      <w:r>
        <w:t xml:space="preserve">Given the emphasis on simplification of sustainability reporting under the Omnibus, a</w:t>
      </w:r>
      <w:r>
        <w:t xml:space="preserve"> </w:t>
      </w:r>
      <w:r>
        <w:t xml:space="preserve">straightforward way to simplify and reduce the sustainability-related administrative requirements</w:t>
      </w:r>
    </w:p>
    <w:p>
      <w:pPr>
        <w:pStyle w:val="BodyText"/>
      </w:pPr>
      <w:r>
        <w:t xml:space="preserve">73 At the time of writing (until Q4 2025), while aspects of the Commission’s proposals on the Omnibus had been</w:t>
      </w:r>
      <w:r>
        <w:t xml:space="preserve"> </w:t>
      </w:r>
      <w:r>
        <w:t xml:space="preserve">adopted (namely the ‘stop-the-clock’ amendments to delay phasing-in the application of the CSRD and CSDDD for a</w:t>
      </w:r>
      <w:r>
        <w:t xml:space="preserve"> </w:t>
      </w:r>
      <w:r>
        <w:t xml:space="preserve">range of entities), the remaining negotiations on the Omnibus between the co-legislators were still underway, but</w:t>
      </w:r>
      <w:r>
        <w:t xml:space="preserve"> </w:t>
      </w:r>
      <w:r>
        <w:t xml:space="preserve">looked set to confirm the Commission’s proposal for simplifications of the current framework, and even to go beyond</w:t>
      </w:r>
      <w:r>
        <w:t xml:space="preserve"> </w:t>
      </w:r>
      <w:r>
        <w:t xml:space="preserve">in certain respects (see namely Council of the EU, Draft directive on certain corporate sustainability reporting and due</w:t>
      </w:r>
      <w:r>
        <w:t xml:space="preserve"> </w:t>
      </w:r>
      <w:r>
        <w:t xml:space="preserve">diligence requirements, Council’s negotiating mandate, June 2025, which puts forth a revenue threshold of EUR 450mn</w:t>
      </w:r>
      <w:r>
        <w:t xml:space="preserve"> </w:t>
      </w:r>
      <w:r>
        <w:t xml:space="preserve">to descope more companies). While not yet fully finalised and agreed, it was thus assumed highly unlikely that co-</w:t>
      </w:r>
      <w:r>
        <w:t xml:space="preserve"> </w:t>
      </w:r>
      <w:r>
        <w:t xml:space="preserve">legislators would reverse course toward a pre-Omnibus scenario.</w:t>
      </w:r>
      <w:r>
        <w:t xml:space="preserve"> </w:t>
      </w:r>
      <w:r>
        <w:t xml:space="preserve">74 Dated 25 July 2024, the consolidated Q&amp;As on the SFDR exceed 70 pages JC 2023 18 - Consolidated JC SFDR QAs</w:t>
      </w:r>
      <w:r>
        <w:t xml:space="preserve"> </w:t>
      </w:r>
      <w:r>
        <w:t xml:space="preserve">75 The current ESRS includes over 50 datapoints to support the corresponding information provisions of financial</w:t>
      </w:r>
      <w:r>
        <w:t xml:space="preserve"> </w:t>
      </w:r>
      <w:r>
        <w:t xml:space="preserve">market participants related to principal adverse impacts set out in the SFDR Level 2 (Commission Delegated</w:t>
      </w:r>
      <w:r>
        <w:t xml:space="preserve"> </w:t>
      </w:r>
      <w:r>
        <w:t xml:space="preserve">Regulation (EU) 2022/1288)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for financial market participants would be to remove the rules to this effect under the SFDR</w:t>
      </w:r>
      <w:r>
        <w:t xml:space="preserve"> </w:t>
      </w:r>
      <w:r>
        <w:t xml:space="preserve">altogether. If the SFDR were repealed, financial market participants would be relieved of the</w:t>
      </w:r>
      <w:r>
        <w:t xml:space="preserve"> </w:t>
      </w:r>
      <w:r>
        <w:t xml:space="preserve">obligations to provide entity-level and product-level information regarding sustainability involving</w:t>
      </w:r>
      <w:r>
        <w:t xml:space="preserve"> </w:t>
      </w:r>
      <w:r>
        <w:t xml:space="preserve">their practices and products. They would be free to provide this information according to</w:t>
      </w:r>
      <w:r>
        <w:t xml:space="preserve"> </w:t>
      </w:r>
      <w:r>
        <w:t xml:space="preserve">parameters and templates of their choosing, based on demand from their investors, and subject to</w:t>
      </w:r>
      <w:r>
        <w:t xml:space="preserve"> </w:t>
      </w:r>
      <w:r>
        <w:t xml:space="preserve">the (possible, continued) application of the ESMA fund name guidelines (which does not include</w:t>
      </w:r>
      <w:r>
        <w:t xml:space="preserve"> </w:t>
      </w:r>
      <w:r>
        <w:t xml:space="preserve">reporting obligations) and other horizontal legal requirements76. However, for a complete answer to</w:t>
      </w:r>
      <w:r>
        <w:t xml:space="preserve"> </w:t>
      </w:r>
      <w:r>
        <w:t xml:space="preserve">the problems identified in Section 2, this would need to be weighed against how well a repeal</w:t>
      </w:r>
      <w:r>
        <w:t xml:space="preserve"> </w:t>
      </w:r>
      <w:r>
        <w:t xml:space="preserve">would help meet the other objectives outlined in Section 4 – e.g. to enhance the coherence of the</w:t>
      </w:r>
      <w:r>
        <w:t xml:space="preserve"> </w:t>
      </w:r>
      <w:r>
        <w:t xml:space="preserve">sustainable finance framework for the operational needs of financial market participants, as well as</w:t>
      </w:r>
      <w:r>
        <w:t xml:space="preserve"> </w:t>
      </w:r>
      <w:r>
        <w:t xml:space="preserve">to improve end-investors’ ability to understand and compare sustainability-linked financial products</w:t>
      </w:r>
      <w:r>
        <w:t xml:space="preserve"> </w:t>
      </w:r>
      <w:r>
        <w:t xml:space="preserve">and fight greenwashing. This is assessed at the start of Section 6.</w:t>
      </w:r>
      <w:r>
        <w:t xml:space="preserve"> </w:t>
      </w:r>
      <w:r>
        <w:t xml:space="preserve">5.3.</w:t>
      </w:r>
      <w:r>
        <w:t xml:space="preserve"> </w:t>
      </w:r>
      <w:r>
        <w:t xml:space="preserve">Policy options for alleviating burdens and costs of reporting</w:t>
      </w:r>
      <w:r>
        <w:t xml:space="preserve"> </w:t>
      </w:r>
      <w:r>
        <w:t xml:space="preserve">The first set of alternative options looks at how best to alleviate the entity-level and product-level</w:t>
      </w:r>
      <w:r>
        <w:t xml:space="preserve"> </w:t>
      </w:r>
      <w:r>
        <w:t xml:space="preserve">disclosure requirements applicable to FMPs in the current framework, which constitute one of the</w:t>
      </w:r>
      <w:r>
        <w:t xml:space="preserve"> </w:t>
      </w:r>
      <w:r>
        <w:t xml:space="preserve">key problems identified in section 2.1.1. The options focus on the information and datapoints that</w:t>
      </w:r>
      <w:r>
        <w:t xml:space="preserve"> </w:t>
      </w:r>
      <w:r>
        <w:t xml:space="preserve">are most needed from them by end-investors and on how to clarify and simplify the concepts</w:t>
      </w:r>
      <w:r>
        <w:t xml:space="preserve"> </w:t>
      </w:r>
      <w:r>
        <w:t xml:space="preserve">underlying these disclosures. This involves amendments of the Level 1, to be complemented by</w:t>
      </w:r>
      <w:r>
        <w:t xml:space="preserve"> </w:t>
      </w:r>
      <w:r>
        <w:t xml:space="preserve">corresponding Level 2 changes at a later stage. The approach to supervision would remain the same</w:t>
      </w:r>
      <w:r>
        <w:t xml:space="preserve"> </w:t>
      </w:r>
      <w:r>
        <w:t xml:space="preserve">(i.e. in the hands of the national competent authorities).</w:t>
      </w:r>
      <w:r>
        <w:br/>
      </w:r>
      <w:r>
        <w:t xml:space="preserve">The options for the disclosures in this Section are independent of those regarding categorisation in</w:t>
      </w:r>
      <w:r>
        <w:t xml:space="preserve"> </w:t>
      </w:r>
      <w:r>
        <w:t xml:space="preserve">Section 5.4. However, the specific content of the product disclosures would be closely linked to the</w:t>
      </w:r>
      <w:r>
        <w:t xml:space="preserve"> </w:t>
      </w:r>
      <w:r>
        <w:t xml:space="preserve">type of categories that would be created. In fact, disclosures would need to include an indication of</w:t>
      </w:r>
      <w:r>
        <w:t xml:space="preserve"> </w:t>
      </w:r>
      <w:r>
        <w:t xml:space="preserve">the categories, and under some options they would also include transparency regarding the criteria.</w:t>
      </w:r>
      <w:r>
        <w:t xml:space="preserve"> </w:t>
      </w:r>
      <w:r>
        <w:t xml:space="preserve">5.3.1. Entity-level disclosures</w:t>
      </w:r>
      <w:r>
        <w:br/>
      </w:r>
      <w:r>
        <w:t xml:space="preserve">The suggested changes focus on the disclosures of principal adverse impacts under Article 4 SFDR,</w:t>
      </w:r>
      <w:r>
        <w:t xml:space="preserve"> </w:t>
      </w:r>
      <w:r>
        <w:t xml:space="preserve">which are those most acutely identified as a problem in section 2. Disclosures on sustainability risk</w:t>
      </w:r>
      <w:r>
        <w:t xml:space="preserve"> </w:t>
      </w:r>
      <w:r>
        <w:t xml:space="preserve">and remuneration policy under Article 3 and 577 were not identified as considerable burdens.</w:t>
      </w:r>
      <w:r>
        <w:br/>
      </w:r>
      <w:r>
        <w:t xml:space="preserve">Disclosures under Article 4 SFDR are currently mandatory for FMPs with more than 500</w:t>
      </w:r>
      <w:r>
        <w:t xml:space="preserve"> </w:t>
      </w:r>
      <w:r>
        <w:t xml:space="preserve">employees, while smaller FMPs are subject to a comply or explain mechanism. In terms of</w:t>
      </w:r>
      <w:r>
        <w:t xml:space="preserve"> </w:t>
      </w:r>
      <w:r>
        <w:t xml:space="preserve">coverage of entities, there are currently approximately 400 FMPs78 reporting on a mandatory basis</w:t>
      </w:r>
      <w:r>
        <w:t xml:space="preserve"> </w:t>
      </w:r>
      <w:r>
        <w:t xml:space="preserve">(i.e. more than 500 employees) and 120079 doing so on a voluntary basis (i.e. below 500</w:t>
      </w:r>
      <w:r>
        <w:t xml:space="preserve"> </w:t>
      </w:r>
      <w:r>
        <w:t xml:space="preserve">employees)80.</w:t>
      </w:r>
    </w:p>
    <w:p>
      <w:pPr>
        <w:pStyle w:val="BodyText"/>
      </w:pPr>
      <w:r>
        <w:t xml:space="preserve">76 Namely, changes introduced by Directive (EU) 2024/825 amending Directives 2005/29/EC and 2011/83/EU as</w:t>
      </w:r>
      <w:r>
        <w:t xml:space="preserve"> </w:t>
      </w:r>
      <w:r>
        <w:t xml:space="preserve">regards empowering consumers for the green transition through better protection against unfair practices and through</w:t>
      </w:r>
      <w:r>
        <w:t xml:space="preserve"> </w:t>
      </w:r>
      <w:r>
        <w:t xml:space="preserve">better information (see also Annex 6, section 3).</w:t>
      </w:r>
      <w:r>
        <w:br/>
      </w:r>
      <w:r>
        <w:t xml:space="preserve">77 PAI disclosures as per Article 4 constitute the bulk of entity-level disclosure requirements detailed in the Level 2</w:t>
      </w:r>
      <w:r>
        <w:t xml:space="preserve"> </w:t>
      </w:r>
      <w:r>
        <w:t xml:space="preserve">regulation and a major factor in the problems identified in section 2, whereas there are no further Level 2 specifications</w:t>
      </w:r>
      <w:r>
        <w:t xml:space="preserve"> </w:t>
      </w:r>
      <w:r>
        <w:t xml:space="preserve">concerning Articles 3 and 5.</w:t>
      </w:r>
      <w:r>
        <w:br/>
      </w:r>
      <w:r>
        <w:t xml:space="preserve">78 Of which 71% are banks, 20% insurance companies, 8% are asset management firms and the rest pension funds and</w:t>
      </w:r>
      <w:r>
        <w:t xml:space="preserve"> </w:t>
      </w:r>
      <w:r>
        <w:t xml:space="preserve">investment firms. Data from ESAs report on PAI disclosures 2024.</w:t>
      </w:r>
      <w:r>
        <w:br/>
      </w:r>
      <w:r>
        <w:t xml:space="preserve">79 Of which 40% are asset management firms, 21% insurance companies, 15% pension funds, 13% investment firms</w:t>
      </w:r>
      <w:r>
        <w:t xml:space="preserve"> </w:t>
      </w:r>
      <w:r>
        <w:t xml:space="preserve">and 11% banks. Data from ESAs report on PAI disclosures 2024.</w:t>
      </w:r>
      <w:r>
        <w:t xml:space="preserve"> </w:t>
      </w:r>
      <w:r>
        <w:t xml:space="preserve">80 While aggregated numbers on what this means in terms of the adverse impacts of investments by covered entities are</w:t>
      </w:r>
      <w:r>
        <w:t xml:space="preserve"> </w:t>
      </w:r>
      <w:r>
        <w:t xml:space="preserve">not available, the ESAs provided information on their average adverse impact on key indicators: 26.59m tons for total</w:t>
      </w:r>
      <w:r>
        <w:t xml:space="preserve"> </w:t>
      </w:r>
      <w:r>
        <w:t xml:space="preserve">GHG emissions (highest 540m), 18 000 tons for average GHG intensity of investee companies, and 7000 tons for</w:t>
      </w:r>
      <w:r>
        <w:t xml:space="preserve"> </w:t>
      </w:r>
      <w:r>
        <w:t xml:space="preserve">carbon footprint.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Option 1.1: Significant reduction of entity-level disclosures</w:t>
      </w:r>
    </w:p>
    <w:p>
      <w:pPr>
        <w:pStyle w:val="BodyText"/>
      </w:pPr>
      <w:r>
        <w:t xml:space="preserve">Under this option, the Commission would reduce the amount of sustainability KPIs to focus on the</w:t>
      </w:r>
      <w:r>
        <w:t xml:space="preserve"> </w:t>
      </w:r>
      <w:r>
        <w:t xml:space="preserve">ones that are the most comparable, measurable and material. These would need to be built on what</w:t>
      </w:r>
      <w:r>
        <w:t xml:space="preserve"> </w:t>
      </w:r>
      <w:r>
        <w:t xml:space="preserve">is understandable and important for investors (focus on retail investors)81; as well as on the current</w:t>
      </w:r>
      <w:r>
        <w:t xml:space="preserve"> </w:t>
      </w:r>
      <w:r>
        <w:t xml:space="preserve">market practices82 and the future corporate reporting standards under the CSRD83. Work from the</w:t>
      </w:r>
      <w:r>
        <w:t xml:space="preserve"> </w:t>
      </w:r>
      <w:r>
        <w:t xml:space="preserve">Platform on Sustainable Finance (PSF)84, the ESAs85, and the responses to the public consultation</w:t>
      </w:r>
      <w:r>
        <w:t xml:space="preserve"> </w:t>
      </w:r>
      <w:r>
        <w:t xml:space="preserve">can inform on the usability of the indicators to be retained. The frequency of reporting could also be</w:t>
      </w:r>
      <w:r>
        <w:t xml:space="preserve"> </w:t>
      </w:r>
      <w:r>
        <w:t xml:space="preserve">reduced up to 3 years instead of every year.</w:t>
      </w:r>
      <w:r>
        <w:br/>
      </w:r>
      <w:r>
        <w:t xml:space="preserve">In addition, a revised scope could target a meaningful scope of entities by focussing on the size of</w:t>
      </w:r>
      <w:r>
        <w:t xml:space="preserve"> </w:t>
      </w:r>
      <w:r>
        <w:t xml:space="preserve">the FMPs’ asset under management rather than the number of employees. Regardless of the</w:t>
      </w:r>
      <w:r>
        <w:t xml:space="preserve"> </w:t>
      </w:r>
      <w:r>
        <w:t xml:space="preserve">revision of the scope, this option would involve the SFDR continuing to set entity-level disclosures</w:t>
      </w:r>
      <w:r>
        <w:t xml:space="preserve"> </w:t>
      </w:r>
      <w:r>
        <w:t xml:space="preserve">for smaller FMPs that will be out of the scope of the revised CSRD, as per the Omnibus proposal.</w:t>
      </w:r>
      <w:r>
        <w:br/>
      </w:r>
      <w:r>
        <w:t xml:space="preserve">Option 1.2: Deletion of entity-level disclosures</w:t>
      </w:r>
    </w:p>
    <w:p>
      <w:pPr>
        <w:pStyle w:val="BodyText"/>
      </w:pPr>
      <w:r>
        <w:t xml:space="preserve">Under this option, the SFDR would solely focus on product disclosures while the CSRD would</w:t>
      </w:r>
      <w:r>
        <w:t xml:space="preserve"> </w:t>
      </w:r>
      <w:r>
        <w:t xml:space="preserve">prescribe the entity-level disclosures for FMPs in its future revised scope86. Assuming the adoption</w:t>
      </w:r>
      <w:r>
        <w:t xml:space="preserve"> </w:t>
      </w:r>
      <w:r>
        <w:t xml:space="preserve">of the Commission’s Omnibus proposals, mandatory entity-level reporting would thus no longer</w:t>
      </w:r>
      <w:r>
        <w:t xml:space="preserve"> </w:t>
      </w:r>
      <w:r>
        <w:t xml:space="preserve">apply to FMPs below 1000 employees.</w:t>
      </w:r>
    </w:p>
    <w:p>
      <w:pPr>
        <w:pStyle w:val="BodyText"/>
      </w:pPr>
      <w:r>
        <w:t xml:space="preserve">In contrast to option 1.1, this option fully reflects the logic of the Omnibus proposal. The CSRD</w:t>
      </w:r>
      <w:r>
        <w:t xml:space="preserve"> </w:t>
      </w:r>
      <w:r>
        <w:t xml:space="preserve">will determine future entity-level sustainability-linked reporting requirements in a comprehensive,</w:t>
      </w:r>
      <w:r>
        <w:t xml:space="preserve"> </w:t>
      </w:r>
      <w:r>
        <w:t xml:space="preserve">cross-sectoral and coherent way, without exceptions and without scope for additional requirements</w:t>
      </w:r>
      <w:r>
        <w:t xml:space="preserve"> </w:t>
      </w:r>
      <w:r>
        <w:t xml:space="preserve">under other regulatory pieces that would risk duplications or excessive complexity. FMPs outside</w:t>
      </w:r>
      <w:r>
        <w:t xml:space="preserve"> </w:t>
      </w:r>
      <w:r>
        <w:t xml:space="preserve">the CSRD scope could voluntarily report entity-level information according to the ESRS or the</w:t>
      </w:r>
      <w:r>
        <w:t xml:space="preserve"> </w:t>
      </w:r>
      <w:r>
        <w:t xml:space="preserve">future voluntary sustainability-related information standard to be adopted as a delegated act</w:t>
      </w:r>
      <w:r>
        <w:t xml:space="preserve"> </w:t>
      </w:r>
      <w:r>
        <w:t xml:space="preserve">according to the Omnibus proposal, and based on the voluntary standard for SMEs (VSME)</w:t>
      </w:r>
      <w:r>
        <w:t xml:space="preserve"> </w:t>
      </w:r>
      <w:r>
        <w:t xml:space="preserve">developed by EFRAG87.</w:t>
      </w:r>
      <w:r>
        <w:br/>
      </w:r>
      <w:r>
        <w:t xml:space="preserve">5.3.2. Product-level disclosures</w:t>
      </w:r>
      <w:r>
        <w:t xml:space="preserve"> </w:t>
      </w:r>
      <w:r>
        <w:t xml:space="preserve">Despite the clear need for simplification and streamlining of the current ESG disclosures for</w:t>
      </w:r>
      <w:r>
        <w:t xml:space="preserve"> </w:t>
      </w:r>
      <w:r>
        <w:t xml:space="preserve">sustainable finance products, there is still a clear demand for ESG information on investment</w:t>
      </w:r>
    </w:p>
    <w:p>
      <w:pPr>
        <w:pStyle w:val="BodyText"/>
      </w:pPr>
      <w:r>
        <w:t xml:space="preserve">81 A comprehensive EU consumer testing exercise should be conducted to ensure the indicators that are to be retained</w:t>
      </w:r>
      <w:r>
        <w:t xml:space="preserve"> </w:t>
      </w:r>
      <w:r>
        <w:t xml:space="preserve">can be understood and are deemed important by end-investors.</w:t>
      </w:r>
      <w:r>
        <w:br/>
      </w:r>
      <w:r>
        <w:t xml:space="preserve">82 Data from past disclosures by FMPs should be used to determine which KPIs are currently being disclosed, which</w:t>
      </w:r>
      <w:r>
        <w:t xml:space="preserve"> </w:t>
      </w:r>
      <w:r>
        <w:t xml:space="preserve">can inform on their level of usability and ease of production. For example, the ESAs annual report on PAI disclosures</w:t>
      </w:r>
      <w:r>
        <w:t xml:space="preserve"> </w:t>
      </w:r>
      <w:r>
        <w:t xml:space="preserve">under the SFDR shows that the KPI on total GHG emissions is being widely disclosed across FMPs.</w:t>
      </w:r>
      <w:r>
        <w:t xml:space="preserve"> </w:t>
      </w:r>
      <w:r>
        <w:t xml:space="preserve">83 To reduce the data gaps and bring coherence between the disclosures from non-financial companies and financial</w:t>
      </w:r>
      <w:r>
        <w:t xml:space="preserve"> </w:t>
      </w:r>
      <w:r>
        <w:t xml:space="preserve">companies.</w:t>
      </w:r>
      <w:r>
        <w:t xml:space="preserve"> </w:t>
      </w:r>
      <w:r>
        <w:t xml:space="preserve">84 For example, the PSF acknowledges that certain indicators are only material for companies involved in specific</w:t>
      </w:r>
      <w:r>
        <w:t xml:space="preserve"> </w:t>
      </w:r>
      <w:r>
        <w:t xml:space="preserve">economic activities, such as PAI 9 (hazardous and radioactive waste ratio), PAI 5 (non-renewable energy consumption</w:t>
      </w:r>
      <w:r>
        <w:t xml:space="preserve"> </w:t>
      </w:r>
      <w:r>
        <w:t xml:space="preserve">and production, specifically for energy production), and PAI 8 (emissions to water), and might not be material and</w:t>
      </w:r>
      <w:r>
        <w:t xml:space="preserve"> </w:t>
      </w:r>
      <w:r>
        <w:t xml:space="preserve">comparable across all companies</w:t>
      </w:r>
      <w:r>
        <w:t xml:space="preserve"> </w:t>
      </w:r>
      <w:r>
        <w:t xml:space="preserve">85 The information needed might also be available under the annual joint ESAs reports on disclosures of principal</w:t>
      </w:r>
      <w:r>
        <w:t xml:space="preserve"> </w:t>
      </w:r>
      <w:r>
        <w:t xml:space="preserve">adverse impacts under the SFDR. See here the 2024 version for a state of play of the reporting based on FY 2023. If the</w:t>
      </w:r>
      <w:r>
        <w:t xml:space="preserve"> </w:t>
      </w:r>
      <w:r>
        <w:t xml:space="preserve">information available in these reports are not enough, a market study should be conducted to take stock of disclosures</w:t>
      </w:r>
      <w:r>
        <w:t xml:space="preserve"> </w:t>
      </w:r>
      <w:r>
        <w:t xml:space="preserve">made under Article 4 SFDR.</w:t>
      </w:r>
      <w:r>
        <w:br/>
      </w:r>
      <w:r>
        <w:t xml:space="preserve">86 Together with the provisions of Chapter Ib of Directive 2007/36/EC (shareholder rights), as amended</w:t>
      </w:r>
      <w:r>
        <w:t xml:space="preserve"> </w:t>
      </w:r>
      <w:r>
        <w:t xml:space="preserve">87 Omnibus proposal COM (2025)81 final; Commission presents voluntary sustainability reporting standard to ease</w:t>
      </w:r>
      <w:r>
        <w:t xml:space="preserve"> </w:t>
      </w:r>
      <w:r>
        <w:t xml:space="preserve">burden on SMEs - European Commission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products88 (summary of the existing consumer studies included in Annex 10). This trend was</w:t>
      </w:r>
      <w:r>
        <w:t xml:space="preserve"> </w:t>
      </w:r>
      <w:r>
        <w:t xml:space="preserve">confirmed in the responses to the public consultations (described in Annex 2) which showed that</w:t>
      </w:r>
      <w:r>
        <w:t xml:space="preserve"> </w:t>
      </w:r>
      <w:r>
        <w:t xml:space="preserve">89% of respondents (272 out of 304) consider that the objective to strengthen transparency through</w:t>
      </w:r>
      <w:r>
        <w:t xml:space="preserve"> </w:t>
      </w:r>
      <w:r>
        <w:t xml:space="preserve">sustainability-related disclosures for financial products is still relevant today. In addition, a</w:t>
      </w:r>
      <w:r>
        <w:t xml:space="preserve"> </w:t>
      </w:r>
      <w:r>
        <w:t xml:space="preserve">Eurobarometer survey of October 2022 shows that more than six in ten Europeans find it important</w:t>
      </w:r>
      <w:r>
        <w:t xml:space="preserve"> </w:t>
      </w:r>
      <w:r>
        <w:t xml:space="preserve">that their savings and investments do not find economic activities that have a negative impact on</w:t>
      </w:r>
      <w:r>
        <w:t xml:space="preserve"> </w:t>
      </w:r>
      <w:r>
        <w:t xml:space="preserve">the planet. However, only 34% know whether their private savings and investments are invested</w:t>
      </w:r>
      <w:r>
        <w:t xml:space="preserve"> </w:t>
      </w:r>
      <w:r>
        <w:t xml:space="preserve">into sustainable economic activities, and 29% receive information on the sustainability impact of</w:t>
      </w:r>
      <w:r>
        <w:t xml:space="preserve"> </w:t>
      </w:r>
      <w:r>
        <w:t xml:space="preserve">financial products or services89.</w:t>
      </w:r>
      <w:r>
        <w:br/>
      </w:r>
      <w:r>
        <w:t xml:space="preserve">This shows the need for more user-friendly information for investors to make informed choices.</w:t>
      </w:r>
      <w:r>
        <w:t xml:space="preserve"> </w:t>
      </w:r>
      <w:r>
        <w:t xml:space="preserve">The two options below therefore look at how to best ensure that investors receive the information</w:t>
      </w:r>
      <w:r>
        <w:t xml:space="preserve"> </w:t>
      </w:r>
      <w:r>
        <w:t xml:space="preserve">that they need while limiting the burdens on data preparers.</w:t>
      </w:r>
    </w:p>
    <w:p>
      <w:pPr>
        <w:pStyle w:val="BodyText"/>
      </w:pPr>
      <w:r>
        <w:t xml:space="preserve">The specific content of product disclosures is intrinsically linked to the choice made for the</w:t>
      </w:r>
      <w:r>
        <w:t xml:space="preserve"> </w:t>
      </w:r>
      <w:r>
        <w:t xml:space="preserve">categorisation system (section 5.4). Accordingly, option 2.1 would cater more for categories that</w:t>
      </w:r>
      <w:r>
        <w:t xml:space="preserve"> </w:t>
      </w:r>
      <w:r>
        <w:t xml:space="preserve">rely on the existing SFDR concepts while option 2.2 would better reflect categories relying on new</w:t>
      </w:r>
      <w:r>
        <w:t xml:space="preserve"> </w:t>
      </w:r>
      <w:r>
        <w:t xml:space="preserve">criteria (which would be simpler than the existing concepts).</w:t>
      </w:r>
      <w:r>
        <w:br/>
      </w:r>
      <w:r>
        <w:t xml:space="preserve">Option 2.1: Minimal changes to product-level disclosures</w:t>
      </w:r>
    </w:p>
    <w:p>
      <w:pPr>
        <w:pStyle w:val="BodyText"/>
      </w:pPr>
      <w:r>
        <w:t xml:space="preserve">This option would retain the bulk of the disclosures set out in the SFDR level 2 delegated</w:t>
      </w:r>
      <w:r>
        <w:t xml:space="preserve"> </w:t>
      </w:r>
      <w:r>
        <w:t xml:space="preserve">regulation in place.</w:t>
      </w:r>
      <w:r>
        <w:br/>
      </w:r>
      <w:r>
        <w:t xml:space="preserve">The reporting templates would remain largely similar to how they are today, i.e. requiring</w:t>
      </w:r>
      <w:r>
        <w:t xml:space="preserve"> </w:t>
      </w:r>
      <w:r>
        <w:t xml:space="preserve">transparency around a wide range of ESG related concepts in the current SFDR for all products in</w:t>
      </w:r>
      <w:r>
        <w:t xml:space="preserve"> </w:t>
      </w:r>
      <w:r>
        <w:t xml:space="preserve">scope90. Depending on the choice made regarding categories, the specific content of the disclosures</w:t>
      </w:r>
      <w:r>
        <w:t xml:space="preserve"> </w:t>
      </w:r>
      <w:r>
        <w:t xml:space="preserve">would only slightly vary. If categories were introduced, disclosures would need to include a</w:t>
      </w:r>
      <w:r>
        <w:t xml:space="preserve"> </w:t>
      </w:r>
      <w:r>
        <w:t xml:space="preserve">reference to the category and an explanation of the criteria, but all categorised products would</w:t>
      </w:r>
      <w:r>
        <w:t xml:space="preserve"> </w:t>
      </w:r>
      <w:r>
        <w:t xml:space="preserve">continue to disclose against the wide range of ESG concepts, independently of the category under</w:t>
      </w:r>
      <w:r>
        <w:t xml:space="preserve"> </w:t>
      </w:r>
      <w:r>
        <w:t xml:space="preserve">which they fall.</w:t>
      </w:r>
    </w:p>
    <w:p>
      <w:pPr>
        <w:pStyle w:val="BodyText"/>
      </w:pPr>
      <w:r>
        <w:t xml:space="preserve">Option 2.2: Significantly reduce product-level disclosures</w:t>
      </w:r>
    </w:p>
    <w:p>
      <w:pPr>
        <w:pStyle w:val="BodyText"/>
      </w:pPr>
      <w:r>
        <w:t xml:space="preserve">This option would imply a significant change from the current approach and would result in much</w:t>
      </w:r>
      <w:r>
        <w:t xml:space="preserve"> </w:t>
      </w:r>
      <w:r>
        <w:t xml:space="preserve">shorter and simpler consumer-facing disclosures (Level 2). This option would move away from</w:t>
      </w:r>
      <w:r>
        <w:t xml:space="preserve"> </w:t>
      </w:r>
      <w:r>
        <w:t xml:space="preserve">relying on standardised questions for all ESG financial products but instead would be coherent with</w:t>
      </w:r>
      <w:r>
        <w:t xml:space="preserve"> </w:t>
      </w:r>
      <w:r>
        <w:t xml:space="preserve">the creation of categories, with disclosures tailored to the categories under which products fall (i.e. </w:t>
      </w:r>
      <w:r>
        <w:t xml:space="preserve"> </w:t>
      </w:r>
      <w:r>
        <w:t xml:space="preserve">specific disclosures would depend on whether a product is largely composed of sustainable assets,</w:t>
      </w:r>
      <w:r>
        <w:t xml:space="preserve"> </w:t>
      </w:r>
      <w:r>
        <w:t xml:space="preserve">or transitioning assets, or if the product implements other ESG processes). Accordingly, detailed</w:t>
      </w:r>
    </w:p>
    <w:p>
      <w:pPr>
        <w:pStyle w:val="BodyText"/>
      </w:pPr>
      <w:r>
        <w:t xml:space="preserve">88 For example, the Morgan Stanley study (2024) finds that 85% individual investors are interested in sustainable</w:t>
      </w:r>
      <w:r>
        <w:t xml:space="preserve"> </w:t>
      </w:r>
      <w:r>
        <w:t xml:space="preserve">investing and the Schroders Study (2019) shows that the interest for sustainable investing has grown for 77% of</w:t>
      </w:r>
      <w:r>
        <w:t xml:space="preserve"> </w:t>
      </w:r>
      <w:r>
        <w:t xml:space="preserve">respondents between 2015 and 2019.</w:t>
      </w:r>
      <w:r>
        <w:br/>
      </w:r>
      <w:r>
        <w:t xml:space="preserve">89 Retail Financial Services and Products - October 2022 - - Eurobarometer survey</w:t>
      </w:r>
      <w:r>
        <w:t xml:space="preserve"> </w:t>
      </w:r>
      <w:r>
        <w:t xml:space="preserve">90 Such as the sustainable investment objective and the proportion of sustainable investment, the environmental and/or</w:t>
      </w:r>
      <w:r>
        <w:t xml:space="preserve"> </w:t>
      </w:r>
      <w:r>
        <w:t xml:space="preserve">social characteristics, the investments in Taxonomy-aligned economic activities, the do no significant harm test, the</w:t>
      </w:r>
      <w:r>
        <w:t xml:space="preserve"> </w:t>
      </w:r>
      <w:r>
        <w:t xml:space="preserve">consideration of principal adverse impacts on sustainability factors, the asset allocation, the use of derivatives in</w:t>
      </w:r>
      <w:r>
        <w:t xml:space="preserve"> </w:t>
      </w:r>
      <w:r>
        <w:t xml:space="preserve">attaining the ESG characteristics/objectives, the use of a specific index as reference benchmark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disclosures would be required only for categorised products and the number of data points to report</w:t>
      </w:r>
      <w:r>
        <w:t xml:space="preserve"> </w:t>
      </w:r>
      <w:r>
        <w:t xml:space="preserve">would be significantly reduced from the 25 currently standardised questions91.</w:t>
      </w:r>
      <w:r>
        <w:br/>
      </w:r>
      <w:r>
        <w:t xml:space="preserve">To strike a balance between providing the necessary and relevant information for investors and</w:t>
      </w:r>
      <w:r>
        <w:t xml:space="preserve"> </w:t>
      </w:r>
      <w:r>
        <w:t xml:space="preserve">reducing the burdens for FMPs, the following measures would be taken:</w:t>
      </w:r>
      <w:r>
        <w:br/>
      </w:r>
      <w:r>
        <w:t xml:space="preserve">-</w:t>
      </w:r>
      <w:r>
        <w:t xml:space="preserve"> </w:t>
      </w:r>
      <w:r>
        <w:t xml:space="preserve">Refocussing the templates on fewer indicators and sustainability topics which are</w:t>
      </w:r>
      <w:r>
        <w:t xml:space="preserve"> </w:t>
      </w:r>
      <w:r>
        <w:t xml:space="preserve">relevant for investors’ decisions. A limit on the number of mandatory indicators for</w:t>
      </w:r>
      <w:r>
        <w:t xml:space="preserve"> </w:t>
      </w:r>
      <w:r>
        <w:t xml:space="preserve">categorised products could also be defined (e.g. 5 indicators covering investors’ interest in</w:t>
      </w:r>
      <w:r>
        <w:t xml:space="preserve"> </w:t>
      </w:r>
      <w:r>
        <w:t xml:space="preserve">climate, environmental and social issues). The format of the templates would be</w:t>
      </w:r>
      <w:r>
        <w:t xml:space="preserve"> </w:t>
      </w:r>
      <w:r>
        <w:t xml:space="preserve">standardised and its size (which would also include a description of the categories and its</w:t>
      </w:r>
      <w:r>
        <w:t xml:space="preserve"> </w:t>
      </w:r>
      <w:r>
        <w:t xml:space="preserve">criteria) could also be limited to for example 2 pages. A shorter, standardised template</w:t>
      </w:r>
      <w:r>
        <w:t xml:space="preserve"> </w:t>
      </w:r>
      <w:r>
        <w:t xml:space="preserve">focused on fewer indicators would also have the benefit of enhancing product</w:t>
      </w:r>
      <w:r>
        <w:t xml:space="preserve"> </w:t>
      </w:r>
      <w:r>
        <w:t xml:space="preserve">comparability.</w:t>
      </w:r>
      <w:r>
        <w:br/>
      </w:r>
      <w:r>
        <w:t xml:space="preserve">-</w:t>
      </w:r>
      <w:r>
        <w:t xml:space="preserve"> </w:t>
      </w:r>
      <w:r>
        <w:t xml:space="preserve">Such disclosures should rely on clear, measurable and usable concepts rather than the</w:t>
      </w:r>
      <w:r>
        <w:t xml:space="preserve"> </w:t>
      </w:r>
      <w:r>
        <w:t xml:space="preserve">currently high-level concepts which have proven complex to apply (such as sustainable</w:t>
      </w:r>
      <w:r>
        <w:t xml:space="preserve"> </w:t>
      </w:r>
      <w:r>
        <w:t xml:space="preserve">investment). FMPs’ experience with sustainability concepts and measures has increased</w:t>
      </w:r>
      <w:r>
        <w:t xml:space="preserve"> </w:t>
      </w:r>
      <w:r>
        <w:t xml:space="preserve">significantly since the SFDR was introduced. Market observations can now inform on</w:t>
      </w:r>
      <w:r>
        <w:t xml:space="preserve"> </w:t>
      </w:r>
      <w:r>
        <w:t xml:space="preserve">which indicators can be comparable across products92 and which concepts can be properly</w:t>
      </w:r>
      <w:r>
        <w:t xml:space="preserve"> </w:t>
      </w:r>
      <w:r>
        <w:t xml:space="preserve">implemented in a harmonised way. More information on how the criteria would be changed</w:t>
      </w:r>
      <w:r>
        <w:t xml:space="preserve"> </w:t>
      </w:r>
      <w:r>
        <w:t xml:space="preserve">is provided under section 5.4.</w:t>
      </w:r>
      <w:r>
        <w:br/>
      </w:r>
      <w:r>
        <w:t xml:space="preserve">-</w:t>
      </w:r>
      <w:r>
        <w:t xml:space="preserve"> </w:t>
      </w:r>
      <w:r>
        <w:t xml:space="preserve">Relying on concepts/KPIs for which information is either available from investee</w:t>
      </w:r>
      <w:r>
        <w:t xml:space="preserve"> </w:t>
      </w:r>
      <w:r>
        <w:t xml:space="preserve">companies or possible to estimate by FMPs/data providers when the information is</w:t>
      </w:r>
      <w:r>
        <w:t xml:space="preserve"> </w:t>
      </w:r>
      <w:r>
        <w:t xml:space="preserve">missing. Two elements should be considered:</w:t>
      </w:r>
      <w:r>
        <w:br/>
      </w:r>
      <w:r>
        <w:t xml:space="preserve">o The SFDR requirements should be aligned with the future corporate reporting</w:t>
      </w:r>
      <w:r>
        <w:t xml:space="preserve"> </w:t>
      </w:r>
      <w:r>
        <w:t xml:space="preserve">standards under the CSRD to ensure that at least EU companies subject to these rules</w:t>
      </w:r>
      <w:r>
        <w:t xml:space="preserve"> </w:t>
      </w:r>
      <w:r>
        <w:t xml:space="preserve">report the necessary information. The revised ESRS standards should be adopted in</w:t>
      </w:r>
      <w:r>
        <w:t xml:space="preserve"> </w:t>
      </w:r>
      <w:r>
        <w:t xml:space="preserve">2026.</w:t>
      </w:r>
      <w:r>
        <w:br/>
      </w:r>
      <w:r>
        <w:t xml:space="preserve">o The information needed to implement the SFDR should be possible to estimate when</w:t>
      </w:r>
      <w:r>
        <w:t xml:space="preserve"> </w:t>
      </w:r>
      <w:r>
        <w:t xml:space="preserve">the information is not available. A market study would be conducted to understand</w:t>
      </w:r>
      <w:r>
        <w:t xml:space="preserve"> </w:t>
      </w:r>
      <w:r>
        <w:t xml:space="preserve">what type of sustainability data is feasibly possible to reliably estimate 93. Annex 8</w:t>
      </w:r>
      <w:r>
        <w:t xml:space="preserve"> </w:t>
      </w:r>
      <w:r>
        <w:t xml:space="preserve">includes background information on the current estimation practices. This is key to</w:t>
      </w:r>
      <w:r>
        <w:t xml:space="preserve"> </w:t>
      </w:r>
      <w:r>
        <w:t xml:space="preserve">avoid that the initiative inadvertently contributes to greenwashing due to an</w:t>
      </w:r>
      <w:r>
        <w:t xml:space="preserve"> </w:t>
      </w:r>
      <w:r>
        <w:t xml:space="preserve">unreliable use of estimates.</w:t>
      </w:r>
      <w:r>
        <w:t xml:space="preserve"> </w:t>
      </w:r>
      <w:r>
        <w:t xml:space="preserve">Therefore, subject to the decision taken on the creation of categories under section 5.4, the</w:t>
      </w:r>
      <w:r>
        <w:t xml:space="preserve"> </w:t>
      </w:r>
      <w:r>
        <w:t xml:space="preserve">disclosures could be tailored to each category and focus on: (1) compliance by the product with the</w:t>
      </w:r>
      <w:r>
        <w:t xml:space="preserve"> </w:t>
      </w:r>
      <w:r>
        <w:t xml:space="preserve">criteria of the category; (2) the approach to sustainability chosen by the FMP; (3) the underlying</w:t>
      </w:r>
      <w:r>
        <w:t xml:space="preserve"> </w:t>
      </w:r>
      <w:r>
        <w:t xml:space="preserve">methodology used and; (4) a requirement to disclose how the product meets a specified short set of</w:t>
      </w:r>
      <w:r>
        <w:t xml:space="preserve"> </w:t>
      </w:r>
      <w:r>
        <w:t xml:space="preserve">ESG KPIs tailored to each category .</w:t>
      </w:r>
    </w:p>
    <w:p>
      <w:pPr>
        <w:pStyle w:val="BodyText"/>
      </w:pPr>
      <w:r>
        <w:t xml:space="preserve">91 Commission Delegated Regulation (EU) 2022/1288, reporting templates from Annex II to V.</w:t>
      </w:r>
      <w:r>
        <w:br/>
      </w:r>
      <w:r>
        <w:t xml:space="preserve">92</w:t>
      </w:r>
      <w:r>
        <w:t xml:space="preserve"> </w:t>
      </w:r>
      <w:r>
        <w:t xml:space="preserve">Data from past disclosures by FMPs should be used to determine which KPIs are currently being disclosed,</w:t>
      </w:r>
      <w:r>
        <w:t xml:space="preserve"> </w:t>
      </w:r>
      <w:r>
        <w:t xml:space="preserve">which can inform on their level of usability and ease of production. For example, the ESAs’ annual report on PAI</w:t>
      </w:r>
      <w:r>
        <w:t xml:space="preserve"> </w:t>
      </w:r>
      <w:r>
        <w:t xml:space="preserve">disclosures under the SFDR shows that the KPI on total GHG emissions is being widely disclosed across FMPs.</w:t>
      </w:r>
      <w:r>
        <w:t xml:space="preserve"> </w:t>
      </w:r>
      <w:r>
        <w:t xml:space="preserve">93 For example, the PSF report already highlights which sustainability indicators lack publicly available or estimated</w:t>
      </w:r>
      <w:r>
        <w:t xml:space="preserve"> </w:t>
      </w:r>
      <w:r>
        <w:t xml:space="preserve">data, such as biodiversity and water. The ESAs annual report mentioned above also gives a useful state of play of the</w:t>
      </w:r>
      <w:r>
        <w:t xml:space="preserve"> </w:t>
      </w:r>
      <w:r>
        <w:t xml:space="preserve">reporting based on FY 2023. In addition, box 12 of annex 11 shows that ESG data is widely available on topics such as</w:t>
      </w:r>
      <w:r>
        <w:t xml:space="preserve"> </w:t>
      </w:r>
      <w:r>
        <w:t xml:space="preserve">GHG emissions, exposure to fossil fuel sectors and exposure to controversial weapons. If the information available in</w:t>
      </w:r>
      <w:r>
        <w:t xml:space="preserve"> </w:t>
      </w:r>
      <w:r>
        <w:t xml:space="preserve">these reports are not enough, a market study should be conducted to take stock of disclosures made under Article 4</w:t>
      </w:r>
      <w:r>
        <w:t xml:space="preserve"> </w:t>
      </w:r>
      <w:r>
        <w:t xml:space="preserve">SFDR.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Annex 8 provides for an illustrative example of what the new template would look like. Because</w:t>
      </w:r>
      <w:r>
        <w:t xml:space="preserve"> </w:t>
      </w:r>
      <w:r>
        <w:t xml:space="preserve">this option would introduce considerable changes, the proposed changes should be tested on EU</w:t>
      </w:r>
      <w:r>
        <w:t xml:space="preserve"> </w:t>
      </w:r>
      <w:r>
        <w:t xml:space="preserve">investors once the above essential contours and elements are agreed by co-legislators, before being</w:t>
      </w:r>
      <w:r>
        <w:t xml:space="preserve"> </w:t>
      </w:r>
      <w:r>
        <w:t xml:space="preserve">finalised in the level 2 rules.</w:t>
      </w:r>
      <w:r>
        <w:br/>
      </w:r>
      <w:r>
        <w:t xml:space="preserve">5.4.</w:t>
      </w:r>
      <w:r>
        <w:t xml:space="preserve"> </w:t>
      </w:r>
      <w:r>
        <w:t xml:space="preserve">Policy options for setting up a clear and coherent sustainability-linked product</w:t>
      </w:r>
      <w:r>
        <w:t xml:space="preserve"> </w:t>
      </w:r>
      <w:r>
        <w:t xml:space="preserve">categorisation system</w:t>
      </w:r>
      <w:r>
        <w:t xml:space="preserve"> </w:t>
      </w:r>
      <w:r>
        <w:t xml:space="preserve">To address the problem of poor comparability of ESG products and misuse of the current Articles 8</w:t>
      </w:r>
      <w:r>
        <w:t xml:space="preserve"> </w:t>
      </w:r>
      <w:r>
        <w:t xml:space="preserve">and 9, three different options can be considered on how to set up sustainability-related categories</w:t>
      </w:r>
      <w:r>
        <w:t xml:space="preserve"> </w:t>
      </w:r>
      <w:r>
        <w:t xml:space="preserve">for financial products. The options discussed in this section reflect those which emerge as the</w:t>
      </w:r>
      <w:r>
        <w:t xml:space="preserve"> </w:t>
      </w:r>
      <w:r>
        <w:t xml:space="preserve">preferred ones from stakeholder feedback, namely different combinations of distinct categories for</w:t>
      </w:r>
      <w:r>
        <w:t xml:space="preserve"> </w:t>
      </w:r>
      <w:r>
        <w:t xml:space="preserve">‘sustainable’, ‘transition’, and ‘other ESG’ products94. Option 3.1 would set 3 new categories</w:t>
      </w:r>
      <w:r>
        <w:t xml:space="preserve"> </w:t>
      </w:r>
      <w:r>
        <w:t xml:space="preserve">(sustainable, transition, other ESG), option 3.2 would set 2 new categories (sustainable, transition),</w:t>
      </w:r>
      <w:r>
        <w:t xml:space="preserve"> </w:t>
      </w:r>
      <w:r>
        <w:t xml:space="preserve">and option 3.3 would convert the existing disclosure Articles 8 and 9 into formal categories</w:t>
      </w:r>
      <w:r>
        <w:t xml:space="preserve"> </w:t>
      </w:r>
      <w:r>
        <w:t xml:space="preserve">(sustainable and other ESG). Based on this stakeholder feedback, other options to either not create</w:t>
      </w:r>
      <w:r>
        <w:t xml:space="preserve"> </w:t>
      </w:r>
      <w:r>
        <w:t xml:space="preserve">categories at all, or to create more than two or three categories are dismissed at the outset (as</w:t>
      </w:r>
      <w:r>
        <w:t xml:space="preserve"> </w:t>
      </w:r>
      <w:r>
        <w:t xml:space="preserve">explained in section 5.5), also given that such approaches are assessed to be suboptimal in meeting</w:t>
      </w:r>
      <w:r>
        <w:t xml:space="preserve"> </w:t>
      </w:r>
      <w:r>
        <w:t xml:space="preserve">the objectives defined in section 4.</w:t>
      </w:r>
      <w:r>
        <w:br/>
      </w:r>
      <w:r>
        <w:t xml:space="preserve">Like the current use of the SFDR as a categorisation system, these categories would be voluntary.</w:t>
      </w:r>
      <w:r>
        <w:t xml:space="preserve"> </w:t>
      </w:r>
      <w:r>
        <w:t xml:space="preserve">As explained at the start of section 595, in line with the principle of proportionality, the</w:t>
      </w:r>
      <w:r>
        <w:t xml:space="preserve"> </w:t>
      </w:r>
      <w:r>
        <w:t xml:space="preserve">categorisation caters for FMPs which are committed to offering sustainability-linked financial</w:t>
      </w:r>
      <w:r>
        <w:t xml:space="preserve"> </w:t>
      </w:r>
      <w:r>
        <w:t xml:space="preserve">products and for their clients which are interested in investing in them. However, some of the</w:t>
      </w:r>
      <w:r>
        <w:t xml:space="preserve"> </w:t>
      </w:r>
      <w:r>
        <w:t xml:space="preserve">policy options presented limit the ability of non-categorised products to make ESG claims in</w:t>
      </w:r>
      <w:r>
        <w:t xml:space="preserve"> </w:t>
      </w:r>
      <w:r>
        <w:t xml:space="preserve">marketing documentations and names. Also, the specific content of the disclosures builds on the</w:t>
      </w:r>
      <w:r>
        <w:t xml:space="preserve"> </w:t>
      </w:r>
      <w:r>
        <w:t xml:space="preserve">information provided in Option 2.2 and would be largely defined by the type of category chosen</w:t>
      </w:r>
      <w:r>
        <w:t xml:space="preserve"> </w:t>
      </w:r>
      <w:r>
        <w:t xml:space="preserve">and their underlying criteria.</w:t>
      </w:r>
      <w:r>
        <w:t xml:space="preserve"> </w:t>
      </w:r>
      <w:r>
        <w:t xml:space="preserve">Under the three options, the categories would be designed in a way that is easily understandable</w:t>
      </w:r>
      <w:r>
        <w:t xml:space="preserve"> </w:t>
      </w:r>
      <w:r>
        <w:t xml:space="preserve">by retail investors and usable by distributors by (1) relying on terms that are understandable to</w:t>
      </w:r>
      <w:r>
        <w:t xml:space="preserve"> </w:t>
      </w:r>
      <w:r>
        <w:t xml:space="preserve">non-experts; (2) reflecting different levels of ambitions/type of sustainability objectives that can</w:t>
      </w:r>
      <w:r>
        <w:t xml:space="preserve"> </w:t>
      </w:r>
      <w:r>
        <w:t xml:space="preserve">easily be explained. The categories would not regulate every feature of products which would fall</w:t>
      </w:r>
      <w:r>
        <w:t xml:space="preserve"> </w:t>
      </w:r>
      <w:r>
        <w:t xml:space="preserve">within them, but rather create certain high level requirements which categorised products would</w:t>
      </w:r>
      <w:r>
        <w:t xml:space="preserve"> </w:t>
      </w:r>
      <w:r>
        <w:t xml:space="preserve">have to meet. They would aim at enabling investors and advisors to easily identify the products that</w:t>
      </w:r>
      <w:r>
        <w:t xml:space="preserve"> </w:t>
      </w:r>
      <w:r>
        <w:t xml:space="preserve">can match certain sustainability preferences, supported by short mandatory disclosures (as per</w:t>
      </w:r>
      <w:r>
        <w:t xml:space="preserve"> </w:t>
      </w:r>
      <w:r>
        <w:t xml:space="preserve">option 2.2 above). This implies that the names of the categories, as well as a short explanation of</w:t>
      </w:r>
      <w:r>
        <w:t xml:space="preserve"> </w:t>
      </w:r>
      <w:r>
        <w:t xml:space="preserve">what the categories are (part of the product disclosures), must be enough for investors to get a clear</w:t>
      </w:r>
      <w:r>
        <w:t xml:space="preserve"> </w:t>
      </w:r>
      <w:r>
        <w:t xml:space="preserve">idea of the (minimum) ESG standards followed by categorised products96. In contrast to today,</w:t>
      </w:r>
      <w:r>
        <w:t xml:space="preserve"> </w:t>
      </w:r>
      <w:r>
        <w:t xml:space="preserve">where products can fall under either Article 8 or 9 depending on how FMPs decide to implement</w:t>
      </w:r>
      <w:r>
        <w:t xml:space="preserve"> </w:t>
      </w:r>
      <w:r>
        <w:t xml:space="preserve">the SFDR concepts97, the categories would cluster products into distinct groups based on their main</w:t>
      </w:r>
      <w:r>
        <w:t xml:space="preserve"> </w:t>
      </w:r>
      <w:r>
        <w:t xml:space="preserve">claims (‘sustainable’, ‘transition’, ‘other ESG’) and how they meet clear predefined criteria.</w:t>
      </w:r>
    </w:p>
    <w:p>
      <w:pPr>
        <w:pStyle w:val="BodyText"/>
      </w:pPr>
      <w:r>
        <w:t xml:space="preserve">94 See Annex 2, Section 3, sub-section 3 ‘Categorisation for financial products’. Note that the names used for the</w:t>
      </w:r>
      <w:r>
        <w:t xml:space="preserve"> </w:t>
      </w:r>
      <w:r>
        <w:t xml:space="preserve">categories throughout this document are only indicative (see also below under ‘Elements to be defined at level 1 vs</w:t>
      </w:r>
      <w:r>
        <w:t xml:space="preserve"> </w:t>
      </w:r>
      <w:r>
        <w:t xml:space="preserve">elements to be defined at level 2.’)</w:t>
      </w:r>
      <w:r>
        <w:t xml:space="preserve"> </w:t>
      </w:r>
      <w:r>
        <w:t xml:space="preserve">95 See section ‘Specific considerations for the formulation of policy options arising from the Omnibus proposal95, the</w:t>
      </w:r>
      <w:r>
        <w:t xml:space="preserve"> </w:t>
      </w:r>
      <w:r>
        <w:t xml:space="preserve">ESMA fund name guidelines and the principle of proportionality’</w:t>
      </w:r>
      <w:r>
        <w:t xml:space="preserve"> </w:t>
      </w:r>
      <w:r>
        <w:t xml:space="preserve">96 The categories would be on top of requirements for FMPs’ e.g. in Chapter Ib of Directive 2007/36/EC (shareholder</w:t>
      </w:r>
      <w:r>
        <w:t xml:space="preserve"> </w:t>
      </w:r>
      <w:r>
        <w:t xml:space="preserve">rights), requiring institutional investors and asset managers to be more transparent about their investment strategies,</w:t>
      </w:r>
      <w:r>
        <w:t xml:space="preserve"> </w:t>
      </w:r>
      <w:r>
        <w:t xml:space="preserve">their engagement policies and the implementation thereof.</w:t>
      </w:r>
      <w:r>
        <w:t xml:space="preserve"> </w:t>
      </w:r>
      <w:r>
        <w:t xml:space="preserve">97 See Annex 11, section 3.1.1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There is of course a trade-off between making the categories simple for FMPs and investors on the</w:t>
      </w:r>
      <w:r>
        <w:t xml:space="preserve"> </w:t>
      </w:r>
      <w:r>
        <w:t xml:space="preserve">one hand, and heightened concerns of greenwashing on the other. To achieve the former, the</w:t>
      </w:r>
      <w:r>
        <w:t xml:space="preserve"> </w:t>
      </w:r>
      <w:r>
        <w:t xml:space="preserve">categories should rely on a few key datapoints to cluster products and convey their main ESG</w:t>
      </w:r>
      <w:r>
        <w:t xml:space="preserve"> </w:t>
      </w:r>
      <w:r>
        <w:t xml:space="preserve">features. However, there is a risk that this effort to simplify the framework will not rely on the right</w:t>
      </w:r>
      <w:r>
        <w:t xml:space="preserve"> </w:t>
      </w:r>
      <w:r>
        <w:t xml:space="preserve">data, that is both available and of most interest to investors, or will omit some important</w:t>
      </w:r>
      <w:r>
        <w:t xml:space="preserve"> </w:t>
      </w:r>
      <w:r>
        <w:t xml:space="preserve">environmental or social decision-useful data. In assessing the impacts, it should therefore be</w:t>
      </w:r>
      <w:r>
        <w:t xml:space="preserve"> </w:t>
      </w:r>
      <w:r>
        <w:t xml:space="preserve">ensured that the data that is relied on for the categories is both available to a large degree, possible</w:t>
      </w:r>
      <w:r>
        <w:t xml:space="preserve"> </w:t>
      </w:r>
      <w:r>
        <w:t xml:space="preserve">to estimate without excessive effort in case it cannot be derived directly from investees, and is</w:t>
      </w:r>
      <w:r>
        <w:t xml:space="preserve"> </w:t>
      </w:r>
      <w:r>
        <w:t xml:space="preserve">proven to be the most decision-useful for investors, based on their preferences when investing in</w:t>
      </w:r>
      <w:r>
        <w:t xml:space="preserve"> </w:t>
      </w:r>
      <w:r>
        <w:t xml:space="preserve">sustainability-related financial products. The descriptions of the options in this section and the</w:t>
      </w:r>
      <w:r>
        <w:t xml:space="preserve"> </w:t>
      </w:r>
      <w:r>
        <w:t xml:space="preserve">analysis of section 6.3 (and Annex 8) weigh the impacts in terms of the balance between the</w:t>
      </w:r>
      <w:r>
        <w:t xml:space="preserve"> </w:t>
      </w:r>
      <w:r>
        <w:t xml:space="preserve">expected benefits on the one hand and the costs/risks on the other. The analysis reflects how to best</w:t>
      </w:r>
      <w:r>
        <w:t xml:space="preserve"> </w:t>
      </w:r>
      <w:r>
        <w:t xml:space="preserve">ensure the criteria for the categories support the objectives of the review in section 4 and strike a</w:t>
      </w:r>
      <w:r>
        <w:t xml:space="preserve"> </w:t>
      </w:r>
      <w:r>
        <w:t xml:space="preserve">balance in terms of e.g. competitiveness and simplification objectives, ESG ambition, and issues of</w:t>
      </w:r>
      <w:r>
        <w:t xml:space="preserve"> </w:t>
      </w:r>
      <w:r>
        <w:t xml:space="preserve">data availability and usefulness for investors.</w:t>
      </w:r>
      <w:r>
        <w:br/>
      </w:r>
      <w:r>
        <w:t xml:space="preserve">The approach to supervision would remain the same, i.e. NCAs would remain in charge of</w:t>
      </w:r>
      <w:r>
        <w:t xml:space="preserve"> </w:t>
      </w:r>
      <w:r>
        <w:t xml:space="preserve">supervising the disclosures and would check whether categorised products comply with the</w:t>
      </w:r>
      <w:r>
        <w:t xml:space="preserve"> </w:t>
      </w:r>
      <w:r>
        <w:t xml:space="preserve">underlying criteria of the categories. The ESAs would continue to have a coordinating role and</w:t>
      </w:r>
      <w:r>
        <w:t xml:space="preserve"> </w:t>
      </w:r>
      <w:r>
        <w:t xml:space="preserve">would be in charge of harmonising the supervisory practices/expectations of NCAs to avoid</w:t>
      </w:r>
      <w:r>
        <w:t xml:space="preserve"> </w:t>
      </w:r>
      <w:r>
        <w:t xml:space="preserve">diverging rules or gold plating as much as possible.</w:t>
      </w:r>
      <w:r>
        <w:br/>
      </w:r>
      <w:r>
        <w:t xml:space="preserve">Description of the three options</w:t>
      </w:r>
      <w:r>
        <w:br/>
      </w:r>
      <w:r>
        <w:t xml:space="preserve"> Options 3.1 and 3.2</w:t>
      </w:r>
      <w:r>
        <w:t xml:space="preserve"> </w:t>
      </w:r>
      <w:r>
        <w:t xml:space="preserve">Option 3.1 and 3.2 both suggest creating categories which would rely on detailed criteria that are</w:t>
      </w:r>
      <w:r>
        <w:t xml:space="preserve"> </w:t>
      </w:r>
      <w:r>
        <w:t xml:space="preserve">different from the current broader disclosure sustainability concepts of Article 8 and Article 9.</w:t>
      </w:r>
      <w:r>
        <w:t xml:space="preserve"> </w:t>
      </w:r>
      <w:r>
        <w:t xml:space="preserve">These new categories would build on existing criteria under the ESMA Guidelines for funds names</w:t>
      </w:r>
      <w:r>
        <w:t xml:space="preserve"> </w:t>
      </w:r>
      <w:r>
        <w:t xml:space="preserve">and current market practices. They would therefore reflect what FMPs have already adapted to and</w:t>
      </w:r>
      <w:r>
        <w:t xml:space="preserve"> </w:t>
      </w:r>
      <w:r>
        <w:t xml:space="preserve">would be simpler, clearer and less data intensive than the current concepts of the SFDR (more</w:t>
      </w:r>
      <w:r>
        <w:t xml:space="preserve"> </w:t>
      </w:r>
      <w:r>
        <w:t xml:space="preserve">details in box 3 below). The only difference between these two options is the number of categories,</w:t>
      </w:r>
      <w:r>
        <w:t xml:space="preserve"> </w:t>
      </w:r>
      <w:r>
        <w:t xml:space="preserve">and therefore the potential coverage of the categorisation system. Both options are based on a</w:t>
      </w:r>
      <w:r>
        <w:t xml:space="preserve"> </w:t>
      </w:r>
      <w:r>
        <w:t xml:space="preserve">voluntary regime, meaning that it applies only in case of explicit decisions by FMPs to offer</w:t>
      </w:r>
      <w:r>
        <w:t xml:space="preserve"> </w:t>
      </w:r>
      <w:r>
        <w:t xml:space="preserve">sustainable, transition (and other ESG) products and by investors to seek and select them. There are</w:t>
      </w:r>
      <w:r>
        <w:t xml:space="preserve"> </w:t>
      </w:r>
      <w:r>
        <w:t xml:space="preserve">restrictions however for products that are outside the categories on how they can be marketed to</w:t>
      </w:r>
      <w:r>
        <w:t xml:space="preserve"> </w:t>
      </w:r>
      <w:r>
        <w:t xml:space="preserve">retail investors or use any relevant terms in the names.</w:t>
      </w:r>
      <w:r>
        <w:br/>
      </w:r>
      <w:r>
        <w:t xml:space="preserve">Option 3.1: Three new categories – sustainable, transition, other ESG</w:t>
      </w:r>
      <w:r>
        <w:br/>
      </w:r>
      <w:r>
        <w:t xml:space="preserve">To bring clarity to end investors as to which products have a level of sustainability-related ambition</w:t>
      </w:r>
      <w:r>
        <w:t xml:space="preserve"> </w:t>
      </w:r>
      <w:r>
        <w:t xml:space="preserve">which would match their sustainability preferences, this option would establish three categories</w:t>
      </w:r>
      <w:r>
        <w:t xml:space="preserve"> </w:t>
      </w:r>
      <w:r>
        <w:t xml:space="preserve">focusing on commonly encountered ESG/sustainability-related investment features and preferences</w:t>
      </w:r>
      <w:r>
        <w:t xml:space="preserve"> </w:t>
      </w:r>
      <w:r>
        <w:t xml:space="preserve">from consumers (see Annex 10). These would be:</w:t>
      </w:r>
      <w:r>
        <w:br/>
      </w:r>
      <w:r>
        <w:t xml:space="preserve">-</w:t>
      </w:r>
      <w:r>
        <w:t xml:space="preserve"> </w:t>
      </w:r>
      <w:r>
        <w:t xml:space="preserve">‘Sustainable’ category: investments that contribute to sustainability goals (such as climate,</w:t>
      </w:r>
      <w:r>
        <w:t xml:space="preserve"> </w:t>
      </w:r>
      <w:r>
        <w:t xml:space="preserve">environment, or social goals) such as investments in companies or projects that are already</w:t>
      </w:r>
      <w:r>
        <w:t xml:space="preserve"> </w:t>
      </w:r>
      <w:r>
        <w:t xml:space="preserve">largely sustainable meeting specific sustainability standards.</w:t>
      </w:r>
      <w:r>
        <w:t xml:space="preserve"> </w:t>
      </w:r>
      <w:r>
        <w:t xml:space="preserve">-</w:t>
      </w:r>
      <w:r>
        <w:t xml:space="preserve"> </w:t>
      </w:r>
      <w:r>
        <w:t xml:space="preserve">‘Transition’ category: investments in companies and/or projects which are not sustainable</w:t>
      </w:r>
      <w:r>
        <w:t xml:space="preserve"> </w:t>
      </w:r>
      <w:r>
        <w:t xml:space="preserve">yet, but are on a credible transition path, or investments that contribute to transition goals</w:t>
      </w:r>
      <w:r>
        <w:t xml:space="preserve"> </w:t>
      </w:r>
      <w:r>
        <w:t xml:space="preserve">(such as climate, environment or social goals).</w:t>
      </w:r>
    </w:p>
    <w:p>
      <w:pPr>
        <w:pStyle w:val="BodyText"/>
      </w:pPr>
      <w:r>
        <w:t xml:space="preserve">28</w:t>
      </w:r>
    </w:p>
    <w:p>
      <w:pPr>
        <w:pStyle w:val="Compact"/>
        <w:numPr>
          <w:ilvl w:val="0"/>
          <w:numId w:val="1003"/>
        </w:numPr>
      </w:pPr>
      <w:r>
        <w:t xml:space="preserve">‘Other ESG’ category: investments which do not meet the criteria of the sustainable or</w:t>
      </w:r>
      <w:r>
        <w:t xml:space="preserve"> </w:t>
      </w:r>
      <w:r>
        <w:t xml:space="preserve">transition investment categories but however apply credible environmental or social</w:t>
      </w:r>
      <w:r>
        <w:t xml:space="preserve"> </w:t>
      </w:r>
      <w:r>
        <w:t xml:space="preserve">investment approaches (e.g. process-based strategies, such as the use of ESG ratings or</w:t>
      </w:r>
      <w:r>
        <w:t xml:space="preserve"> </w:t>
      </w:r>
      <w:r>
        <w:t xml:space="preserve">outperforming the investment universe on a specific ESG indicator). Minimum safeguards</w:t>
      </w:r>
      <w:r>
        <w:t xml:space="preserve"> </w:t>
      </w:r>
      <w:r>
        <w:t xml:space="preserve">would also apply to this third category.</w:t>
      </w:r>
      <w:r>
        <w:t xml:space="preserve"> </w:t>
      </w:r>
      <w:r>
        <w:t xml:space="preserve">Special considerations for the transition category</w:t>
      </w:r>
      <w:r>
        <w:br/>
      </w:r>
      <w:r>
        <w:t xml:space="preserve">In contrast to the ‘sustainable’ and ‘other ESG’ categories, which would build on the approaches of</w:t>
      </w:r>
      <w:r>
        <w:t xml:space="preserve"> </w:t>
      </w:r>
      <w:r>
        <w:t xml:space="preserve">Articles 9 and 8 of the current SFDR, an official ‘transition’ category would finally clarify the</w:t>
      </w:r>
      <w:r>
        <w:t xml:space="preserve"> </w:t>
      </w:r>
      <w:r>
        <w:t xml:space="preserve">distinct characteristics of this type of strategies.98 The concepts and criteria that would underpin</w:t>
      </w:r>
      <w:r>
        <w:t xml:space="preserve"> </w:t>
      </w:r>
      <w:r>
        <w:t xml:space="preserve">this category would reflect current market practices and build on the existing legislative</w:t>
      </w:r>
      <w:r>
        <w:t xml:space="preserve"> </w:t>
      </w:r>
      <w:r>
        <w:t xml:space="preserve">framework for transition products (ESMA guidelines), including existing practices on national</w:t>
      </w:r>
      <w:r>
        <w:t xml:space="preserve"> </w:t>
      </w:r>
      <w:r>
        <w:t xml:space="preserve">supervision of transition plans. This category would not create a parallel definition of transition but</w:t>
      </w:r>
      <w:r>
        <w:t xml:space="preserve"> </w:t>
      </w:r>
      <w:r>
        <w:t xml:space="preserve">would align with criteria developed under the Commission 2023 Recommendation on transition</w:t>
      </w:r>
      <w:r>
        <w:t xml:space="preserve"> </w:t>
      </w:r>
      <w:r>
        <w:t xml:space="preserve">finance99 and the criteria already mandatory for funds using transition-related terms in their names</w:t>
      </w:r>
      <w:r>
        <w:t xml:space="preserve"> </w:t>
      </w:r>
      <w:r>
        <w:t xml:space="preserve">under the ESMA guidelines100. The criteria would also ensure coherence with the EU Climate</w:t>
      </w:r>
      <w:r>
        <w:t xml:space="preserve"> </w:t>
      </w:r>
      <w:r>
        <w:t xml:space="preserve">Benchmarks and potential future regulatory development (e.g. CSRD and the Corporate</w:t>
      </w:r>
      <w:r>
        <w:t xml:space="preserve"> </w:t>
      </w:r>
      <w:r>
        <w:t xml:space="preserve">Sustainability Due Diligence Directive) and would aim at striking a balance to ensure sufficient</w:t>
      </w:r>
      <w:r>
        <w:t xml:space="preserve"> </w:t>
      </w:r>
      <w:r>
        <w:t xml:space="preserve">ambition and comparability on the one hand, as well as inclusiveness and flexibility on the other,</w:t>
      </w:r>
      <w:r>
        <w:t xml:space="preserve"> </w:t>
      </w:r>
      <w:r>
        <w:t xml:space="preserve">allowing funding to flow to a transitioning real economy.</w:t>
      </w:r>
      <w:r>
        <w:br/>
      </w:r>
      <w:r>
        <w:t xml:space="preserve">The evaluation annex highlights the challenges arising from the lack of recognition of transition</w:t>
      </w:r>
      <w:r>
        <w:t xml:space="preserve"> </w:t>
      </w:r>
      <w:r>
        <w:t xml:space="preserve">finance under the SFDR despite the existence of many products with transition objectives</w:t>
      </w:r>
      <w:r>
        <w:t xml:space="preserve"> </w:t>
      </w:r>
      <w:r>
        <w:t xml:space="preserve">disclosing under Article 8 and 9. This creates challenges for FMPs wanting to pursue a transition</w:t>
      </w:r>
      <w:r>
        <w:t xml:space="preserve"> </w:t>
      </w:r>
      <w:r>
        <w:t xml:space="preserve">strategy while having to comply with the SFDR underlying concepts 101, hindering the possibility to</w:t>
      </w:r>
      <w:r>
        <w:t xml:space="preserve"> </w:t>
      </w:r>
      <w:r>
        <w:t xml:space="preserve">conduct and disclose diverse transition-related investment strategies. This leads to confusion and</w:t>
      </w:r>
      <w:r>
        <w:t xml:space="preserve"> </w:t>
      </w:r>
      <w:r>
        <w:t xml:space="preserve">lack of appropriate disclosures for investors interested in investing in products with transitional</w:t>
      </w:r>
      <w:r>
        <w:t xml:space="preserve"> </w:t>
      </w:r>
      <w:r>
        <w:t xml:space="preserve">objectives. The consultation confirmed a large degree of support (72% of respondents) for creating</w:t>
      </w:r>
      <w:r>
        <w:t xml:space="preserve"> </w:t>
      </w:r>
      <w:r>
        <w:t xml:space="preserve">a specific category for transition products, including as an inclusive strategy to focus on efforts to</w:t>
      </w:r>
      <w:r>
        <w:t xml:space="preserve"> </w:t>
      </w:r>
      <w:r>
        <w:t xml:space="preserve">improve companies’ performance regardless of their starting points and to help operationalise the</w:t>
      </w:r>
      <w:r>
        <w:t xml:space="preserve"> </w:t>
      </w:r>
      <w:r>
        <w:t xml:space="preserve">concept of ‘transition finance’, developed under the Commission 2023 Recommendation on</w:t>
      </w:r>
      <w:r>
        <w:t xml:space="preserve"> </w:t>
      </w:r>
      <w:r>
        <w:t xml:space="preserve">transition finance.</w:t>
      </w:r>
      <w:r>
        <w:t xml:space="preserve"> </w:t>
      </w:r>
      <w:r>
        <w:t xml:space="preserve">Potential role for the categories: Option 3.1 would create a categorisation system that could</w:t>
      </w:r>
      <w:r>
        <w:t xml:space="preserve"> </w:t>
      </w:r>
      <w:r>
        <w:t xml:space="preserve">potentially scope-in a large majority of ESG financial products (due to the third category). Due to</w:t>
      </w:r>
      <w:r>
        <w:t xml:space="preserve"> </w:t>
      </w:r>
      <w:r>
        <w:t xml:space="preserve">this large scope, the categories would play an important role in limiting which products are allowed</w:t>
      </w:r>
      <w:r>
        <w:t xml:space="preserve"> </w:t>
      </w:r>
      <w:r>
        <w:t xml:space="preserve">to make ESG claims in their marketing documentation and in their names. For example, only</w:t>
      </w:r>
      <w:r>
        <w:t xml:space="preserve"> </w:t>
      </w:r>
      <w:r>
        <w:t xml:space="preserve">categorised products could be allowed to use ESG related terms in their names and add ESG</w:t>
      </w:r>
      <w:r>
        <w:t xml:space="preserve"> </w:t>
      </w:r>
      <w:r>
        <w:t xml:space="preserve">elements in their marketing documentations. Categories could also determine which SFDR products</w:t>
      </w:r>
      <w:r>
        <w:t xml:space="preserve"> </w:t>
      </w:r>
      <w:r>
        <w:t xml:space="preserve">could be distributed to retail investors with sustainability preferences aligned with the categories’</w:t>
      </w:r>
      <w:r>
        <w:t xml:space="preserve"> </w:t>
      </w:r>
      <w:r>
        <w:t xml:space="preserve">criteria (under MiFID and IDD). The third category would ensure that all products making ESG</w:t>
      </w:r>
    </w:p>
    <w:p>
      <w:pPr>
        <w:pStyle w:val="FirstParagraph"/>
      </w:pPr>
      <w:r>
        <w:t xml:space="preserve">98 Different FMPs have follow different approaches, as it is not clear whether such strategies should be reported under</w:t>
      </w:r>
      <w:r>
        <w:t xml:space="preserve"> </w:t>
      </w:r>
      <w:r>
        <w:t xml:space="preserve">Article 8 or 9 of the current SFDR.</w:t>
      </w:r>
      <w:r>
        <w:t xml:space="preserve"> </w:t>
      </w:r>
      <w:r>
        <w:t xml:space="preserve">99 Commission Recommendation (EU) 2023/1425 on facilitating finance for the transition to a sustainable economy</w:t>
      </w:r>
      <w:r>
        <w:t xml:space="preserve"> </w:t>
      </w:r>
      <w:r>
        <w:t xml:space="preserve">100 From the guidelines: “Transition”-related terms encompass any terms derived from the base word “transition”, e.g. </w:t>
      </w:r>
      <w:r>
        <w:t xml:space="preserve"> </w:t>
      </w:r>
      <w:r>
        <w:t xml:space="preserve">“transitioning”, “transitional” etc. and those terms deriving from “improve”, “progress”, “evolution”, “transformation”,</w:t>
      </w:r>
      <w:r>
        <w:t xml:space="preserve"> </w:t>
      </w:r>
      <w:r>
        <w:t xml:space="preserve">“net-zero”, etc.</w:t>
      </w:r>
      <w:r>
        <w:t xml:space="preserve"> </w:t>
      </w:r>
      <w:r>
        <w:t xml:space="preserve">101 This is mainly due to the SFDR DNSH test (which can be seen at odds with the strategy of transition finance as it</w:t>
      </w:r>
      <w:r>
        <w:t xml:space="preserve"> </w:t>
      </w:r>
      <w:r>
        <w:t xml:space="preserve">does not allow for the inclusion of assets that cannot be considered as sustainable at the time of the investment) and the</w:t>
      </w:r>
      <w:r>
        <w:t xml:space="preserve"> </w:t>
      </w:r>
      <w:r>
        <w:t xml:space="preserve">technical misalignments between the sustainable investment definition and the underlying criteria of the EU Climate</w:t>
      </w:r>
      <w:r>
        <w:t xml:space="preserve"> </w:t>
      </w:r>
      <w:r>
        <w:t xml:space="preserve">Transition Benchmark (defined under the Benchmark Regulation).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claims (marketing documentations, names, or be distributed as products with ESG features) are</w:t>
      </w:r>
      <w:r>
        <w:t xml:space="preserve"> </w:t>
      </w:r>
      <w:r>
        <w:t xml:space="preserve">regulated and comply with minimum safeguards102.</w:t>
      </w:r>
    </w:p>
    <w:p>
      <w:pPr>
        <w:pStyle w:val="BodyText"/>
      </w:pPr>
      <w:r>
        <w:t xml:space="preserve">Option 3.2: Two new categories – sustainable, transition</w:t>
      </w:r>
      <w:r>
        <w:t xml:space="preserve"> </w:t>
      </w:r>
      <w:r>
        <w:t xml:space="preserve">This option would be the same as option 3.1, but without a third category. Option 3.2 would set up</w:t>
      </w:r>
      <w:r>
        <w:t xml:space="preserve"> </w:t>
      </w:r>
      <w:r>
        <w:t xml:space="preserve">two categories: ‘sustainable’ category and ‘transition’ category. These categories would be the</w:t>
      </w:r>
      <w:r>
        <w:t xml:space="preserve"> </w:t>
      </w:r>
      <w:r>
        <w:t xml:space="preserve">same as the ones suggested under option 3.1.</w:t>
      </w:r>
      <w:r>
        <w:t xml:space="preserve"> </w:t>
      </w:r>
      <w:r>
        <w:t xml:space="preserve">Potential role for the categories: Option 3.2 would create a narrower categorisation system that</w:t>
      </w:r>
      <w:r>
        <w:t xml:space="preserve"> </w:t>
      </w:r>
      <w:r>
        <w:t xml:space="preserve">would only cover the most ambitious ESG products103. Instead of dividing the market of ESG</w:t>
      </w:r>
      <w:r>
        <w:t xml:space="preserve"> </w:t>
      </w:r>
      <w:r>
        <w:t xml:space="preserve">products into three clear clusters and ensuring common criteria for all ESG products, the categories</w:t>
      </w:r>
      <w:r>
        <w:t xml:space="preserve"> </w:t>
      </w:r>
      <w:r>
        <w:t xml:space="preserve">would bring visibility to the most ambitious ESG products. Due to the narrow scope, it would not</w:t>
      </w:r>
      <w:r>
        <w:t xml:space="preserve"> </w:t>
      </w:r>
      <w:r>
        <w:t xml:space="preserve">be feasible to link the categories to the marketing communications, naming and distribution rules to</w:t>
      </w:r>
      <w:r>
        <w:t xml:space="preserve"> </w:t>
      </w:r>
      <w:r>
        <w:t xml:space="preserve">the same extent as under option 3.1 (not enough products would be covered). Uncategorised</w:t>
      </w:r>
      <w:r>
        <w:t xml:space="preserve"> </w:t>
      </w:r>
      <w:r>
        <w:t xml:space="preserve">products making ESG claims in marketing communications and names would therefore continue to</w:t>
      </w:r>
      <w:r>
        <w:t xml:space="preserve"> </w:t>
      </w:r>
      <w:r>
        <w:t xml:space="preserve">exist and be available to investors.</w:t>
      </w:r>
    </w:p>
    <w:p>
      <w:pPr>
        <w:pStyle w:val="BodyText"/>
      </w:pPr>
      <w:r>
        <w:t xml:space="preserve">102 Uncategorised products would still be allowed to include ESG elements in their regulatory documentation</w:t>
      </w:r>
      <w:r>
        <w:t xml:space="preserve"> </w:t>
      </w:r>
      <w:r>
        <w:t xml:space="preserve">103 The alternative of creating broader ‘sustainable’ and ‘transition’ categories to capture a broader share of the market</w:t>
      </w:r>
      <w:r>
        <w:t xml:space="preserve"> </w:t>
      </w:r>
      <w:r>
        <w:t xml:space="preserve">does not emerge as an option with significant support, based on stakeholder feedback (Annex 2) and consumer studies</w:t>
      </w:r>
      <w:r>
        <w:t xml:space="preserve"> </w:t>
      </w:r>
      <w:r>
        <w:t xml:space="preserve">(Annex 10).</w:t>
      </w:r>
      <w:r>
        <w:t xml:space="preserve"> </w:t>
      </w:r>
      <w:r>
        <w:t xml:space="preserve">104 See Annex 11, Section 3.1.1</w:t>
      </w:r>
      <w:r>
        <w:br/>
      </w:r>
      <w:r>
        <w:t xml:space="preserve">Elements to be defined at level 1 vs elements to be defined at level 2</w:t>
      </w:r>
      <w:r>
        <w:br/>
      </w:r>
      <w:r>
        <w:t xml:space="preserve">The below describes the general division between level 1 and level 2, and box 3 below provides</w:t>
      </w:r>
      <w:r>
        <w:t xml:space="preserve"> </w:t>
      </w:r>
      <w:r>
        <w:t xml:space="preserve">concrete examples of what specific elements would be defined at level 1 and at level 2.</w:t>
      </w:r>
      <w:r>
        <w:t xml:space="preserve"> </w:t>
      </w:r>
      <w:r>
        <w:t xml:space="preserve">Unlike the current SFDR level 1 text, which has allowed for unduly complex and</w:t>
      </w:r>
      <w:r>
        <w:t xml:space="preserve"> </w:t>
      </w:r>
      <w:r>
        <w:t xml:space="preserve">disproportionate rules in the level 2104, the revised level 1 text would concretely define the</w:t>
      </w:r>
      <w:r>
        <w:t xml:space="preserve"> </w:t>
      </w:r>
      <w:r>
        <w:t xml:space="preserve">categories and their delineation by setting their essential features, i.e. main elements of the</w:t>
      </w:r>
      <w:r>
        <w:t xml:space="preserve"> </w:t>
      </w:r>
      <w:r>
        <w:t xml:space="preserve">criteria, administrative procedures and supervisory framework. These include for example</w:t>
      </w:r>
      <w:r>
        <w:t xml:space="preserve"> </w:t>
      </w:r>
      <w:r>
        <w:t xml:space="preserve">the key principles and requirements both for the positive criteria (sustainability objective</w:t>
      </w:r>
      <w:r>
        <w:t xml:space="preserve"> </w:t>
      </w:r>
      <w:r>
        <w:t xml:space="preserve">measured by credible indicators and covering a mandatory threshold of the product) and the</w:t>
      </w:r>
      <w:r>
        <w:t xml:space="preserve"> </w:t>
      </w:r>
      <w:r>
        <w:t xml:space="preserve">negative criteria (list of exclusions). The below section provides for a detailed description of the</w:t>
      </w:r>
      <w:r>
        <w:t xml:space="preserve"> </w:t>
      </w:r>
      <w:r>
        <w:t xml:space="preserve">essential features of the categories (see also box 3 and annex 8).</w:t>
      </w:r>
      <w:r>
        <w:br/>
      </w:r>
      <w:r>
        <w:t xml:space="preserve">Already setting these elements at the level 1 allows for the assessment of the categories’ scope</w:t>
      </w:r>
      <w:r>
        <w:t xml:space="preserve"> </w:t>
      </w:r>
      <w:r>
        <w:t xml:space="preserve">and impact against the objectives identified in Section 4 in terms of their effectiveness, efficiency</w:t>
      </w:r>
      <w:r>
        <w:t xml:space="preserve"> </w:t>
      </w:r>
      <w:r>
        <w:t xml:space="preserve">and coherence. Building on these, section 6 analyses the categories’ potential to simplify the</w:t>
      </w:r>
      <w:r>
        <w:t xml:space="preserve"> </w:t>
      </w:r>
      <w:r>
        <w:t xml:space="preserve">implementation of the SFDR and reduce the costs for FMPs as well as to increase investors’</w:t>
      </w:r>
      <w:r>
        <w:t xml:space="preserve"> </w:t>
      </w:r>
      <w:r>
        <w:t xml:space="preserve">protection and enhance the comparability of ESG products.</w:t>
      </w:r>
      <w:r>
        <w:br/>
      </w:r>
      <w:r>
        <w:t xml:space="preserve">The level 1 text will set out an empowerment for the Commission to develop a limited set of</w:t>
      </w:r>
      <w:r>
        <w:t xml:space="preserve"> </w:t>
      </w:r>
      <w:r>
        <w:t xml:space="preserve">level 2 implementing rules to supplement these key elements with more technical requirements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105 For example, to determine rules regarding shares of portfolios to which chosen key performance indicators would</w:t>
      </w:r>
      <w:r>
        <w:t xml:space="preserve"> </w:t>
      </w:r>
      <w:r>
        <w:t xml:space="preserve">apply etc.</w:t>
      </w:r>
      <w:r>
        <w:br/>
      </w:r>
      <w:r>
        <w:t xml:space="preserve">106 Some suggestions are made that e.g. derivatives routinely used for hedging purposes could reference companies</w:t>
      </w:r>
      <w:r>
        <w:t xml:space="preserve"> </w:t>
      </w:r>
      <w:r>
        <w:t xml:space="preserve">otherwise covered by the exclusions.</w:t>
      </w:r>
      <w:r>
        <w:t xml:space="preserve"> </w:t>
      </w:r>
      <w:r>
        <w:t xml:space="preserve">107 As flagged in the evaluation annex, the use of similar terms under the SFDR and the EU Taxonomy Regulation led</w:t>
      </w:r>
      <w:r>
        <w:t xml:space="preserve"> </w:t>
      </w:r>
      <w:r>
        <w:t xml:space="preserve">to confusion and complexities for investors (i.e. the two different DNSH tests, the two approaches to contribution, the</w:t>
      </w:r>
      <w:r>
        <w:t xml:space="preserve"> </w:t>
      </w:r>
      <w:r>
        <w:t xml:space="preserve">similar terms under ‘good governance’ and ‘minimum safeguards’). The names of the categories will need to ensure</w:t>
      </w:r>
      <w:r>
        <w:t xml:space="preserve"> </w:t>
      </w:r>
      <w:r>
        <w:t xml:space="preserve">coherence with other EU related measures and avoid replicating existing terms if the meaning is different.</w:t>
      </w:r>
      <w:r>
        <w:br/>
      </w:r>
      <w:r>
        <w:t xml:space="preserve">linked to the criteria. For example, level 2 rules could involve setting specific KPIs for measuring</w:t>
      </w:r>
      <w:r>
        <w:t xml:space="preserve"> </w:t>
      </w:r>
      <w:r>
        <w:t xml:space="preserve">and comparing the positive contributions of different types of products depending on the ESG</w:t>
      </w:r>
      <w:r>
        <w:t xml:space="preserve"> </w:t>
      </w:r>
      <w:r>
        <w:t xml:space="preserve">objective (see box 3 below), specifying how the contribution of various assets/investees are to be</w:t>
      </w:r>
      <w:r>
        <w:t xml:space="preserve"> </w:t>
      </w:r>
      <w:r>
        <w:t xml:space="preserve">calculated for meeting the positive criteria105, and any permitted deviations from the exclusions at</w:t>
      </w:r>
      <w:r>
        <w:t xml:space="preserve"> </w:t>
      </w:r>
      <w:r>
        <w:t xml:space="preserve">portfolio level e.g. for hedging purposes106, as well as setting the names of the categories</w:t>
      </w:r>
      <w:r>
        <w:t xml:space="preserve"> </w:t>
      </w:r>
      <w:r>
        <w:t xml:space="preserve">following market testing. The level 1 will impose strict limits on the future level 2 to ensure</w:t>
      </w:r>
      <w:r>
        <w:t xml:space="preserve"> </w:t>
      </w:r>
      <w:r>
        <w:t xml:space="preserve">proportionality between ESG and non-ESG products to avoid disincentivising FMPs from</w:t>
      </w:r>
      <w:r>
        <w:t xml:space="preserve"> </w:t>
      </w:r>
      <w:r>
        <w:t xml:space="preserve">offering the former.</w:t>
      </w:r>
      <w:r>
        <w:br/>
      </w:r>
      <w:r>
        <w:t xml:space="preserve">Similarly to the disclosures, defining well-specified technical elements at the level 2 would allow</w:t>
      </w:r>
      <w:r>
        <w:t xml:space="preserve"> </w:t>
      </w:r>
      <w:r>
        <w:t xml:space="preserve">for:</w:t>
      </w:r>
      <w:r>
        <w:br/>
      </w:r>
      <w:r>
        <w:t xml:space="preserve">-</w:t>
      </w:r>
      <w:r>
        <w:t xml:space="preserve"> </w:t>
      </w:r>
      <w:r>
        <w:t xml:space="preserve">Conducting additional market studies ensuring that the final technical requirements</w:t>
      </w:r>
      <w:r>
        <w:t xml:space="preserve"> </w:t>
      </w:r>
      <w:r>
        <w:t xml:space="preserve">linked to the categories (criteria and disclosures) are usable by FMPs. This should be</w:t>
      </w:r>
      <w:r>
        <w:t xml:space="preserve"> </w:t>
      </w:r>
      <w:r>
        <w:t xml:space="preserve">done after the essential contours and elements of the categories are agreed by co-</w:t>
      </w:r>
      <w:r>
        <w:t xml:space="preserve"> </w:t>
      </w:r>
      <w:r>
        <w:t xml:space="preserve">legislators. Such market studies could be conducted by the ESAs and should test the</w:t>
      </w:r>
      <w:r>
        <w:t xml:space="preserve"> </w:t>
      </w:r>
      <w:r>
        <w:t xml:space="preserve">criteria on the existing ESG market to ensure that the categories would capture a</w:t>
      </w:r>
      <w:r>
        <w:t xml:space="preserve"> </w:t>
      </w:r>
      <w:r>
        <w:t xml:space="preserve">sufficient portion of the existing market and confirm that they rely on reliable and</w:t>
      </w:r>
      <w:r>
        <w:t xml:space="preserve"> </w:t>
      </w:r>
      <w:r>
        <w:t xml:space="preserve">available ESG information. For example, criteria would not rely on indicators for which</w:t>
      </w:r>
      <w:r>
        <w:t xml:space="preserve"> </w:t>
      </w:r>
      <w:r>
        <w:t xml:space="preserve">the information is neither available from companies (public reporting) nor possible to</w:t>
      </w:r>
      <w:r>
        <w:t xml:space="preserve"> </w:t>
      </w:r>
      <w:r>
        <w:t xml:space="preserve">estimate. More information on the criteria and the estimation considerations/practices is</w:t>
      </w:r>
      <w:r>
        <w:t xml:space="preserve"> </w:t>
      </w:r>
      <w:r>
        <w:t xml:space="preserve">in box 3 and Annex 8. Conducting regular market studies will also have the benefit of</w:t>
      </w:r>
      <w:r>
        <w:t xml:space="preserve"> </w:t>
      </w:r>
      <w:r>
        <w:t xml:space="preserve">monitoring how the framework is evolving, also in light of market innovation,</w:t>
      </w:r>
      <w:r>
        <w:t xml:space="preserve"> </w:t>
      </w:r>
      <w:r>
        <w:t xml:space="preserve">development of new products and data, and changes in investors’ preferences, and ensure</w:t>
      </w:r>
      <w:r>
        <w:t xml:space="preserve"> </w:t>
      </w:r>
      <w:r>
        <w:t xml:space="preserve">comparability is maintained over time.</w:t>
      </w:r>
      <w:r>
        <w:br/>
      </w:r>
      <w:r>
        <w:t xml:space="preserve">-</w:t>
      </w:r>
      <w:r>
        <w:t xml:space="preserve"> </w:t>
      </w:r>
      <w:r>
        <w:t xml:space="preserve">Conducting additional consumer testing studies ensuring that the names of the</w:t>
      </w:r>
      <w:r>
        <w:t xml:space="preserve"> </w:t>
      </w:r>
      <w:r>
        <w:t xml:space="preserve">categories are understood by retail investors in all EU languages. The existing</w:t>
      </w:r>
      <w:r>
        <w:t xml:space="preserve"> </w:t>
      </w:r>
      <w:r>
        <w:t xml:space="preserve">consumer studies (described in annex 10) and engagement activities (described in annex</w:t>
      </w:r>
      <w:r>
        <w:t xml:space="preserve"> </w:t>
      </w:r>
      <w:r>
        <w:t xml:space="preserve">2) already identified certain sustainability topics and information that are deemed</w:t>
      </w:r>
      <w:r>
        <w:t xml:space="preserve"> </w:t>
      </w:r>
      <w:r>
        <w:t xml:space="preserve">important by EU investors and confirmed the need to establish EU categories. However,</w:t>
      </w:r>
      <w:r>
        <w:t xml:space="preserve"> </w:t>
      </w:r>
      <w:r>
        <w:t xml:space="preserve">there has not yet been an EU-wide consumer study looking at how to name such</w:t>
      </w:r>
      <w:r>
        <w:t xml:space="preserve"> </w:t>
      </w:r>
      <w:r>
        <w:t xml:space="preserve">categories for them to be easily understandable in different EU languages and to convey</w:t>
      </w:r>
      <w:r>
        <w:t xml:space="preserve"> </w:t>
      </w:r>
      <w:r>
        <w:t xml:space="preserve">the correct message to EU retail investors. Once their essential contours and elements are</w:t>
      </w:r>
      <w:r>
        <w:t xml:space="preserve"> </w:t>
      </w:r>
      <w:r>
        <w:t xml:space="preserve">agreed by co-legislators, the names of the categories would need to be tested in all EU</w:t>
      </w:r>
      <w:r>
        <w:t xml:space="preserve"> </w:t>
      </w:r>
      <w:r>
        <w:t xml:space="preserve">countries, which could be done by the ESAs, with the help of NCAs. Setting the name</w:t>
      </w:r>
      <w:r>
        <w:t xml:space="preserve"> </w:t>
      </w:r>
      <w:r>
        <w:t xml:space="preserve">after the political decision on the categories’ main features would allow the Commission</w:t>
      </w:r>
      <w:r>
        <w:t xml:space="preserve"> </w:t>
      </w:r>
      <w:r>
        <w:t xml:space="preserve">to reflect any changes from the co-decision process, ensuring form follows function, and</w:t>
      </w:r>
      <w:r>
        <w:t xml:space="preserve"> </w:t>
      </w:r>
      <w:r>
        <w:t xml:space="preserve">avoiding pre-establishing category-names which, in the end, could be at odds with the key</w:t>
      </w:r>
      <w:r>
        <w:t xml:space="preserve"> </w:t>
      </w:r>
      <w:r>
        <w:t xml:space="preserve">features of the categories and mislead investors. It would also be important to ensure the</w:t>
      </w:r>
      <w:r>
        <w:t xml:space="preserve"> </w:t>
      </w:r>
      <w:r>
        <w:t xml:space="preserve">names are coherent with other EU policy measures107. The names used for the categories</w:t>
      </w:r>
      <w:r>
        <w:t xml:space="preserve"> </w:t>
      </w:r>
      <w:r>
        <w:t xml:space="preserve">throughout this document are thus only indicative.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Description of the proposed criteria under options 3.1 and 3.2 (to be read in conjunction with</w:t>
      </w:r>
      <w:r>
        <w:t xml:space="preserve"> </w:t>
      </w:r>
      <w:r>
        <w:t xml:space="preserve">box 3 below and Annex 8)</w:t>
      </w:r>
      <w:r>
        <w:t xml:space="preserve"> </w:t>
      </w:r>
      <w:r>
        <w:t xml:space="preserve">The central SFDR concept, i.e. the ‘sustainable investment’ definition in Article 2(17), builds on</w:t>
      </w:r>
      <w:r>
        <w:t xml:space="preserve"> </w:t>
      </w:r>
      <w:r>
        <w:t xml:space="preserve">three principles: (1) contributing to an environmental or social objective; (2) causing no significant</w:t>
      </w:r>
      <w:r>
        <w:t xml:space="preserve"> </w:t>
      </w:r>
      <w:r>
        <w:t xml:space="preserve">harm to other environmental and social objectives (based on the consideration of principal adverse</w:t>
      </w:r>
      <w:r>
        <w:t xml:space="preserve"> </w:t>
      </w:r>
      <w:r>
        <w:t xml:space="preserve">impacts), and (3) investing in companies with good governance practices. The revised criteria</w:t>
      </w:r>
      <w:r>
        <w:t xml:space="preserve"> </w:t>
      </w:r>
      <w:r>
        <w:t xml:space="preserve">would retain the concept and build on this while improving these core principles by</w:t>
      </w:r>
      <w:r>
        <w:t xml:space="preserve"> </w:t>
      </w:r>
      <w:r>
        <w:t xml:space="preserve">underpinning them with a set of clear minimum requirements.</w:t>
      </w:r>
      <w:r>
        <w:br/>
      </w:r>
      <w:r>
        <w:t xml:space="preserve">The evaluation (annex 11) and problem definition (section 2) has identified the lack of clarity</w:t>
      </w:r>
      <w:r>
        <w:t xml:space="preserve"> </w:t>
      </w:r>
      <w:r>
        <w:t xml:space="preserve">linked to the concept of ‘sustainable investment’, which has led to widely different interpretations</w:t>
      </w:r>
      <w:r>
        <w:t xml:space="preserve"> </w:t>
      </w:r>
      <w:r>
        <w:t xml:space="preserve">and implementation approaches amongst FMPs. As shown in box 10 of annex 11, the exposure to</w:t>
      </w:r>
      <w:r>
        <w:t xml:space="preserve"> </w:t>
      </w:r>
      <w:r>
        <w:t xml:space="preserve">sustainable investments of products tracking a similar benchmark can range from 1% to 80%.</w:t>
      </w:r>
      <w:r>
        <w:br/>
      </w:r>
      <w:r>
        <w:t xml:space="preserve">The evaluation also finds that the ‘DNSH test’, which is done through the high-level principle of</w:t>
      </w:r>
      <w:r>
        <w:t xml:space="preserve"> </w:t>
      </w:r>
      <w:r>
        <w:t xml:space="preserve">‘consideration of principal adverse impacts’, has not led to harmonised implementation practices</w:t>
      </w:r>
      <w:r>
        <w:t xml:space="preserve"> </w:t>
      </w:r>
      <w:r>
        <w:t xml:space="preserve">and has not prevented harmful investments. This is mainly because the current SFDR leaves</w:t>
      </w:r>
      <w:r>
        <w:t xml:space="preserve"> </w:t>
      </w:r>
      <w:r>
        <w:t xml:space="preserve">considerable discretion to FMPs in choosing how they consider these impacts.</w:t>
      </w:r>
      <w:r>
        <w:br/>
      </w:r>
      <w:r>
        <w:t xml:space="preserve">To remedy this, two criteria for ESG categories are suggested:</w:t>
      </w:r>
      <w:r>
        <w:br/>
      </w:r>
      <w:r>
        <w:t xml:space="preserve"> Positive contribution: Setting a minimum portion of investment to contribute to the</w:t>
      </w:r>
      <w:r>
        <w:t xml:space="preserve"> </w:t>
      </w:r>
      <w:r>
        <w:t xml:space="preserve">sustainability objective (70/80% of the product)108 –</w:t>
      </w:r>
      <w:r>
        <w:br/>
      </w:r>
      <w:r>
        <w:t xml:space="preserve"> Exclusions: Setting clear exclusions of harmful industries and activities in which</w:t>
      </w:r>
      <w:r>
        <w:t xml:space="preserve"> </w:t>
      </w:r>
      <w:r>
        <w:t xml:space="preserve">products cannot invest in – these exclusions would be aligned with the ones of the EU</w:t>
      </w:r>
      <w:r>
        <w:t xml:space="preserve"> </w:t>
      </w:r>
      <w:r>
        <w:t xml:space="preserve">Climate Benchmarks, as introduced by the ESMA guidelines on funds’ names</w:t>
      </w:r>
      <w:r>
        <w:t xml:space="preserve"> </w:t>
      </w:r>
      <w:r>
        <w:t xml:space="preserve">The changes would aim at simplifying the current framework and:</w:t>
      </w:r>
      <w:r>
        <w:br/>
      </w:r>
      <w:r>
        <w:t xml:space="preserve"> Formalise the categorisation of products and clearly delineate between the different</w:t>
      </w:r>
      <w:r>
        <w:t xml:space="preserve"> </w:t>
      </w:r>
      <w:r>
        <w:t xml:space="preserve">categories, bringing legal clarity to both FMPs and end-investors.</w:t>
      </w:r>
      <w:r>
        <w:br/>
      </w:r>
      <w:r>
        <w:t xml:space="preserve"> Introduce some common elements to underpin FMPs’ diverse approaches for ESG products,</w:t>
      </w:r>
      <w:r>
        <w:t xml:space="preserve"> </w:t>
      </w:r>
      <w:r>
        <w:t xml:space="preserve">based on data that is available, measurable and possible to estimate, and minimising</w:t>
      </w:r>
      <w:r>
        <w:t xml:space="preserve"> </w:t>
      </w:r>
      <w:r>
        <w:t xml:space="preserve">fragmentation in supervisory practices amongst NCAs.</w:t>
      </w:r>
    </w:p>
    <w:p>
      <w:pPr>
        <w:pStyle w:val="BodyText"/>
      </w:pPr>
      <w:r>
        <w:t xml:space="preserve">108 For reference, ESMA guidelines refer to 80%, while the UK FCA labelling rules refer to 70%.</w:t>
      </w:r>
    </w:p>
    <w:p>
      <w:pPr>
        <w:pStyle w:val="Compact"/>
        <w:numPr>
          <w:ilvl w:val="0"/>
          <w:numId w:val="1004"/>
        </w:numPr>
      </w:pPr>
      <w:r>
        <w:t xml:space="preserve">Aligning with the future EU corporate reporting under the CSRD, which will be</w:t>
      </w:r>
      <w:r>
        <w:t xml:space="preserve"> </w:t>
      </w:r>
      <w:r>
        <w:t xml:space="preserve">revised once the Omnibus proposal will be adopted (indicative timing: 2026). This will</w:t>
      </w:r>
      <w:r>
        <w:t xml:space="preserve"> </w:t>
      </w:r>
      <w:r>
        <w:t xml:space="preserve">ensure coherence in the data provided under ESRS and the indicators and disclosures</w:t>
      </w:r>
      <w:r>
        <w:t xml:space="preserve"> </w:t>
      </w:r>
      <w:r>
        <w:t xml:space="preserve">under the future SFDR level 2.</w:t>
      </w:r>
      <w:r>
        <w:br/>
      </w:r>
      <w:r>
        <w:t xml:space="preserve">In addition, the date of effect of new level 1 rules would be sufficiently deferred to make sure</w:t>
      </w:r>
      <w:r>
        <w:t xml:space="preserve"> </w:t>
      </w:r>
      <w:r>
        <w:t xml:space="preserve">that they enter into application together with level 2, after a sufficient implementation</w:t>
      </w:r>
      <w:r>
        <w:t xml:space="preserve"> </w:t>
      </w:r>
      <w:r>
        <w:t xml:space="preserve">period. At this stage it is too early to anticipate details on the content of the level 2 measures, as</w:t>
      </w:r>
      <w:r>
        <w:t xml:space="preserve"> </w:t>
      </w:r>
      <w:r>
        <w:t xml:space="preserve">they will be impacted by the negotiations with the co-legislators. However, they will be subject</w:t>
      </w:r>
      <w:r>
        <w:t xml:space="preserve"> </w:t>
      </w:r>
      <w:r>
        <w:t xml:space="preserve">to considerations on the cost-benefit analysis and follow the better regulation guidelines.</w:t>
      </w:r>
    </w:p>
    <w:p>
      <w:pPr>
        <w:pStyle w:val="FirstParagraph"/>
      </w:pPr>
      <w:r>
        <w:t xml:space="preserve">32</w:t>
      </w:r>
    </w:p>
    <w:p>
      <w:pPr>
        <w:pStyle w:val="BodyText"/>
      </w:pPr>
      <w:r>
        <w:t xml:space="preserve"> Protect end-investors against misleading claims and increasing the comparability of ESG</w:t>
      </w:r>
      <w:r>
        <w:t xml:space="preserve"> </w:t>
      </w:r>
      <w:r>
        <w:t xml:space="preserve">products.</w:t>
      </w:r>
      <w:r>
        <w:br/>
      </w:r>
      <w:r>
        <w:t xml:space="preserve">The main positive impacts of the suggested criteria compared to today’s situation are described in</w:t>
      </w:r>
      <w:r>
        <w:t xml:space="preserve"> </w:t>
      </w:r>
      <w:r>
        <w:t xml:space="preserve">table 1 of annex 8.</w:t>
      </w:r>
      <w:r>
        <w:t xml:space="preserve"> </w:t>
      </w:r>
      <w:r>
        <w:t xml:space="preserve">High level principles to be reflected in the criteria:</w:t>
      </w:r>
      <w:r>
        <w:br/>
      </w:r>
      <w:r>
        <w:t xml:space="preserve">To deliver against the specific objectives of the review, the criteria should reflect the following</w:t>
      </w:r>
      <w:r>
        <w:t xml:space="preserve"> </w:t>
      </w:r>
      <w:r>
        <w:t xml:space="preserve">principles:</w:t>
      </w:r>
      <w:r>
        <w:br/>
      </w:r>
      <w:r>
        <w:t xml:space="preserve"> First, the criteria should draw on reliable and comparable sustainability information and</w:t>
      </w:r>
      <w:r>
        <w:t xml:space="preserve"> </w:t>
      </w:r>
      <w:r>
        <w:t xml:space="preserve">take account of the data availability considerations outlined above109. The criteria should</w:t>
      </w:r>
      <w:r>
        <w:t xml:space="preserve"> </w:t>
      </w:r>
      <w:r>
        <w:t xml:space="preserve">be designed in a way to mitigate as much as possible the data availability issues and</w:t>
      </w:r>
      <w:r>
        <w:t xml:space="preserve"> </w:t>
      </w:r>
      <w:r>
        <w:t xml:space="preserve">the related greenwashing risks. This can be done by focusing the concepts on</w:t>
      </w:r>
      <w:r>
        <w:t xml:space="preserve"> </w:t>
      </w:r>
      <w:r>
        <w:t xml:space="preserve">information that is available from investee companies in scope of the CSRD (i.e. </w:t>
      </w:r>
      <w:r>
        <w:t xml:space="preserve"> </w:t>
      </w:r>
      <w:r>
        <w:t xml:space="preserve">aligning with the upcoming streamlined ESRS), on information included in widely used or</w:t>
      </w:r>
      <w:r>
        <w:t xml:space="preserve"> </w:t>
      </w:r>
      <w:r>
        <w:t xml:space="preserve">endorsed international frameworks such as the ISSB and the GRI, other emerging voluntary</w:t>
      </w:r>
      <w:r>
        <w:t xml:space="preserve"> </w:t>
      </w:r>
      <w:r>
        <w:t xml:space="preserve">sustainability-related information standards such as the one to be adopted as a delegated act</w:t>
      </w:r>
      <w:r>
        <w:t xml:space="preserve"> </w:t>
      </w:r>
      <w:r>
        <w:t xml:space="preserve">according to the Omnibus proposal, and based on the voluntary standard for SMEs (VSME)</w:t>
      </w:r>
      <w:r>
        <w:t xml:space="preserve"> </w:t>
      </w:r>
      <w:r>
        <w:t xml:space="preserve">developed by EFRAG110, and information that is possible to estimate (see below the</w:t>
      </w:r>
      <w:r>
        <w:t xml:space="preserve"> </w:t>
      </w:r>
      <w:r>
        <w:t xml:space="preserve">special considerations for estimates).</w:t>
      </w:r>
      <w:r>
        <w:br/>
      </w:r>
      <w:r>
        <w:t xml:space="preserve"> Second, the criteria should take into account existing market practices to ensure</w:t>
      </w:r>
      <w:r>
        <w:t xml:space="preserve"> </w:t>
      </w:r>
      <w:r>
        <w:t xml:space="preserve">continuity (especially regarding the criteria introduced by ESMA guidelines on funds’</w:t>
      </w:r>
      <w:r>
        <w:t xml:space="preserve"> </w:t>
      </w:r>
      <w:r>
        <w:t xml:space="preserve">names). This would allow to lower the one-off implementation costs and ensure regulatory</w:t>
      </w:r>
      <w:r>
        <w:t xml:space="preserve"> </w:t>
      </w:r>
      <w:r>
        <w:t xml:space="preserve">stability111.</w:t>
      </w:r>
      <w:r>
        <w:br/>
      </w:r>
      <w:r>
        <w:t xml:space="preserve"> Third, the criteria should ensure sufficiently high environmental/sustainability ambition,</w:t>
      </w:r>
      <w:r>
        <w:t xml:space="preserve"> </w:t>
      </w:r>
      <w:r>
        <w:t xml:space="preserve">and focus on information shown to be most useful to investors, in order to meet their</w:t>
      </w:r>
      <w:r>
        <w:t xml:space="preserve"> </w:t>
      </w:r>
      <w:r>
        <w:t xml:space="preserve">expectations, mitigate greenwashing risks and respect the precautionary principle. At the</w:t>
      </w:r>
      <w:r>
        <w:t xml:space="preserve"> </w:t>
      </w:r>
      <w:r>
        <w:t xml:space="preserve">same time, the criteria should be achievable by a reasonable portion of current products</w:t>
      </w:r>
      <w:r>
        <w:t xml:space="preserve"> </w:t>
      </w:r>
      <w:r>
        <w:t xml:space="preserve">making quality ESG claims to make sure that the categories do not unduly disrupt</w:t>
      </w:r>
      <w:r>
        <w:t xml:space="preserve"> </w:t>
      </w:r>
      <w:r>
        <w:t xml:space="preserve">practices as explained above112.</w:t>
      </w:r>
      <w:r>
        <w:br/>
      </w:r>
      <w:r>
        <w:t xml:space="preserve"> Finally, the criteria would need to enhance the comparability of products and bring</w:t>
      </w:r>
      <w:r>
        <w:t xml:space="preserve"> </w:t>
      </w:r>
      <w:r>
        <w:t xml:space="preserve">sufficient legal clarity in order to harmonise implementation and supervisory practices</w:t>
      </w:r>
      <w:r>
        <w:t xml:space="preserve"> </w:t>
      </w:r>
      <w:r>
        <w:t xml:space="preserve">to the extent possible. At the same time, the criteria would also need to allow for sufficient</w:t>
      </w:r>
      <w:r>
        <w:t xml:space="preserve"> </w:t>
      </w:r>
      <w:r>
        <w:t xml:space="preserve">flexibility for FMPs to fit diverse investment strategies and asset classes (e.g. equities,</w:t>
      </w:r>
      <w:r>
        <w:t xml:space="preserve"> </w:t>
      </w:r>
      <w:r>
        <w:t xml:space="preserve">bonds, indices, etc.).</w:t>
      </w:r>
    </w:p>
    <w:p>
      <w:pPr>
        <w:pStyle w:val="BodyText"/>
      </w:pPr>
      <w:r>
        <w:t xml:space="preserve">109 ‘Specific considerations for the formulation of policy options arising from the Omnibus proposals, the ESMA fund</w:t>
      </w:r>
      <w:r>
        <w:t xml:space="preserve"> </w:t>
      </w:r>
      <w:r>
        <w:t xml:space="preserve">names guidelines and the principle of proportionality’</w:t>
      </w:r>
      <w:r>
        <w:t xml:space="preserve"> </w:t>
      </w:r>
      <w:r>
        <w:t xml:space="preserve">110 Omnibus proposal COM (2025)81 final; Commission presents voluntary sustainability reporting standard to ease</w:t>
      </w:r>
      <w:r>
        <w:t xml:space="preserve"> </w:t>
      </w:r>
      <w:r>
        <w:t xml:space="preserve">burden on SMEs - European Commission</w:t>
      </w:r>
      <w:r>
        <w:t xml:space="preserve"> </w:t>
      </w:r>
      <w:r>
        <w:t xml:space="preserve">111 There are currently 4,220 open-ended funds and exchange-traded funds with ESG-or sustainability related terms in</w:t>
      </w:r>
      <w:r>
        <w:t xml:space="preserve"> </w:t>
      </w:r>
      <w:r>
        <w:t xml:space="preserve">their names, i.e. in scope of the ESMA guidelines. Source: Morningstar, ESMA Guidelines on ESG funds naming rules,</w:t>
      </w:r>
      <w:r>
        <w:t xml:space="preserve"> </w:t>
      </w:r>
      <w:r>
        <w:t xml:space="preserve">May 2025</w:t>
      </w:r>
      <w:r>
        <w:t xml:space="preserve"> </w:t>
      </w:r>
      <w:r>
        <w:t xml:space="preserve">112 ‘Specific considerations for the formulation of policy options arising from the Omnibus proposals, the ESMA fund</w:t>
      </w:r>
      <w:r>
        <w:t xml:space="preserve"> </w:t>
      </w:r>
      <w:r>
        <w:t xml:space="preserve">name guidelines and the principle of proportionality’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Box 3: Description of the proposed criteria under option 3.1 and 3.2 (see Annex 8 for more</w:t>
      </w:r>
      <w:r>
        <w:t xml:space="preserve"> </w:t>
      </w:r>
      <w:r>
        <w:t xml:space="preserve">information)</w:t>
      </w:r>
      <w:r>
        <w:t xml:space="preserve"> </w:t>
      </w:r>
      <w:r>
        <w:t xml:space="preserve">Description of main elements of the criteria and their benefits (see Annex 8 for more</w:t>
      </w:r>
      <w:r>
        <w:t xml:space="preserve"> </w:t>
      </w:r>
      <w:r>
        <w:t xml:space="preserve">information)</w:t>
      </w:r>
      <w:r>
        <w:t xml:space="preserve"> </w:t>
      </w:r>
      <w:r>
        <w:t xml:space="preserve">(1) Positive contribution – setting a minimum portion of investment to the contribution</w:t>
      </w:r>
      <w:r>
        <w:t xml:space="preserve"> </w:t>
      </w:r>
      <w:r>
        <w:t xml:space="preserve">leg of the current definition to boost comparability:</w:t>
      </w:r>
      <w:r>
        <w:br/>
      </w:r>
      <w:r>
        <w:t xml:space="preserve">Starting from the assumption that the categories are voluntary, FMPs would still be free to</w:t>
      </w:r>
      <w:r>
        <w:t xml:space="preserve"> </w:t>
      </w:r>
      <w:r>
        <w:t xml:space="preserve">choose their own sustainability objective(s) and how they plan to achieve them (subject to proper</w:t>
      </w:r>
      <w:r>
        <w:t xml:space="preserve"> </w:t>
      </w:r>
      <w:r>
        <w:t xml:space="preserve">transparency). However, aligned with the ESMA guidelines on fund names, a certain</w:t>
      </w:r>
      <w:r>
        <w:t xml:space="preserve"> </w:t>
      </w:r>
      <w:r>
        <w:t xml:space="preserve">percentage of the product’s portfolio would need to follow an ESG strategy that matches</w:t>
      </w:r>
      <w:r>
        <w:t xml:space="preserve"> </w:t>
      </w:r>
      <w:r>
        <w:t xml:space="preserve">the ESG claims they make113. Products falling under the sustainable and transition categories</w:t>
      </w:r>
      <w:r>
        <w:t xml:space="preserve"> </w:t>
      </w:r>
      <w:r>
        <w:t xml:space="preserve">would need to show how a specific percentage of their investments contribute to a clear</w:t>
      </w:r>
      <w:r>
        <w:t xml:space="preserve"> </w:t>
      </w:r>
      <w:r>
        <w:t xml:space="preserve">sustainability objective and explain how they measure that. Products falling under the ‘other</w:t>
      </w:r>
      <w:r>
        <w:t xml:space="preserve"> </w:t>
      </w:r>
      <w:r>
        <w:t xml:space="preserve">ESG’ category would need to demonstrate that a specific percentage of their portfolio aligns with</w:t>
      </w:r>
      <w:r>
        <w:t xml:space="preserve"> </w:t>
      </w:r>
      <w:r>
        <w:t xml:space="preserve">the chosen ESG claims or processes.</w:t>
      </w:r>
      <w:r>
        <w:br/>
      </w:r>
      <w:r>
        <w:t xml:space="preserve">In addition, the assessment of performance against the objective should be monitored and</w:t>
      </w:r>
      <w:r>
        <w:t xml:space="preserve"> </w:t>
      </w:r>
      <w:r>
        <w:t xml:space="preserve">disclosed and should be based on credible and where possible science-based indicators chosen by</w:t>
      </w:r>
      <w:r>
        <w:t xml:space="preserve"> </w:t>
      </w:r>
      <w:r>
        <w:t xml:space="preserve">the FMPs. The SFDR (level 2) could provide a non-exhaustive list of ESG indicators on certain</w:t>
      </w:r>
      <w:r>
        <w:t xml:space="preserve"> </w:t>
      </w:r>
      <w:r>
        <w:t xml:space="preserve">sustainability topics for FMPs’ use114.</w:t>
      </w:r>
      <w:r>
        <w:br/>
      </w:r>
      <w:r>
        <w:t xml:space="preserve">(2) Exclusions – a negative screening test replacing the DNSH and good governance legs</w:t>
      </w:r>
      <w:r>
        <w:t xml:space="preserve"> </w:t>
      </w:r>
      <w:r>
        <w:t xml:space="preserve">in the current sustainable investment definition.</w:t>
      </w:r>
      <w:r>
        <w:t xml:space="preserve"> </w:t>
      </w:r>
      <w:r>
        <w:t xml:space="preserve">This would take the form of a clear list of industries or activities that products should not be able</w:t>
      </w:r>
      <w:r>
        <w:t xml:space="preserve"> </w:t>
      </w:r>
      <w:r>
        <w:t xml:space="preserve">to invest in (e.g. based on the ESMA guidelines and reflecting a wide consensus of harmful</w:t>
      </w:r>
      <w:r>
        <w:t xml:space="preserve"> </w:t>
      </w:r>
      <w:r>
        <w:t xml:space="preserve">industries or those with high carbon footprints)115. Such exclusions would make rules more</w:t>
      </w:r>
      <w:r>
        <w:t xml:space="preserve"> </w:t>
      </w:r>
      <w:r>
        <w:t xml:space="preserve">consistent across the EU, harmonise the NCAs’ supervisory expectations and enhance</w:t>
      </w:r>
      <w:r>
        <w:t xml:space="preserve"> </w:t>
      </w:r>
      <w:r>
        <w:t xml:space="preserve">comparability between products. Also, by focusing on fewer sustainability topics than the current</w:t>
      </w:r>
      <w:r>
        <w:t xml:space="preserve"> </w:t>
      </w:r>
      <w:r>
        <w:t xml:space="preserve">do no significant harm provision, this approach would reduce the amount of data that FMPs need</w:t>
      </w:r>
      <w:r>
        <w:t xml:space="preserve"> </w:t>
      </w:r>
      <w:r>
        <w:t xml:space="preserve">to collect. Given these new minimum safeguards would not cover all the ESG aspects previously</w:t>
      </w:r>
      <w:r>
        <w:t xml:space="preserve"> </w:t>
      </w:r>
      <w:r>
        <w:t xml:space="preserve">covered by the PAIs (e.g. biodiversity and water), FMPs could continue to identify and consider</w:t>
      </w:r>
      <w:r>
        <w:t xml:space="preserve"> </w:t>
      </w:r>
      <w:r>
        <w:t xml:space="preserve">material negative outcomes on these topics on a best-efforts basis. As data availability develops</w:t>
      </w:r>
      <w:r>
        <w:t xml:space="preserve"> </w:t>
      </w:r>
      <w:r>
        <w:t xml:space="preserve">around e.g. water, biodiversity, circular economy etc, the scope of the exclusions could also be</w:t>
      </w:r>
      <w:r>
        <w:t xml:space="preserve"> </w:t>
      </w:r>
      <w:r>
        <w:t xml:space="preserve">reviewed.</w:t>
      </w:r>
    </w:p>
    <w:p>
      <w:pPr>
        <w:pStyle w:val="BodyText"/>
      </w:pPr>
      <w:r>
        <w:t xml:space="preserve">113 The ESMA guidelines requires funds to meet an 80% threshold for the “proportion of investments used to meet</w:t>
      </w:r>
      <w:r>
        <w:t xml:space="preserve"> </w:t>
      </w:r>
      <w:r>
        <w:t xml:space="preserve">environmental or social characteristic or sustainable investment objectives in accordance with the binding elements of</w:t>
      </w:r>
      <w:r>
        <w:t xml:space="preserve"> </w:t>
      </w:r>
      <w:r>
        <w:t xml:space="preserve">the investment strategy”</w:t>
      </w:r>
      <w:r>
        <w:t xml:space="preserve"> </w:t>
      </w:r>
      <w:r>
        <w:t xml:space="preserve">114 The level 2 rules could provide a non-exhaustive list of ESG indicators that FMPs can use to monitor their</w:t>
      </w:r>
      <w:r>
        <w:t xml:space="preserve"> </w:t>
      </w:r>
      <w:r>
        <w:t xml:space="preserve">performance against certain sustainability objectives (e.g. climate, water, biodiversity etc). These indicators would be</w:t>
      </w:r>
      <w:r>
        <w:t xml:space="preserve"> </w:t>
      </w:r>
      <w:r>
        <w:t xml:space="preserve">voluntary and aim at supporting FMPs in the implementation and boosting comparability. However, FMPs would be</w:t>
      </w:r>
      <w:r>
        <w:t xml:space="preserve"> </w:t>
      </w:r>
      <w:r>
        <w:t xml:space="preserve">free to use other indicators if the ones provided in the level 2 rules do not fit their objectives, assets or strategies (e.g. </w:t>
      </w:r>
      <w:r>
        <w:t xml:space="preserve"> </w:t>
      </w:r>
      <w:r>
        <w:t xml:space="preserve">impact strategies which call for more specific and targeted KPIs).</w:t>
      </w:r>
      <w:r>
        <w:br/>
      </w:r>
      <w:r>
        <w:t xml:space="preserve">115 The ESMA guidelines require funds to exclude certain companies referred to in the EU climate benchmark</w:t>
      </w:r>
      <w:r>
        <w:t xml:space="preserve"> </w:t>
      </w:r>
      <w:r>
        <w:t xml:space="preserve">exclusions.</w:t>
      </w:r>
    </w:p>
    <w:p>
      <w:pPr>
        <w:pStyle w:val="BodyText"/>
      </w:pPr>
      <w:r>
        <w:t xml:space="preserve">34</w:t>
      </w:r>
    </w:p>
    <w:bookmarkStart w:id="9" w:name="X27e0983c49e98d357f71c5ed2f6e14c00b14b19"/>
    <w:p>
      <w:pPr>
        <w:pStyle w:val="Heading2"/>
      </w:pPr>
      <w:r>
        <w:t xml:space="preserve">Concretely, this could translate into the following criteria (illustrative purposes only):</w:t>
      </w:r>
    </w:p>
    <w:p>
      <w:pPr>
        <w:pStyle w:val="FirstParagraph"/>
      </w:pPr>
      <w:r>
        <w:t xml:space="preserve">Sustainable category: (1) exclusion of investments into companies excluded from the</w:t>
      </w:r>
      <w:r>
        <w:t xml:space="preserve"> </w:t>
      </w:r>
      <w:r>
        <w:t xml:space="preserve">EU Paris-Aligned Benchmarks (PAB)116; (2) 70/80% of the portfolio to align with the</w:t>
      </w:r>
      <w:r>
        <w:t xml:space="preserve"> </w:t>
      </w:r>
      <w:r>
        <w:t xml:space="preserve">strategy of the product for positive contribution to sustainability. The assessment of</w:t>
      </w:r>
      <w:r>
        <w:t xml:space="preserve"> </w:t>
      </w:r>
      <w:r>
        <w:t xml:space="preserve">performance against the objective should be monitored and disclosed and should be based</w:t>
      </w:r>
      <w:r>
        <w:t xml:space="preserve"> </w:t>
      </w:r>
      <w:r>
        <w:t xml:space="preserve">on credible and where possible science-based indicators chosen by the FMPs. The SFDR</w:t>
      </w:r>
      <w:r>
        <w:t xml:space="preserve"> </w:t>
      </w:r>
      <w:r>
        <w:t xml:space="preserve">(level 2) could provide a non-exhaustive list of ESG indicators on certain sustainability</w:t>
      </w:r>
      <w:r>
        <w:t xml:space="preserve"> </w:t>
      </w:r>
      <w:r>
        <w:t xml:space="preserve">topics for FMPs’ use. For example, investments in a certain amount of Taxonomy-aligned</w:t>
      </w:r>
      <w:r>
        <w:t xml:space="preserve"> </w:t>
      </w:r>
      <w:r>
        <w:t xml:space="preserve">activities could be one possible way to demonstrate contribution to climate and</w:t>
      </w:r>
      <w:r>
        <w:t xml:space="preserve"> </w:t>
      </w:r>
      <w:r>
        <w:t xml:space="preserve">environmental objectives.</w:t>
      </w:r>
      <w:r>
        <w:t xml:space="preserve"> </w:t>
      </w:r>
      <w:r>
        <w:t xml:space="preserve">-</w:t>
      </w:r>
      <w:r>
        <w:t xml:space="preserve"> </w:t>
      </w:r>
      <w:r>
        <w:t xml:space="preserve">Transition category: (1) exclusion of companies excluded from the EU Climate</w:t>
      </w:r>
      <w:r>
        <w:t xml:space="preserve"> </w:t>
      </w:r>
      <w:r>
        <w:t xml:space="preserve">Transition Benchmarks (CTB)117; (2) 70/80% of the portfolio to align with the strategy of</w:t>
      </w:r>
      <w:r>
        <w:t xml:space="preserve"> </w:t>
      </w:r>
      <w:r>
        <w:t xml:space="preserve">the product to demonstrate positive contribution to transition or be covered by a portfolio</w:t>
      </w:r>
      <w:r>
        <w:t xml:space="preserve"> </w:t>
      </w:r>
      <w:r>
        <w:t xml:space="preserve">level strategy (e.g. relative/absolute GHG emission reduction of the portfolio per year).</w:t>
      </w:r>
      <w:r>
        <w:t xml:space="preserve"> </w:t>
      </w:r>
      <w:r>
        <w:t xml:space="preserve">The assessment of performance against the objective should be monitored and disclosed</w:t>
      </w:r>
      <w:r>
        <w:t xml:space="preserve"> </w:t>
      </w:r>
      <w:r>
        <w:t xml:space="preserve">and should be based on credible and where possible science-based indicators chosen by</w:t>
      </w:r>
      <w:r>
        <w:t xml:space="preserve"> </w:t>
      </w:r>
      <w:r>
        <w:t xml:space="preserve">the FMPs. The FMP could use the following non exhaustive approaches for measuring</w:t>
      </w:r>
      <w:r>
        <w:t xml:space="preserve"> </w:t>
      </w:r>
      <w:r>
        <w:t xml:space="preserve">the performance of the product : (a) investments in undertakings or economic activities</w:t>
      </w:r>
      <w:r>
        <w:t xml:space="preserve"> </w:t>
      </w:r>
      <w:r>
        <w:t xml:space="preserve">with a credible transition plan at the level of the undertaking or activity, including</w:t>
      </w:r>
      <w:r>
        <w:t xml:space="preserve"> </w:t>
      </w:r>
      <w:r>
        <w:t xml:space="preserve">science-based targets; (b) investments in portfolios tracking EU climate transition</w:t>
      </w:r>
      <w:r>
        <w:t xml:space="preserve"> </w:t>
      </w:r>
      <w:r>
        <w:t xml:space="preserve">benchmarks (PAB/CTB); (c) engagement with investee companies demonstrating</w:t>
      </w:r>
      <w:r>
        <w:t xml:space="preserve"> </w:t>
      </w:r>
      <w:r>
        <w:t xml:space="preserve">measurable change; and (d) investment in Taxonomy-eligible economic activities</w:t>
      </w:r>
      <w:r>
        <w:t xml:space="preserve"> </w:t>
      </w:r>
      <w:r>
        <w:t xml:space="preserve">becoming Taxonomy-aligned118 and partially aligned Taxonomy assets119. The level 2</w:t>
      </w:r>
      <w:r>
        <w:t xml:space="preserve"> </w:t>
      </w:r>
      <w:r>
        <w:t xml:space="preserve">could specify limited details of how to measure performance in relation to the indicators.</w:t>
      </w:r>
      <w:r>
        <w:br/>
      </w:r>
      <w:r>
        <w:t xml:space="preserve">-</w:t>
      </w:r>
      <w:r>
        <w:t xml:space="preserve"> </w:t>
      </w:r>
      <w:r>
        <w:t xml:space="preserve">Other ESG category: (1) the same CTB exclusions as for the transition category above;</w:t>
      </w:r>
      <w:r>
        <w:t xml:space="preserve"> </w:t>
      </w:r>
      <w:r>
        <w:t xml:space="preserve">(2) 70/80% of the portfolio to align with the overall strategy. The assessment of</w:t>
      </w:r>
      <w:r>
        <w:t xml:space="preserve"> </w:t>
      </w:r>
      <w:r>
        <w:t xml:space="preserve">performance against the objective should be monitored and disclosed based on relevant</w:t>
      </w:r>
      <w:r>
        <w:t xml:space="preserve"> </w:t>
      </w:r>
      <w:r>
        <w:t xml:space="preserve">indicators chosen by the FMPs. The level 2 could set out voluntary indicators based on</w:t>
      </w:r>
      <w:r>
        <w:t xml:space="preserve"> </w:t>
      </w:r>
      <w:r>
        <w:t xml:space="preserve">further market study.</w:t>
      </w:r>
      <w:r>
        <w:br/>
      </w:r>
      <w:r>
        <w:t xml:space="preserve">How these criteria could be spelled out in Level 1 and Level 2 (illustrative purposes only):</w:t>
      </w:r>
      <w:r>
        <w:t xml:space="preserve"> </w:t>
      </w:r>
      <w:r>
        <w:t xml:space="preserve">Level 1 – (1) list of exclusions per category, (2) 70/80% requirement for the investments to</w:t>
      </w:r>
      <w:r>
        <w:t xml:space="preserve"> </w:t>
      </w:r>
      <w:r>
        <w:t xml:space="preserve">support the positive contribution objective and strategy of the product, (3) non-exhaustive list of</w:t>
      </w:r>
    </w:p>
    <w:p>
      <w:pPr>
        <w:pStyle w:val="BodyText"/>
      </w:pPr>
      <w:r>
        <w:t xml:space="preserve">116 Companies involved in (1) any activities related to controversial weapons; (2) the cultivation and production of</w:t>
      </w:r>
      <w:r>
        <w:t xml:space="preserve"> </w:t>
      </w:r>
      <w:r>
        <w:t xml:space="preserve">tobacco; (3) in violation of the UN Global Compact (UN GC) principles or the OECD Guidelines for Multinational</w:t>
      </w:r>
      <w:r>
        <w:t xml:space="preserve"> </w:t>
      </w:r>
      <w:r>
        <w:t xml:space="preserve">Enterprises; (4) companies that derive 1 % or more of their revenues from exploration, mining, extraction, distribution</w:t>
      </w:r>
      <w:r>
        <w:t xml:space="preserve"> </w:t>
      </w:r>
      <w:r>
        <w:t xml:space="preserve">or refining of hard coal and lignite; (5) 10 % or more of their revenues from the exploration, extraction, distribution or</w:t>
      </w:r>
      <w:r>
        <w:t xml:space="preserve"> </w:t>
      </w:r>
      <w:r>
        <w:t xml:space="preserve">refining of oil fuels; (6) 50 % or more of their revenues from the exploration, extraction, manufacturing or distribution</w:t>
      </w:r>
      <w:r>
        <w:t xml:space="preserve"> </w:t>
      </w:r>
      <w:r>
        <w:t xml:space="preserve">of gaseous fuels; (7) 50 % or more of their revenues from electricity generation with a GHG intensity of more than 100</w:t>
      </w:r>
      <w:r>
        <w:t xml:space="preserve"> </w:t>
      </w:r>
      <w:r>
        <w:t xml:space="preserve">g CO2 e/kWh. In addition, the exclusion would specify that investees could not be engaged in activities involving fossil</w:t>
      </w:r>
      <w:r>
        <w:t xml:space="preserve"> </w:t>
      </w:r>
      <w:r>
        <w:t xml:space="preserve">fuel expansion.</w:t>
      </w:r>
      <w:r>
        <w:t xml:space="preserve"> </w:t>
      </w:r>
      <w:r>
        <w:t xml:space="preserve">117 Companies involved in (1) any activities related to controversial weapons; (2) the cultivation and production of</w:t>
      </w:r>
      <w:r>
        <w:t xml:space="preserve"> </w:t>
      </w:r>
      <w:r>
        <w:t xml:space="preserve">tobacco; (3) in violation of the UN Global Compact (UN GC) principles or the OECD Guidelines for Multinational</w:t>
      </w:r>
      <w:r>
        <w:t xml:space="preserve"> </w:t>
      </w:r>
      <w:r>
        <w:t xml:space="preserve">Enterprises. In addition, the exclusion would specify that investees could not be engaged in activities involving fossil</w:t>
      </w:r>
      <w:r>
        <w:t xml:space="preserve"> </w:t>
      </w:r>
      <w:r>
        <w:t xml:space="preserve">fuel expansion.</w:t>
      </w:r>
      <w:r>
        <w:t xml:space="preserve"> </w:t>
      </w:r>
      <w:r>
        <w:t xml:space="preserve">118 In accordance with Article 1(2) of Commission Delegated Regulation (EU) 2021/2178 over a period of maximum 5</w:t>
      </w:r>
      <w:r>
        <w:t xml:space="preserve"> </w:t>
      </w:r>
      <w:r>
        <w:t xml:space="preserve">(exceptionally 10) years, in other words where investee companies have related CapEx plans.</w:t>
      </w:r>
      <w:r>
        <w:br/>
      </w:r>
      <w:r>
        <w:t xml:space="preserve">119 Based on the concept proposed and to be developed under the Omnibus – namely new provisions in Articles 19a(5)</w:t>
      </w:r>
      <w:r>
        <w:t xml:space="preserve"> </w:t>
      </w:r>
      <w:r>
        <w:t xml:space="preserve">and 29aa(5) of Directive 2013/34/EU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approaches for measuring performance in relation to the objective and strategy depending on the</w:t>
      </w:r>
      <w:r>
        <w:t xml:space="preserve"> </w:t>
      </w:r>
      <w:r>
        <w:t xml:space="preserve">category.</w:t>
      </w:r>
      <w:r>
        <w:t xml:space="preserve"> </w:t>
      </w:r>
      <w:r>
        <w:t xml:space="preserve">Level 2 – (1) names of categories, (2) possible common indicators to assess and monitor the</w:t>
      </w:r>
      <w:r>
        <w:t xml:space="preserve"> </w:t>
      </w:r>
      <w:r>
        <w:t xml:space="preserve">performance against the objective for voluntary use by FMPs (based on available and reliable</w:t>
      </w:r>
      <w:r>
        <w:t xml:space="preserve"> </w:t>
      </w:r>
      <w:r>
        <w:t xml:space="preserve">ESG data), and (3) short disclosure templates per category120.</w:t>
      </w:r>
      <w:r>
        <w:br/>
      </w:r>
      <w:r>
        <w:t xml:space="preserve">How these criteria would help achieve the specific objectives of enhancing comparability</w:t>
      </w:r>
      <w:r>
        <w:t xml:space="preserve"> </w:t>
      </w:r>
      <w:r>
        <w:t xml:space="preserve">and reducing the burdens for FMPs</w:t>
      </w:r>
      <w:r>
        <w:t xml:space="preserve"> </w:t>
      </w:r>
      <w:r>
        <w:t xml:space="preserve">The main impacts of the suggested criteria (compared to today’s situation) are described in table</w:t>
      </w:r>
      <w:r>
        <w:t xml:space="preserve"> </w:t>
      </w:r>
      <w:r>
        <w:t xml:space="preserve">1 of annex 8.</w:t>
      </w:r>
      <w:r>
        <w:t xml:space="preserve"> </w:t>
      </w:r>
      <w:r>
        <w:t xml:space="preserve">Impacts of the exclusions:</w:t>
      </w:r>
      <w:r>
        <w:br/>
      </w:r>
      <w:r>
        <w:t xml:space="preserve">-</w:t>
      </w:r>
      <w:r>
        <w:t xml:space="preserve"> </w:t>
      </w:r>
      <w:r>
        <w:t xml:space="preserve">Enhancing comparability of financial products: Such exclusions would make rules more</w:t>
      </w:r>
      <w:r>
        <w:t xml:space="preserve"> </w:t>
      </w:r>
      <w:r>
        <w:t xml:space="preserve">consistent across the EU, harmonise the NCAs’ supervisory expectations about what</w:t>
      </w:r>
      <w:r>
        <w:t xml:space="preserve"> </w:t>
      </w:r>
      <w:r>
        <w:t xml:space="preserve">categorised products cannot invest in, and therefore enhance the comparability between</w:t>
      </w:r>
      <w:r>
        <w:t xml:space="preserve"> </w:t>
      </w:r>
      <w:r>
        <w:t xml:space="preserve">such products, in line with investors’ broadly signalled preferences regarding which</w:t>
      </w:r>
      <w:r>
        <w:t xml:space="preserve"> </w:t>
      </w:r>
      <w:r>
        <w:t xml:space="preserve">sectors should be excluded (Annex 10).</w:t>
      </w:r>
      <w:r>
        <w:br/>
      </w:r>
      <w:r>
        <w:t xml:space="preserve">-</w:t>
      </w:r>
      <w:r>
        <w:t xml:space="preserve"> </w:t>
      </w:r>
      <w:r>
        <w:t xml:space="preserve">Limiting implementation costs and aligning with existing market practices: First, these</w:t>
      </w:r>
      <w:r>
        <w:t xml:space="preserve"> </w:t>
      </w:r>
      <w:r>
        <w:t xml:space="preserve">exclusions have already been introduced under the ESMA guidelines for ESG funds</w:t>
      </w:r>
      <w:r>
        <w:t xml:space="preserve"> </w:t>
      </w:r>
      <w:r>
        <w:t xml:space="preserve">names, which started applying in May 2025. The number of funds currently applying</w:t>
      </w:r>
      <w:r>
        <w:t xml:space="preserve"> </w:t>
      </w:r>
      <w:r>
        <w:t xml:space="preserve">these requirements has been estimated at 4.570. Second, market analyses121 show that the</w:t>
      </w:r>
      <w:r>
        <w:t xml:space="preserve"> </w:t>
      </w:r>
      <w:r>
        <w:t xml:space="preserve">implementation of sectoral exclusions are the key elements of comparability</w:t>
      </w:r>
      <w:r>
        <w:t xml:space="preserve"> </w:t>
      </w:r>
      <w:r>
        <w:t xml:space="preserve">identified in funds with ESG characteristics or objectives, demonstrating the well-</w:t>
      </w:r>
      <w:r>
        <w:t xml:space="preserve"> </w:t>
      </w:r>
      <w:r>
        <w:t xml:space="preserve">established market practices around exclusions. Finally, market studies have showed that</w:t>
      </w:r>
      <w:r>
        <w:t xml:space="preserve"> </w:t>
      </w:r>
      <w:r>
        <w:t xml:space="preserve">estimation practices on PAB exclusions are very well developed122 which minimises</w:t>
      </w:r>
      <w:r>
        <w:t xml:space="preserve"> </w:t>
      </w:r>
      <w:r>
        <w:t xml:space="preserve">costs for FMPs and the divergent approaches across data vendors in estimating PAB</w:t>
      </w:r>
      <w:r>
        <w:t xml:space="preserve"> </w:t>
      </w:r>
      <w:r>
        <w:t xml:space="preserve">exclusions.</w:t>
      </w:r>
      <w:r>
        <w:t xml:space="preserve"> </w:t>
      </w:r>
      <w:r>
        <w:t xml:space="preserve">-</w:t>
      </w:r>
      <w:r>
        <w:t xml:space="preserve"> </w:t>
      </w:r>
      <w:r>
        <w:t xml:space="preserve">Usability challenges: certain usability challenges are noted with specific data points</w:t>
      </w:r>
      <w:r>
        <w:t xml:space="preserve"> </w:t>
      </w:r>
      <w:r>
        <w:t xml:space="preserve">among the exclusions and how they are used in particular regarding whether violations of</w:t>
      </w:r>
      <w:r>
        <w:t xml:space="preserve"> </w:t>
      </w:r>
      <w:r>
        <w:t xml:space="preserve">UN Global Compact (UN GC) principles or the OECD Guidelines for Multinational</w:t>
      </w:r>
      <w:r>
        <w:t xml:space="preserve"> </w:t>
      </w:r>
      <w:r>
        <w:t xml:space="preserve">Enterprises are ‘reported’ or ‘committed’. It is also unclear when a company is no longer</w:t>
      </w:r>
      <w:r>
        <w:t xml:space="preserve"> </w:t>
      </w:r>
      <w:r>
        <w:t xml:space="preserve">considered in violation if it happened a long time ago. The future regime should cater for</w:t>
      </w:r>
      <w:r>
        <w:t xml:space="preserve"> </w:t>
      </w:r>
      <w:r>
        <w:t xml:space="preserve">bringing clarity in this regard in level 2.</w:t>
      </w:r>
      <w:r>
        <w:br/>
      </w:r>
      <w:r>
        <w:t xml:space="preserve">Impacts of the positive criteria:</w:t>
      </w:r>
      <w:r>
        <w:br/>
      </w:r>
      <w:r>
        <w:t xml:space="preserve">-</w:t>
      </w:r>
      <w:r>
        <w:t xml:space="preserve"> </w:t>
      </w:r>
      <w:r>
        <w:t xml:space="preserve">Enhancing comparability of financial products: The levels of sustainable investment</w:t>
      </w:r>
      <w:r>
        <w:t xml:space="preserve"> </w:t>
      </w:r>
      <w:r>
        <w:t xml:space="preserve">would be harmonised across all categorised products, ensuring common levels of</w:t>
      </w:r>
    </w:p>
    <w:p>
      <w:pPr>
        <w:pStyle w:val="BodyText"/>
      </w:pPr>
      <w:r>
        <w:t xml:space="preserve">120 As well as the details mentioned above under ‘Elements to be defined at level 1 vs elements to be defined at level 2’</w:t>
      </w:r>
      <w:r>
        <w:t xml:space="preserve"> </w:t>
      </w:r>
      <w:r>
        <w:t xml:space="preserve">on e.g. how the contribution of various assets/investees is calculated for meeting the positive criteria, rules for</w:t>
      </w:r>
      <w:r>
        <w:t xml:space="preserve"> </w:t>
      </w:r>
      <w:r>
        <w:t xml:space="preserve">indicators’ coverage of portfolios, and any permitted deviations from the exclusions at portfolio level e.g. for hedging.</w:t>
      </w:r>
      <w:r>
        <w:t xml:space="preserve"> </w:t>
      </w:r>
      <w:r>
        <w:t xml:space="preserve">121 Studies include Frank Bold, SFDR review : analysis of current practices and future directions for investors,</w:t>
      </w:r>
      <w:r>
        <w:t xml:space="preserve"> </w:t>
      </w:r>
      <w:r>
        <w:t xml:space="preserve">December 2024, and Morningstar: SFDR_Article_8_and_Article_9_Funds_Q4_2022.pdf</w:t>
      </w:r>
      <w:r>
        <w:t xml:space="preserve"> </w:t>
      </w:r>
      <w:r>
        <w:t xml:space="preserve">122 See section 1.4 Annex 8. EU Platform on Sustainable Finance, Data Vendor Survey 2024, March 2025. The survey</w:t>
      </w:r>
      <w:r>
        <w:t xml:space="preserve"> </w:t>
      </w:r>
      <w:r>
        <w:t xml:space="preserve">concluded that high levels of consistency were found in the estimations of exclusion across vendors, with 80% of</w:t>
      </w:r>
      <w:r>
        <w:t xml:space="preserve"> </w:t>
      </w:r>
      <w:r>
        <w:t xml:space="preserve">issuers showing 0% divergence in their estimations of PAB exclusions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contribution. In addition, the reinforced transparency around the measurement of the</w:t>
      </w:r>
      <w:r>
        <w:t xml:space="preserve"> </w:t>
      </w:r>
      <w:r>
        <w:t xml:space="preserve">performance would allow investors to get more granular information on the type of</w:t>
      </w:r>
      <w:r>
        <w:t xml:space="preserve"> </w:t>
      </w:r>
      <w:r>
        <w:t xml:space="preserve">contribution. Finally, setting voluntary common indicators for the measurement (at level</w:t>
      </w:r>
      <w:r>
        <w:t xml:space="preserve"> </w:t>
      </w:r>
      <w:r>
        <w:t xml:space="preserve">2) could boost the comparability of the disclosures on contribution.</w:t>
      </w:r>
      <w:r>
        <w:br/>
      </w:r>
      <w:r>
        <w:t xml:space="preserve">-</w:t>
      </w:r>
      <w:r>
        <w:t xml:space="preserve"> </w:t>
      </w:r>
      <w:r>
        <w:t xml:space="preserve">Limiting implementation costs and aligning with existing market practices: Like the</w:t>
      </w:r>
      <w:r>
        <w:t xml:space="preserve"> </w:t>
      </w:r>
      <w:r>
        <w:t xml:space="preserve">exclusions, a 80% threshold for contribution has already been established by the ESMA</w:t>
      </w:r>
      <w:r>
        <w:t xml:space="preserve"> </w:t>
      </w:r>
      <w:r>
        <w:t xml:space="preserve">guidelines for ESG funds names. In addition, FMPs would remain free to set their own</w:t>
      </w:r>
      <w:r>
        <w:t xml:space="preserve"> </w:t>
      </w:r>
      <w:r>
        <w:t xml:space="preserve">objectives, therefore choosing the sustainability topics for which they believe they can</w:t>
      </w:r>
      <w:r>
        <w:t xml:space="preserve"> </w:t>
      </w:r>
      <w:r>
        <w:t xml:space="preserve">access comparable data from their underlying investments.</w:t>
      </w:r>
      <w:r>
        <w:br/>
      </w:r>
      <w:r>
        <w:t xml:space="preserve">Practical limitations to reach perfect comparability on contribution (positive criteria)</w:t>
      </w:r>
      <w:r>
        <w:t xml:space="preserve"> </w:t>
      </w:r>
      <w:r>
        <w:t xml:space="preserve">There are certain practical limitations to the levels of comparability which can be</w:t>
      </w:r>
      <w:r>
        <w:t xml:space="preserve"> </w:t>
      </w:r>
      <w:r>
        <w:t xml:space="preserve">reached/required from products. Findings from the evaluation123 show that there is no ‘one size</w:t>
      </w:r>
      <w:r>
        <w:t xml:space="preserve"> </w:t>
      </w:r>
      <w:r>
        <w:t xml:space="preserve">fits all’ on how to granularly define what a positive contribution to a sustainability objective</w:t>
      </w:r>
      <w:r>
        <w:t xml:space="preserve"> </w:t>
      </w:r>
      <w:r>
        <w:t xml:space="preserve">should be. This is mainly due to the wide variety of assets, strategies, sustainability objectives</w:t>
      </w:r>
      <w:r>
        <w:t xml:space="preserve"> </w:t>
      </w:r>
      <w:r>
        <w:t xml:space="preserve">that exists in the current market. If a very granular and common (mandatory) approach to</w:t>
      </w:r>
      <w:r>
        <w:t xml:space="preserve"> </w:t>
      </w:r>
      <w:r>
        <w:t xml:space="preserve">contribution was to be applied to all products regardless of their sustainability objective (e.g. </w:t>
      </w:r>
      <w:r>
        <w:t xml:space="preserve"> </w:t>
      </w:r>
      <w:r>
        <w:t xml:space="preserve">minimum alignment with the EU Taxonomy), the investment universe would be too restricted,</w:t>
      </w:r>
      <w:r>
        <w:t xml:space="preserve"> </w:t>
      </w:r>
      <w:r>
        <w:t xml:space="preserve">and the categories would not be usable (i.e. only a handful of products could be categorised).</w:t>
      </w:r>
      <w:r>
        <w:t xml:space="preserve"> </w:t>
      </w:r>
      <w:r>
        <w:t xml:space="preserve">Further, this would not align with the specific and general objectives of this initiative124.</w:t>
      </w:r>
      <w:r>
        <w:br/>
      </w:r>
      <w:r>
        <w:t xml:space="preserve">In fact, the potential of categories to simplify the framework for FMPs and to enhance the</w:t>
      </w:r>
      <w:r>
        <w:t xml:space="preserve"> </w:t>
      </w:r>
      <w:r>
        <w:t xml:space="preserve">comparability of products and fight greenwashing would be significantly lowered if they left</w:t>
      </w:r>
      <w:r>
        <w:t xml:space="preserve"> </w:t>
      </w:r>
      <w:r>
        <w:t xml:space="preserve">most prospective ESG products out of scope and only a handful of EU products are categorised.</w:t>
      </w:r>
      <w:r>
        <w:t xml:space="preserve"> </w:t>
      </w:r>
      <w:r>
        <w:t xml:space="preserve">Therefore, the suggested criteria focus on ensuring harmonised levels of contribution, to be</w:t>
      </w:r>
      <w:r>
        <w:t xml:space="preserve"> </w:t>
      </w:r>
      <w:r>
        <w:t xml:space="preserve">defined by FMPs, rather than granularly defining the nature of the contribution for them. This</w:t>
      </w:r>
      <w:r>
        <w:t xml:space="preserve"> </w:t>
      </w:r>
      <w:r>
        <w:t xml:space="preserve">would also ensure continuity with what investment funds had to implement under the ESMA</w:t>
      </w:r>
      <w:r>
        <w:t xml:space="preserve"> </w:t>
      </w:r>
      <w:r>
        <w:t xml:space="preserve">guidelines on funds’ names (in application since May 2025).</w:t>
      </w:r>
      <w:r>
        <w:br/>
      </w:r>
      <w:r>
        <w:t xml:space="preserve">Possible additional measures which could be explored</w:t>
      </w:r>
      <w:r>
        <w:br/>
      </w:r>
      <w:r>
        <w:t xml:space="preserve">In addition to the measures described above, the Commission could be empowered to define a</w:t>
      </w:r>
      <w:r>
        <w:t xml:space="preserve"> </w:t>
      </w:r>
      <w:r>
        <w:t xml:space="preserve">minimum ESG performance for certain sustainability objectives. In order to set this comparable</w:t>
      </w:r>
      <w:r>
        <w:t xml:space="preserve"> </w:t>
      </w:r>
      <w:r>
        <w:t xml:space="preserve">minimum quantitative criterion on performance, two elements would be needed: (1) widely</w:t>
      </w:r>
      <w:r>
        <w:t xml:space="preserve"> </w:t>
      </w:r>
      <w:r>
        <w:t xml:space="preserve">available data from underlying investments or otherwise estimable datapoints; (2) a politically</w:t>
      </w:r>
      <w:r>
        <w:t xml:space="preserve"> </w:t>
      </w:r>
      <w:r>
        <w:t xml:space="preserve">agreed science-based target (e.g. minimum performance on GHG emissions for climate-related</w:t>
      </w:r>
      <w:r>
        <w:t xml:space="preserve"> </w:t>
      </w:r>
      <w:r>
        <w:t xml:space="preserve">objectives) so that the law can set that minimum threshold unequivocally.</w:t>
      </w:r>
    </w:p>
    <w:p>
      <w:pPr>
        <w:pStyle w:val="BodyText"/>
      </w:pPr>
      <w:r>
        <w:t xml:space="preserve">123 For example, the different approaches to contribution described in Frank Bold, SFDR review : analysis of current</w:t>
      </w:r>
      <w:r>
        <w:t xml:space="preserve"> </w:t>
      </w:r>
      <w:r>
        <w:t xml:space="preserve">practices and future directions for investors, December 2024</w:t>
      </w:r>
      <w:r>
        <w:t xml:space="preserve"> </w:t>
      </w:r>
      <w:r>
        <w:t xml:space="preserve">124 E.g. to illustrate the point, limiting ESG products to those for which granular publicly available data is available</w:t>
      </w:r>
      <w:r>
        <w:t xml:space="preserve"> </w:t>
      </w:r>
      <w:r>
        <w:t xml:space="preserve">under the (post-omnibus) CSRD, would represent a considerable change and challenge for FMPs in terms of</w:t>
      </w:r>
      <w:r>
        <w:t xml:space="preserve"> </w:t>
      </w:r>
      <w:r>
        <w:t xml:space="preserve">administrative requirements and continuity (vs. specific objective 1), give investors a very narrow ESG product range</w:t>
      </w:r>
      <w:r>
        <w:t xml:space="preserve"> </w:t>
      </w:r>
      <w:r>
        <w:t xml:space="preserve">for any meaningful comparison to serve their demonstrated interest in ESG investing (vs. specific objective 2; Annexes</w:t>
      </w:r>
      <w:r>
        <w:t xml:space="preserve"> </w:t>
      </w:r>
      <w:r>
        <w:t xml:space="preserve">2 and 10), and would rather diminish the scope of the EU single market for sustainable finance rather than boost its</w:t>
      </w:r>
      <w:r>
        <w:t xml:space="preserve"> </w:t>
      </w:r>
      <w:r>
        <w:t xml:space="preserve">integrity (vs. general objective 1) and potential to efficiently allocate capital for Europe’s competitiveness and</w:t>
      </w:r>
      <w:r>
        <w:t xml:space="preserve"> </w:t>
      </w:r>
      <w:r>
        <w:t xml:space="preserve">sustainable prosperity (vs. general objective 2).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Additional considerations linked to estimations</w:t>
      </w:r>
      <w:r>
        <w:t xml:space="preserve"> </w:t>
      </w:r>
      <w:r>
        <w:t xml:space="preserve">Due to data availability issues the use of estimates will be inevitable and is already part of</w:t>
      </w:r>
      <w:r>
        <w:t xml:space="preserve"> </w:t>
      </w:r>
      <w:r>
        <w:t xml:space="preserve">current market practices given that the investable universe for financial products always extended</w:t>
      </w:r>
      <w:r>
        <w:t xml:space="preserve"> </w:t>
      </w:r>
      <w:r>
        <w:t xml:space="preserve">beyond listed and larger EU companies, including non-EU companies and assets that are not</w:t>
      </w:r>
      <w:r>
        <w:t xml:space="preserve"> </w:t>
      </w:r>
      <w:r>
        <w:t xml:space="preserve">covered by EU reporting rules125.</w:t>
      </w:r>
    </w:p>
    <w:p>
      <w:pPr>
        <w:pStyle w:val="BodyText"/>
      </w:pPr>
      <w:r>
        <w:t xml:space="preserve">The evaluation (Annex 11) identified two shortcomings linked to estimations in the SFDR</w:t>
      </w:r>
      <w:r>
        <w:t xml:space="preserve"> </w:t>
      </w:r>
      <w:r>
        <w:t xml:space="preserve">implementation: (1) the use of estimates is currently unregulated and lacks harmonised guidance;</w:t>
      </w:r>
      <w:r>
        <w:t xml:space="preserve"> </w:t>
      </w:r>
      <w:r>
        <w:t xml:space="preserve">(2) the data required is sometimes not possible to estimate when not disclosed by the company</w:t>
      </w:r>
      <w:r>
        <w:t xml:space="preserve"> </w:t>
      </w:r>
      <w:r>
        <w:t xml:space="preserve">(either due to the nature of the topic/indicator, e.g. board composition, or due to usability issues</w:t>
      </w:r>
      <w:r>
        <w:t xml:space="preserve"> </w:t>
      </w:r>
      <w:r>
        <w:t xml:space="preserve">linked to the specific definition, e.g. emissions to water126. These limitations led to greenwashing</w:t>
      </w:r>
      <w:r>
        <w:t xml:space="preserve"> </w:t>
      </w:r>
      <w:r>
        <w:t xml:space="preserve">concerns and lack of legal clarity for FMPs. In contrast, the proposed criteria and exclusions are</w:t>
      </w:r>
      <w:r>
        <w:t xml:space="preserve"> </w:t>
      </w:r>
      <w:r>
        <w:t xml:space="preserve">based on existing market practices, would acknowledge the continued use of estimates, build on</w:t>
      </w:r>
      <w:r>
        <w:t xml:space="preserve"> </w:t>
      </w:r>
      <w:r>
        <w:t xml:space="preserve">findings from market analysis on which indicators are mostly disclosed by companies and of</w:t>
      </w:r>
      <w:r>
        <w:t xml:space="preserve"> </w:t>
      </w:r>
      <w:r>
        <w:t xml:space="preserve">interest to investors, and rely on common metrics which are possible to estimate in a harmonised</w:t>
      </w:r>
      <w:r>
        <w:t xml:space="preserve"> </w:t>
      </w:r>
      <w:r>
        <w:t xml:space="preserve">way. On the other hand, the evaluation does not strongly identify the lack of regulation of data</w:t>
      </w:r>
      <w:r>
        <w:t xml:space="preserve"> </w:t>
      </w:r>
      <w:r>
        <w:t xml:space="preserve">providers themselves as a major shortcoming, nor one which would cohere with the objectives of</w:t>
      </w:r>
      <w:r>
        <w:t xml:space="preserve"> </w:t>
      </w:r>
      <w:r>
        <w:t xml:space="preserve">the targeted review of the SFDR (including in the context of overall simplification127).</w:t>
      </w:r>
      <w:r>
        <w:br/>
      </w:r>
      <w:r>
        <w:t xml:space="preserve">The level 1 should thus allow the use of estimates and introduce principles and guidance for this</w:t>
      </w:r>
      <w:r>
        <w:t xml:space="preserve"> </w:t>
      </w:r>
      <w:r>
        <w:t xml:space="preserve">purpose, to mitigate greenwashing concerns and provide certainty for FMPs. Examples of such</w:t>
      </w:r>
      <w:r>
        <w:t xml:space="preserve"> </w:t>
      </w:r>
      <w:r>
        <w:t xml:space="preserve">principles and guidance are provided in Annex 8. Once agreed by co-legislators, together with the</w:t>
      </w:r>
      <w:r>
        <w:t xml:space="preserve"> </w:t>
      </w:r>
      <w:r>
        <w:t xml:space="preserve">main elements and requirements linked to the categories and criteria, the ESAs could be tasked to</w:t>
      </w:r>
      <w:r>
        <w:t xml:space="preserve"> </w:t>
      </w:r>
      <w:r>
        <w:t xml:space="preserve">test and confirm what type of sustainability data is feasible to reliably obtain and estimate (see</w:t>
      </w:r>
      <w:r>
        <w:t xml:space="preserve"> </w:t>
      </w:r>
      <w:r>
        <w:t xml:space="preserve">above ‘Elements to be defined at level 1 vs elements to be defined at level 2’)128.</w:t>
      </w:r>
      <w:r>
        <w:br/>
      </w:r>
      <w:r>
        <w:t xml:space="preserve"> Option 3.3: Converting Article 8 and 9 into categories – sustainable, other ESG</w:t>
      </w:r>
      <w:r>
        <w:t xml:space="preserve"> </w:t>
      </w:r>
      <w:r>
        <w:t xml:space="preserve">As an alternative to options 1 and 2, this option would involve a less far-reaching amendment of the</w:t>
      </w:r>
      <w:r>
        <w:t xml:space="preserve"> </w:t>
      </w:r>
      <w:r>
        <w:t xml:space="preserve">SFDR by transforming Article 8 into an ‘other ESG’ category and Article 9 into a ‘sustainable’</w:t>
      </w:r>
      <w:r>
        <w:t xml:space="preserve"> </w:t>
      </w:r>
      <w:r>
        <w:t xml:space="preserve">category. There would therefore be no standalone category for transition finance products. Given</w:t>
      </w:r>
      <w:r>
        <w:t xml:space="preserve"> </w:t>
      </w:r>
      <w:r>
        <w:t xml:space="preserve">the option would seek to make minimal changes, the underlying requirements and concepts would</w:t>
      </w:r>
      <w:r>
        <w:t xml:space="preserve"> </w:t>
      </w:r>
      <w:r>
        <w:t xml:space="preserve">remain largely like the ones of the current Article 8 and 9 (with some possible targeted amendments</w:t>
      </w:r>
      <w:r>
        <w:t xml:space="preserve"> </w:t>
      </w:r>
      <w:r>
        <w:t xml:space="preserve">to improve their clarify and usability).</w:t>
      </w:r>
      <w:r>
        <w:br/>
      </w:r>
      <w:r>
        <w:t xml:space="preserve">This option would largely affirm the current market practice of treating these two Articles as de</w:t>
      </w:r>
      <w:r>
        <w:t xml:space="preserve"> </w:t>
      </w:r>
      <w:r>
        <w:t xml:space="preserve">facto categories, underpinned by current sustainability concepts (e.g. sustainable investment,</w:t>
      </w:r>
    </w:p>
    <w:p>
      <w:pPr>
        <w:pStyle w:val="BodyText"/>
      </w:pPr>
      <w:r>
        <w:t xml:space="preserve">125Between 30% and 50% of the average holdings of EU asset managers consist of entities not subject to CSRD</w:t>
      </w:r>
      <w:r>
        <w:t xml:space="preserve"> </w:t>
      </w:r>
      <w:r>
        <w:t xml:space="preserve">reporting requirements (and therefore do not publish Taxonomy or CSRD sustainability data). As a result, FMPs are</w:t>
      </w:r>
      <w:r>
        <w:t xml:space="preserve"> </w:t>
      </w:r>
      <w:r>
        <w:t xml:space="preserve">already forced to source the missing data either internally or commercially from third-party providers. See ESMA</w:t>
      </w:r>
      <w:r>
        <w:t xml:space="preserve"> </w:t>
      </w:r>
      <w:r>
        <w:t xml:space="preserve">report on Trends, Risks and Vulnerabilities (TRV), 2023</w:t>
      </w:r>
      <w:r>
        <w:t xml:space="preserve"> </w:t>
      </w:r>
      <w:r>
        <w:t xml:space="preserve">126 See box 12, Annex 11</w:t>
      </w:r>
      <w:r>
        <w:t xml:space="preserve"> </w:t>
      </w:r>
      <w:r>
        <w:t xml:space="preserve">127 See Annex 8, section 3</w:t>
      </w:r>
      <w:r>
        <w:t xml:space="preserve"> </w:t>
      </w:r>
      <w:r>
        <w:t xml:space="preserve">128 For example, the PSF report already highlights which sustainability indicators lack publicly available or estimated</w:t>
      </w:r>
      <w:r>
        <w:t xml:space="preserve"> </w:t>
      </w:r>
      <w:r>
        <w:t xml:space="preserve">data, such as biodiversity and water. The ESAs annual report mentioned above also gives a useful state of play of the</w:t>
      </w:r>
      <w:r>
        <w:t xml:space="preserve"> </w:t>
      </w:r>
      <w:r>
        <w:t xml:space="preserve">reporting based on FY 2023. In addition, box 12 of annex 11 shows that ESG data is widely available on topics such as</w:t>
      </w:r>
      <w:r>
        <w:t xml:space="preserve"> </w:t>
      </w:r>
      <w:r>
        <w:t xml:space="preserve">GHG emissions, exposure to fossil fuel sectors and exposure to controversial weapons. An analysis by EFRAG of the</w:t>
      </w:r>
      <w:r>
        <w:t xml:space="preserve"> </w:t>
      </w:r>
      <w:r>
        <w:t xml:space="preserve">first reporting in 2025 under CSRD/ESRS for a sample of 656 companies also confirms that, while topics such as</w:t>
      </w:r>
      <w:r>
        <w:t xml:space="preserve"> </w:t>
      </w:r>
      <w:r>
        <w:t xml:space="preserve">climate change mitigation and social topics such as business conduct and own workforce are considered material and</w:t>
      </w:r>
      <w:r>
        <w:t xml:space="preserve"> </w:t>
      </w:r>
      <w:r>
        <w:t xml:space="preserve">reported on by over 80-90% of companies, topics such as biodiversity and water are considered material and reported</w:t>
      </w:r>
      <w:r>
        <w:t xml:space="preserve"> </w:t>
      </w:r>
      <w:r>
        <w:t xml:space="preserve">on by 30-40% of companies. (EFRAG_State of Play 2025 Report_0.pdf)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DNSH, promotion of environmental and social characteristics etc.). Crucially, there would be no</w:t>
      </w:r>
      <w:r>
        <w:t xml:space="preserve"> </w:t>
      </w:r>
      <w:r>
        <w:t xml:space="preserve">sectoral exclusions like in options 3.1 and 3.2, notably for the ‘other ESG’ category.</w:t>
      </w:r>
      <w:r>
        <w:br/>
      </w:r>
      <w:r>
        <w:t xml:space="preserve">Potential role for the categories: Option 3.3 would create a categorisation system that could play a</w:t>
      </w:r>
      <w:r>
        <w:t xml:space="preserve"> </w:t>
      </w:r>
      <w:r>
        <w:t xml:space="preserve">similar role as the one under option 3.1. The difference would be the absence of recognition for</w:t>
      </w:r>
      <w:r>
        <w:t xml:space="preserve"> </w:t>
      </w:r>
      <w:r>
        <w:t xml:space="preserve">transition finance products and the limited changes in the current unclear underlying requirements.</w:t>
      </w:r>
      <w:r>
        <w:br/>
      </w:r>
      <w:r>
        <w:t xml:space="preserve">5.5.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Non-regulatory measures. Further guidance and other soft tools e.g. Q&amp;As are considered</w:t>
      </w:r>
      <w:r>
        <w:t xml:space="preserve"> </w:t>
      </w:r>
      <w:r>
        <w:t xml:space="preserve">insufficient to effectively address the problems identified in section 2, to comprehensively meet the</w:t>
      </w:r>
      <w:r>
        <w:t xml:space="preserve"> </w:t>
      </w:r>
      <w:r>
        <w:t xml:space="preserve">objectives specified in section 4.2 and to respond to stakeholder feedback calling for the creation of</w:t>
      </w:r>
      <w:r>
        <w:t xml:space="preserve"> </w:t>
      </w:r>
      <w:r>
        <w:t xml:space="preserve">clear product categories. Rather, the risks noted in sections 3.1 and 5.1 with the baseline scenario</w:t>
      </w:r>
      <w:r>
        <w:t xml:space="preserve"> </w:t>
      </w:r>
      <w:r>
        <w:t xml:space="preserve">would likely increase (emergence of new national measures to tackle the problems, further</w:t>
      </w:r>
      <w:r>
        <w:t xml:space="preserve"> </w:t>
      </w:r>
      <w:r>
        <w:t xml:space="preserve">fragmentation etc). In this context, effectively prolonging the status quo yet attempting to introduce</w:t>
      </w:r>
      <w:r>
        <w:t xml:space="preserve"> </w:t>
      </w:r>
      <w:r>
        <w:t xml:space="preserve">further guidance to address the identified problems, as well as new ones emerging from the</w:t>
      </w:r>
      <w:r>
        <w:t xml:space="preserve"> </w:t>
      </w:r>
      <w:r>
        <w:t xml:space="preserve">implementation of the Omnibus, would add to the extensive Level 3 guidance already in place.</w:t>
      </w:r>
      <w:r>
        <w:t xml:space="preserve"> </w:t>
      </w:r>
      <w:r>
        <w:t xml:space="preserve">Some guidance could be effectively impossible to provide, in case of new inconsistencies or</w:t>
      </w:r>
      <w:r>
        <w:t xml:space="preserve"> </w:t>
      </w:r>
      <w:r>
        <w:t xml:space="preserve">contradictions between the SFDR and revised CSRD/Taxonomy. As mentioned in section 5.1, the</w:t>
      </w:r>
      <w:r>
        <w:t xml:space="preserve"> </w:t>
      </w:r>
      <w:r>
        <w:t xml:space="preserve">ESMA guidelines could help to an extent in governing the use of ESG terms in fund names and</w:t>
      </w:r>
      <w:r>
        <w:t xml:space="preserve"> </w:t>
      </w:r>
      <w:r>
        <w:t xml:space="preserve">providing stability and continuity to markets. However, tensions could emerge between the (simple,</w:t>
      </w:r>
      <w:r>
        <w:t xml:space="preserve"> </w:t>
      </w:r>
      <w:r>
        <w:t xml:space="preserve">but non-binding and non-comprehensive) guidelines and further additional complexities in</w:t>
      </w:r>
      <w:r>
        <w:t xml:space="preserve"> </w:t>
      </w:r>
      <w:r>
        <w:t xml:space="preserve">underlying SFDR disclosures, going against better regulation principles of ensuring coherence</w:t>
      </w:r>
      <w:r>
        <w:t xml:space="preserve"> </w:t>
      </w:r>
      <w:r>
        <w:t xml:space="preserve">between different policy instruments129. This could add to further confusion and compromise any</w:t>
      </w:r>
      <w:r>
        <w:t xml:space="preserve"> </w:t>
      </w:r>
      <w:r>
        <w:t xml:space="preserve">anticipated benefits in terms of meeting the objectives in section 4.2 (i.e. simplify and improve the</w:t>
      </w:r>
      <w:r>
        <w:t xml:space="preserve"> </w:t>
      </w:r>
      <w:r>
        <w:t xml:space="preserve">coherence of the framework for financial market participants as well as improve end-investors’</w:t>
      </w:r>
      <w:r>
        <w:t xml:space="preserve"> </w:t>
      </w:r>
      <w:r>
        <w:t xml:space="preserve">ability to understand and compare ESG products). It could also generate disengagement among</w:t>
      </w:r>
      <w:r>
        <w:t xml:space="preserve"> </w:t>
      </w:r>
      <w:r>
        <w:t xml:space="preserve">some FMPs, who could potentially withdraw from offering sustainability-linked products.</w:t>
      </w:r>
      <w:r>
        <w:br/>
      </w:r>
      <w:r>
        <w:t xml:space="preserve">No category. Proposing that ESG financial products should not be categorised at all could be seen</w:t>
      </w:r>
      <w:r>
        <w:t xml:space="preserve"> </w:t>
      </w:r>
      <w:r>
        <w:t xml:space="preserve">as a simplification on paper, and in some ways a coherent step following the Omnibus. An</w:t>
      </w:r>
      <w:r>
        <w:t xml:space="preserve"> </w:t>
      </w:r>
      <w:r>
        <w:t xml:space="preserve">argument could be made that less ESG data from investees means less scope for creating a</w:t>
      </w:r>
      <w:r>
        <w:t xml:space="preserve"> </w:t>
      </w:r>
      <w:r>
        <w:t xml:space="preserve">meaningful product categorisation under SFDR. However, this conflates the objectives of the</w:t>
      </w:r>
      <w:r>
        <w:t xml:space="preserve"> </w:t>
      </w:r>
      <w:r>
        <w:t xml:space="preserve">Omnibus on the one hand (simplifying excessive sustainability reporting requirements for</w:t>
      </w:r>
      <w:r>
        <w:t xml:space="preserve"> </w:t>
      </w:r>
      <w:r>
        <w:t xml:space="preserve">corporates) and the SFDR on the other (meeting investors’ demand for ESG information regarding</w:t>
      </w:r>
      <w:r>
        <w:t xml:space="preserve"> </w:t>
      </w:r>
      <w:r>
        <w:t xml:space="preserve">financial products), effectively denying the validity of the latter in a post-Omnibus scenario. As</w:t>
      </w:r>
      <w:r>
        <w:t xml:space="preserve"> </w:t>
      </w:r>
      <w:r>
        <w:t xml:space="preserve">explained previously, ESG data for financial products was never only to be derived from (pre-</w:t>
      </w:r>
      <w:r>
        <w:t xml:space="preserve"> </w:t>
      </w:r>
      <w:r>
        <w:t xml:space="preserve">Omnibus) European corporate disclosures. Moreover, the demand among EU investors for ESG</w:t>
      </w:r>
      <w:r>
        <w:t xml:space="preserve"> </w:t>
      </w:r>
      <w:r>
        <w:t xml:space="preserve">information regarding financial products remains strong130. Thus, creating categories is arguably a</w:t>
      </w:r>
      <w:r>
        <w:t xml:space="preserve"> </w:t>
      </w:r>
      <w:r>
        <w:t xml:space="preserve">necessary and coherent step following the Omnibus, to convey a high-level message of products’</w:t>
      </w:r>
      <w:r>
        <w:t xml:space="preserve"> </w:t>
      </w:r>
      <w:r>
        <w:t xml:space="preserve">key features according to a simpler set of key measurable parameters, to compensate for a decrease</w:t>
      </w:r>
      <w:r>
        <w:t xml:space="preserve"> </w:t>
      </w:r>
      <w:r>
        <w:t xml:space="preserve">in detailed constituent ESG data from investees. Providing for no category would also represent a</w:t>
      </w:r>
      <w:r>
        <w:t xml:space="preserve"> </w:t>
      </w:r>
      <w:r>
        <w:t xml:space="preserve">departure from (i) the revealed preference of markets today (in the treatment of Articles 8 and 9 as</w:t>
      </w:r>
      <w:r>
        <w:t xml:space="preserve"> </w:t>
      </w:r>
      <w:r>
        <w:t xml:space="preserve">de facto categories) to distinguish between ESG products, (ii) the preferences expressed by a wide</w:t>
      </w:r>
      <w:r>
        <w:t xml:space="preserve"> </w:t>
      </w:r>
      <w:r>
        <w:t xml:space="preserve">range of stakeholders in the consultation to introduce a proper, clear(er) categorisation131, and (iii)</w:t>
      </w:r>
      <w:r>
        <w:t xml:space="preserve"> </w:t>
      </w:r>
      <w:r>
        <w:t xml:space="preserve">the changes which markets have adopted in applying the ESMA fund name guidelines. It would</w:t>
      </w:r>
      <w:r>
        <w:t xml:space="preserve"> </w:t>
      </w:r>
      <w:r>
        <w:t xml:space="preserve">effectively amount to removing any distinction between ESG products (implying amendments to</w:t>
      </w:r>
      <w:r>
        <w:t xml:space="preserve"> </w:t>
      </w:r>
      <w:r>
        <w:t xml:space="preserve">Articles 8 and 9), constitute a major change, and would thus be contrary to the aim of not forcing</w:t>
      </w:r>
    </w:p>
    <w:p>
      <w:pPr>
        <w:pStyle w:val="BodyText"/>
      </w:pPr>
      <w:r>
        <w:t xml:space="preserve">129 E.g. tool #17 Choice of policy instruments</w:t>
      </w:r>
      <w:r>
        <w:t xml:space="preserve"> </w:t>
      </w:r>
      <w:r>
        <w:t xml:space="preserve">130 See Annex 10</w:t>
      </w:r>
      <w:r>
        <w:t xml:space="preserve"> </w:t>
      </w:r>
      <w:r>
        <w:t xml:space="preserve">131 See Annex 2, Section 3, sub-section 3 ‘Categorisation for financial products’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undue changes on markets which have adapted to the current rules132. It could also necessitate yet</w:t>
      </w:r>
      <w:r>
        <w:t xml:space="preserve"> </w:t>
      </w:r>
      <w:r>
        <w:t xml:space="preserve">more extensive ESG disclosures to distinguish between products and to compensate for the lack of</w:t>
      </w:r>
      <w:r>
        <w:t xml:space="preserve"> </w:t>
      </w:r>
      <w:r>
        <w:t xml:space="preserve">a high-level clustering of products according to their key objectives and features. The option is thus</w:t>
      </w:r>
      <w:r>
        <w:t xml:space="preserve"> </w:t>
      </w:r>
      <w:r>
        <w:t xml:space="preserve">dismissed from the outset as an effective, efficient and coherent way of meeting the objectives in</w:t>
      </w:r>
      <w:r>
        <w:t xml:space="preserve"> </w:t>
      </w:r>
      <w:r>
        <w:t xml:space="preserve">section 4.2 (i.e. simplify and improve the coherence of the framework for financial market</w:t>
      </w:r>
      <w:r>
        <w:t xml:space="preserve"> </w:t>
      </w:r>
      <w:r>
        <w:t xml:space="preserve">participants as well as improve end-investors’ ability to understand and compare ESG products).</w:t>
      </w:r>
      <w:r>
        <w:t xml:space="preserve"> </w:t>
      </w:r>
      <w:r>
        <w:t xml:space="preserve">One category. Alternatively, creating a single category for all products making ESG claims would</w:t>
      </w:r>
      <w:r>
        <w:t xml:space="preserve"> </w:t>
      </w:r>
      <w:r>
        <w:t xml:space="preserve">also represent a further complication and reordering of the market for FMPs and less clarity for</w:t>
      </w:r>
      <w:r>
        <w:t xml:space="preserve"> </w:t>
      </w:r>
      <w:r>
        <w:t xml:space="preserve">investors. To accommodate all potential products, it would run the risk of having to rely on new</w:t>
      </w:r>
      <w:r>
        <w:t xml:space="preserve"> </w:t>
      </w:r>
      <w:r>
        <w:t xml:space="preserve">(broad) concepts, with potentially heavily watered-down criteria and safeguards. As above, the</w:t>
      </w:r>
      <w:r>
        <w:t xml:space="preserve"> </w:t>
      </w:r>
      <w:r>
        <w:t xml:space="preserve">changes from the Omnibus do not in themselves annul investors’ continued interest in receiving</w:t>
      </w:r>
      <w:r>
        <w:t xml:space="preserve"> </w:t>
      </w:r>
      <w:r>
        <w:t xml:space="preserve">more comparable information on the different ESG features of products. Product disclosures could</w:t>
      </w:r>
      <w:r>
        <w:t xml:space="preserve"> </w:t>
      </w:r>
      <w:r>
        <w:t xml:space="preserve">also potentially need to increase to cater for this. Legal certainty would be unlikely to improve, with</w:t>
      </w:r>
      <w:r>
        <w:t xml:space="preserve"> </w:t>
      </w:r>
      <w:r>
        <w:t xml:space="preserve">continued need for further guidance, going against the aim of simplifying and improving the</w:t>
      </w:r>
      <w:r>
        <w:t xml:space="preserve"> </w:t>
      </w:r>
      <w:r>
        <w:t xml:space="preserve">coherence of the framework for financial market participants. Transparency for investors and the</w:t>
      </w:r>
      <w:r>
        <w:t xml:space="preserve"> </w:t>
      </w:r>
      <w:r>
        <w:t xml:space="preserve">quality of products on offer would likely suffer, impairing end-investors’ ability to understand and</w:t>
      </w:r>
      <w:r>
        <w:t xml:space="preserve"> </w:t>
      </w:r>
      <w:r>
        <w:t xml:space="preserve">compare ESG products.</w:t>
      </w:r>
      <w:r>
        <w:t xml:space="preserve"> </w:t>
      </w:r>
      <w:r>
        <w:t xml:space="preserve">More than three categories. Finally, going beyond three categories could also entail an unduly</w:t>
      </w:r>
      <w:r>
        <w:t xml:space="preserve"> </w:t>
      </w:r>
      <w:r>
        <w:t xml:space="preserve">significant – and unnecessary – reorganisation of the market for FMPs, of questionable added-value</w:t>
      </w:r>
      <w:r>
        <w:t xml:space="preserve"> </w:t>
      </w:r>
      <w:r>
        <w:t xml:space="preserve">for investors. As the number of categories increases, the criteria needed to distinguish between</w:t>
      </w:r>
      <w:r>
        <w:t xml:space="preserve"> </w:t>
      </w:r>
      <w:r>
        <w:t xml:space="preserve">them could become excessively intricate, adding further complexity in a way that would be</w:t>
      </w:r>
      <w:r>
        <w:t xml:space="preserve"> </w:t>
      </w:r>
      <w:r>
        <w:t xml:space="preserve">incongruent with the Omnibus and the added data challenges it brings. There could be a risk that</w:t>
      </w:r>
      <w:r>
        <w:t xml:space="preserve"> </w:t>
      </w:r>
      <w:r>
        <w:t xml:space="preserve">only a few products would ever populate a given category. The Platform proposals confirm the</w:t>
      </w:r>
      <w:r>
        <w:t xml:space="preserve"> </w:t>
      </w:r>
      <w:r>
        <w:t xml:space="preserve">broad stakeholder feedback in favour of a more limited number of categories and find that this</w:t>
      </w:r>
      <w:r>
        <w:t xml:space="preserve"> </w:t>
      </w:r>
      <w:r>
        <w:t xml:space="preserve">would achieve a balance in terms of capturing different products within simple, high-level</w:t>
      </w:r>
      <w:r>
        <w:t xml:space="preserve"> </w:t>
      </w:r>
      <w:r>
        <w:t xml:space="preserve">categories, while allowing for product innovation and diversity targeting different investment</w:t>
      </w:r>
      <w:r>
        <w:t xml:space="preserve"> </w:t>
      </w:r>
      <w:r>
        <w:t xml:space="preserve">strategies and asset classes, as well as ensuring sufficient investor protection133. The additional</w:t>
      </w:r>
      <w:r>
        <w:t xml:space="preserve"> </w:t>
      </w:r>
      <w:r>
        <w:t xml:space="preserve">intricacies and drawbacks associated with going beyond three categories are thus considered</w:t>
      </w:r>
      <w:r>
        <w:t xml:space="preserve"> </w:t>
      </w:r>
      <w:r>
        <w:t xml:space="preserve">suboptimal in meeting the objectives of simplification and usability for end-investors.</w:t>
      </w:r>
      <w:r>
        <w:br/>
      </w:r>
      <w:r>
        <w:t xml:space="preserve">6. WHAT ARE THE IMPACTS OF THE POLICY OPTIONS AND HOW DO THEY</w:t>
      </w:r>
      <w:r>
        <w:t xml:space="preserve"> </w:t>
      </w:r>
      <w:r>
        <w:t xml:space="preserve">COMPARE?</w:t>
      </w:r>
      <w:r>
        <w:t xml:space="preserve"> </w:t>
      </w:r>
      <w:r>
        <w:t xml:space="preserve">6.1.</w:t>
      </w:r>
      <w:r>
        <w:t xml:space="preserve"> </w:t>
      </w:r>
      <w:r>
        <w:t xml:space="preserve">Option 0: Repeal of the SFDR134</w:t>
      </w:r>
      <w:r>
        <w:t xml:space="preserve"> </w:t>
      </w:r>
      <w:r>
        <w:t xml:space="preserve"> Expected benefits and potential drawbacks for data preparers (FMPs)</w:t>
      </w:r>
      <w:r>
        <w:br/>
      </w:r>
      <w:r>
        <w:t xml:space="preserve">This option would effectively remove the implementation costs associated with the SFDR by</w:t>
      </w:r>
      <w:r>
        <w:t xml:space="preserve"> </w:t>
      </w:r>
      <w:r>
        <w:t xml:space="preserve">deleting all entity-level and product-level disclosures. FMPs would be free to choose what ESG-</w:t>
      </w:r>
    </w:p>
    <w:p>
      <w:pPr>
        <w:pStyle w:val="BodyText"/>
      </w:pPr>
      <w:r>
        <w:t xml:space="preserve">132 See above under ‘Specific considerations for the formulation of policy options arising from the Omnibus proposal,</w:t>
      </w:r>
      <w:r>
        <w:t xml:space="preserve"> </w:t>
      </w:r>
      <w:r>
        <w:t xml:space="preserve">and the ESMA fund name guidelines and the principle of proportionality’</w:t>
      </w:r>
      <w:r>
        <w:t xml:space="preserve"> </w:t>
      </w:r>
      <w:r>
        <w:t xml:space="preserve">133 Categorisation of products under SFDR - Report, Annexes B and H. This is anecdotally also confirmed by the</w:t>
      </w:r>
      <w:r>
        <w:t xml:space="preserve"> </w:t>
      </w:r>
      <w:r>
        <w:t xml:space="preserve">experience of the UK in testing their voluntary labelling system for funds (see Annex 6 section C), where investors</w:t>
      </w:r>
      <w:r>
        <w:t xml:space="preserve"> </w:t>
      </w:r>
      <w:r>
        <w:t xml:space="preserve">were found to prefer a limited number of clear and discrete labels that convey the main sustainability outcomes of a</w:t>
      </w:r>
      <w:r>
        <w:t xml:space="preserve"> </w:t>
      </w:r>
      <w:r>
        <w:t xml:space="preserve">fund rather than more extensive categorisations based e.g. on complex gradations or ratings based on numerical</w:t>
      </w:r>
      <w:r>
        <w:t xml:space="preserve"> </w:t>
      </w:r>
      <w:r>
        <w:t xml:space="preserve">systems, or reliance on unintuitive concepts.</w:t>
      </w:r>
      <w:r>
        <w:t xml:space="preserve"> </w:t>
      </w:r>
      <w:r>
        <w:t xml:space="preserve">134 This option is recapped in the comparative tables below under sections 6.2.1 and 6.2.2 against the options to adjust</w:t>
      </w:r>
      <w:r>
        <w:t xml:space="preserve"> </w:t>
      </w:r>
      <w:r>
        <w:t xml:space="preserve">entity and product level disclosures in the current framework, which is what would be repealed by this option. It is not</w:t>
      </w:r>
      <w:r>
        <w:t xml:space="preserve"> </w:t>
      </w:r>
      <w:r>
        <w:t xml:space="preserve">repeated in the comparative table in section 6.3 against the options for product categories, which are not part of the</w:t>
      </w:r>
      <w:r>
        <w:t xml:space="preserve"> </w:t>
      </w:r>
      <w:r>
        <w:t xml:space="preserve">current framework, and a comparison against which would therefore be less meaningful and informative.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related disclosures, if any, to make to investors and the wider market. There would be no</w:t>
      </w:r>
      <w:r>
        <w:t xml:space="preserve"> </w:t>
      </w:r>
      <w:r>
        <w:t xml:space="preserve">mandatory sustainability-linked product disclosures (those for in-scope companies, including</w:t>
      </w:r>
      <w:r>
        <w:t xml:space="preserve"> </w:t>
      </w:r>
      <w:r>
        <w:t xml:space="preserve">financial entities, would continue under the post-omnibus CSRD) and the field would become</w:t>
      </w:r>
      <w:r>
        <w:t xml:space="preserve"> </w:t>
      </w:r>
      <w:r>
        <w:t xml:space="preserve">unregulated, apart from the use of names as per the ESMA fund name guidelines which only cover</w:t>
      </w:r>
      <w:r>
        <w:t xml:space="preserve"> </w:t>
      </w:r>
      <w:r>
        <w:t xml:space="preserve">a limited number of products135 (unless these were repealed by ESMA as well – see below under</w:t>
      </w:r>
      <w:r>
        <w:t xml:space="preserve"> </w:t>
      </w:r>
      <w:r>
        <w:t xml:space="preserve">‘coherence’) and other horizontal rules governing environmental claims136.</w:t>
      </w:r>
      <w:r>
        <w:t xml:space="preserve"> </w:t>
      </w:r>
      <w:r>
        <w:t xml:space="preserve">The main drawback would be that the investments made, and client-bases established, under the</w:t>
      </w:r>
      <w:r>
        <w:t xml:space="preserve"> </w:t>
      </w:r>
      <w:r>
        <w:t xml:space="preserve">SFDR would be cast into doubt. FMPs would no longer have a common regulatory framework for</w:t>
      </w:r>
      <w:r>
        <w:t xml:space="preserve"> </w:t>
      </w:r>
      <w:r>
        <w:t xml:space="preserve">sustainability-linked claims involving financial products. FMPs that have built a competitive</w:t>
      </w:r>
      <w:r>
        <w:t xml:space="preserve"> </w:t>
      </w:r>
      <w:r>
        <w:t xml:space="preserve">position out of ESG-investing and the implementation of the SFDR would face a degree of</w:t>
      </w:r>
      <w:r>
        <w:t xml:space="preserve"> </w:t>
      </w:r>
      <w:r>
        <w:t xml:space="preserve">commercial uncertainty.</w:t>
      </w:r>
      <w:r>
        <w:br/>
      </w:r>
      <w:r>
        <w:t xml:space="preserve"> Expected benefits and potential drawbacks for data users (mainly investors and</w:t>
      </w:r>
      <w:r>
        <w:t xml:space="preserve"> </w:t>
      </w:r>
      <w:r>
        <w:t xml:space="preserve">supervisors)</w:t>
      </w:r>
      <w:r>
        <w:br/>
      </w:r>
      <w:r>
        <w:t xml:space="preserve">Repealing the SFDR would remove the existing ESG transparency for financial products required</w:t>
      </w:r>
      <w:r>
        <w:t xml:space="preserve"> </w:t>
      </w:r>
      <w:r>
        <w:t xml:space="preserve">under SFDR and would leave markets to design the scope and details of ESG-information involving</w:t>
      </w:r>
      <w:r>
        <w:t xml:space="preserve"> </w:t>
      </w:r>
      <w:r>
        <w:t xml:space="preserve">financial products. Some market-based solutions could potentially constitute viable alternatives to</w:t>
      </w:r>
      <w:r>
        <w:t xml:space="preserve"> </w:t>
      </w:r>
      <w:r>
        <w:t xml:space="preserve">corresponding SFDR provisions, but without certainty that these would happen. Repealing would</w:t>
      </w:r>
      <w:r>
        <w:t xml:space="preserve"> </w:t>
      </w:r>
      <w:r>
        <w:t xml:space="preserve">also go against the current demand for ESG information, as described in section 5.3.2 and</w:t>
      </w:r>
      <w:r>
        <w:t xml:space="preserve"> </w:t>
      </w:r>
      <w:r>
        <w:t xml:space="preserve">elaborated in Annex 10.</w:t>
      </w:r>
      <w:r>
        <w:br/>
      </w:r>
      <w:r>
        <w:t xml:space="preserve">The drawback would be that it would create a regulatory void in terms of the availability of</w:t>
      </w:r>
      <w:r>
        <w:t xml:space="preserve"> </w:t>
      </w:r>
      <w:r>
        <w:t xml:space="preserve">structured ESG information regarding financial products. Distributors and investors would no</w:t>
      </w:r>
      <w:r>
        <w:t xml:space="preserve"> </w:t>
      </w:r>
      <w:r>
        <w:t xml:space="preserve">longer have a common regulatory framework for this purpose. If only the ESMA guidelines</w:t>
      </w:r>
      <w:r>
        <w:t xml:space="preserve"> </w:t>
      </w:r>
      <w:r>
        <w:t xml:space="preserve">remained, there would be a significant unlevel playing field across financial products given the</w:t>
      </w:r>
      <w:r>
        <w:t xml:space="preserve"> </w:t>
      </w:r>
      <w:r>
        <w:t xml:space="preserve">limited, and non-binding scope, of such guidelines, to the detriment of investor protection. Product</w:t>
      </w:r>
      <w:r>
        <w:t xml:space="preserve"> </w:t>
      </w:r>
      <w:r>
        <w:t xml:space="preserve">comparability beyond the name would deteriorate and search costs involving more in-depth features</w:t>
      </w:r>
      <w:r>
        <w:t xml:space="preserve"> </w:t>
      </w:r>
      <w:r>
        <w:t xml:space="preserve">of financial products for investors with sustainability preferences would increase. Apart from the</w:t>
      </w:r>
      <w:r>
        <w:t xml:space="preserve"> </w:t>
      </w:r>
      <w:r>
        <w:t xml:space="preserve">name, these investors would need to make sense of other ESG claims made by products themselves.</w:t>
      </w:r>
      <w:r>
        <w:t xml:space="preserve"> </w:t>
      </w:r>
      <w:r>
        <w:t xml:space="preserve">These claims, such as claims in marketing documentations, would be unregulated, raising risks of</w:t>
      </w:r>
      <w:r>
        <w:t xml:space="preserve"> </w:t>
      </w:r>
      <w:r>
        <w:t xml:space="preserve">greenwashing. The Directive on unfair commercial practices, including the recent amendments and</w:t>
      </w:r>
      <w:r>
        <w:t xml:space="preserve"> </w:t>
      </w:r>
      <w:r>
        <w:t xml:space="preserve">Commission guidance137, would remain applicable horizontally to all business-to-consumers</w:t>
      </w:r>
      <w:r>
        <w:t xml:space="preserve"> </w:t>
      </w:r>
      <w:r>
        <w:t xml:space="preserve">transactions, but repealing the SFDR would not be coherent with its recognition that financial</w:t>
      </w:r>
      <w:r>
        <w:t xml:space="preserve"> </w:t>
      </w:r>
      <w:r>
        <w:t xml:space="preserve">services warrant specific regulation (Article 3.9; 3.4), given higher levels of information asymmetry</w:t>
      </w:r>
      <w:r>
        <w:t xml:space="preserve"> </w:t>
      </w:r>
      <w:r>
        <w:t xml:space="preserve">between financial market participants and investors138. FMPs could choose different ways of</w:t>
      </w:r>
    </w:p>
    <w:p>
      <w:pPr>
        <w:pStyle w:val="BodyText"/>
      </w:pPr>
      <w:r>
        <w:t xml:space="preserve">135 The obligations in the ESMA fund name guidelines are relevant to all fund documentation and marketing</w:t>
      </w:r>
      <w:r>
        <w:t xml:space="preserve"> </w:t>
      </w:r>
      <w:r>
        <w:t xml:space="preserve">communications addressed to investors or potential investors for UCITS and AIFs, including when they are set up as</w:t>
      </w:r>
      <w:r>
        <w:t xml:space="preserve"> </w:t>
      </w:r>
      <w:r>
        <w:t xml:space="preserve">EuVECAs, EuSEFs, ELTIFs and MMF.</w:t>
      </w:r>
      <w:r>
        <w:t xml:space="preserve"> </w:t>
      </w:r>
      <w:r>
        <w:t xml:space="preserve">136 Namely, changes introduced by Directive (EU) 2024/825 amending Directives 2005/29/EC and 2011/83/EU as</w:t>
      </w:r>
      <w:r>
        <w:t xml:space="preserve"> </w:t>
      </w:r>
      <w:r>
        <w:t xml:space="preserve">regards empowering consumers for the green transition through better protection against unfair practices and through</w:t>
      </w:r>
      <w:r>
        <w:t xml:space="preserve"> </w:t>
      </w:r>
      <w:r>
        <w:t xml:space="preserve">better information (see also Annex 6, section 3).</w:t>
      </w:r>
      <w:r>
        <w:br/>
      </w:r>
      <w:r>
        <w:t xml:space="preserve">137 Commission Notice – Guidance on the interpretation and application of Directive 2005/29/EC of the European</w:t>
      </w:r>
      <w:r>
        <w:t xml:space="preserve"> </w:t>
      </w:r>
      <w:r>
        <w:t xml:space="preserve">Parliament and of the Council concerning unfair business-to-consumer commercial practices in the internal market</w:t>
      </w:r>
      <w:r>
        <w:t xml:space="preserve"> </w:t>
      </w:r>
      <w:r>
        <w:t xml:space="preserve">138 Negotiations on the proposed Green Claims Directive, still underway in Q4 2025, would likewise defer to EU</w:t>
      </w:r>
      <w:r>
        <w:t xml:space="preserve"> </w:t>
      </w:r>
      <w:r>
        <w:t xml:space="preserve">financial services rules including in the areas governed by the SFDR and not apply additional requirements to</w:t>
      </w:r>
      <w:r>
        <w:t xml:space="preserve"> </w:t>
      </w:r>
      <w:r>
        <w:t xml:space="preserve">mandatory or voluntary sustainability information required thereunder.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showcasing their ESG claims as there would be no common framework requiring FMPs to provide</w:t>
      </w:r>
      <w:r>
        <w:t xml:space="preserve"> </w:t>
      </w:r>
      <w:r>
        <w:t xml:space="preserve">any information, and in a structured manner (i.e. against common criteria)139.</w:t>
      </w:r>
      <w:r>
        <w:br/>
      </w:r>
      <w:r>
        <w:t xml:space="preserve">Overall assessment: effectiveness, efficiency and coherence</w:t>
      </w:r>
      <w:r>
        <w:br/>
      </w:r>
      <w:r>
        <w:t xml:space="preserve">Effectiveness in addressing the specific problems</w:t>
      </w:r>
      <w:r>
        <w:br/>
      </w:r>
      <w:r>
        <w:t xml:space="preserve">This option partly addresses the difficulties faced by FMPs in coping with the lengthy requirements</w:t>
      </w:r>
      <w:r>
        <w:t xml:space="preserve"> </w:t>
      </w:r>
      <w:r>
        <w:t xml:space="preserve">and the costs associated with the lack of publicly available ESG data (problem drivers 1 and 3). It</w:t>
      </w:r>
      <w:r>
        <w:t xml:space="preserve"> </w:t>
      </w:r>
      <w:r>
        <w:t xml:space="preserve">would primarily serve the specific objective of simplifying and reducing administrative burdens.</w:t>
      </w:r>
      <w:r>
        <w:t xml:space="preserve"> </w:t>
      </w:r>
      <w:r>
        <w:t xml:space="preserve">However, the effects would be negative regarding the objectives of ensuring overall coherence with</w:t>
      </w:r>
      <w:r>
        <w:t xml:space="preserve"> </w:t>
      </w:r>
      <w:r>
        <w:t xml:space="preserve">the rest of the sustainable finance framework (see below) and improving end-investors’ ability to</w:t>
      </w:r>
      <w:r>
        <w:t xml:space="preserve"> </w:t>
      </w:r>
      <w:r>
        <w:t xml:space="preserve">understand and compare ESG products. Horizontally applicable consumer protection rules</w:t>
      </w:r>
      <w:r>
        <w:t xml:space="preserve"> </w:t>
      </w:r>
      <w:r>
        <w:t xml:space="preserve">traditionally rely on specific provisions in financial services to ensure investor protection and</w:t>
      </w:r>
      <w:r>
        <w:t xml:space="preserve"> </w:t>
      </w:r>
      <w:r>
        <w:t xml:space="preserve">would be highly unlikely to function effectively to serve this purpose.</w:t>
      </w:r>
      <w:r>
        <w:br/>
      </w:r>
      <w:r>
        <w:t xml:space="preserve">Efficiency (costs)</w:t>
      </w:r>
      <w:r>
        <w:t xml:space="preserve"> </w:t>
      </w:r>
      <w:r>
        <w:t xml:space="preserve">This option would cancel out the costs associated with the SFDR compared to the baseline scenario,</w:t>
      </w:r>
      <w:r>
        <w:t xml:space="preserve"> </w:t>
      </w:r>
      <w:r>
        <w:t xml:space="preserve">estimated to represent an annual total of EUR 246 million in recurring costs (see Annex 3, section</w:t>
      </w:r>
      <w:r>
        <w:t xml:space="preserve"> </w:t>
      </w:r>
      <w:r>
        <w:t xml:space="preserve">3.10), but investments in commercial opportunities pursued through SFDR compliance would be</w:t>
      </w:r>
      <w:r>
        <w:t xml:space="preserve"> </w:t>
      </w:r>
      <w:r>
        <w:t xml:space="preserve">subject to new uncertainty.</w:t>
      </w:r>
      <w:r>
        <w:br/>
      </w:r>
      <w:r>
        <w:t xml:space="preserve">Coherence</w:t>
      </w:r>
      <w:r>
        <w:t xml:space="preserve"> </w:t>
      </w:r>
      <w:r>
        <w:t xml:space="preserve">A repeal would mean that the field for sustainability-linked disclosures by FMPs would become</w:t>
      </w:r>
      <w:r>
        <w:t xml:space="preserve"> </w:t>
      </w:r>
      <w:r>
        <w:t xml:space="preserve">unregulated, apart from the use of names as per the ESMA fund name guidelines. These have</w:t>
      </w:r>
      <w:r>
        <w:t xml:space="preserve"> </w:t>
      </w:r>
      <w:r>
        <w:t xml:space="preserve">become, after some initial pushback140, a broadly accepted and useful source of clarity for FMPs</w:t>
      </w:r>
      <w:r>
        <w:t xml:space="preserve"> </w:t>
      </w:r>
      <w:r>
        <w:t xml:space="preserve">and investors. Indeed, the options further below build on key elements of the guidelines to help</w:t>
      </w:r>
      <w:r>
        <w:t xml:space="preserve"> </w:t>
      </w:r>
      <w:r>
        <w:t xml:space="preserve">achieve some of the objectives above. However, in a scenario in which the SFDR were repealed,</w:t>
      </w:r>
      <w:r>
        <w:t xml:space="preserve"> </w:t>
      </w:r>
      <w:r>
        <w:t xml:space="preserve">there would be some drawbacks in relying on the guidelines alone (in conjunction with horizontal</w:t>
      </w:r>
      <w:r>
        <w:t xml:space="preserve"> </w:t>
      </w:r>
      <w:r>
        <w:t xml:space="preserve">consumer protection rules) to govern, and sustain, the EU single market for sustainability-linked</w:t>
      </w:r>
      <w:r>
        <w:t xml:space="preserve"> </w:t>
      </w:r>
      <w:r>
        <w:t xml:space="preserve">financial products. For one, the guidelines do not apply to all products under the scope of the</w:t>
      </w:r>
      <w:r>
        <w:t xml:space="preserve"> </w:t>
      </w:r>
      <w:r>
        <w:t xml:space="preserve">SFDR, namely pensions and insurance products, for which FMPs signal a continued preference to</w:t>
      </w:r>
      <w:r>
        <w:t xml:space="preserve"> </w:t>
      </w:r>
      <w:r>
        <w:t xml:space="preserve">be covered under common EU rules. Second, they do not constitute strict legal requirements141, and</w:t>
      </w:r>
      <w:r>
        <w:t xml:space="preserve"> </w:t>
      </w:r>
      <w:r>
        <w:t xml:space="preserve">inform only the use of ESG terms in fund names, not touching upon other disclosures made to</w:t>
      </w:r>
      <w:r>
        <w:t xml:space="preserve"> </w:t>
      </w:r>
      <w:r>
        <w:t xml:space="preserve">investors under the SFDR.</w:t>
      </w:r>
      <w:r>
        <w:br/>
      </w:r>
      <w:r>
        <w:t xml:space="preserve">National solutions might emerge to address the resulting information gaps and risks, which could</w:t>
      </w:r>
      <w:r>
        <w:t xml:space="preserve"> </w:t>
      </w:r>
      <w:r>
        <w:t xml:space="preserve">fragment the single market (and thereby revive one of the original problem drivers behind the</w:t>
      </w:r>
      <w:r>
        <w:t xml:space="preserve"> </w:t>
      </w:r>
      <w:r>
        <w:t xml:space="preserve">creation of the SFDR in the first place142) and go against overarching objectives under the Savings</w:t>
      </w:r>
      <w:r>
        <w:t xml:space="preserve"> </w:t>
      </w:r>
      <w:r>
        <w:t xml:space="preserve">and Investments Union. Tensions between potential measures in national law could emerge with the</w:t>
      </w:r>
      <w:r>
        <w:t xml:space="preserve"> </w:t>
      </w:r>
      <w:r>
        <w:t xml:space="preserve">ESMA guidelines, which might even force them to be withdrawn, denying the single market of any</w:t>
      </w:r>
      <w:r>
        <w:t xml:space="preserve"> </w:t>
      </w:r>
      <w:r>
        <w:t xml:space="preserve">common EU rulebook in the area.</w:t>
      </w:r>
    </w:p>
    <w:p>
      <w:pPr>
        <w:pStyle w:val="BodyText"/>
      </w:pPr>
      <w:r>
        <w:t xml:space="preserve">139 Technically, as the ESMA guidelines also hinge on some SFDR concepts and templates for their effect (definition of</w:t>
      </w:r>
      <w:r>
        <w:t xml:space="preserve"> </w:t>
      </w:r>
      <w:r>
        <w:t xml:space="preserve">“sustainable investment”, disclosures of compliance with the guidelines to be done in SFDR level 2 templates), these</w:t>
      </w:r>
      <w:r>
        <w:t xml:space="preserve"> </w:t>
      </w:r>
      <w:r>
        <w:t xml:space="preserve">elements in the guidelines would also be rendered moot/weakened by a repeal.</w:t>
      </w:r>
      <w:r>
        <w:br/>
      </w:r>
      <w:r>
        <w:t xml:space="preserve">140 See Section 3.2 of Annex 11</w:t>
      </w:r>
      <w:r>
        <w:br/>
      </w:r>
      <w:r>
        <w:t xml:space="preserve">141 Financial market participants are required to “make every effort to comply” with the guidelines as per Article 16(3)</w:t>
      </w:r>
      <w:r>
        <w:t xml:space="preserve"> </w:t>
      </w:r>
      <w:r>
        <w:t xml:space="preserve">of Regulation (EU) No 1095/2010 establishing ESMA. One Member State (CZ) has also signalled that they will not</w:t>
      </w:r>
      <w:r>
        <w:t xml:space="preserve"> </w:t>
      </w:r>
      <w:r>
        <w:t xml:space="preserve">apply the guidelines.</w:t>
      </w:r>
      <w:r>
        <w:t xml:space="preserve"> </w:t>
      </w:r>
      <w:r>
        <w:t xml:space="preserve">142 See SWD(2018) 264 final, impact assessment accompanying the original SFDR, e.g. sections 2.2.2; 2.3; 3.1; 3.2; 5.1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Regarding coherence with the Omnibus, as mentioned above under the discarded ‘no category’</w:t>
      </w:r>
      <w:r>
        <w:t xml:space="preserve"> </w:t>
      </w:r>
      <w:r>
        <w:t xml:space="preserve">option, the argument that the Omnibus revokes the need for the SFDR does not stand up. For one,</w:t>
      </w:r>
      <w:r>
        <w:t xml:space="preserve"> </w:t>
      </w:r>
      <w:r>
        <w:t xml:space="preserve">stakeholders are not requesting it143. In fact, the Omnibus invokes the need for a coherent and</w:t>
      </w:r>
      <w:r>
        <w:t xml:space="preserve"> </w:t>
      </w:r>
      <w:r>
        <w:t xml:space="preserve">commensurate revision of the SFDR, both to ensure consistency in the ESG data requirements</w:t>
      </w:r>
      <w:r>
        <w:t xml:space="preserve"> </w:t>
      </w:r>
      <w:r>
        <w:t xml:space="preserve">between the various parts of the overall framework, as well as to allow for better serving the needs</w:t>
      </w:r>
      <w:r>
        <w:t xml:space="preserve"> </w:t>
      </w:r>
      <w:r>
        <w:t xml:space="preserve">of end-investors through shorter and more focused ESG information, something which product</w:t>
      </w:r>
      <w:r>
        <w:t xml:space="preserve"> </w:t>
      </w:r>
      <w:r>
        <w:t xml:space="preserve">categories could better convey (see section 6.3).144</w:t>
      </w:r>
      <w:r>
        <w:br/>
      </w:r>
      <w:r>
        <w:t xml:space="preserve">Finally, without commensurate changes in other linked parts of the sustainable finance framework,</w:t>
      </w:r>
      <w:r>
        <w:t xml:space="preserve"> </w:t>
      </w:r>
      <w:r>
        <w:t xml:space="preserve">a repeal of the SFDR would render some provisions in these other areas meaningless (e.g. links to</w:t>
      </w:r>
      <w:r>
        <w:t xml:space="preserve"> </w:t>
      </w:r>
      <w:r>
        <w:t xml:space="preserve">SFDR-specific terms in sustainability preferences under MiFID/IDD or in the consideration of</w:t>
      </w:r>
      <w:r>
        <w:t xml:space="preserve"> </w:t>
      </w:r>
      <w:r>
        <w:t xml:space="preserve">sustainability risks and factors under UCITS/AIFMD).</w:t>
      </w:r>
      <w:r>
        <w:br/>
      </w:r>
      <w:r>
        <w:t xml:space="preserve">Therefore, a repeal of the SFDR would not be a coherent step in light of the results of the</w:t>
      </w:r>
      <w:r>
        <w:t xml:space="preserve"> </w:t>
      </w:r>
      <w:r>
        <w:t xml:space="preserve">evaluation which shows, at once, continued wide support for its objectives and a clear need to</w:t>
      </w:r>
      <w:r>
        <w:t xml:space="preserve"> </w:t>
      </w:r>
      <w:r>
        <w:t xml:space="preserve">overhaul its technical concepts and requirements, which have led to the problems in Section 2. Nor</w:t>
      </w:r>
      <w:r>
        <w:t xml:space="preserve"> </w:t>
      </w:r>
      <w:r>
        <w:t xml:space="preserve">would it be coherent and consistent with the President’s mission letter to Commissioner</w:t>
      </w:r>
      <w:r>
        <w:t xml:space="preserve"> </w:t>
      </w:r>
      <w:r>
        <w:t xml:space="preserve">Albuquerque calling to explore ways to “scale up sustainable finance, in particular transition</w:t>
      </w:r>
      <w:r>
        <w:t xml:space="preserve"> </w:t>
      </w:r>
      <w:r>
        <w:t xml:space="preserve">finance and climate resilience (…), to promote the development and transparent categorisation of</w:t>
      </w:r>
      <w:r>
        <w:t xml:space="preserve"> </w:t>
      </w:r>
      <w:r>
        <w:t xml:space="preserve">financial products and services with sustainability features (… and) to ensure the EU remains a</w:t>
      </w:r>
      <w:r>
        <w:t xml:space="preserve"> </w:t>
      </w:r>
      <w:r>
        <w:t xml:space="preserve">global leader in sustainable finance”.145</w:t>
      </w:r>
      <w:r>
        <w:t xml:space="preserve"> </w:t>
      </w:r>
      <w:r>
        <w:t xml:space="preserve">6.2.</w:t>
      </w:r>
      <w:r>
        <w:t xml:space="preserve"> </w:t>
      </w:r>
      <w:r>
        <w:t xml:space="preserve">Measures for alleviating burdens and costs of reporting</w:t>
      </w:r>
      <w:r>
        <w:br/>
      </w:r>
      <w:r>
        <w:t xml:space="preserve">6.2.1. Changes to entity-level disclosures</w:t>
      </w:r>
      <w:r>
        <w:br/>
      </w:r>
      <w:r>
        <w:t xml:space="preserve">Option 1.1: significant reduction of principal adverse impact disclosures at entity-level</w:t>
      </w:r>
    </w:p>
    <w:p>
      <w:pPr>
        <w:pStyle w:val="BodyText"/>
      </w:pPr>
      <w:r>
        <w:t xml:space="preserve"> Expected benefits and potential drawbacks for data preparers (FMPs)</w:t>
      </w:r>
    </w:p>
    <w:p>
      <w:pPr>
        <w:pStyle w:val="BodyText"/>
      </w:pPr>
      <w:r>
        <w:t xml:space="preserve">Significantly reducing the entity-level disclosures for FMPs and advisers, as outlined in option 1.1,</w:t>
      </w:r>
      <w:r>
        <w:t xml:space="preserve"> </w:t>
      </w:r>
      <w:r>
        <w:t xml:space="preserve">would lower the costs imposed by the current disclosures. As set out in Article 6(1) of the SFDR</w:t>
      </w:r>
      <w:r>
        <w:t xml:space="preserve"> </w:t>
      </w:r>
      <w:r>
        <w:t xml:space="preserve">Delegated Regulation, all indicators in Table 1 of Annex I, and at least two additional ones, one</w:t>
      </w:r>
      <w:r>
        <w:t xml:space="preserve"> </w:t>
      </w:r>
      <w:r>
        <w:t xml:space="preserve">from table 2 and one from table 3, must be filled out in each PAI statement when an FMP is either</w:t>
      </w:r>
      <w:r>
        <w:t xml:space="preserve"> </w:t>
      </w:r>
      <w:r>
        <w:t xml:space="preserve">required (mandatory) to prepare a PAI statement or if the FMP decides (voluntarily) to prepare a</w:t>
      </w:r>
      <w:r>
        <w:t xml:space="preserve"> </w:t>
      </w:r>
      <w:r>
        <w:t xml:space="preserve">PAI statement. This amounts to 16 indicators. These disclosures were cited by FMPs in the</w:t>
      </w:r>
      <w:r>
        <w:t xml:space="preserve"> </w:t>
      </w:r>
      <w:r>
        <w:t xml:space="preserve">responses to the public consultations as one of the drivers of the costs imposed by the SFDR146,</w:t>
      </w:r>
      <w:r>
        <w:t xml:space="preserve"> </w:t>
      </w:r>
      <w:r>
        <w:t xml:space="preserve">especially for FMPs subject to both the CSRD and the SFDR (i.e. subject to duplicative costs). This</w:t>
      </w:r>
      <w:r>
        <w:t xml:space="preserve"> </w:t>
      </w:r>
      <w:r>
        <w:t xml:space="preserve">could also partially reduce the complexity by removing indicators that are the most complicated to</w:t>
      </w:r>
      <w:r>
        <w:t xml:space="preserve"> </w:t>
      </w:r>
      <w:r>
        <w:t xml:space="preserve">report against, as described in section 5.</w:t>
      </w:r>
    </w:p>
    <w:p>
      <w:pPr>
        <w:pStyle w:val="BodyText"/>
      </w:pPr>
      <w:r>
        <w:t xml:space="preserve">143 See e.g. relevant results of the call for evidence carried out in May 2025, after adoption of the Omnibus in February</w:t>
      </w:r>
      <w:r>
        <w:t xml:space="preserve"> </w:t>
      </w:r>
      <w:r>
        <w:t xml:space="preserve">2025, which confirmed a large degree of support for reviewing the SFDR and creating categories, summarised in</w:t>
      </w:r>
      <w:r>
        <w:t xml:space="preserve"> </w:t>
      </w:r>
      <w:r>
        <w:t xml:space="preserve">Annex 2, section 3.</w:t>
      </w:r>
      <w:r>
        <w:t xml:space="preserve"> </w:t>
      </w:r>
      <w:r>
        <w:t xml:space="preserve">144 See also Annex 6, section 5 on the interaction between the Omnibus and the SFDR and why a revision, not repeal, of</w:t>
      </w:r>
      <w:r>
        <w:t xml:space="preserve"> </w:t>
      </w:r>
      <w:r>
        <w:t xml:space="preserve">the SFDR is a necessary and coherent step after the Omnibus.</w:t>
      </w:r>
      <w:r>
        <w:br/>
      </w:r>
      <w:r>
        <w:t xml:space="preserve">145 ac06a896-2645-4857-9958-467d2ce6f221_en</w:t>
      </w:r>
      <w:r>
        <w:t xml:space="preserve"> </w:t>
      </w:r>
      <w:r>
        <w:t xml:space="preserve">146 Summary Report of the Open and Targeted Consultations on the SFDR assessment, European Commission, May</w:t>
      </w:r>
      <w:r>
        <w:t xml:space="preserve"> </w:t>
      </w:r>
      <w:r>
        <w:t xml:space="preserve">2024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However, this option only partially reduces the costs associated with entity-level disclosures,</w:t>
      </w:r>
      <w:r>
        <w:t xml:space="preserve"> </w:t>
      </w:r>
      <w:r>
        <w:t xml:space="preserve">estimated to constitute around 25% of the overall recurring costs linked to disclosures and to</w:t>
      </w:r>
      <w:r>
        <w:t xml:space="preserve"> </w:t>
      </w:r>
      <w:r>
        <w:t xml:space="preserve">represent an annual total of EUR 56 million in the baseline scenario147 (see Annex 3, section 3.10).</w:t>
      </w:r>
      <w:r>
        <w:br/>
      </w:r>
      <w:r>
        <w:t xml:space="preserve"> Expected benefits and potential drawbacks for data users (mainly investors and supervisors)</w:t>
      </w:r>
    </w:p>
    <w:p>
      <w:pPr>
        <w:pStyle w:val="BodyText"/>
      </w:pPr>
      <w:r>
        <w:t xml:space="preserve">While this option reduces the amount of information available to investors, it would continue to</w:t>
      </w:r>
      <w:r>
        <w:t xml:space="preserve"> </w:t>
      </w:r>
      <w:r>
        <w:t xml:space="preserve">allow for end-investors, civil society and supervisors to receive information to assess the</w:t>
      </w:r>
      <w:r>
        <w:t xml:space="preserve"> </w:t>
      </w:r>
      <w:r>
        <w:t xml:space="preserve">sustainability ambition of an FMPs. Such information would allow data users to discern key</w:t>
      </w:r>
      <w:r>
        <w:t xml:space="preserve"> </w:t>
      </w:r>
      <w:r>
        <w:t xml:space="preserve">sustainability related information on the direction of their overall investment policy (e.g. whether</w:t>
      </w:r>
      <w:r>
        <w:t xml:space="preserve"> </w:t>
      </w:r>
      <w:r>
        <w:t xml:space="preserve">they intend to divest from fossil fuels) to inform their choices. This can allow tracking</w:t>
      </w:r>
      <w:r>
        <w:t xml:space="preserve"> </w:t>
      </w:r>
      <w:r>
        <w:t xml:space="preserve">improvements by FMPs in reducing negative externalities in their investments over time and the</w:t>
      </w:r>
      <w:r>
        <w:t xml:space="preserve"> </w:t>
      </w:r>
      <w:r>
        <w:t xml:space="preserve">alignment of the financial products they offer with their entity-level commitments and claims.</w:t>
      </w:r>
      <w:r>
        <w:br/>
      </w:r>
      <w:r>
        <w:t xml:space="preserve">While reducing the number of disclosures would mean that data users lose some ESG information,</w:t>
      </w:r>
      <w:r>
        <w:t xml:space="preserve"> </w:t>
      </w:r>
      <w:r>
        <w:t xml:space="preserve">it also means that the investor-facing disclosures would focus on KPIs that are comparable and</w:t>
      </w:r>
      <w:r>
        <w:t xml:space="preserve"> </w:t>
      </w:r>
      <w:r>
        <w:t xml:space="preserve">understandable. This could boost investors’ ability to understand and compare the ESG ambitions</w:t>
      </w:r>
      <w:r>
        <w:t xml:space="preserve"> </w:t>
      </w:r>
      <w:r>
        <w:t xml:space="preserve">and policies of FMPs and contribute to fighting greenwashing.</w:t>
      </w:r>
      <w:r>
        <w:br/>
      </w:r>
      <w:r>
        <w:t xml:space="preserve">However, there is little evidence that these disclosures are being used by end-investors. The</w:t>
      </w:r>
      <w:r>
        <w:t xml:space="preserve"> </w:t>
      </w:r>
      <w:r>
        <w:t xml:space="preserve">majority of FMPs148 have questioned the practicality of entity-level PAI disclosures for informed</w:t>
      </w:r>
      <w:r>
        <w:t xml:space="preserve"> </w:t>
      </w:r>
      <w:r>
        <w:t xml:space="preserve">investment decision-making and argued that end-investors focus only on disclosures from specific</w:t>
      </w:r>
      <w:r>
        <w:t xml:space="preserve"> </w:t>
      </w:r>
      <w:r>
        <w:t xml:space="preserve">financial products they might buy. That said, a majority of NGOs expressed support for having</w:t>
      </w:r>
      <w:r>
        <w:t xml:space="preserve"> </w:t>
      </w:r>
      <w:r>
        <w:t xml:space="preserve">such disclosures in the SFDR149 and NCAs’ responses are split150. In addition, some research</w:t>
      </w:r>
      <w:r>
        <w:t xml:space="preserve"> </w:t>
      </w:r>
      <w:r>
        <w:t xml:space="preserve">suggests that entity-level disclosures can have a positive impact on how FMPs manage their</w:t>
      </w:r>
      <w:r>
        <w:t xml:space="preserve"> </w:t>
      </w:r>
      <w:r>
        <w:t xml:space="preserve">decarbonisation efforts151.</w:t>
      </w:r>
      <w:r>
        <w:t xml:space="preserve"> </w:t>
      </w:r>
      <w:r>
        <w:t xml:space="preserve"> Overall assessment: effectiveness, efficiency and coherence</w:t>
      </w:r>
    </w:p>
    <w:p>
      <w:pPr>
        <w:pStyle w:val="BodyText"/>
      </w:pPr>
      <w:r>
        <w:t xml:space="preserve">Effectiveness in addressing the specific problems</w:t>
      </w:r>
      <w:r>
        <w:br/>
      </w:r>
      <w:r>
        <w:t xml:space="preserve">Reducing the entity-level disclosures would partly help address the difficulties faced by data</w:t>
      </w:r>
      <w:r>
        <w:t xml:space="preserve"> </w:t>
      </w:r>
      <w:r>
        <w:t xml:space="preserve">preparers in implementing the complex rules (problem driver 1) and would slightly reduce the cost</w:t>
      </w:r>
      <w:r>
        <w:t xml:space="preserve"> </w:t>
      </w:r>
      <w:r>
        <w:t xml:space="preserve">(although the impact on cost cannot be assessed precisely as it will largely depend on the number of</w:t>
      </w:r>
      <w:r>
        <w:t xml:space="preserve"> </w:t>
      </w:r>
      <w:r>
        <w:t xml:space="preserve">indicators that would be retained).</w:t>
      </w:r>
      <w:r>
        <w:br/>
      </w:r>
      <w:r>
        <w:t xml:space="preserve">However, option 1.1 would only partially fulfil the specific objective of simplifying and reducing</w:t>
      </w:r>
      <w:r>
        <w:t xml:space="preserve"> </w:t>
      </w:r>
      <w:r>
        <w:t xml:space="preserve">administrative burdens as the bulk of the costs and implementation challenges reported by FMPs in</w:t>
      </w:r>
      <w:r>
        <w:t xml:space="preserve"> </w:t>
      </w:r>
      <w:r>
        <w:t xml:space="preserve">implementing the entity-level disclosures is expected to stay the same. While the amount of ESG</w:t>
      </w:r>
      <w:r>
        <w:t xml:space="preserve"> </w:t>
      </w:r>
      <w:r>
        <w:t xml:space="preserve">issues to track would be reduced, FMPs would still need to have processes in place to monitor the</w:t>
      </w:r>
    </w:p>
    <w:p>
      <w:pPr>
        <w:pStyle w:val="BodyText"/>
      </w:pPr>
      <w:r>
        <w:t xml:space="preserve">147 I.e. c.25% of the estimated EUR 246 million in total annual recurring costs</w:t>
      </w:r>
      <w:r>
        <w:br/>
      </w:r>
      <w:r>
        <w:t xml:space="preserve">148 When asked whether the SFDR should set entity-level disclosures, 52% (94 out of 182) responded ‘not at all’ or ‘not</w:t>
      </w:r>
      <w:r>
        <w:t xml:space="preserve"> </w:t>
      </w:r>
      <w:r>
        <w:t xml:space="preserve">really’ and 21% (39 out of 182) responded ‘mostly’ or ‘totally’. The rest responded ‘partially’ or ‘don’t know’,</w:t>
      </w:r>
      <w:r>
        <w:t xml:space="preserve"> </w:t>
      </w:r>
      <w:r>
        <w:t xml:space="preserve">European Commission, Summary Report of the Open and Targeted Consultations on the SFDR assessment, May 2024</w:t>
      </w:r>
      <w:r>
        <w:t xml:space="preserve"> </w:t>
      </w:r>
      <w:r>
        <w:t xml:space="preserve">149 When asked whether the SFDR should set entity-level disclosures, 19% (6 out of 32) responded ‘not at all’ or ‘not</w:t>
      </w:r>
      <w:r>
        <w:t xml:space="preserve"> </w:t>
      </w:r>
      <w:r>
        <w:t xml:space="preserve">really’ and 59% (19 out of 32) responded ‘mostly’ or ‘totally’. The rest responded ‘partially’ or ‘don’t know’. Summary</w:t>
      </w:r>
      <w:r>
        <w:t xml:space="preserve"> </w:t>
      </w:r>
      <w:r>
        <w:t xml:space="preserve">Report of the Open and Targeted Consultations on the SFDR assessment, May 2024</w:t>
      </w:r>
      <w:r>
        <w:t xml:space="preserve"> </w:t>
      </w:r>
      <w:r>
        <w:t xml:space="preserve">150 29% (4 out of 14) responded ‘not at all’ or ‘not really’ and 36% (5 out of 14) responded ‘mostly’. The rest</w:t>
      </w:r>
      <w:r>
        <w:t xml:space="preserve"> </w:t>
      </w:r>
      <w:r>
        <w:t xml:space="preserve">responded ‘partially’ or ‘don’t know’</w:t>
      </w:r>
      <w:r>
        <w:t xml:space="preserve"> </w:t>
      </w:r>
      <w:r>
        <w:t xml:space="preserve">151 The research ‘Can SFDR entity level reporting enhance sustainability performance?’ from Andreas G. F. Hoepner,</w:t>
      </w:r>
      <w:r>
        <w:t xml:space="preserve"> </w:t>
      </w:r>
      <w:r>
        <w:t xml:space="preserve">Tushar Saini &amp; Fabiola I. Schneider presents the following findings: “disclosure appears to indeed result in noteworthy</w:t>
      </w:r>
      <w:r>
        <w:t xml:space="preserve"> </w:t>
      </w:r>
      <w:r>
        <w:t xml:space="preserve">improvements in some key indicators such as corporate Scope 1 greenhouse gas (GHG) emissions or sovereign GHG</w:t>
      </w:r>
      <w:r>
        <w:t xml:space="preserve"> </w:t>
      </w:r>
      <w:r>
        <w:t xml:space="preserve">emissions intensity (median -5% and -6%, respectively)”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possible adverse impact of all their assets under management. In addition, the cost of reporting on</w:t>
      </w:r>
      <w:r>
        <w:t xml:space="preserve"> </w:t>
      </w:r>
      <w:r>
        <w:t xml:space="preserve">the possible adverse impacts of all assets is expected to increase as a result of the omnibus proposal,</w:t>
      </w:r>
      <w:r>
        <w:t xml:space="preserve"> </w:t>
      </w:r>
      <w:r>
        <w:t xml:space="preserve">as FMPs are likely to have access to less publicly available data and will need to use estimates.</w:t>
      </w:r>
      <w:r>
        <w:t xml:space="preserve"> </w:t>
      </w:r>
      <w:r>
        <w:t xml:space="preserve">These estimates are either generated internally or bought from third-party data providers, imposing</w:t>
      </w:r>
      <w:r>
        <w:t xml:space="preserve"> </w:t>
      </w:r>
      <w:r>
        <w:t xml:space="preserve">additional costs in both cases152. These estimates are typically derived from information obtained</w:t>
      </w:r>
      <w:r>
        <w:t xml:space="preserve"> </w:t>
      </w:r>
      <w:r>
        <w:t xml:space="preserve">directly from investee companies, supplemented by additional research, collaboration with third-</w:t>
      </w:r>
      <w:r>
        <w:t xml:space="preserve"> </w:t>
      </w:r>
      <w:r>
        <w:t xml:space="preserve">party data providers or external experts, or the use of reasonable assumptions.</w:t>
      </w:r>
      <w:r>
        <w:br/>
      </w:r>
      <w:r>
        <w:t xml:space="preserve">Option 1.1. is not expected to impact the end-investors’ ability to understand and compare ESG</w:t>
      </w:r>
      <w:r>
        <w:t xml:space="preserve"> </w:t>
      </w:r>
      <w:r>
        <w:t xml:space="preserve">products. However, option 1.1. does allow for higher levels of protection against greenwashing</w:t>
      </w:r>
      <w:r>
        <w:t xml:space="preserve"> </w:t>
      </w:r>
      <w:r>
        <w:t xml:space="preserve">compared to option 1.2. as it allows data used to assess the alignment of the financial products</w:t>
      </w:r>
      <w:r>
        <w:t xml:space="preserve"> </w:t>
      </w:r>
      <w:r>
        <w:t xml:space="preserve">offered by FMPs with their entity-level commitments and claims.</w:t>
      </w:r>
      <w:r>
        <w:br/>
      </w:r>
      <w:r>
        <w:t xml:space="preserve">Efficiency (costs)</w:t>
      </w:r>
      <w:r>
        <w:t xml:space="preserve"> </w:t>
      </w:r>
      <w:r>
        <w:t xml:space="preserve">As noted above, this option only partially reduces the costs associated with entity-level disclosures.</w:t>
      </w:r>
      <w:r>
        <w:t xml:space="preserve"> </w:t>
      </w:r>
      <w:r>
        <w:t xml:space="preserve">These are estimated to constitute around 25% of the overall costs linked to disclosures and to</w:t>
      </w:r>
      <w:r>
        <w:t xml:space="preserve"> </w:t>
      </w:r>
      <w:r>
        <w:t xml:space="preserve">represent an annual total of EUR 56 million in the baseline scenario (see Annex 3, section 3.10).</w:t>
      </w:r>
      <w:r>
        <w:t xml:space="preserve"> </w:t>
      </w:r>
      <w:r>
        <w:t xml:space="preserve">Therefore, this option could be estimated to save less than half of this amount, i.e. less than EUR 28</w:t>
      </w:r>
      <w:r>
        <w:t xml:space="preserve"> </w:t>
      </w:r>
      <w:r>
        <w:t xml:space="preserve">million.</w:t>
      </w:r>
      <w:r>
        <w:br/>
      </w:r>
      <w:r>
        <w:t xml:space="preserve">Coherence</w:t>
      </w:r>
      <w:r>
        <w:br/>
      </w:r>
      <w:r>
        <w:t xml:space="preserve">Changes to entity level disclosures do not have a direct impact on the coherence between the SFDR</w:t>
      </w:r>
      <w:r>
        <w:t xml:space="preserve"> </w:t>
      </w:r>
      <w:r>
        <w:t xml:space="preserve">and the rest of the sustainable finance framework (problem driver 2). In fact, the interactions</w:t>
      </w:r>
      <w:r>
        <w:t xml:space="preserve"> </w:t>
      </w:r>
      <w:r>
        <w:t xml:space="preserve">between the SFDR and other sustainability-related financial regulation mainly related to the SFDR</w:t>
      </w:r>
      <w:r>
        <w:t xml:space="preserve"> </w:t>
      </w:r>
      <w:r>
        <w:t xml:space="preserve">product level disclosures which interacts with other disclosures, labels and the distribution rules.</w:t>
      </w:r>
      <w:r>
        <w:br/>
      </w:r>
      <w:r>
        <w:t xml:space="preserve">The only relevant interaction is with the CSRD reporting obligations which duplicate the SFDR</w:t>
      </w:r>
      <w:r>
        <w:t xml:space="preserve"> </w:t>
      </w:r>
      <w:r>
        <w:t xml:space="preserve">entity-level disclosures for certain actors (i.e. the roughly 400 FMPs that are subject to both the</w:t>
      </w:r>
      <w:r>
        <w:t xml:space="preserve"> </w:t>
      </w:r>
      <w:r>
        <w:t xml:space="preserve">CSRD and the SFDR today). Without a reduction in the personal scope of the entity level</w:t>
      </w:r>
      <w:r>
        <w:t xml:space="preserve"> </w:t>
      </w:r>
      <w:r>
        <w:t xml:space="preserve">requirement under SFDR to match the future CSRD and a full operational alignment between the</w:t>
      </w:r>
      <w:r>
        <w:t xml:space="preserve"> </w:t>
      </w:r>
      <w:r>
        <w:t xml:space="preserve">(future, post-omnibus) ESRS and reduced SFDR PAIs, Option 1.1 would not address the existing</w:t>
      </w:r>
      <w:r>
        <w:t xml:space="preserve"> </w:t>
      </w:r>
      <w:r>
        <w:t xml:space="preserve">duplications.</w:t>
      </w:r>
      <w:r>
        <w:br/>
      </w:r>
      <w:r>
        <w:t xml:space="preserve">Option 1.2: deletion of principal adverse impact disclosures at entity-level</w:t>
      </w:r>
    </w:p>
    <w:p>
      <w:pPr>
        <w:pStyle w:val="BodyText"/>
      </w:pPr>
      <w:r>
        <w:t xml:space="preserve"> Expected benefits and potential drawbacks for data preparers (FMPs)</w:t>
      </w:r>
      <w:r>
        <w:br/>
      </w:r>
      <w:r>
        <w:t xml:space="preserve">Option 1.2. would considerably reduce the implementation costs associated with the SFDR by</w:t>
      </w:r>
      <w:r>
        <w:t xml:space="preserve"> </w:t>
      </w:r>
      <w:r>
        <w:t xml:space="preserve">deleting all entity-level disclosures (i.e. 16 mandatory indicators). FMPs would only be asked to</w:t>
      </w:r>
      <w:r>
        <w:t xml:space="preserve"> </w:t>
      </w:r>
      <w:r>
        <w:t xml:space="preserve">generate detailed product level disclosures for their ESG products, and not to assess and disclose</w:t>
      </w:r>
      <w:r>
        <w:t xml:space="preserve"> </w:t>
      </w:r>
      <w:r>
        <w:t xml:space="preserve">the potential adverse impacts of all their assets. Removing disclosures linked to the 16 mandatory</w:t>
      </w:r>
      <w:r>
        <w:t xml:space="preserve"> </w:t>
      </w:r>
      <w:r>
        <w:t xml:space="preserve">indicators would reduce the implementation costs associated with the SFDR. Only FMPs subject to</w:t>
      </w:r>
      <w:r>
        <w:t xml:space="preserve"> </w:t>
      </w:r>
      <w:r>
        <w:t xml:space="preserve">the CSRD would need to assess the ESG impact of all their assets under management.</w:t>
      </w:r>
    </w:p>
    <w:p>
      <w:pPr>
        <w:pStyle w:val="BodyText"/>
      </w:pPr>
      <w:r>
        <w:t xml:space="preserve">152 Market practices in generating estimates vary. The ESAs provided guidance on how to generate these for PAIs</w:t>
      </w:r>
      <w:r>
        <w:t xml:space="preserve"> </w:t>
      </w:r>
      <w:r>
        <w:t xml:space="preserve">(Article 7 of SFDR delegated regulation) and for Taxonomy reporting (Q&amp;A VII.1.1). These estimates are usually built</w:t>
      </w:r>
      <w:r>
        <w:t xml:space="preserve"> </w:t>
      </w:r>
      <w:r>
        <w:t xml:space="preserve">from information either directly obtained from investee companies or by carrying out additional research, cooperating</w:t>
      </w:r>
      <w:r>
        <w:t xml:space="preserve"> </w:t>
      </w:r>
      <w:r>
        <w:t xml:space="preserve">with third party data providers or external experts or making reasonable assumptions.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No potential drawbacks for data preparers were identified. FMPs outside the CSRD scope who</w:t>
      </w:r>
      <w:r>
        <w:t xml:space="preserve"> </w:t>
      </w:r>
      <w:r>
        <w:t xml:space="preserve">wish to continue to report entity-level information would still have the option to do so under the</w:t>
      </w:r>
      <w:r>
        <w:t xml:space="preserve"> </w:t>
      </w:r>
      <w:r>
        <w:t xml:space="preserve">future voluntary sustainability-information standards under the revised CSRD.</w:t>
      </w:r>
      <w:r>
        <w:br/>
      </w:r>
      <w:r>
        <w:t xml:space="preserve"> Expected benefits and potential drawbacks for data users (mainly investors and supervisors)</w:t>
      </w:r>
    </w:p>
    <w:p>
      <w:pPr>
        <w:pStyle w:val="BodyText"/>
      </w:pPr>
      <w:r>
        <w:t xml:space="preserve">Deleting entity-level disclosures on adverse impacts could risk creating a gap in terms of ESG</w:t>
      </w:r>
      <w:r>
        <w:t xml:space="preserve"> </w:t>
      </w:r>
      <w:r>
        <w:t xml:space="preserve">information from economically relevant FMPs that often innovate or pursue long-term investment</w:t>
      </w:r>
      <w:r>
        <w:t xml:space="preserve"> </w:t>
      </w:r>
      <w:r>
        <w:t xml:space="preserve">strategies, and which can inform supervisory oversight of transition risks. This could hinder e.g. </w:t>
      </w:r>
      <w:r>
        <w:t xml:space="preserve"> </w:t>
      </w:r>
      <w:r>
        <w:t xml:space="preserve">tracking (i) improvements in reducing negative externalities of FMP investments over time, and (ii)</w:t>
      </w:r>
      <w:r>
        <w:t xml:space="preserve"> </w:t>
      </w:r>
      <w:r>
        <w:t xml:space="preserve">alignment of financial products with FMPs’ commitments and claims. Based on reporting figures</w:t>
      </w:r>
      <w:r>
        <w:t xml:space="preserve"> </w:t>
      </w:r>
      <w:r>
        <w:t xml:space="preserve">from 2024, roughly 1650 FMPs (around 160 investment firms, 430 banks, 200 pension funds, 330</w:t>
      </w:r>
      <w:r>
        <w:t xml:space="preserve"> </w:t>
      </w:r>
      <w:r>
        <w:t xml:space="preserve">insurance and 530 asset management) provide entity-level disclosures. 430 are doing it on a</w:t>
      </w:r>
      <w:r>
        <w:t xml:space="preserve"> </w:t>
      </w:r>
      <w:r>
        <w:t xml:space="preserve">mandatory basis153. Under option 1.2., the majority of these FMPs would be exempted from such</w:t>
      </w:r>
      <w:r>
        <w:t xml:space="preserve"> </w:t>
      </w:r>
      <w:r>
        <w:t xml:space="preserve">disclosures under option 1.2. However, the largest FMPs (and therefore arguably the most</w:t>
      </w:r>
      <w:r>
        <w:t xml:space="preserve"> </w:t>
      </w:r>
      <w:r>
        <w:t xml:space="preserve">impactful ones) would continue to disclose sustainability information under the CSRD and FMPs</w:t>
      </w:r>
      <w:r>
        <w:t xml:space="preserve"> </w:t>
      </w:r>
      <w:r>
        <w:t xml:space="preserve">outside the CSRD scope could continue to report on a voluntary basis.</w:t>
      </w:r>
      <w:r>
        <w:br/>
      </w:r>
      <w:r>
        <w:t xml:space="preserve"> Overall assessment: effectiveness, efficiency and coherence</w:t>
      </w:r>
      <w:r>
        <w:br/>
      </w:r>
      <w:r>
        <w:t xml:space="preserve">Effectiveness in addressing the specific problems</w:t>
      </w:r>
      <w:r>
        <w:br/>
      </w:r>
      <w:r>
        <w:t xml:space="preserve">Option 1.2. addresses many of the difficulties faced by FMPs in coping with the lengthy</w:t>
      </w:r>
      <w:r>
        <w:t xml:space="preserve"> </w:t>
      </w:r>
      <w:r>
        <w:t xml:space="preserve">requirements and the costs associated with the lack of publicly available ESG data (problem drivers</w:t>
      </w:r>
      <w:r>
        <w:t xml:space="preserve"> </w:t>
      </w:r>
      <w:r>
        <w:t xml:space="preserve">1 and 3). FMPs would not need to assess the potential adverse impact of all their assets under</w:t>
      </w:r>
      <w:r>
        <w:t xml:space="preserve"> </w:t>
      </w:r>
      <w:r>
        <w:t xml:space="preserve">management anymore, as the SFDR would focus on the ESG assessments and disclosures for</w:t>
      </w:r>
      <w:r>
        <w:t xml:space="preserve"> </w:t>
      </w:r>
      <w:r>
        <w:t xml:space="preserve">products making ESG claims. Option 1.2 would therefore fulfil the specific objective of simplifying</w:t>
      </w:r>
      <w:r>
        <w:t xml:space="preserve"> </w:t>
      </w:r>
      <w:r>
        <w:t xml:space="preserve">and reducing administrative burdens. The largest FMPs would still need to disclose ESG entity</w:t>
      </w:r>
      <w:r>
        <w:t xml:space="preserve"> </w:t>
      </w:r>
      <w:r>
        <w:t xml:space="preserve">level disclosures under the CSRD but would not be subject to duplicative obligations anymore</w:t>
      </w:r>
      <w:r>
        <w:t xml:space="preserve"> </w:t>
      </w:r>
      <w:r>
        <w:t xml:space="preserve">which would lower the burden. The upcoming reduction of the number of indicators to be disclosed</w:t>
      </w:r>
      <w:r>
        <w:t xml:space="preserve"> </w:t>
      </w:r>
      <w:r>
        <w:t xml:space="preserve">under the CSRD would further reduce the burdens for these entities.</w:t>
      </w:r>
      <w:r>
        <w:br/>
      </w:r>
      <w:r>
        <w:t xml:space="preserve">In addition, this option is not expected to impact end-investors’ ability to understand and compare</w:t>
      </w:r>
      <w:r>
        <w:t xml:space="preserve"> </w:t>
      </w:r>
      <w:r>
        <w:t xml:space="preserve">ESG products. There is a trade-off whereby end-investors and distributors would be less able to</w:t>
      </w:r>
      <w:r>
        <w:t xml:space="preserve"> </w:t>
      </w:r>
      <w:r>
        <w:t xml:space="preserve">track the alignment of financial products offered by FMPs with their entity-level commitments and</w:t>
      </w:r>
      <w:r>
        <w:t xml:space="preserve"> </w:t>
      </w:r>
      <w:r>
        <w:t xml:space="preserve">claims which might lower investors’ protection against greenwashing regarding FMPs’ ESG claims</w:t>
      </w:r>
      <w:r>
        <w:t xml:space="preserve"> </w:t>
      </w:r>
      <w:r>
        <w:t xml:space="preserve">made at the entity level. However, as stated before, there is little evidence that end-investors or</w:t>
      </w:r>
      <w:r>
        <w:t xml:space="preserve"> </w:t>
      </w:r>
      <w:r>
        <w:t xml:space="preserve">distributors make use of entity-level SFDR information in this way.</w:t>
      </w:r>
      <w:r>
        <w:br/>
      </w:r>
      <w:r>
        <w:t xml:space="preserve">Efficiency (costs)</w:t>
      </w:r>
      <w:r>
        <w:t xml:space="preserve"> </w:t>
      </w:r>
      <w:r>
        <w:t xml:space="preserve">This option would largely cancel out the costs associated with entity-level disclosures compared to</w:t>
      </w:r>
      <w:r>
        <w:t xml:space="preserve"> </w:t>
      </w:r>
      <w:r>
        <w:t xml:space="preserve">the baseline scenario, estimated to constitute around 25% of the overall costs linked to disclosures</w:t>
      </w:r>
      <w:r>
        <w:t xml:space="preserve"> </w:t>
      </w:r>
      <w:r>
        <w:t xml:space="preserve">and to represent an annual total of EUR 56 million (see Annex 3, section 3.10). Based on the</w:t>
      </w:r>
      <w:r>
        <w:t xml:space="preserve"> </w:t>
      </w:r>
      <w:r>
        <w:t xml:space="preserve">analysis in Annex 3, the bulk of the cost reduction is estimated to benefit SMEs (in aggregate, EUR</w:t>
      </w:r>
      <w:r>
        <w:t xml:space="preserve"> </w:t>
      </w:r>
      <w:r>
        <w:t xml:space="preserve">43 million) while the rest (EUR 13 million) would benefit larger FMPs.</w:t>
      </w:r>
    </w:p>
    <w:p>
      <w:pPr>
        <w:pStyle w:val="BodyText"/>
      </w:pPr>
      <w:r>
        <w:t xml:space="preserve">153According to the ESAs Annual Report to the Commission under Article 18 of Regulation (EU) 2019/2088: JC 2024</w:t>
      </w:r>
      <w:r>
        <w:t xml:space="preserve"> </w:t>
      </w:r>
      <w:r>
        <w:t xml:space="preserve">68 Report on the Principal Adverse Impact disclosures under the Sustainable Finance Disclosure Regulation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Coherence</w:t>
      </w:r>
      <w:r>
        <w:t xml:space="preserve"> </w:t>
      </w:r>
      <w:r>
        <w:t xml:space="preserve">Option 1.2. would remove the duplications between the SFDR and the CSRD. This option ensures</w:t>
      </w:r>
      <w:r>
        <w:t xml:space="preserve"> </w:t>
      </w:r>
      <w:r>
        <w:t xml:space="preserve">that future entity-level sustainability-linked reporting requirements are set in a comprehensive,</w:t>
      </w:r>
      <w:r>
        <w:t xml:space="preserve"> </w:t>
      </w:r>
      <w:r>
        <w:t xml:space="preserve">cross-sectoral and coherent way in the ESRS and without scope for sector-specific additional</w:t>
      </w:r>
      <w:r>
        <w:t xml:space="preserve"> </w:t>
      </w:r>
      <w:r>
        <w:t xml:space="preserve">requirements that would risk duplications or excessive complexity. For those FMPs outside the</w:t>
      </w:r>
      <w:r>
        <w:t xml:space="preserve"> </w:t>
      </w:r>
      <w:r>
        <w:t xml:space="preserve">CSRD scope who so wish, options to disclose entity-level information would be based on future</w:t>
      </w:r>
      <w:r>
        <w:t xml:space="preserve"> </w:t>
      </w:r>
      <w:r>
        <w:t xml:space="preserve">provisions under a revised CSRD for a voluntary sustainability-related information standard,</w:t>
      </w:r>
      <w:r>
        <w:t xml:space="preserve"> </w:t>
      </w:r>
      <w:r>
        <w:t xml:space="preserve">envisaged in the shape of a delegated act based on the VSME standard developed by EFRAG154.</w:t>
      </w:r>
      <w:r>
        <w:br/>
      </w:r>
      <w:r>
        <w:t xml:space="preserve">Comparative assessment of option 0, option 1.1 and option 1.2 impacts</w:t>
      </w:r>
      <w:r>
        <w:t xml:space="preserve"> </w:t>
      </w:r>
      <w:r>
        <w:t xml:space="preserve">Legend: +++ = Very positive ++ = Positive + = Slightly positive +/- = Mixed effect 0 = no</w:t>
      </w:r>
      <w:r>
        <w:t xml:space="preserve"> </w:t>
      </w:r>
      <w:r>
        <w:t xml:space="preserve">effect - = Slightly negative – = Negative — = very negative</w:t>
      </w:r>
    </w:p>
    <w:p>
      <w:pPr>
        <w:pStyle w:val="BodyText"/>
      </w:pPr>
      <w:r>
        <w:t xml:space="preserve">Option 0</w:t>
      </w:r>
      <w:r>
        <w:t xml:space="preserve"> </w:t>
      </w:r>
      <w:r>
        <w:t xml:space="preserve">Option 1.1</w:t>
      </w:r>
      <w:r>
        <w:t xml:space="preserve"> </w:t>
      </w:r>
      <w:r>
        <w:t xml:space="preserve">Option 1.2</w:t>
      </w:r>
      <w:r>
        <w:t xml:space="preserve"> </w:t>
      </w:r>
      <w:r>
        <w:t xml:space="preserve">Effectiveness:</w:t>
      </w:r>
      <w:r>
        <w:t xml:space="preserve"> </w:t>
      </w:r>
      <w:r>
        <w:t xml:space="preserve">In simplifying and reducing the sustainability related requirements for FMPs</w:t>
      </w:r>
    </w:p>
    <w:p>
      <w:pPr>
        <w:pStyle w:val="BodyText"/>
      </w:pPr>
      <w:r>
        <w:t xml:space="preserve">FMPs would not be required to</w:t>
      </w:r>
      <w:r>
        <w:t xml:space="preserve"> </w:t>
      </w:r>
      <w:r>
        <w:t xml:space="preserve">disclose ESG information at entity</w:t>
      </w:r>
      <w:r>
        <w:t xml:space="preserve"> </w:t>
      </w:r>
      <w:r>
        <w:t xml:space="preserve">level (apart from those subject to</w:t>
      </w:r>
      <w:r>
        <w:t xml:space="preserve"> </w:t>
      </w:r>
      <w:r>
        <w:t xml:space="preserve">the CSRD).</w:t>
      </w:r>
      <w:r>
        <w:t xml:space="preserve"> </w:t>
      </w:r>
      <w:r>
        <w:t xml:space="preserve">+++</w:t>
      </w:r>
    </w:p>
    <w:p>
      <w:pPr>
        <w:pStyle w:val="BodyText"/>
      </w:pPr>
      <w:r>
        <w:t xml:space="preserve">FMPs would have to disclose</w:t>
      </w:r>
      <w:r>
        <w:t xml:space="preserve"> </w:t>
      </w:r>
      <w:r>
        <w:t xml:space="preserve">less ESG information, but the</w:t>
      </w:r>
      <w:r>
        <w:t xml:space="preserve"> </w:t>
      </w:r>
      <w:r>
        <w:t xml:space="preserve">bulk of the cost related to</w:t>
      </w:r>
      <w:r>
        <w:t xml:space="preserve"> </w:t>
      </w:r>
      <w:r>
        <w:t xml:space="preserve">entity-level ESG analysis and</w:t>
      </w:r>
      <w:r>
        <w:t xml:space="preserve"> </w:t>
      </w:r>
      <w:r>
        <w:t xml:space="preserve">research would remain. In</w:t>
      </w:r>
      <w:r>
        <w:t xml:space="preserve"> </w:t>
      </w:r>
      <w:r>
        <w:t xml:space="preserve">addition, FMPs not covered by</w:t>
      </w:r>
      <w:r>
        <w:t xml:space="preserve"> </w:t>
      </w:r>
      <w:r>
        <w:t xml:space="preserve">the CSRD would still need to</w:t>
      </w:r>
      <w:r>
        <w:t xml:space="preserve"> </w:t>
      </w:r>
      <w:r>
        <w:t xml:space="preserve">comply</w:t>
      </w:r>
      <w:r>
        <w:t xml:space="preserve"> </w:t>
      </w:r>
      <w:r>
        <w:t xml:space="preserve">with</w:t>
      </w:r>
      <w:r>
        <w:t xml:space="preserve"> </w:t>
      </w:r>
      <w:r>
        <w:t xml:space="preserve">entity-level</w:t>
      </w:r>
      <w:r>
        <w:t xml:space="preserve"> </w:t>
      </w:r>
      <w:r>
        <w:t xml:space="preserve">disclosures,</w:t>
      </w:r>
      <w:r>
        <w:t xml:space="preserve"> </w:t>
      </w:r>
      <w:r>
        <w:t xml:space="preserve">hindering</w:t>
      </w:r>
      <w:r>
        <w:t xml:space="preserve"> </w:t>
      </w:r>
      <w:r>
        <w:t xml:space="preserve">the</w:t>
      </w:r>
      <w:r>
        <w:t xml:space="preserve"> </w:t>
      </w:r>
      <w:r>
        <w:t xml:space="preserve">coherence of the framework.</w:t>
      </w:r>
      <w:r>
        <w:t xml:space="preserve"> </w:t>
      </w:r>
      <w:r>
        <w:t xml:space="preserve">+</w:t>
      </w:r>
      <w:r>
        <w:t xml:space="preserve"> </w:t>
      </w:r>
      <w:r>
        <w:t xml:space="preserve">FMPs would solely be subject to</w:t>
      </w:r>
      <w:r>
        <w:t xml:space="preserve"> </w:t>
      </w:r>
      <w:r>
        <w:t xml:space="preserve">product level disclosures under the</w:t>
      </w:r>
      <w:r>
        <w:t xml:space="preserve"> </w:t>
      </w:r>
      <w:r>
        <w:t xml:space="preserve">SFDR. This means that FMPs in</w:t>
      </w:r>
      <w:r>
        <w:t xml:space="preserve"> </w:t>
      </w:r>
      <w:r>
        <w:t xml:space="preserve">scope of both the SFDR and CSRD</w:t>
      </w:r>
      <w:r>
        <w:t xml:space="preserve"> </w:t>
      </w:r>
      <w:r>
        <w:t xml:space="preserve">would not be facing duplicating</w:t>
      </w:r>
      <w:r>
        <w:t xml:space="preserve"> </w:t>
      </w:r>
      <w:r>
        <w:t xml:space="preserve">reporting anymore and that FMPs not</w:t>
      </w:r>
      <w:r>
        <w:t xml:space="preserve"> </w:t>
      </w:r>
      <w:r>
        <w:t xml:space="preserve">subject to CSRD would not have to</w:t>
      </w:r>
      <w:r>
        <w:t xml:space="preserve"> </w:t>
      </w:r>
      <w:r>
        <w:t xml:space="preserve">comply with entity-level disclosures</w:t>
      </w:r>
      <w:r>
        <w:t xml:space="preserve"> </w:t>
      </w:r>
      <w:r>
        <w:t xml:space="preserve">anymore.</w:t>
      </w:r>
      <w:r>
        <w:br/>
      </w:r>
      <w:r>
        <w:t xml:space="preserve">+++</w:t>
      </w:r>
      <w:r>
        <w:t xml:space="preserve"> </w:t>
      </w:r>
      <w:r>
        <w:t xml:space="preserve">In improving end-investors’ ability to understand and compare ESG products</w:t>
      </w:r>
    </w:p>
    <w:p>
      <w:pPr>
        <w:pStyle w:val="BodyText"/>
      </w:pPr>
      <w:r>
        <w:t xml:space="preserve">End-investors would not receive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sustainability performance of FMPs</w:t>
      </w:r>
      <w:r>
        <w:t xml:space="preserve"> </w:t>
      </w:r>
      <w:r>
        <w:t xml:space="preserve">outside the CSRD scope. However,</w:t>
      </w:r>
      <w:r>
        <w:t xml:space="preserve"> </w:t>
      </w:r>
      <w:r>
        <w:t xml:space="preserve">they will continue to get this</w:t>
      </w:r>
      <w:r>
        <w:t xml:space="preserve"> </w:t>
      </w:r>
      <w:r>
        <w:t xml:space="preserve">information from the largest FMPs,</w:t>
      </w:r>
      <w:r>
        <w:t xml:space="preserve"> </w:t>
      </w:r>
      <w:r>
        <w:t xml:space="preserve">assumingly the most impactful</w:t>
      </w:r>
      <w:r>
        <w:t xml:space="preserve"> </w:t>
      </w:r>
      <w:r>
        <w:t xml:space="preserve">ones. As opposed to option 1.2, a</w:t>
      </w:r>
      <w:r>
        <w:t xml:space="preserve"> </w:t>
      </w:r>
      <w:r>
        <w:t xml:space="preserve">repeal would also negatively impact</w:t>
      </w:r>
      <w:r>
        <w:t xml:space="preserve"> </w:t>
      </w:r>
      <w:r>
        <w:t xml:space="preserve">end-investors’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specific products they might buy.</w:t>
      </w:r>
      <w:r>
        <w:br/>
      </w:r>
      <w:r>
        <w:t xml:space="preserve">-</w:t>
      </w:r>
      <w:r>
        <w:t xml:space="preserve"> </w:t>
      </w:r>
      <w:r>
        <w:t xml:space="preserve">End-investors would continue</w:t>
      </w:r>
      <w:r>
        <w:t xml:space="preserve"> </w:t>
      </w:r>
      <w:r>
        <w:t xml:space="preserve">to receive information on the</w:t>
      </w:r>
      <w:r>
        <w:t xml:space="preserve"> </w:t>
      </w:r>
      <w:r>
        <w:t xml:space="preserve">overall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performance</w:t>
      </w:r>
      <w:r>
        <w:t xml:space="preserve"> </w:t>
      </w:r>
      <w:r>
        <w:t xml:space="preserve">from</w:t>
      </w:r>
      <w:r>
        <w:t xml:space="preserve"> </w:t>
      </w:r>
      <w:r>
        <w:t xml:space="preserve">many</w:t>
      </w:r>
      <w:r>
        <w:t xml:space="preserve"> </w:t>
      </w:r>
      <w:r>
        <w:t xml:space="preserve">FMPs. This can help investors</w:t>
      </w:r>
      <w:r>
        <w:t xml:space="preserve"> </w:t>
      </w:r>
      <w:r>
        <w:t xml:space="preserve">understand entity-level ESG</w:t>
      </w:r>
      <w:r>
        <w:t xml:space="preserve"> </w:t>
      </w:r>
      <w:r>
        <w:t xml:space="preserve">commitment. However, this</w:t>
      </w:r>
      <w:r>
        <w:t xml:space="preserve"> </w:t>
      </w:r>
      <w:r>
        <w:t xml:space="preserve">does not impact end-investors’</w:t>
      </w:r>
      <w:r>
        <w:t xml:space="preserve"> </w:t>
      </w:r>
      <w:r>
        <w:t xml:space="preserve">understanding</w:t>
      </w:r>
      <w:r>
        <w:t xml:space="preserve"> </w:t>
      </w:r>
      <w:r>
        <w:t xml:space="preserve">of</w:t>
      </w:r>
      <w:r>
        <w:t xml:space="preserve"> </w:t>
      </w:r>
      <w:r>
        <w:t xml:space="preserve">specific</w:t>
      </w:r>
      <w:r>
        <w:t xml:space="preserve"> </w:t>
      </w:r>
      <w:r>
        <w:t xml:space="preserve">products they might buy.</w:t>
      </w:r>
      <w:r>
        <w:br/>
      </w:r>
      <w:r>
        <w:t xml:space="preserve">+/-</w:t>
      </w:r>
      <w:r>
        <w:t xml:space="preserve"> </w:t>
      </w:r>
      <w:r>
        <w:t xml:space="preserve">End-investors would not receive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sustainability performance of FMPs</w:t>
      </w:r>
      <w:r>
        <w:t xml:space="preserve"> </w:t>
      </w:r>
      <w:r>
        <w:t xml:space="preserve">outside the CSRD scope. However,</w:t>
      </w:r>
      <w:r>
        <w:t xml:space="preserve"> </w:t>
      </w:r>
      <w:r>
        <w:t xml:space="preserve">they will continue to get this</w:t>
      </w:r>
      <w:r>
        <w:t xml:space="preserve"> </w:t>
      </w:r>
      <w:r>
        <w:t xml:space="preserve">information from the largest FMPs,</w:t>
      </w:r>
      <w:r>
        <w:t xml:space="preserve"> </w:t>
      </w:r>
      <w:r>
        <w:t xml:space="preserve">assumingly the most impactful ones.</w:t>
      </w:r>
      <w:r>
        <w:t xml:space="preserve"> </w:t>
      </w:r>
      <w:r>
        <w:t xml:space="preserve">As opposed to option 0, this option</w:t>
      </w:r>
      <w:r>
        <w:t xml:space="preserve"> </w:t>
      </w:r>
      <w:r>
        <w:t xml:space="preserve">does not in itself impact end-</w:t>
      </w:r>
      <w:r>
        <w:t xml:space="preserve"> </w:t>
      </w:r>
      <w:r>
        <w:t xml:space="preserve">investors’ understanding of specific</w:t>
      </w:r>
      <w:r>
        <w:t xml:space="preserve"> </w:t>
      </w:r>
      <w:r>
        <w:t xml:space="preserve">products they might buy.</w:t>
      </w:r>
      <w:r>
        <w:br/>
      </w:r>
      <w:r>
        <w:t xml:space="preserve">+/-</w:t>
      </w:r>
      <w:r>
        <w:t xml:space="preserve"> </w:t>
      </w:r>
      <w:r>
        <w:t xml:space="preserve">Overall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Efficiency</w:t>
      </w:r>
      <w:r>
        <w:br/>
      </w:r>
      <w:r>
        <w:t xml:space="preserve">Removes any costs linked to entity-</w:t>
      </w:r>
      <w:r>
        <w:t xml:space="preserve"> </w:t>
      </w:r>
      <w:r>
        <w:t xml:space="preserve">level ESG disclosures but subjects</w:t>
      </w:r>
      <w:r>
        <w:t xml:space="preserve"> </w:t>
      </w:r>
      <w:r>
        <w:t xml:space="preserve">all SFDR investments to new</w:t>
      </w:r>
      <w:r>
        <w:t xml:space="preserve"> </w:t>
      </w:r>
      <w:r>
        <w:t xml:space="preserve">uncertainty.</w:t>
      </w:r>
      <w:r>
        <w:t xml:space="preserve"> </w:t>
      </w:r>
      <w:r>
        <w:t xml:space="preserve">Only partially reduces the cost</w:t>
      </w:r>
      <w:r>
        <w:t xml:space="preserve"> </w:t>
      </w:r>
      <w:r>
        <w:t xml:space="preserve">described in Annex 3.</w:t>
      </w:r>
      <w:r>
        <w:br/>
      </w:r>
      <w:r>
        <w:t xml:space="preserve">Removes any costs linked to entity-</w:t>
      </w:r>
      <w:r>
        <w:t xml:space="preserve"> </w:t>
      </w:r>
      <w:r>
        <w:t xml:space="preserve">level ESG disclosures.</w:t>
      </w:r>
    </w:p>
    <w:p>
      <w:pPr>
        <w:pStyle w:val="BodyText"/>
      </w:pPr>
      <w:r>
        <w:t xml:space="preserve">154 Omnibus proposal COM (2025)81 final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Coherence</w:t>
      </w:r>
      <w:r>
        <w:br/>
      </w:r>
      <w:r>
        <w:t xml:space="preserve">The duplication with the CSRD is</w:t>
      </w:r>
      <w:r>
        <w:t xml:space="preserve"> </w:t>
      </w:r>
      <w:r>
        <w:t xml:space="preserve">eliminated, but new coherence</w:t>
      </w:r>
      <w:r>
        <w:t xml:space="preserve"> </w:t>
      </w:r>
      <w:r>
        <w:t xml:space="preserve">problems would emerge with the</w:t>
      </w:r>
      <w:r>
        <w:t xml:space="preserve"> </w:t>
      </w:r>
      <w:r>
        <w:t xml:space="preserve">Omnibus, ESMA guidelines,</w:t>
      </w:r>
      <w:r>
        <w:t xml:space="preserve"> </w:t>
      </w:r>
      <w:r>
        <w:t xml:space="preserve">national rules, and the rest of the</w:t>
      </w:r>
      <w:r>
        <w:t xml:space="preserve"> </w:t>
      </w:r>
      <w:r>
        <w:t xml:space="preserve">sustainable finance framework.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interactions</w:t>
      </w:r>
      <w:r>
        <w:t xml:space="preserve"> </w:t>
      </w:r>
      <w:r>
        <w:t xml:space="preserve">and</w:t>
      </w:r>
      <w:r>
        <w:t xml:space="preserve"> </w:t>
      </w:r>
      <w:r>
        <w:t xml:space="preserve">duplications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SFDR and CSRD remain</w:t>
      </w:r>
      <w:r>
        <w:t xml:space="preserve"> </w:t>
      </w:r>
      <w:r>
        <w:t xml:space="preserve">unchanged.</w:t>
      </w:r>
      <w:r>
        <w:t xml:space="preserve"> </w:t>
      </w:r>
      <w:r>
        <w:t xml:space="preserve">0</w:t>
      </w:r>
      <w:r>
        <w:t xml:space="preserve"> </w:t>
      </w:r>
      <w:r>
        <w:t xml:space="preserve">The duplication with the CSRD is</w:t>
      </w:r>
      <w:r>
        <w:t xml:space="preserve"> </w:t>
      </w:r>
      <w:r>
        <w:t xml:space="preserve">eliminated. CSRD would be setting</w:t>
      </w:r>
      <w:r>
        <w:t xml:space="preserve"> </w:t>
      </w:r>
      <w:r>
        <w:t xml:space="preserve">all</w:t>
      </w:r>
      <w:r>
        <w:t xml:space="preserve"> </w:t>
      </w:r>
      <w:r>
        <w:t xml:space="preserve">entity-level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throughout the framework while the</w:t>
      </w:r>
      <w:r>
        <w:t xml:space="preserve"> </w:t>
      </w:r>
      <w:r>
        <w:t xml:space="preserve">SFDR</w:t>
      </w:r>
      <w:r>
        <w:t xml:space="preserve"> </w:t>
      </w:r>
      <w:r>
        <w:t xml:space="preserve">would</w:t>
      </w:r>
      <w:r>
        <w:t xml:space="preserve"> </w:t>
      </w:r>
      <w:r>
        <w:t xml:space="preserve">focus</w:t>
      </w:r>
      <w:r>
        <w:t xml:space="preserve"> </w:t>
      </w:r>
      <w:r>
        <w:t xml:space="preserve">solely</w:t>
      </w:r>
      <w:r>
        <w:t xml:space="preserve"> </w:t>
      </w:r>
      <w:r>
        <w:t xml:space="preserve">on</w:t>
      </w:r>
      <w:r>
        <w:t xml:space="preserve"> </w:t>
      </w:r>
      <w:r>
        <w:t xml:space="preserve">financial products.</w:t>
      </w:r>
      <w:r>
        <w:br/>
      </w:r>
      <w:r>
        <w:t xml:space="preserve">+++</w:t>
      </w:r>
    </w:p>
    <w:p>
      <w:pPr>
        <w:pStyle w:val="BodyText"/>
      </w:pPr>
      <w:r>
        <w:t xml:space="preserve">Stakeholders feedback</w:t>
      </w:r>
      <w:r>
        <w:br/>
      </w:r>
      <w:r>
        <w:t xml:space="preserve">The overwhelming majority (89%) of consultation-respondents consider that the objective of the</w:t>
      </w:r>
      <w:r>
        <w:t xml:space="preserve"> </w:t>
      </w:r>
      <w:r>
        <w:t xml:space="preserve">SFDR to strengthen transparency through sustainability-related disclosures in the financial services</w:t>
      </w:r>
      <w:r>
        <w:t xml:space="preserve"> </w:t>
      </w:r>
      <w:r>
        <w:t xml:space="preserve">sector is still fully relevant and over 90% consider that this should be done at EU-level155.Overall,</w:t>
      </w:r>
      <w:r>
        <w:t xml:space="preserve"> </w:t>
      </w:r>
      <w:r>
        <w:t xml:space="preserve">the demand for sustainable investment opportunities among investors also remains high156.</w:t>
      </w:r>
      <w:r>
        <w:t xml:space="preserve"> </w:t>
      </w:r>
      <w:r>
        <w:t xml:space="preserve">Therefore, stakeholder feedback does not favour a repeal of the SFDR.</w:t>
      </w:r>
      <w:r>
        <w:t xml:space="preserve"> </w:t>
      </w:r>
      <w:r>
        <w:t xml:space="preserve">Views of responding stakeholders in the public consultations were split on whether the SFDR is the</w:t>
      </w:r>
      <w:r>
        <w:t xml:space="preserve"> </w:t>
      </w:r>
      <w:r>
        <w:t xml:space="preserve">right place to set entity-level disclosure requirements for FMPs and financial advisors, especially</w:t>
      </w:r>
      <w:r>
        <w:t xml:space="preserve"> </w:t>
      </w:r>
      <w:r>
        <w:t xml:space="preserve">across the different stakeholder groups. As stated above, most FMPs and financial advisers</w:t>
      </w:r>
      <w:r>
        <w:t xml:space="preserve"> </w:t>
      </w:r>
      <w:r>
        <w:t xml:space="preserve">responded that they do not consider the SFDR the right place to include entity-level disclosures157,</w:t>
      </w:r>
      <w:r>
        <w:t xml:space="preserve"> </w:t>
      </w:r>
      <w:r>
        <w:t xml:space="preserve">while a majority of NGOs expressed support for having such disclosures in the SFDR158. NCAs’</w:t>
      </w:r>
      <w:r>
        <w:t xml:space="preserve"> </w:t>
      </w:r>
      <w:r>
        <w:t xml:space="preserve">responses were split159. Responses to the call for evidence160 were largely in favour of deleting the</w:t>
      </w:r>
      <w:r>
        <w:t xml:space="preserve"> </w:t>
      </w:r>
      <w:r>
        <w:t xml:space="preserve">entity level disclosures, with a small minority of stakeholders expressing preferences for keeping a</w:t>
      </w:r>
      <w:r>
        <w:t xml:space="preserve"> </w:t>
      </w:r>
      <w:r>
        <w:t xml:space="preserve">small set of indicators.</w:t>
      </w:r>
      <w:r>
        <w:br/>
      </w:r>
      <w:r>
        <w:t xml:space="preserve">Respondents’ views on the usefulness of the three sets of SFDR entity-level disclosures were also</w:t>
      </w:r>
      <w:r>
        <w:t xml:space="preserve"> </w:t>
      </w:r>
      <w:r>
        <w:t xml:space="preserve">split. Disclosures concerning sustainability risk policies gathered the highest level of support, with</w:t>
      </w:r>
      <w:r>
        <w:t xml:space="preserve"> </w:t>
      </w:r>
      <w:r>
        <w:t xml:space="preserve">49% (138 out of 280) of respondents finding them ‘totally’ or ‘mostly’ useful, while 15% (41 out of</w:t>
      </w:r>
      <w:r>
        <w:t xml:space="preserve"> </w:t>
      </w:r>
      <w:r>
        <w:t xml:space="preserve">280) responded ‘not really’ or ‘not at all’. Opinions are less definitive on disclosures regarding</w:t>
      </w:r>
      <w:r>
        <w:t xml:space="preserve"> </w:t>
      </w:r>
      <w:r>
        <w:t xml:space="preserve">adverse sustainability impacts161 and remuneration policies162.</w:t>
      </w:r>
    </w:p>
    <w:p>
      <w:pPr>
        <w:pStyle w:val="BodyText"/>
      </w:pPr>
      <w:r>
        <w:t xml:space="preserve">155 See also above in Section 3.2 “Subsidiarity: Necessity of EU action”, in Annex 2 on stakeholder feedback, and</w:t>
      </w:r>
      <w:r>
        <w:t xml:space="preserve"> </w:t>
      </w:r>
      <w:r>
        <w:t xml:space="preserve">Section 3.2 of the evaluation, Annex 11 “How relevant is the SFDR”.</w:t>
      </w:r>
      <w:r>
        <w:br/>
      </w:r>
      <w:r>
        <w:t xml:space="preserve">156 See Annex 10</w:t>
      </w:r>
      <w:r>
        <w:br/>
      </w:r>
      <w:r>
        <w:t xml:space="preserve">157 52% (94 out of 182) responded ‘not at all’ or ‘not really’ and 21% (39 out of 182) responded ‘mostly’ or ‘totally’.</w:t>
      </w:r>
      <w:r>
        <w:t xml:space="preserve"> </w:t>
      </w:r>
      <w:r>
        <w:t xml:space="preserve">The rest responded ‘partially’ or ‘don’t know’.</w:t>
      </w:r>
      <w:r>
        <w:t xml:space="preserve"> </w:t>
      </w:r>
      <w:r>
        <w:t xml:space="preserve">158 19% (6 out of 32) responded ‘not at all’ or ‘not really’ and 59% (19 out of 32) responded ‘mostly’ or ‘totally’. The</w:t>
      </w:r>
      <w:r>
        <w:t xml:space="preserve"> </w:t>
      </w:r>
      <w:r>
        <w:t xml:space="preserve">rest responded ‘partially’ or ‘don’t know’.</w:t>
      </w:r>
      <w:r>
        <w:t xml:space="preserve"> </w:t>
      </w:r>
      <w:r>
        <w:t xml:space="preserve">159 29% (4 out of 14) responded ‘not at all’ or ‘not really’ and 36% (5 out of 14) responded ‘mostly’. The rest</w:t>
      </w:r>
      <w:r>
        <w:t xml:space="preserve"> </w:t>
      </w:r>
      <w:r>
        <w:t xml:space="preserve">responded ‘partially’ or ‘don’t know’</w:t>
      </w:r>
      <w:r>
        <w:t xml:space="preserve"> </w:t>
      </w:r>
      <w:r>
        <w:t xml:space="preserve">160 Feedback gathered during the Call for Evidence which ran from 2 May to 30 May 2025.</w:t>
      </w:r>
      <w:r>
        <w:t xml:space="preserve"> </w:t>
      </w:r>
      <w:r>
        <w:t xml:space="preserve">161 31% (86 out of 281) responded ‘totally’ or ‘mostly’ and the same amount responded ‘not really’ or ‘not at all’. The</w:t>
      </w:r>
      <w:r>
        <w:t xml:space="preserve"> </w:t>
      </w:r>
      <w:r>
        <w:t xml:space="preserve">rest responded ‘partially’ or ‘don’t know’</w:t>
      </w:r>
      <w:r>
        <w:t xml:space="preserve"> </w:t>
      </w:r>
      <w:r>
        <w:t xml:space="preserve">162 39% (108 out of 278) responded ‘totally’ or ‘mostly’ and 26% (73 out of 278) responded ‘not really’ or ‘not at all’.</w:t>
      </w:r>
      <w:r>
        <w:t xml:space="preserve"> </w:t>
      </w:r>
      <w:r>
        <w:t xml:space="preserve">The rest responded ‘partially’ or ‘don’t know’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Other economic, social, environmental and fundamental rights impact</w:t>
      </w:r>
      <w:r>
        <w:br/>
      </w:r>
      <w:r>
        <w:t xml:space="preserve">In general, companies that are required to report against standards have to identify and report on</w:t>
      </w:r>
      <w:r>
        <w:t xml:space="preserve"> </w:t>
      </w:r>
      <w:r>
        <w:t xml:space="preserve">their most significant non-financial risks, dependencies and impacts, and explain how they manage</w:t>
      </w:r>
      <w:r>
        <w:t xml:space="preserve"> </w:t>
      </w:r>
      <w:r>
        <w:t xml:space="preserve">them. This discipline may have an indirect beneficial effect on the environment, society and</w:t>
      </w:r>
      <w:r>
        <w:t xml:space="preserve"> </w:t>
      </w:r>
      <w:r>
        <w:t xml:space="preserve">fundamental rights, to the extent that it affects company decisions and the way companies behave.</w:t>
      </w:r>
      <w:r>
        <w:t xml:space="preserve"> </w:t>
      </w:r>
      <w:r>
        <w:t xml:space="preserve">Options 0 and 1.2 could be expected to have detrimental impacts in this regard. There is, however,</w:t>
      </w:r>
      <w:r>
        <w:t xml:space="preserve"> </w:t>
      </w:r>
      <w:r>
        <w:t xml:space="preserve">mixed evidence about the extent to which reporting requirements on their own will induce</w:t>
      </w:r>
      <w:r>
        <w:t xml:space="preserve"> </w:t>
      </w:r>
      <w:r>
        <w:t xml:space="preserve">companies to mitigate and avoid their negative impacts, especially in comparison to policies and</w:t>
      </w:r>
      <w:r>
        <w:t xml:space="preserve"> </w:t>
      </w:r>
      <w:r>
        <w:t xml:space="preserve">regulations that effectively price negative externalities163.</w:t>
      </w:r>
      <w:r>
        <w:t xml:space="preserve"> </w:t>
      </w:r>
      <w:r>
        <w:t xml:space="preserve">It is therefore not possible to ascertain the concrete relative merits of the options presented in terms</w:t>
      </w:r>
      <w:r>
        <w:t xml:space="preserve"> </w:t>
      </w:r>
      <w:r>
        <w:t xml:space="preserve">of material social, environmental and fundamental rights impacts. Option 0 could arguably be seen</w:t>
      </w:r>
      <w:r>
        <w:t xml:space="preserve"> </w:t>
      </w:r>
      <w:r>
        <w:t xml:space="preserve">as a more drastic move to roll back sustainability-related legislation, which could lead to more</w:t>
      </w:r>
      <w:r>
        <w:t xml:space="preserve"> </w:t>
      </w:r>
      <w:r>
        <w:t xml:space="preserve">detrimental impacts in this regard, whereas option 1.2 would more likely be seen as a targeted move</w:t>
      </w:r>
      <w:r>
        <w:t xml:space="preserve"> </w:t>
      </w:r>
      <w:r>
        <w:t xml:space="preserve">to remove inconsistencies and duplications in the framework, with fewer knock-on effects of this</w:t>
      </w:r>
      <w:r>
        <w:t xml:space="preserve"> </w:t>
      </w:r>
      <w:r>
        <w:t xml:space="preserve">type. In addition, the specific impact of option 1.1. would largely depend on the indicators in the</w:t>
      </w:r>
      <w:r>
        <w:t xml:space="preserve"> </w:t>
      </w:r>
      <w:r>
        <w:t xml:space="preserve">Level 2 regulation that would be removed and the indicators that would be retained. If this option</w:t>
      </w:r>
      <w:r>
        <w:t xml:space="preserve"> </w:t>
      </w:r>
      <w:r>
        <w:t xml:space="preserve">were pursued, this would be best done in a secondary assessment when preparing the amended</w:t>
      </w:r>
      <w:r>
        <w:t xml:space="preserve"> </w:t>
      </w:r>
      <w:r>
        <w:t xml:space="preserve">Level 2 text. Finally, the biggest FMPs (which are assumed to be the most impactful) would still be</w:t>
      </w:r>
      <w:r>
        <w:t xml:space="preserve"> </w:t>
      </w:r>
      <w:r>
        <w:t xml:space="preserve">in scope of the CSRD and would therefore continue to report on social, environmental and</w:t>
      </w:r>
      <w:r>
        <w:t xml:space="preserve"> </w:t>
      </w:r>
      <w:r>
        <w:t xml:space="preserve">fundamental right issuers. The impacts of options 1.1 and 1.2 are therefore expected to be limited164</w:t>
      </w:r>
      <w:r>
        <w:t xml:space="preserve"> </w:t>
      </w:r>
      <w:r>
        <w:t xml:space="preserve">while those of option 0 could be broader, as mentioned.</w:t>
      </w:r>
      <w:r>
        <w:br/>
      </w:r>
      <w:r>
        <w:t xml:space="preserve">The impact on the international competitiveness of EU companies is also expected to be limited,</w:t>
      </w:r>
      <w:r>
        <w:t xml:space="preserve"> </w:t>
      </w:r>
      <w:r>
        <w:t xml:space="preserve">although, under option 1.1 compared to options 0 and 1.2, some additional costs would continue to</w:t>
      </w:r>
      <w:r>
        <w:t xml:space="preserve"> </w:t>
      </w:r>
      <w:r>
        <w:t xml:space="preserve">be incurred by EU companies subject to the SFDR entity-level disclosures compared to non-EU</w:t>
      </w:r>
      <w:r>
        <w:t xml:space="preserve"> </w:t>
      </w:r>
      <w:r>
        <w:t xml:space="preserve">companies. However, non-EU companies distributing products in the EU that are disclosing under</w:t>
      </w:r>
      <w:r>
        <w:t xml:space="preserve"> </w:t>
      </w:r>
      <w:r>
        <w:t xml:space="preserve">the Articles 8 or 9 would continue to be expected to comply with the SFDR entity-level disclosures</w:t>
      </w:r>
      <w:r>
        <w:t xml:space="preserve"> </w:t>
      </w:r>
      <w:r>
        <w:t xml:space="preserve">under option 1.1.</w:t>
      </w:r>
      <w:r>
        <w:br/>
      </w:r>
      <w:r>
        <w:t xml:space="preserve">6.2.2. Changes to product-level disclosures</w:t>
      </w:r>
      <w:r>
        <w:br/>
      </w:r>
      <w:r>
        <w:t xml:space="preserve">Option 2.1.: minimal changes to product-level disclosures</w:t>
      </w:r>
      <w:r>
        <w:br/>
      </w:r>
      <w:r>
        <w:t xml:space="preserve">This option would broadly maintain the same approach as the current disclosures and would work</w:t>
      </w:r>
      <w:r>
        <w:t xml:space="preserve"> </w:t>
      </w:r>
      <w:r>
        <w:t xml:space="preserve">better with categories that rely on existing concepts.</w:t>
      </w:r>
      <w:r>
        <w:br/>
      </w:r>
      <w:r>
        <w:t xml:space="preserve"> Expected benefits and potential drawbacks for data preparers (FMPs)</w:t>
      </w:r>
    </w:p>
    <w:p>
      <w:pPr>
        <w:pStyle w:val="BodyText"/>
      </w:pPr>
      <w:r>
        <w:t xml:space="preserve">Option 2.1. would address some of the implementation issues faced by data preparers by clarifying</w:t>
      </w:r>
      <w:r>
        <w:t xml:space="preserve"> </w:t>
      </w:r>
      <w:r>
        <w:t xml:space="preserve">certain concepts underlying the product-level disclosures. For example, the specific disclosures</w:t>
      </w:r>
      <w:r>
        <w:t xml:space="preserve"> </w:t>
      </w:r>
      <w:r>
        <w:t xml:space="preserve">required under the concept of consideration of principal adverse impacts would be clarified,</w:t>
      </w:r>
      <w:r>
        <w:t xml:space="preserve"> </w:t>
      </w:r>
      <w:r>
        <w:t xml:space="preserve">removing some of the compliance challenges faced by the market today.</w:t>
      </w:r>
    </w:p>
    <w:p>
      <w:pPr>
        <w:pStyle w:val="BodyText"/>
      </w:pPr>
      <w:r>
        <w:t xml:space="preserve">163 CEPS Study on the Non-Financial Reporting Directive, April 2021</w:t>
      </w:r>
      <w:r>
        <w:t xml:space="preserve"> </w:t>
      </w:r>
      <w:r>
        <w:t xml:space="preserve">164 Further, the relative impact on sustainability-oriented investments of options 1.1 and 1.2 are also muted, in any case,</w:t>
      </w:r>
      <w:r>
        <w:t xml:space="preserve"> </w:t>
      </w:r>
      <w:r>
        <w:t xml:space="preserve">by the continued likely demand for sustainable investment opportunities by investors and asset owners. See e.g. a 2024</w:t>
      </w:r>
      <w:r>
        <w:t xml:space="preserve"> </w:t>
      </w:r>
      <w:r>
        <w:t xml:space="preserve">Morgan Stanley survey of 900 institutional investors across North America, Europe and Asia Pacific in July and August</w:t>
      </w:r>
      <w:r>
        <w:t xml:space="preserve"> </w:t>
      </w:r>
      <w:r>
        <w:t xml:space="preserve">2024 where nearly 90% said sustainable investing activities are driven by client and external stakeholder demands with</w:t>
      </w:r>
      <w:r>
        <w:t xml:space="preserve"> </w:t>
      </w:r>
      <w:r>
        <w:t xml:space="preserve">around 80% expecting sustainable assets to increase over the next two years (Morgan Stanley Sustainable Signals</w:t>
      </w:r>
      <w:r>
        <w:t xml:space="preserve"> </w:t>
      </w:r>
      <w:r>
        <w:t xml:space="preserve">Survey Aug 2024 Results | Morgan Stanley, December 2024).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However, the length and the complexity of the disclosures would remain. Data prepares would</w:t>
      </w:r>
      <w:r>
        <w:t xml:space="preserve"> </w:t>
      </w:r>
      <w:r>
        <w:t xml:space="preserve">continue to face difficulties in implementing the complex rules and in gathering the extensive data</w:t>
      </w:r>
      <w:r>
        <w:t xml:space="preserve"> </w:t>
      </w:r>
      <w:r>
        <w:t xml:space="preserve">needed from underlying investments. They are likely to continue to devote as much resources as</w:t>
      </w:r>
      <w:r>
        <w:t xml:space="preserve"> </w:t>
      </w:r>
      <w:r>
        <w:t xml:space="preserve">they do now. In addition, data preparers would not be given a standardised method to disclose</w:t>
      </w:r>
      <w:r>
        <w:t xml:space="preserve"> </w:t>
      </w:r>
      <w:r>
        <w:t xml:space="preserve">information about transition-related objectives and investments, i.e. there would be no recognition</w:t>
      </w:r>
      <w:r>
        <w:t xml:space="preserve"> </w:t>
      </w:r>
      <w:r>
        <w:t xml:space="preserve">of transitional assets or strategy in the standardised questions of the templates.</w:t>
      </w:r>
      <w:r>
        <w:br/>
      </w:r>
      <w:r>
        <w:t xml:space="preserve">Expected benefits and potential drawbacks for data users (mainly investors and supervisors)</w:t>
      </w:r>
      <w:r>
        <w:br/>
      </w:r>
      <w:r>
        <w:t xml:space="preserve">Option 2.1. would preserve the variety in the range of datapoints in order to inform investors on</w:t>
      </w:r>
      <w:r>
        <w:t xml:space="preserve"> </w:t>
      </w:r>
      <w:r>
        <w:t xml:space="preserve">many different sustainability-features of products. In addition, the targeted changes to some</w:t>
      </w:r>
      <w:r>
        <w:t xml:space="preserve"> </w:t>
      </w:r>
      <w:r>
        <w:t xml:space="preserve">concepts such as ‘promotion of ESG characteristics’ or ‘consideration of principal adverse impacts’</w:t>
      </w:r>
      <w:r>
        <w:t xml:space="preserve"> </w:t>
      </w:r>
      <w:r>
        <w:t xml:space="preserve">would increase the comparability of the disclosures linked to these concepts.</w:t>
      </w:r>
      <w:r>
        <w:br/>
      </w:r>
      <w:r>
        <w:t xml:space="preserve">However, the disclosures would continue to be very lengthy and to rely on complex and technical</w:t>
      </w:r>
      <w:r>
        <w:t xml:space="preserve"> </w:t>
      </w:r>
      <w:r>
        <w:t xml:space="preserve">concepts which are not easily understandable by all investors, especially by retail investors.</w:t>
      </w:r>
      <w:r>
        <w:br/>
      </w:r>
      <w:r>
        <w:t xml:space="preserve"> Overall assessment: effectiveness, efficiency and coherence</w:t>
      </w:r>
    </w:p>
    <w:p>
      <w:pPr>
        <w:pStyle w:val="BodyText"/>
      </w:pPr>
      <w:r>
        <w:t xml:space="preserve">Effectiveness in addressing the specific problems</w:t>
      </w:r>
      <w:r>
        <w:br/>
      </w:r>
      <w:r>
        <w:t xml:space="preserve">Option 2.1. would allow for minimal disruptions while partly simplifying and reducing the</w:t>
      </w:r>
      <w:r>
        <w:t xml:space="preserve"> </w:t>
      </w:r>
      <w:r>
        <w:t xml:space="preserve">requirements for financial markets (problem driver 1). Targeted changes would simplify and clarify</w:t>
      </w:r>
      <w:r>
        <w:t xml:space="preserve"> </w:t>
      </w:r>
      <w:r>
        <w:t xml:space="preserve">some of the complex ESG concepts such as the ones under the Article 7, 8 and 9 (e.g. consideration</w:t>
      </w:r>
      <w:r>
        <w:t xml:space="preserve"> </w:t>
      </w:r>
      <w:r>
        <w:t xml:space="preserve">of principal adverse impacts and ESG characteristics). However, option 2.1. would not materially</w:t>
      </w:r>
      <w:r>
        <w:t xml:space="preserve"> </w:t>
      </w:r>
      <w:r>
        <w:t xml:space="preserve">reduce the amount of data points that need to be generated by data preparers and would not address</w:t>
      </w:r>
      <w:r>
        <w:t xml:space="preserve"> </w:t>
      </w:r>
      <w:r>
        <w:t xml:space="preserve">the difficulties they encounter when trying to access the necessary data from underlying</w:t>
      </w:r>
      <w:r>
        <w:t xml:space="preserve"> </w:t>
      </w:r>
      <w:r>
        <w:t xml:space="preserve">investments (problem driver 3). It would therefore not fulfil in a satisfactory way the specific</w:t>
      </w:r>
      <w:r>
        <w:t xml:space="preserve"> </w:t>
      </w:r>
      <w:r>
        <w:t xml:space="preserve">objective of simplifying and reducing administrative burdens.</w:t>
      </w:r>
      <w:r>
        <w:br/>
      </w:r>
      <w:r>
        <w:t xml:space="preserve">This option would also only partly satisfy the specific objective of improving end-investors’ ability</w:t>
      </w:r>
      <w:r>
        <w:t xml:space="preserve"> </w:t>
      </w:r>
      <w:r>
        <w:t xml:space="preserve">to understand and compare ESG products. The length and complexity of the disclosures has been</w:t>
      </w:r>
      <w:r>
        <w:t xml:space="preserve"> </w:t>
      </w:r>
      <w:r>
        <w:t xml:space="preserve">proven to be a barrier to investors’ (especially retail investors’) understanding (further explained in</w:t>
      </w:r>
      <w:r>
        <w:t xml:space="preserve"> </w:t>
      </w:r>
      <w:r>
        <w:t xml:space="preserve">section 2 and the evaluation annex). While comparability would be increased as a result of the</w:t>
      </w:r>
      <w:r>
        <w:t xml:space="preserve"> </w:t>
      </w:r>
      <w:r>
        <w:t xml:space="preserve">clarification of some concepts, investors would continue to be exposed to unnecessarily extensive</w:t>
      </w:r>
      <w:r>
        <w:t xml:space="preserve"> </w:t>
      </w:r>
      <w:r>
        <w:t xml:space="preserve">sustainability information and, as a result, would not be more likely to understand the key</w:t>
      </w:r>
      <w:r>
        <w:t xml:space="preserve"> </w:t>
      </w:r>
      <w:r>
        <w:t xml:space="preserve">sustainability features of products and would therefore not increase their protection against</w:t>
      </w:r>
      <w:r>
        <w:t xml:space="preserve"> </w:t>
      </w:r>
      <w:r>
        <w:t xml:space="preserve">potentially misleading ESG claims.</w:t>
      </w:r>
      <w:r>
        <w:br/>
      </w:r>
      <w:r>
        <w:t xml:space="preserve">Efficiency (costs)</w:t>
      </w:r>
      <w:r>
        <w:t xml:space="preserve"> </w:t>
      </w:r>
      <w:r>
        <w:t xml:space="preserve">This option is not expected to materially reduce the costs associated with product-level disclosures</w:t>
      </w:r>
      <w:r>
        <w:t xml:space="preserve"> </w:t>
      </w:r>
      <w:r>
        <w:t xml:space="preserve">in the baseline scenario, estimated to constitute around 75% of the overall annual recurring costs</w:t>
      </w:r>
      <w:r>
        <w:t xml:space="preserve"> </w:t>
      </w:r>
      <w:r>
        <w:t xml:space="preserve">linked to disclosures and to represent an annual total of EUR 190 million (see Annex 3, section</w:t>
      </w:r>
      <w:r>
        <w:t xml:space="preserve"> </w:t>
      </w:r>
      <w:r>
        <w:t xml:space="preserve">3.10)165.</w:t>
      </w:r>
      <w:r>
        <w:br/>
      </w:r>
      <w:r>
        <w:t xml:space="preserve">Coherence</w:t>
      </w:r>
      <w:r>
        <w:t xml:space="preserve"> </w:t>
      </w:r>
      <w:r>
        <w:t xml:space="preserve">There are multiple interlinkages between the SFDR product level disclosures and the rest of the</w:t>
      </w:r>
      <w:r>
        <w:t xml:space="preserve"> </w:t>
      </w:r>
      <w:r>
        <w:t xml:space="preserve">sustainable finance framework, as described in Annex 6. However, minimal changes that would be</w:t>
      </w:r>
    </w:p>
    <w:p>
      <w:pPr>
        <w:pStyle w:val="BodyText"/>
      </w:pPr>
      <w:r>
        <w:t xml:space="preserve">165 C. 75% of EUR 246 mn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restricted to clarification of certain terms would not have a considerable effect on the coherence</w:t>
      </w:r>
      <w:r>
        <w:t xml:space="preserve"> </w:t>
      </w:r>
      <w:r>
        <w:t xml:space="preserve">with other rules. More specifically, the misalignments between the SFDR definition of ‘sustainable</w:t>
      </w:r>
      <w:r>
        <w:t xml:space="preserve"> </w:t>
      </w:r>
      <w:r>
        <w:t xml:space="preserve">investment’ and similar concepts under the EU Taxonomy and the Benchmark Regulation would</w:t>
      </w:r>
      <w:r>
        <w:t xml:space="preserve"> </w:t>
      </w:r>
      <w:r>
        <w:t xml:space="preserve">not be addressed166.</w:t>
      </w:r>
      <w:r>
        <w:t xml:space="preserve"> </w:t>
      </w:r>
      <w:r>
        <w:t xml:space="preserve">Some targeted changes might be needed under the definition of sustainability preferences under</w:t>
      </w:r>
      <w:r>
        <w:t xml:space="preserve"> </w:t>
      </w:r>
      <w:r>
        <w:t xml:space="preserve">MiFID and IDD to ensure that the modified SFDR disclosures are reflected in the way distributors</w:t>
      </w:r>
      <w:r>
        <w:t xml:space="preserve"> </w:t>
      </w:r>
      <w:r>
        <w:t xml:space="preserve">assess clients’ sustainability preferences.</w:t>
      </w:r>
      <w:r>
        <w:br/>
      </w:r>
      <w:r>
        <w:t xml:space="preserve">Option 2.2.: significant reduction of product-level disclosures</w:t>
      </w:r>
      <w:r>
        <w:br/>
      </w:r>
      <w:r>
        <w:t xml:space="preserve">As explained in section 5.3.2, the specific content of the disclosures would be largely defined by</w:t>
      </w:r>
      <w:r>
        <w:t xml:space="preserve"> </w:t>
      </w:r>
      <w:r>
        <w:t xml:space="preserve">the type of category chosen and their underlying criteria. As a result, the analysis of the impacts of</w:t>
      </w:r>
      <w:r>
        <w:t xml:space="preserve"> </w:t>
      </w:r>
      <w:r>
        <w:t xml:space="preserve">this option is linked to such criteria (which are analysed under section 6.3.2, i.e. the analysis of the</w:t>
      </w:r>
      <w:r>
        <w:t xml:space="preserve"> </w:t>
      </w:r>
      <w:r>
        <w:t xml:space="preserve">impact of the categories) and described in section 5.4 and annex 8.</w:t>
      </w:r>
      <w:r>
        <w:br/>
      </w:r>
      <w:r>
        <w:t xml:space="preserve"> Expected benefits and potential drawbacks for data preparers (FMPs)</w:t>
      </w:r>
    </w:p>
    <w:p>
      <w:pPr>
        <w:pStyle w:val="BodyText"/>
      </w:pPr>
      <w:r>
        <w:t xml:space="preserve">Option 2.2 is expected to considerably cut costs for FMPs and give them more flexibility in the way</w:t>
      </w:r>
      <w:r>
        <w:t xml:space="preserve"> </w:t>
      </w:r>
      <w:r>
        <w:t xml:space="preserve">they can assess and explain the sustainability characteristics or objective of their products. Instead</w:t>
      </w:r>
      <w:r>
        <w:t xml:space="preserve"> </w:t>
      </w:r>
      <w:r>
        <w:t xml:space="preserve">of having to comply with a generic set of questions, relying on complex and data-intensive</w:t>
      </w:r>
      <w:r>
        <w:t xml:space="preserve"> </w:t>
      </w:r>
      <w:r>
        <w:t xml:space="preserve">concepts, FMPs will be able to focus on a shorter number of relevant metrics. The information is</w:t>
      </w:r>
      <w:r>
        <w:t xml:space="preserve"> </w:t>
      </w:r>
      <w:r>
        <w:t xml:space="preserve">however presented in a standardised format through shorter templates. By introducing more</w:t>
      </w:r>
      <w:r>
        <w:t xml:space="preserve"> </w:t>
      </w:r>
      <w:r>
        <w:t xml:space="preserve">extensive cuts to requirements estimated to account for 75% of the costs of the current regime (see</w:t>
      </w:r>
      <w:r>
        <w:t xml:space="preserve"> </w:t>
      </w:r>
      <w:r>
        <w:t xml:space="preserve">also under ‘efficiency’ below), the burden reduction would be expected to be higher than 25%,</w:t>
      </w:r>
      <w:r>
        <w:t xml:space="preserve"> </w:t>
      </w:r>
      <w:r>
        <w:t xml:space="preserve">moving away from the set of about 25 questions to a few indicators and a short template for FMPs</w:t>
      </w:r>
      <w:r>
        <w:t xml:space="preserve"> </w:t>
      </w:r>
      <w:r>
        <w:t xml:space="preserve">to prove their criteria.</w:t>
      </w:r>
      <w:r>
        <w:br/>
      </w:r>
      <w:r>
        <w:t xml:space="preserve">The main drawbacks for data preparers would be linked to the transition costs and potential ‘lost’</w:t>
      </w:r>
      <w:r>
        <w:t xml:space="preserve"> </w:t>
      </w:r>
      <w:r>
        <w:t xml:space="preserve">implementation efforts and costs from the implementation of the current reporting approach.</w:t>
      </w:r>
      <w:r>
        <w:br/>
      </w:r>
      <w:r>
        <w:t xml:space="preserve"> Expected benefits and potential drawbacks for data users (mainly investors and supervisors)</w:t>
      </w:r>
    </w:p>
    <w:p>
      <w:pPr>
        <w:pStyle w:val="BodyText"/>
      </w:pPr>
      <w:r>
        <w:t xml:space="preserve">The set of disclosures would be shorter, more comparable, and relevant based on a product’s key</w:t>
      </w:r>
      <w:r>
        <w:t xml:space="preserve"> </w:t>
      </w:r>
      <w:r>
        <w:t xml:space="preserve">sustainability objectives or characteristics. As a result, while end-investors and distributors would</w:t>
      </w:r>
      <w:r>
        <w:t xml:space="preserve"> </w:t>
      </w:r>
      <w:r>
        <w:t xml:space="preserve">lose some information compared to today’s situation, as the templates would not cover the wide</w:t>
      </w:r>
      <w:r>
        <w:t xml:space="preserve"> </w:t>
      </w:r>
      <w:r>
        <w:t xml:space="preserve">range of SFDR sustainability concepts for all products anymore, they would have access to much</w:t>
      </w:r>
      <w:r>
        <w:t xml:space="preserve"> </w:t>
      </w:r>
      <w:r>
        <w:t xml:space="preserve">more relevant and consistent information. Shorter and standardised templates containing the</w:t>
      </w:r>
      <w:r>
        <w:t xml:space="preserve"> </w:t>
      </w:r>
      <w:r>
        <w:t xml:space="preserve">disclosures around the criteria are expected to give end-investors and distributors a much better</w:t>
      </w:r>
      <w:r>
        <w:t xml:space="preserve"> </w:t>
      </w:r>
      <w:r>
        <w:t xml:space="preserve">sense of the levels of ambition of each product, and allow for an easier comparability of the</w:t>
      </w:r>
      <w:r>
        <w:t xml:space="preserve"> </w:t>
      </w:r>
      <w:r>
        <w:t xml:space="preserve">information across products.</w:t>
      </w:r>
      <w:r>
        <w:br/>
      </w:r>
      <w:r>
        <w:t xml:space="preserve">In addition, option 2.2. would rely on a terminology that would be much more understandable by</w:t>
      </w:r>
      <w:r>
        <w:t xml:space="preserve"> </w:t>
      </w:r>
      <w:r>
        <w:t xml:space="preserve">non-experts. The language used by FMPs would move away from technical jargon such as</w:t>
      </w:r>
      <w:r>
        <w:t xml:space="preserve"> </w:t>
      </w:r>
      <w:r>
        <w:t xml:space="preserve">‘consideration of principal adverse impacts’, and would instead focus on sectoral exclusions, basic</w:t>
      </w:r>
      <w:r>
        <w:t xml:space="preserve"> </w:t>
      </w:r>
      <w:r>
        <w:t xml:space="preserve">ESG KPIs and a simple explanation of the objective to which the financial product contributes or its</w:t>
      </w:r>
      <w:r>
        <w:t xml:space="preserve"> </w:t>
      </w:r>
      <w:r>
        <w:t xml:space="preserve">main ESG characteristics (e.g. additional exclusions, filters based on best performers etc).</w:t>
      </w:r>
    </w:p>
    <w:p>
      <w:pPr>
        <w:pStyle w:val="BodyText"/>
      </w:pPr>
      <w:r>
        <w:t xml:space="preserve">166 See an explanation of these misalignments in the evaluation annex under the coherence section 3.1.2. ‘misalignments</w:t>
      </w:r>
      <w:r>
        <w:t xml:space="preserve"> </w:t>
      </w:r>
      <w:r>
        <w:t xml:space="preserve">with environmentally sustainable economic activities’ under the EU Taxonomy’ and ‘misalignments with the</w:t>
      </w:r>
      <w:r>
        <w:t xml:space="preserve"> </w:t>
      </w:r>
      <w:r>
        <w:t xml:space="preserve">Benchmarks Regulation’.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 Overall assessment: effectiveness, efficiency and coherence</w:t>
      </w:r>
    </w:p>
    <w:p>
      <w:pPr>
        <w:pStyle w:val="BodyText"/>
      </w:pPr>
      <w:r>
        <w:t xml:space="preserve">Effectiveness in addressing the specific problems</w:t>
      </w:r>
      <w:r>
        <w:br/>
      </w:r>
      <w:r>
        <w:t xml:space="preserve">Option 2.2 would tackle challenges linked to the complexity of the current rules and to data</w:t>
      </w:r>
      <w:r>
        <w:t xml:space="preserve"> </w:t>
      </w:r>
      <w:r>
        <w:t xml:space="preserve">availability (problem drivers 1 and 3) and largely simplify and reduce the sustainability related</w:t>
      </w:r>
      <w:r>
        <w:t xml:space="preserve"> </w:t>
      </w:r>
      <w:r>
        <w:t xml:space="preserve">disclosure requirements for financial markets and therefore fulfil the specific objective of</w:t>
      </w:r>
      <w:r>
        <w:t xml:space="preserve"> </w:t>
      </w:r>
      <w:r>
        <w:t xml:space="preserve">simplifying and reducing administrative burdens. First, the disclosures would rely on simpler and</w:t>
      </w:r>
      <w:r>
        <w:t xml:space="preserve"> </w:t>
      </w:r>
      <w:r>
        <w:t xml:space="preserve">clearer concepts (as described in section 6.3) which are less data intensive. For example, instead of</w:t>
      </w:r>
      <w:r>
        <w:t xml:space="preserve"> </w:t>
      </w:r>
      <w:r>
        <w:t xml:space="preserve">analysing the performance of a financial product against a large amount of sustainability concepts</w:t>
      </w:r>
      <w:r>
        <w:t xml:space="preserve"> </w:t>
      </w:r>
      <w:r>
        <w:t xml:space="preserve">(such as the consideration of principal adverse impacts, the alignment with the EU Taxonomy</w:t>
      </w:r>
      <w:r>
        <w:t xml:space="preserve"> </w:t>
      </w:r>
      <w:r>
        <w:t xml:space="preserve">criteria etc), FMPs will be able to focus their sustainability assessment and reporting on metrics that</w:t>
      </w:r>
      <w:r>
        <w:t xml:space="preserve"> </w:t>
      </w:r>
      <w:r>
        <w:t xml:space="preserve">are relevant to their products. The data points to be reported would be significantly reduced.</w:t>
      </w:r>
      <w:r>
        <w:br/>
      </w:r>
      <w:r>
        <w:t xml:space="preserve">Option 2.2 would also largely satisfy the specific objective of improving end-investors’ ability to</w:t>
      </w:r>
      <w:r>
        <w:t xml:space="preserve"> </w:t>
      </w:r>
      <w:r>
        <w:t xml:space="preserve">understand and compare ESG products by setting up shorter, simpler and adequate disclosures</w:t>
      </w:r>
      <w:r>
        <w:t xml:space="preserve"> </w:t>
      </w:r>
      <w:r>
        <w:t xml:space="preserve">based on the products’ features. The categorisation of the product would reveal its main key</w:t>
      </w:r>
      <w:r>
        <w:t xml:space="preserve"> </w:t>
      </w:r>
      <w:r>
        <w:t xml:space="preserve">features providing investors and distributors with the essential reassurance of what it aims to</w:t>
      </w:r>
      <w:r>
        <w:t xml:space="preserve"> </w:t>
      </w:r>
      <w:r>
        <w:t xml:space="preserve">achieve, minimising the need for additional disclosures which can overwhelm investors. These</w:t>
      </w:r>
      <w:r>
        <w:t xml:space="preserve"> </w:t>
      </w:r>
      <w:r>
        <w:t xml:space="preserve">disclosures are also expected to be more comparable, enabling investors to easily compare products</w:t>
      </w:r>
      <w:r>
        <w:t xml:space="preserve"> </w:t>
      </w:r>
      <w:r>
        <w:t xml:space="preserve">that fall under the same category. The length of the reporting templates would be considerably</w:t>
      </w:r>
      <w:r>
        <w:t xml:space="preserve"> </w:t>
      </w:r>
      <w:r>
        <w:t xml:space="preserve">shortened and would focus on what is relevant for an end-investor decision making.</w:t>
      </w:r>
      <w:r>
        <w:t xml:space="preserve"> </w:t>
      </w:r>
      <w:r>
        <w:t xml:space="preserve">Efficiency (costs)</w:t>
      </w:r>
      <w:r>
        <w:t xml:space="preserve"> </w:t>
      </w:r>
      <w:r>
        <w:t xml:space="preserve">Compared to option 2.1, this option is assessed to help reduce a far greater share of the costs</w:t>
      </w:r>
      <w:r>
        <w:t xml:space="preserve"> </w:t>
      </w:r>
      <w:r>
        <w:t xml:space="preserve">associated with product-level disclosures in the baseline scenario, estimated to constitute around</w:t>
      </w:r>
      <w:r>
        <w:t xml:space="preserve"> </w:t>
      </w:r>
      <w:r>
        <w:t xml:space="preserve">75% of the overall costs linked to disclosures and to represent an annual total of EUR 190 million.</w:t>
      </w:r>
      <w:r>
        <w:t xml:space="preserve"> </w:t>
      </w:r>
      <w:r>
        <w:t xml:space="preserve">Based on the analysis in Annex 3, in spite of some initial one-off adjustment costs, a conservative</w:t>
      </w:r>
      <w:r>
        <w:t xml:space="preserve"> </w:t>
      </w:r>
      <w:r>
        <w:t xml:space="preserve">estimate of the long-run cost reduction for SMEs in aggregate could amount to EUR 35 million and</w:t>
      </w:r>
      <w:r>
        <w:t xml:space="preserve"> </w:t>
      </w:r>
      <w:r>
        <w:t xml:space="preserve">to EUR 20 million for larger FMPs.</w:t>
      </w:r>
      <w:r>
        <w:br/>
      </w:r>
      <w:r>
        <w:t xml:space="preserve">Coherence</w:t>
      </w:r>
      <w:r>
        <w:t xml:space="preserve"> </w:t>
      </w:r>
      <w:r>
        <w:t xml:space="preserve">As described under option 2.2, and to overcome misalignments and duplications with other parts of</w:t>
      </w:r>
      <w:r>
        <w:t xml:space="preserve"> </w:t>
      </w:r>
      <w:r>
        <w:t xml:space="preserve">the sustainable finance framework (problem driver 2), any changes to the SFDR concepts and</w:t>
      </w:r>
      <w:r>
        <w:t xml:space="preserve"> </w:t>
      </w:r>
      <w:r>
        <w:t xml:space="preserve">product level disclosures would need to be reflected in other parts of the sustainable finance</w:t>
      </w:r>
      <w:r>
        <w:t xml:space="preserve"> </w:t>
      </w:r>
      <w:r>
        <w:t xml:space="preserve">framework. In fact, a perfect alignment between the SFDR disclosures and the definition of</w:t>
      </w:r>
      <w:r>
        <w:t xml:space="preserve"> </w:t>
      </w:r>
      <w:r>
        <w:t xml:space="preserve">sustainability preferences under MiFID and IDD will be necessary. This would entail amendments</w:t>
      </w:r>
      <w:r>
        <w:t xml:space="preserve"> </w:t>
      </w:r>
      <w:r>
        <w:t xml:space="preserve">to the corresponding delegated acts under MiFID and IDD and for distributors to integrate</w:t>
      </w:r>
      <w:r>
        <w:t xml:space="preserve"> </w:t>
      </w:r>
      <w:r>
        <w:t xml:space="preserve">information on categorisation in their processes. This can induce some initial implementation costs,</w:t>
      </w:r>
      <w:r>
        <w:t xml:space="preserve"> </w:t>
      </w:r>
      <w:r>
        <w:t xml:space="preserve">but which will reduce the burdens on distributors overtime.</w:t>
      </w:r>
      <w:r>
        <w:br/>
      </w:r>
      <w:r>
        <w:t xml:space="preserve">The future SFDR product level disclosures would need to be aligned with the CSRD disclosures to</w:t>
      </w:r>
      <w:r>
        <w:t xml:space="preserve"> </w:t>
      </w:r>
      <w:r>
        <w:t xml:space="preserve">facilitate that ESG information required from FMPs is available from CSRD companies. The details</w:t>
      </w:r>
      <w:r>
        <w:t xml:space="preserve"> </w:t>
      </w:r>
      <w:r>
        <w:t xml:space="preserve">of the SFDR disclosures would therefore need to be set in a subsequent level 2 act, following the</w:t>
      </w:r>
      <w:r>
        <w:t xml:space="preserve"> </w:t>
      </w:r>
      <w:r>
        <w:t xml:space="preserve">adoption of the simplified ESRS.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Comparative assessment of the impacts</w:t>
      </w:r>
      <w:r>
        <w:t xml:space="preserve"> </w:t>
      </w:r>
      <w:r>
        <w:t xml:space="preserve">Legend: +++ = Very positive ++ = Positive + = Slightly positive +/- = Mixed effect 0 = no</w:t>
      </w:r>
      <w:r>
        <w:t xml:space="preserve"> </w:t>
      </w:r>
      <w:r>
        <w:t xml:space="preserve">effect - = Slightly negative – = Negative — = very negative</w:t>
      </w:r>
    </w:p>
    <w:p>
      <w:pPr>
        <w:pStyle w:val="BodyText"/>
      </w:pPr>
      <w:r>
        <w:t xml:space="preserve">Option 0</w:t>
      </w:r>
      <w:r>
        <w:t xml:space="preserve"> </w:t>
      </w:r>
      <w:r>
        <w:t xml:space="preserve">Option 2.1</w:t>
      </w:r>
      <w:r>
        <w:t xml:space="preserve"> </w:t>
      </w:r>
      <w:r>
        <w:t xml:space="preserve">Option 2.2</w:t>
      </w:r>
      <w:r>
        <w:t xml:space="preserve"> </w:t>
      </w:r>
      <w:r>
        <w:t xml:space="preserve">Effectiveness:</w:t>
      </w:r>
      <w:r>
        <w:t xml:space="preserve"> </w:t>
      </w:r>
      <w:r>
        <w:t xml:space="preserve">In simplifying and reducing the sustainability related requirements for FMPs</w:t>
      </w:r>
    </w:p>
    <w:p>
      <w:pPr>
        <w:pStyle w:val="BodyText"/>
      </w:pPr>
      <w:r>
        <w:t xml:space="preserve">Removes all product level</w:t>
      </w:r>
      <w:r>
        <w:t xml:space="preserve"> </w:t>
      </w:r>
      <w:r>
        <w:t xml:space="preserve">disclosure requirements.</w:t>
      </w:r>
      <w:r>
        <w:t xml:space="preserve"> </w:t>
      </w:r>
      <w:r>
        <w:t xml:space="preserve">+++</w:t>
      </w:r>
      <w:r>
        <w:t xml:space="preserve"> </w:t>
      </w:r>
      <w:r>
        <w:t xml:space="preserve">Partly</w:t>
      </w:r>
      <w:r>
        <w:t xml:space="preserve"> </w:t>
      </w:r>
      <w:r>
        <w:t xml:space="preserve">addresses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challenges</w:t>
      </w:r>
      <w:r>
        <w:t xml:space="preserve"> </w:t>
      </w:r>
      <w:r>
        <w:t xml:space="preserve">through targeted changes, but the</w:t>
      </w:r>
      <w:r>
        <w:t xml:space="preserve"> </w:t>
      </w:r>
      <w:r>
        <w:t xml:space="preserve">bulk of the reporting burdens and</w:t>
      </w:r>
      <w:r>
        <w:t xml:space="preserve"> </w:t>
      </w:r>
      <w:r>
        <w:t xml:space="preserve">challenges would remain</w:t>
      </w:r>
      <w:r>
        <w:t xml:space="preserve"> </w:t>
      </w:r>
      <w:r>
        <w:t xml:space="preserve">+</w:t>
      </w:r>
      <w:r>
        <w:t xml:space="preserve"> </w:t>
      </w:r>
      <w:r>
        <w:t xml:space="preserve">Largely simplifies and reduces</w:t>
      </w:r>
      <w:r>
        <w:t xml:space="preserve"> </w:t>
      </w:r>
      <w:r>
        <w:t xml:space="preserve">the disclosure requirements by</w:t>
      </w:r>
      <w:r>
        <w:t xml:space="preserve"> </w:t>
      </w:r>
      <w:r>
        <w:t xml:space="preserve">reducing drastically the amount</w:t>
      </w:r>
      <w:r>
        <w:t xml:space="preserve"> </w:t>
      </w:r>
      <w:r>
        <w:t xml:space="preserve">of data points and relying on</w:t>
      </w:r>
      <w:r>
        <w:t xml:space="preserve"> </w:t>
      </w:r>
      <w:r>
        <w:t xml:space="preserve">much simpler concepts.</w:t>
      </w:r>
      <w:r>
        <w:br/>
      </w:r>
      <w:r>
        <w:t xml:space="preserve">+++</w:t>
      </w:r>
      <w:r>
        <w:t xml:space="preserve"> </w:t>
      </w:r>
      <w:r>
        <w:t xml:space="preserve">In improving end-investors’ ability to understand and compare ESG products</w:t>
      </w:r>
    </w:p>
    <w:p>
      <w:pPr>
        <w:pStyle w:val="BodyText"/>
      </w:pPr>
      <w:r>
        <w:t xml:space="preserve">Removes</w:t>
      </w:r>
      <w:r>
        <w:t xml:space="preserve"> </w:t>
      </w:r>
      <w:r>
        <w:t xml:space="preserve">lengthy</w:t>
      </w:r>
      <w:r>
        <w:t xml:space="preserve"> </w:t>
      </w:r>
      <w:r>
        <w:t xml:space="preserve">and</w:t>
      </w:r>
      <w:r>
        <w:t xml:space="preserve"> </w:t>
      </w:r>
      <w:r>
        <w:t xml:space="preserve">unclear</w:t>
      </w:r>
      <w:r>
        <w:t xml:space="preserve"> </w:t>
      </w:r>
      <w:r>
        <w:t xml:space="preserve">product</w:t>
      </w:r>
      <w:r>
        <w:t xml:space="preserve"> </w:t>
      </w:r>
      <w:r>
        <w:t xml:space="preserve">level</w:t>
      </w:r>
      <w:r>
        <w:t xml:space="preserve"> </w:t>
      </w:r>
      <w:r>
        <w:t xml:space="preserve">disclosures but leaves a</w:t>
      </w:r>
      <w:r>
        <w:t xml:space="preserve"> </w:t>
      </w:r>
      <w:r>
        <w:t xml:space="preserve">regulatory void in terms of</w:t>
      </w:r>
      <w:r>
        <w:t xml:space="preserve"> </w:t>
      </w:r>
      <w:r>
        <w:t xml:space="preserve">structured ESG information</w:t>
      </w:r>
      <w:r>
        <w:t xml:space="preserve"> </w:t>
      </w:r>
      <w:r>
        <w:t xml:space="preserve">or</w:t>
      </w:r>
      <w:r>
        <w:t xml:space="preserve"> </w:t>
      </w:r>
      <w:r>
        <w:t xml:space="preserve">products,</w:t>
      </w:r>
      <w:r>
        <w:t xml:space="preserve"> </w:t>
      </w:r>
      <w:r>
        <w:t xml:space="preserve">increasing</w:t>
      </w:r>
      <w:r>
        <w:t xml:space="preserve"> </w:t>
      </w:r>
      <w:r>
        <w:t xml:space="preserve">search costs and leaving</w:t>
      </w:r>
      <w:r>
        <w:t xml:space="preserve"> </w:t>
      </w:r>
      <w:r>
        <w:t xml:space="preserve">investors</w:t>
      </w:r>
      <w:r>
        <w:t xml:space="preserve"> </w:t>
      </w:r>
      <w:r>
        <w:t xml:space="preserve">dependent</w:t>
      </w:r>
      <w:r>
        <w:t xml:space="preserve"> </w:t>
      </w:r>
      <w:r>
        <w:t xml:space="preserve">on</w:t>
      </w:r>
      <w:r>
        <w:t xml:space="preserve"> </w:t>
      </w:r>
      <w:r>
        <w:t xml:space="preserve">market-based solutions, with</w:t>
      </w:r>
      <w:r>
        <w:t xml:space="preserve"> </w:t>
      </w:r>
      <w:r>
        <w:t xml:space="preserve">possible</w:t>
      </w:r>
      <w:r>
        <w:t xml:space="preserve"> </w:t>
      </w:r>
      <w:r>
        <w:t xml:space="preserve">risks</w:t>
      </w:r>
      <w:r>
        <w:t xml:space="preserve"> </w:t>
      </w:r>
      <w:r>
        <w:t xml:space="preserve">of</w:t>
      </w:r>
      <w:r>
        <w:t xml:space="preserve"> </w:t>
      </w:r>
      <w:r>
        <w:t xml:space="preserve">greenwashing.</w:t>
      </w:r>
      <w:r>
        <w:t xml:space="preserve"> </w:t>
      </w:r>
      <w:r>
        <w:t xml:space="preserve">–</w:t>
      </w:r>
      <w:r>
        <w:t xml:space="preserve"> </w:t>
      </w:r>
      <w:r>
        <w:t xml:space="preserve">Partly addresses the barriers to</w:t>
      </w:r>
      <w:r>
        <w:t xml:space="preserve"> </w:t>
      </w:r>
      <w:r>
        <w:t xml:space="preserve">investors’</w:t>
      </w:r>
      <w:r>
        <w:t xml:space="preserve"> </w:t>
      </w:r>
      <w:r>
        <w:t xml:space="preserve">understanding</w:t>
      </w:r>
      <w:r>
        <w:t xml:space="preserve"> </w:t>
      </w:r>
      <w:r>
        <w:t xml:space="preserve">and</w:t>
      </w:r>
      <w:r>
        <w:t xml:space="preserve"> </w:t>
      </w:r>
      <w:r>
        <w:t xml:space="preserve">improves</w:t>
      </w:r>
      <w:r>
        <w:t xml:space="preserve"> </w:t>
      </w:r>
      <w:r>
        <w:t xml:space="preserve">comparability.</w:t>
      </w:r>
      <w:r>
        <w:t xml:space="preserve"> </w:t>
      </w:r>
      <w:r>
        <w:t xml:space="preserve">However, it does not address the</w:t>
      </w:r>
      <w:r>
        <w:t xml:space="preserve"> </w:t>
      </w:r>
      <w:r>
        <w:t xml:space="preserve">complexity and length of the</w:t>
      </w:r>
      <w:r>
        <w:t xml:space="preserve"> </w:t>
      </w:r>
      <w:r>
        <w:t xml:space="preserve">disclosures,</w:t>
      </w:r>
      <w:r>
        <w:t xml:space="preserve"> </w:t>
      </w:r>
      <w:r>
        <w:t xml:space="preserve">which</w:t>
      </w:r>
      <w:r>
        <w:t xml:space="preserve"> </w:t>
      </w:r>
      <w:r>
        <w:t xml:space="preserve">prevent</w:t>
      </w:r>
      <w:r>
        <w:t xml:space="preserve"> </w:t>
      </w:r>
      <w:r>
        <w:t xml:space="preserve">investors</w:t>
      </w:r>
      <w:r>
        <w:t xml:space="preserve"> </w:t>
      </w:r>
      <w:r>
        <w:t xml:space="preserve">from</w:t>
      </w:r>
      <w:r>
        <w:t xml:space="preserve"> </w:t>
      </w:r>
      <w:r>
        <w:t xml:space="preserve">easily</w:t>
      </w:r>
      <w:r>
        <w:t xml:space="preserve"> </w:t>
      </w:r>
      <w:r>
        <w:t xml:space="preserve">understanding the disclosures.</w:t>
      </w:r>
      <w:r>
        <w:br/>
      </w:r>
      <w:r>
        <w:t xml:space="preserve">+</w:t>
      </w:r>
      <w:r>
        <w:t xml:space="preserve"> </w:t>
      </w:r>
      <w:r>
        <w:t xml:space="preserve">Largely</w:t>
      </w:r>
      <w:r>
        <w:t xml:space="preserve"> </w:t>
      </w:r>
      <w:r>
        <w:t xml:space="preserve">improves</w:t>
      </w:r>
      <w:r>
        <w:t xml:space="preserve"> </w:t>
      </w:r>
      <w:r>
        <w:t xml:space="preserve">investors’</w:t>
      </w:r>
      <w:r>
        <w:t xml:space="preserve"> </w:t>
      </w:r>
      <w:r>
        <w:t xml:space="preserve">understanding and would address</w:t>
      </w:r>
      <w:r>
        <w:t xml:space="preserve"> </w:t>
      </w:r>
      <w:r>
        <w:t xml:space="preserve">the complexity and length of the</w:t>
      </w:r>
      <w:r>
        <w:t xml:space="preserve"> </w:t>
      </w:r>
      <w:r>
        <w:t xml:space="preserve">current templates.</w:t>
      </w:r>
      <w:r>
        <w:t xml:space="preserve"> </w:t>
      </w:r>
      <w:r>
        <w:t xml:space="preserve">+++</w:t>
      </w:r>
      <w:r>
        <w:t xml:space="preserve"> </w:t>
      </w:r>
      <w:r>
        <w:t xml:space="preserve">Overall effectiveness</w:t>
      </w:r>
      <w:r>
        <w:t xml:space="preserve"> </w:t>
      </w:r>
      <w:r>
        <w:t xml:space="preserve">+/-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Efficiency</w:t>
      </w:r>
      <w:r>
        <w:br/>
      </w:r>
      <w:r>
        <w:t xml:space="preserve">Removes any costs linked to</w:t>
      </w:r>
      <w:r>
        <w:t xml:space="preserve"> </w:t>
      </w:r>
      <w:r>
        <w:t xml:space="preserve">product-level</w:t>
      </w:r>
      <w:r>
        <w:t xml:space="preserve"> </w:t>
      </w:r>
      <w:r>
        <w:t xml:space="preserve">ESG</w:t>
      </w:r>
      <w:r>
        <w:t xml:space="preserve"> </w:t>
      </w:r>
      <w:r>
        <w:t xml:space="preserve">disclosures but subjects all</w:t>
      </w:r>
      <w:r>
        <w:t xml:space="preserve"> </w:t>
      </w:r>
      <w:r>
        <w:t xml:space="preserve">SFDR investments to new</w:t>
      </w:r>
      <w:r>
        <w:t xml:space="preserve"> </w:t>
      </w:r>
      <w:r>
        <w:t xml:space="preserve">uncertainty.</w:t>
      </w:r>
      <w:r>
        <w:t xml:space="preserve"> </w:t>
      </w:r>
      <w:r>
        <w:t xml:space="preserve">+/-</w:t>
      </w:r>
      <w:r>
        <w:t xml:space="preserve"> </w:t>
      </w:r>
      <w:r>
        <w:t xml:space="preserve">Does not materially reduce the</w:t>
      </w:r>
      <w:r>
        <w:t xml:space="preserve"> </w:t>
      </w:r>
      <w:r>
        <w:t xml:space="preserve">costs associated with product-</w:t>
      </w:r>
      <w:r>
        <w:t xml:space="preserve"> </w:t>
      </w:r>
      <w:r>
        <w:t xml:space="preserve">level disclosures (see Annex 3).</w:t>
      </w:r>
      <w:r>
        <w:t xml:space="preserve"> </w:t>
      </w:r>
      <w:r>
        <w:t xml:space="preserve">0</w:t>
      </w:r>
      <w:r>
        <w:t xml:space="preserve"> </w:t>
      </w:r>
      <w:r>
        <w:t xml:space="preserve">Reduces a great share of the costs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product-level</w:t>
      </w:r>
      <w:r>
        <w:t xml:space="preserve"> </w:t>
      </w:r>
      <w:r>
        <w:t xml:space="preserve">disclosures (see Annex 3)</w:t>
      </w:r>
      <w:r>
        <w:t xml:space="preserve"> </w:t>
      </w:r>
      <w:r>
        <w:t xml:space="preserve">+++</w:t>
      </w:r>
      <w:r>
        <w:t xml:space="preserve"> </w:t>
      </w:r>
      <w:r>
        <w:t xml:space="preserve">Coherence</w:t>
      </w:r>
      <w:r>
        <w:br/>
      </w:r>
      <w:r>
        <w:t xml:space="preserve">Some duplications with the</w:t>
      </w:r>
      <w:r>
        <w:t xml:space="preserve"> </w:t>
      </w:r>
      <w:r>
        <w:t xml:space="preserve">rest of the SF framework are</w:t>
      </w:r>
      <w:r>
        <w:t xml:space="preserve"> </w:t>
      </w:r>
      <w:r>
        <w:t xml:space="preserve">eliminated,</w:t>
      </w:r>
      <w:r>
        <w:t xml:space="preserve"> </w:t>
      </w:r>
      <w:r>
        <w:t xml:space="preserve">but</w:t>
      </w:r>
      <w:r>
        <w:t xml:space="preserve"> </w:t>
      </w:r>
      <w:r>
        <w:t xml:space="preserve">new</w:t>
      </w:r>
      <w:r>
        <w:t xml:space="preserve"> </w:t>
      </w:r>
      <w:r>
        <w:t xml:space="preserve">coherence</w:t>
      </w:r>
      <w:r>
        <w:t xml:space="preserve"> </w:t>
      </w:r>
      <w:r>
        <w:t xml:space="preserve">problems</w:t>
      </w:r>
      <w:r>
        <w:t xml:space="preserve"> </w:t>
      </w:r>
      <w:r>
        <w:t xml:space="preserve">and</w:t>
      </w:r>
      <w:r>
        <w:t xml:space="preserve"> </w:t>
      </w:r>
      <w:r>
        <w:t xml:space="preserve">challenges for the single</w:t>
      </w:r>
      <w:r>
        <w:t xml:space="preserve"> </w:t>
      </w:r>
      <w:r>
        <w:t xml:space="preserve">market would emerge with</w:t>
      </w:r>
      <w:r>
        <w:t xml:space="preserve"> </w:t>
      </w:r>
      <w:r>
        <w:t xml:space="preserve">the</w:t>
      </w:r>
      <w:r>
        <w:t xml:space="preserve"> </w:t>
      </w:r>
      <w:r>
        <w:t xml:space="preserve">Omnibus,</w:t>
      </w:r>
      <w:r>
        <w:t xml:space="preserve"> </w:t>
      </w:r>
      <w:r>
        <w:t xml:space="preserve">ESMA</w:t>
      </w:r>
      <w:r>
        <w:t xml:space="preserve"> </w:t>
      </w:r>
      <w:r>
        <w:t xml:space="preserve">guidelines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further</w:t>
      </w:r>
      <w:r>
        <w:t xml:space="preserve"> </w:t>
      </w:r>
      <w:r>
        <w:t xml:space="preserve">national rules.</w:t>
      </w:r>
      <w:r>
        <w:t xml:space="preserve"> </w:t>
      </w:r>
      <w:r>
        <w:t xml:space="preserve">–</w:t>
      </w:r>
      <w:r>
        <w:t xml:space="preserve"> </w:t>
      </w:r>
      <w:r>
        <w:t xml:space="preserve">No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interactions between the SFDR</w:t>
      </w:r>
      <w:r>
        <w:t xml:space="preserve"> </w:t>
      </w:r>
      <w:r>
        <w:t xml:space="preserve">and other SF rules.</w:t>
      </w:r>
      <w:r>
        <w:t xml:space="preserve"> </w:t>
      </w:r>
      <w:r>
        <w:t xml:space="preserve">0</w:t>
      </w:r>
      <w:r>
        <w:t xml:space="preserve"> </w:t>
      </w:r>
      <w:r>
        <w:t xml:space="preserve">No</w:t>
      </w:r>
      <w:r>
        <w:t xml:space="preserve"> </w:t>
      </w:r>
      <w:r>
        <w:t xml:space="preserve">effect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current</w:t>
      </w:r>
      <w:r>
        <w:t xml:space="preserve"> </w:t>
      </w:r>
      <w:r>
        <w:t xml:space="preserve">interactions between the SFDR</w:t>
      </w:r>
      <w:r>
        <w:t xml:space="preserve"> </w:t>
      </w:r>
      <w:r>
        <w:t xml:space="preserve">and other SF rules.</w:t>
      </w:r>
      <w:r>
        <w:br/>
      </w:r>
      <w:r>
        <w:t xml:space="preserve">0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Stakeholders feedback</w:t>
      </w:r>
      <w:r>
        <w:br/>
      </w:r>
      <w:r>
        <w:t xml:space="preserve">The overwhelming support (90%) among of consultation-respondents for better transparency in</w:t>
      </w:r>
      <w:r>
        <w:t xml:space="preserve"> </w:t>
      </w:r>
      <w:r>
        <w:t xml:space="preserve">ESG investing through appropriate sustainability-related disclosures, together with the continued</w:t>
      </w:r>
      <w:r>
        <w:t xml:space="preserve"> </w:t>
      </w:r>
      <w:r>
        <w:t xml:space="preserve">high interest in ESG investment opportunities among investors, is especially relevant to note for</w:t>
      </w:r>
      <w:r>
        <w:t xml:space="preserve"> </w:t>
      </w:r>
      <w:r>
        <w:t xml:space="preserve">product disclosures. The conclusion that stakeholder feedback does not favour a repeal of the SFDR</w:t>
      </w:r>
      <w:r>
        <w:t xml:space="preserve"> </w:t>
      </w:r>
      <w:r>
        <w:t xml:space="preserve">can be re-confirmed.</w:t>
      </w:r>
      <w:r>
        <w:t xml:space="preserve"> </w:t>
      </w:r>
      <w:r>
        <w:t xml:space="preserve">However, respondents to the public consultations largely agree that changes to the product-level</w:t>
      </w:r>
      <w:r>
        <w:t xml:space="preserve"> </w:t>
      </w:r>
      <w:r>
        <w:t xml:space="preserve">disclosures are warranted. In fact, 84% (249 out of 296) totally or mostly agreed that the disclosures</w:t>
      </w:r>
      <w:r>
        <w:t xml:space="preserve"> </w:t>
      </w:r>
      <w:r>
        <w:t xml:space="preserve">required by the SFDR are not sufficiently useful to investors, and 82% (247 out of 301) that some</w:t>
      </w:r>
      <w:r>
        <w:t xml:space="preserve"> </w:t>
      </w:r>
      <w:r>
        <w:t xml:space="preserve">of its requirements and concepts, such as ‘sustainable investment ’are not sufficiently clear for end-</w:t>
      </w:r>
      <w:r>
        <w:t xml:space="preserve"> </w:t>
      </w:r>
      <w:r>
        <w:t xml:space="preserve">investors.</w:t>
      </w:r>
      <w:r>
        <w:br/>
      </w:r>
      <w:r>
        <w:t xml:space="preserve">In terms of which KPIs are necessary for end-investors, a large majority of respondents answered</w:t>
      </w:r>
      <w:r>
        <w:t xml:space="preserve"> </w:t>
      </w:r>
      <w:r>
        <w:t xml:space="preserve">that the disclosures should be restricted to key meaningful indicators that are comparable across</w:t>
      </w:r>
      <w:r>
        <w:t xml:space="preserve"> </w:t>
      </w:r>
      <w:r>
        <w:t xml:space="preserve">different markets and asset classes and easily understandable for retail investors. Respondents</w:t>
      </w:r>
      <w:r>
        <w:t xml:space="preserve"> </w:t>
      </w:r>
      <w:r>
        <w:t xml:space="preserve">mostly mentioned climate, diversity and human rights as topics to be covered by the disclosures.</w:t>
      </w:r>
      <w:r>
        <w:t xml:space="preserve"> </w:t>
      </w:r>
      <w:r>
        <w:t xml:space="preserve">Conversely, some respondents, mainly from the NGO sector, suggested that there should be a</w:t>
      </w:r>
      <w:r>
        <w:t xml:space="preserve"> </w:t>
      </w:r>
      <w:r>
        <w:t xml:space="preserve">comprehensive set of disclosures which could include the mandatory PAIs, alignment with the EU</w:t>
      </w:r>
      <w:r>
        <w:t xml:space="preserve"> </w:t>
      </w:r>
      <w:r>
        <w:t xml:space="preserve">Taxonomy, percentage of investments in undertakings with a science-based transition plan,</w:t>
      </w:r>
      <w:r>
        <w:t xml:space="preserve"> </w:t>
      </w:r>
      <w:r>
        <w:t xml:space="preserve">exclusions and engagement.</w:t>
      </w:r>
      <w:r>
        <w:t xml:space="preserve"> </w:t>
      </w:r>
      <w:r>
        <w:t xml:space="preserve">55% (152 out of 274) of respondents totally or mostly agreed that products with sustainability</w:t>
      </w:r>
      <w:r>
        <w:t xml:space="preserve"> </w:t>
      </w:r>
      <w:r>
        <w:t xml:space="preserve">claims should be required to substantiate their claims with additional disclosure to ensure</w:t>
      </w:r>
      <w:r>
        <w:t xml:space="preserve"> </w:t>
      </w:r>
      <w:r>
        <w:t xml:space="preserve">credibility and prevent greenwashing. While there was no clear consensus about what these</w:t>
      </w:r>
      <w:r>
        <w:t xml:space="preserve"> </w:t>
      </w:r>
      <w:r>
        <w:t xml:space="preserve">qualitative and quantitative disclosures should be, the most cited ones include: sustainability</w:t>
      </w:r>
      <w:r>
        <w:t xml:space="preserve"> </w:t>
      </w:r>
      <w:r>
        <w:t xml:space="preserve">objectives, sustainable investment strategy and associated binding and measurable KPIs, minimum</w:t>
      </w:r>
      <w:r>
        <w:t xml:space="preserve"> </w:t>
      </w:r>
      <w:r>
        <w:t xml:space="preserve">standards of good governance, percentage of sustainable investments and Taxonomy-alignment,</w:t>
      </w:r>
      <w:r>
        <w:t xml:space="preserve"> </w:t>
      </w:r>
      <w:r>
        <w:t xml:space="preserve">decarbonisation targets, percentage of undertakings having a transition plan, applied exclusions,</w:t>
      </w:r>
      <w:r>
        <w:t xml:space="preserve"> </w:t>
      </w:r>
      <w:r>
        <w:t xml:space="preserve">engagement and voting policies and PAIs. Some respondents argued that such disclosures should be</w:t>
      </w:r>
      <w:r>
        <w:t xml:space="preserve"> </w:t>
      </w:r>
      <w:r>
        <w:t xml:space="preserve">set in a flexible manner to align with diverse product investment strategies and to accommodate</w:t>
      </w:r>
      <w:r>
        <w:t xml:space="preserve"> </w:t>
      </w:r>
      <w:r>
        <w:t xml:space="preserve">innovation and evolving market standards. On the other hand, others are of the view that these</w:t>
      </w:r>
      <w:r>
        <w:t xml:space="preserve"> </w:t>
      </w:r>
      <w:r>
        <w:t xml:space="preserve">disclosures should be set by the regulators and be identical for all financial products with</w:t>
      </w:r>
      <w:r>
        <w:t xml:space="preserve"> </w:t>
      </w:r>
      <w:r>
        <w:t xml:space="preserve">sustainability claims.</w:t>
      </w:r>
      <w:r>
        <w:t xml:space="preserve"> </w:t>
      </w:r>
      <w:r>
        <w:t xml:space="preserve">Lastly, many respondents agreed on the importance of aligning these disclosures with potential</w:t>
      </w:r>
      <w:r>
        <w:t xml:space="preserve"> </w:t>
      </w:r>
      <w:r>
        <w:t xml:space="preserve">product categories and that any changes to the SFDR disclosures would need to be reflected in the</w:t>
      </w:r>
      <w:r>
        <w:t xml:space="preserve"> </w:t>
      </w:r>
      <w:r>
        <w:t xml:space="preserve">MiFID and IDD sustainability preferences rules.</w:t>
      </w:r>
      <w:r>
        <w:t xml:space="preserve"> </w:t>
      </w:r>
      <w:r>
        <w:t xml:space="preserve">The responses to the call for evidence167 confirmed that a large majority of stakeholders across the</w:t>
      </w:r>
      <w:r>
        <w:t xml:space="preserve"> </w:t>
      </w:r>
      <w:r>
        <w:t xml:space="preserve">board welcome considerable simplifications to product level disclosures (for example by limiting</w:t>
      </w:r>
      <w:r>
        <w:t xml:space="preserve"> </w:t>
      </w:r>
      <w:r>
        <w:t xml:space="preserve">the number of pages for the pre-contractual document to 2 to 3 pages), focusing on key information</w:t>
      </w:r>
      <w:r>
        <w:t xml:space="preserve"> </w:t>
      </w:r>
      <w:r>
        <w:t xml:space="preserve">for investors regarding e.g. the potential classification of a product and adherence to associated</w:t>
      </w:r>
      <w:r>
        <w:t xml:space="preserve"> </w:t>
      </w:r>
      <w:r>
        <w:t xml:space="preserve">criteria, its main sustainability-linked objectives and strategy, and KPIs for measuring performance.</w:t>
      </w:r>
      <w:r>
        <w:br/>
      </w:r>
      <w:r>
        <w:t xml:space="preserve">Other economic, social, environmental and fundamental rights impacts</w:t>
      </w:r>
      <w:r>
        <w:br/>
      </w:r>
      <w:r>
        <w:t xml:space="preserve">The other impacts of the options are hard to assess as, aside from the repeal option, they will mainly</w:t>
      </w:r>
      <w:r>
        <w:t xml:space="preserve"> </w:t>
      </w:r>
      <w:r>
        <w:t xml:space="preserve">depend on the KPIs selected at level 2. The repeal option would again be a more drastic withdrawal</w:t>
      </w:r>
    </w:p>
    <w:p>
      <w:pPr>
        <w:pStyle w:val="BodyText"/>
      </w:pPr>
      <w:r>
        <w:t xml:space="preserve">167 Feedback gathered during the Call for Evidence which ran from 2 May to 30 May 2025.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by the EU from setting requirements for sustainability-linked information regarding financial</w:t>
      </w:r>
      <w:r>
        <w:t xml:space="preserve"> </w:t>
      </w:r>
      <w:r>
        <w:t xml:space="preserve">products, which could have more detrimental impacts in terms of real-world ESG outcomes,</w:t>
      </w:r>
      <w:r>
        <w:t xml:space="preserve"> </w:t>
      </w:r>
      <w:r>
        <w:t xml:space="preserve">whereas the other two options suggest keeping the existence of key ESG disclosures for financial</w:t>
      </w:r>
      <w:r>
        <w:t xml:space="preserve"> </w:t>
      </w:r>
      <w:r>
        <w:t xml:space="preserve">products, which will retain the positive indirect impact the SFDR currently has on social,</w:t>
      </w:r>
      <w:r>
        <w:t xml:space="preserve"> </w:t>
      </w:r>
      <w:r>
        <w:t xml:space="preserve">environmental and fundamental rights.</w:t>
      </w:r>
      <w:r>
        <w:br/>
      </w:r>
      <w:r>
        <w:t xml:space="preserve">Making these disclosures more efficient, clearer and understandable would result in better</w:t>
      </w:r>
      <w:r>
        <w:t xml:space="preserve"> </w:t>
      </w:r>
      <w:r>
        <w:t xml:space="preserve">information regarding the social, environmental and fundamental rights impacts of financial</w:t>
      </w:r>
      <w:r>
        <w:t xml:space="preserve"> </w:t>
      </w:r>
      <w:r>
        <w:t xml:space="preserve">products. This could in turn attract more private capital into products that have a genuine positive</w:t>
      </w:r>
      <w:r>
        <w:t xml:space="preserve"> </w:t>
      </w:r>
      <w:r>
        <w:t xml:space="preserve">impact, or mitigate better their negative impacts, on these aspects.</w:t>
      </w:r>
      <w:r>
        <w:br/>
      </w:r>
      <w:r>
        <w:t xml:space="preserve">6.3.</w:t>
      </w:r>
      <w:r>
        <w:t xml:space="preserve"> </w:t>
      </w:r>
      <w:r>
        <w:t xml:space="preserve">Options for setting up a clear and coherent sustainability-linked product</w:t>
      </w:r>
      <w:r>
        <w:t xml:space="preserve"> </w:t>
      </w:r>
      <w:r>
        <w:t xml:space="preserve">categorisation system</w:t>
      </w:r>
      <w:r>
        <w:t xml:space="preserve"> </w:t>
      </w:r>
      <w:r>
        <w:t xml:space="preserve">This section follows a two-step approach for the assessment of impacts. First, it assesses the general</w:t>
      </w:r>
      <w:r>
        <w:t xml:space="preserve"> </w:t>
      </w:r>
      <w:r>
        <w:t xml:space="preserve">impact of setting up categories following the approach of option 3.1 and 3.2 (i.e. with new criteria).</w:t>
      </w:r>
      <w:r>
        <w:t xml:space="preserve"> </w:t>
      </w:r>
      <w:r>
        <w:t xml:space="preserve">This step is done to isolate the general impacts of creating new categories and focuses on the</w:t>
      </w:r>
      <w:r>
        <w:t xml:space="preserve"> </w:t>
      </w:r>
      <w:r>
        <w:t xml:space="preserve">similarities shared by option 3.1 and 3.2. The analysis of the impact largely relies on the elements</w:t>
      </w:r>
      <w:r>
        <w:t xml:space="preserve"> </w:t>
      </w:r>
      <w:r>
        <w:t xml:space="preserve">of the criteria described in section 5.4 (see box 3). While details for such criteria will be finalised in</w:t>
      </w:r>
      <w:r>
        <w:t xml:space="preserve"> </w:t>
      </w:r>
      <w:r>
        <w:t xml:space="preserve">Level 2, the key features set in Level 1 allow to conduct a robust analysis of the likely impact of the</w:t>
      </w:r>
      <w:r>
        <w:t xml:space="preserve"> </w:t>
      </w:r>
      <w:r>
        <w:t xml:space="preserve">categories.</w:t>
      </w:r>
      <w:r>
        <w:t xml:space="preserve"> </w:t>
      </w:r>
      <w:r>
        <w:t xml:space="preserve">As a second step, we conduct a simultaneous assessment of the three options to differentiate their</w:t>
      </w:r>
      <w:r>
        <w:t xml:space="preserve"> </w:t>
      </w:r>
      <w:r>
        <w:t xml:space="preserve">relative benefits and costs and to highlight their contribution to the specific objectives while clearly</w:t>
      </w:r>
      <w:r>
        <w:t xml:space="preserve"> </w:t>
      </w:r>
      <w:r>
        <w:t xml:space="preserve">distinguishing the extent of these effects.</w:t>
      </w:r>
      <w:r>
        <w:br/>
      </w:r>
      <w:r>
        <w:t xml:space="preserve">6.3.1. Main benefits and potential drawbacks of setting up new categories under option</w:t>
      </w:r>
      <w:r>
        <w:t xml:space="preserve"> </w:t>
      </w:r>
      <w:r>
        <w:t xml:space="preserve">3.1 and 3.2</w:t>
      </w:r>
      <w:r>
        <w:br/>
      </w:r>
      <w:r>
        <w:t xml:space="preserve">Setting up voluntary categories accompanied by a clear set of new criteria (instead of relying on</w:t>
      </w:r>
      <w:r>
        <w:t xml:space="preserve"> </w:t>
      </w:r>
      <w:r>
        <w:t xml:space="preserve">existing complex SFDR concepts) would ease the implementation burden over time. The</w:t>
      </w:r>
      <w:r>
        <w:t xml:space="preserve"> </w:t>
      </w:r>
      <w:r>
        <w:t xml:space="preserve">different layers of requirements described in the evaluation (Annex 11) would be simplified and</w:t>
      </w:r>
      <w:r>
        <w:t xml:space="preserve"> </w:t>
      </w:r>
      <w:r>
        <w:t xml:space="preserve">streamlined and would be more adaptable to the different objectives or strategies used. In addition,</w:t>
      </w:r>
      <w:r>
        <w:t xml:space="preserve"> </w:t>
      </w:r>
      <w:r>
        <w:t xml:space="preserve">the criteria would provide legal certainty by replacing the central SFDR concepts which have</w:t>
      </w:r>
      <w:r>
        <w:t xml:space="preserve"> </w:t>
      </w:r>
      <w:r>
        <w:t xml:space="preserve">proven to be difficult to apply with clear ESG requirements based on market practice pursuant to</w:t>
      </w:r>
      <w:r>
        <w:t xml:space="preserve"> </w:t>
      </w:r>
      <w:r>
        <w:t xml:space="preserve">the ESMA guidelines (e.g. simple exclusion list instead of a list of indicators to ‘consider’)</w:t>
      </w:r>
      <w:r>
        <w:t xml:space="preserve"> </w:t>
      </w:r>
      <w:r>
        <w:t xml:space="preserve">(problem drivers 1 and 2). The new approach to the criteria would also be less data intensive and</w:t>
      </w:r>
      <w:r>
        <w:t xml:space="preserve"> </w:t>
      </w:r>
      <w:r>
        <w:t xml:space="preserve">allow FMPs to focus on the ESG topics that they find most relevant to their products (problem</w:t>
      </w:r>
      <w:r>
        <w:t xml:space="preserve"> </w:t>
      </w:r>
      <w:r>
        <w:t xml:space="preserve">driver 3). The clarification of the requirements attached to the categories would also favour the</w:t>
      </w:r>
      <w:r>
        <w:t xml:space="preserve"> </w:t>
      </w:r>
      <w:r>
        <w:t xml:space="preserve">alignment of regulatory expectations from NCAs, facilitating their oversight, and would alleviate</w:t>
      </w:r>
      <w:r>
        <w:t xml:space="preserve"> </w:t>
      </w:r>
      <w:r>
        <w:t xml:space="preserve">the need for long disclosure templates thanks to the shorter format of the disclosures. All these</w:t>
      </w:r>
      <w:r>
        <w:t xml:space="preserve"> </w:t>
      </w:r>
      <w:r>
        <w:t xml:space="preserve">benefits would ultimately lead to less burdens and costs in the long run through clearer and simpler</w:t>
      </w:r>
      <w:r>
        <w:t xml:space="preserve"> </w:t>
      </w:r>
      <w:r>
        <w:t xml:space="preserve">criteria. The costs of estimates are minimised through the use of sustainability data points for which</w:t>
      </w:r>
      <w:r>
        <w:t xml:space="preserve"> </w:t>
      </w:r>
      <w:r>
        <w:t xml:space="preserve">estimation is possible (e.g. which are binary or where using sectoral and geographical averages is</w:t>
      </w:r>
      <w:r>
        <w:t xml:space="preserve"> </w:t>
      </w:r>
      <w:r>
        <w:t xml:space="preserve">possible) and where market practices are well established.</w:t>
      </w:r>
      <w:r>
        <w:br/>
      </w:r>
      <w:r>
        <w:t xml:space="preserve">The introduction of formal categories relying on criteria would induce an initial implementation</w:t>
      </w:r>
      <w:r>
        <w:t xml:space="preserve"> </w:t>
      </w:r>
      <w:r>
        <w:t xml:space="preserve">cost. However, the suggested criteria would build on the criteria introduced by the ESMA</w:t>
      </w:r>
      <w:r>
        <w:t xml:space="preserve"> </w:t>
      </w:r>
      <w:r>
        <w:t xml:space="preserve">guidelines on fund names168. There are currently approximately 4,220 investment funds in scope of</w:t>
      </w:r>
      <w:r>
        <w:t xml:space="preserve"> </w:t>
      </w:r>
      <w:r>
        <w:t xml:space="preserve">these guidelines, meaning that these products have already borne the initial cost of applying such</w:t>
      </w:r>
    </w:p>
    <w:p>
      <w:pPr>
        <w:pStyle w:val="BodyText"/>
      </w:pPr>
      <w:r>
        <w:t xml:space="preserve">168 Annex 6 provides a description of the criteria of the ESMA Guidelines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criteria169. Annex 8 describes in more detail the specific impacts of the ESMA guidelines on funds</w:t>
      </w:r>
      <w:r>
        <w:t xml:space="preserve"> </w:t>
      </w:r>
      <w:r>
        <w:t xml:space="preserve">using ESG terms in their name, which started applying as of 21 May 2025. For products outside the</w:t>
      </w:r>
      <w:r>
        <w:t xml:space="preserve"> </w:t>
      </w:r>
      <w:r>
        <w:t xml:space="preserve">scope of ESMA guidelines (i.e. insurance and pension products), mitigating measures could be</w:t>
      </w:r>
      <w:r>
        <w:t xml:space="preserve"> </w:t>
      </w:r>
      <w:r>
        <w:t xml:space="preserve">established to soften the implementation costs for those willing to voluntarily use the product</w:t>
      </w:r>
      <w:r>
        <w:t xml:space="preserve"> </w:t>
      </w:r>
      <w:r>
        <w:t xml:space="preserve">categories, via for example a phase-in of the new rules (i.e. FMPs could still apply the current</w:t>
      </w:r>
      <w:r>
        <w:t xml:space="preserve"> </w:t>
      </w:r>
      <w:r>
        <w:t xml:space="preserve">framework for some time). In addition, a grandfathering clause could be applied for existing close-</w:t>
      </w:r>
      <w:r>
        <w:t xml:space="preserve"> </w:t>
      </w:r>
      <w:r>
        <w:t xml:space="preserve">ended funds that could not feasibly amend their portfolio to fit the required criteria.</w:t>
      </w:r>
      <w:r>
        <w:br/>
      </w:r>
      <w:r>
        <w:t xml:space="preserve">The set up of categories would also have the potential to drastically simplify and improve the</w:t>
      </w:r>
      <w:r>
        <w:t xml:space="preserve"> </w:t>
      </w:r>
      <w:r>
        <w:t xml:space="preserve">investors’ journey and enhance their protection against misleading ESG claims, the extent of</w:t>
      </w:r>
      <w:r>
        <w:t xml:space="preserve"> </w:t>
      </w:r>
      <w:r>
        <w:t xml:space="preserve">which would depend on the potential market coverage of the categorisation system chosen, i.e. </w:t>
      </w:r>
      <w:r>
        <w:t xml:space="preserve"> </w:t>
      </w:r>
      <w:r>
        <w:t xml:space="preserve">whether all products making ESG claims would need to comply with EU minimum criteria.</w:t>
      </w:r>
      <w:r>
        <w:t xml:space="preserve"> </w:t>
      </w:r>
      <w:r>
        <w:t xml:space="preserve">As described in the problem definition, investors are currently misled by the use of the disclosure</w:t>
      </w:r>
      <w:r>
        <w:t xml:space="preserve"> </w:t>
      </w:r>
      <w:r>
        <w:t xml:space="preserve">articles as a self-categorisation system by the market (problem driver 4). Setting up categories with</w:t>
      </w:r>
      <w:r>
        <w:t xml:space="preserve"> </w:t>
      </w:r>
      <w:r>
        <w:t xml:space="preserve">clear minimum ESG requirements would improve the comparability of categorised products and</w:t>
      </w:r>
      <w:r>
        <w:t xml:space="preserve"> </w:t>
      </w:r>
      <w:r>
        <w:t xml:space="preserve">would enhance the understanding of products’ main ESG objectives. The mandatory minimum</w:t>
      </w:r>
      <w:r>
        <w:t xml:space="preserve"> </w:t>
      </w:r>
      <w:r>
        <w:t xml:space="preserve">criteria would also ensure minimum ESG performance and ambition and lead to enhanced trust and</w:t>
      </w:r>
      <w:r>
        <w:t xml:space="preserve"> </w:t>
      </w:r>
      <w:r>
        <w:t xml:space="preserve">confidence in products that are categorised and reinforcing the protection of investors against</w:t>
      </w:r>
      <w:r>
        <w:t xml:space="preserve"> </w:t>
      </w:r>
      <w:r>
        <w:t xml:space="preserve">misleading or false ESG claims for categorised products.</w:t>
      </w:r>
      <w:r>
        <w:br/>
      </w:r>
      <w:r>
        <w:t xml:space="preserve">Of course, an important consideration to be added is that there is no ‘one size fits all’ on how to</w:t>
      </w:r>
      <w:r>
        <w:t xml:space="preserve"> </w:t>
      </w:r>
      <w:r>
        <w:t xml:space="preserve">granularly define what a positive contribution to a sustainability objective should be. This is mainly</w:t>
      </w:r>
      <w:r>
        <w:t xml:space="preserve"> </w:t>
      </w:r>
      <w:r>
        <w:t xml:space="preserve">due to the wide variety of assets, strategies, sustainability objectives that exist in the current market,</w:t>
      </w:r>
      <w:r>
        <w:t xml:space="preserve"> </w:t>
      </w:r>
      <w:r>
        <w:t xml:space="preserve">and which it is important to continue fostering to support innovation and competitiveness. The</w:t>
      </w:r>
      <w:r>
        <w:t xml:space="preserve"> </w:t>
      </w:r>
      <w:r>
        <w:t xml:space="preserve">suggested criteria ensuring harmonised levels of contributions and common exclusions favour</w:t>
      </w:r>
      <w:r>
        <w:t xml:space="preserve"> </w:t>
      </w:r>
      <w:r>
        <w:t xml:space="preserve">continuity with those market practices and the lates updates to the regulatory framework170. As</w:t>
      </w:r>
      <w:r>
        <w:t xml:space="preserve"> </w:t>
      </w:r>
      <w:r>
        <w:t xml:space="preserve">acknowledged at the start of section 5, there is a trade-off between relying on less data to inform</w:t>
      </w:r>
      <w:r>
        <w:t xml:space="preserve"> </w:t>
      </w:r>
      <w:r>
        <w:t xml:space="preserve">categories and investors on the one hand, and possible concerns of greenwashing on the other.</w:t>
      </w:r>
      <w:r>
        <w:t xml:space="preserve"> </w:t>
      </w:r>
      <w:r>
        <w:t xml:space="preserve">However, to balance the objectives of simplification and comparability, support for innovation and</w:t>
      </w:r>
      <w:r>
        <w:t xml:space="preserve"> </w:t>
      </w:r>
      <w:r>
        <w:t xml:space="preserve">investor protection, a choice needs to be made how and on what basis to cluster and capture</w:t>
      </w:r>
      <w:r>
        <w:t xml:space="preserve"> </w:t>
      </w:r>
      <w:r>
        <w:t xml:space="preserve">products in order to convey their main ESG features. The key is to ensure this is done on the basis</w:t>
      </w:r>
      <w:r>
        <w:t xml:space="preserve"> </w:t>
      </w:r>
      <w:r>
        <w:t xml:space="preserve">of data that is both available to a large degree, possible to estimate without excessive effort in case</w:t>
      </w:r>
      <w:r>
        <w:t xml:space="preserve"> </w:t>
      </w:r>
      <w:r>
        <w:t xml:space="preserve">it cannot be derived directly from investees, and is proven to be the most decision-useful for</w:t>
      </w:r>
      <w:r>
        <w:t xml:space="preserve"> </w:t>
      </w:r>
      <w:r>
        <w:t xml:space="preserve">investors, based on their preferences when investing in sustainability-related financial products.</w:t>
      </w:r>
      <w:r>
        <w:t xml:space="preserve"> </w:t>
      </w:r>
      <w:r>
        <w:t xml:space="preserve">Thus, in pursuing the objectives in section 4 in order to ensure coherent, effective and efficient</w:t>
      </w:r>
      <w:r>
        <w:t xml:space="preserve"> </w:t>
      </w:r>
      <w:r>
        <w:t xml:space="preserve">outcomes, while on the one hand the risks of greenwashing for investors cannot be totally excluded,</w:t>
      </w:r>
      <w:r>
        <w:t xml:space="preserve"> </w:t>
      </w:r>
      <w:r>
        <w:t xml:space="preserve">they are minimised through compliance by FMPs with the minimum criteria for ESG product</w:t>
      </w:r>
      <w:r>
        <w:t xml:space="preserve"> </w:t>
      </w:r>
      <w:r>
        <w:t xml:space="preserve">categories and accompanying disclosures including the performance of the product against the</w:t>
      </w:r>
      <w:r>
        <w:t xml:space="preserve"> </w:t>
      </w:r>
      <w:r>
        <w:t xml:space="preserve">objective they have contributed to based on credible, and where possible science-based, indicators.</w:t>
      </w:r>
      <w:r>
        <w:t xml:space="preserve"> </w:t>
      </w:r>
      <w:r>
        <w:t xml:space="preserve">Investors would have a defined dataset, more discrete and less sprawling and overwhelming, to help</w:t>
      </w:r>
      <w:r>
        <w:t xml:space="preserve"> </w:t>
      </w:r>
      <w:r>
        <w:t xml:space="preserve">inform choices and compare products. They could more easily identify where products provide</w:t>
      </w:r>
      <w:r>
        <w:t xml:space="preserve"> </w:t>
      </w:r>
      <w:r>
        <w:t xml:space="preserve">additional datapoints of interest to them, on top of the minimum criteria, facilitating switching</w:t>
      </w:r>
      <w:r>
        <w:t xml:space="preserve"> </w:t>
      </w:r>
      <w:r>
        <w:t xml:space="preserve">between products and providers.</w:t>
      </w:r>
      <w:r>
        <w:t xml:space="preserve"> </w:t>
      </w:r>
      <w:r>
        <w:t xml:space="preserve">Finally, there are certain limitations to note in how far the categorisation would incentivise</w:t>
      </w:r>
      <w:r>
        <w:t xml:space="preserve"> </w:t>
      </w:r>
      <w:r>
        <w:t xml:space="preserve">prospective investee companies to improve ESG performance. This impact assessment, including</w:t>
      </w:r>
      <w:r>
        <w:t xml:space="preserve"> </w:t>
      </w:r>
      <w:r>
        <w:t xml:space="preserve">the articulation of the problems and specific objectives, primarily looks at the relationship between</w:t>
      </w:r>
      <w:r>
        <w:t xml:space="preserve"> </w:t>
      </w:r>
      <w:r>
        <w:t xml:space="preserve">the end-investor and the financial intermediary, the subject matter of the SFDR. Many other factors</w:t>
      </w:r>
    </w:p>
    <w:p>
      <w:pPr>
        <w:pStyle w:val="BodyText"/>
      </w:pPr>
      <w:r>
        <w:t xml:space="preserve">169 Morningstar, ESMA Guidelines on ESG Funds’ Names, May 2025</w:t>
      </w:r>
      <w:r>
        <w:t xml:space="preserve"> </w:t>
      </w:r>
      <w:r>
        <w:t xml:space="preserve">170 ESMA Guidelines on Funds’ Names May 2025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besides better transparency, information symmetry and greater comparability in this relationship</w:t>
      </w:r>
      <w:r>
        <w:t xml:space="preserve"> </w:t>
      </w:r>
      <w:r>
        <w:t xml:space="preserve">determine overall market outcomes in terms of efficient capital allocation in the real economy. The</w:t>
      </w:r>
      <w:r>
        <w:t xml:space="preserve"> </w:t>
      </w:r>
      <w:r>
        <w:t xml:space="preserve">initiative therefore needs to be seen in tandem notably with steps towards the Savings and</w:t>
      </w:r>
      <w:r>
        <w:t xml:space="preserve"> </w:t>
      </w:r>
      <w:r>
        <w:t xml:space="preserve">Investments Union, which are beyond the scope of this impact assessment, to fully achieve the</w:t>
      </w:r>
      <w:r>
        <w:t xml:space="preserve"> </w:t>
      </w:r>
      <w:r>
        <w:t xml:space="preserve">general objectives.</w:t>
      </w:r>
      <w:r>
        <w:t xml:space="preserve"> </w:t>
      </w:r>
      <w:r>
        <w:t xml:space="preserve">6.3.2. Comparative assessment of Option 3.1, Option 3.2 and Option 3.3</w:t>
      </w:r>
      <w:r>
        <w:t xml:space="preserve"> </w:t>
      </w:r>
      <w:r>
        <w:t xml:space="preserve">Options 3.1, 3.2, 3.3, mostly differ by their market coverage size, their treatment of transition</w:t>
      </w:r>
      <w:r>
        <w:t xml:space="preserve"> </w:t>
      </w:r>
      <w:r>
        <w:t xml:space="preserve">finance, and their underlying criteria. These distinct features entail important differences in the role</w:t>
      </w:r>
      <w:r>
        <w:t xml:space="preserve"> </w:t>
      </w:r>
      <w:r>
        <w:t xml:space="preserve">that the categories could play for retail investors and in the wider framework, especially regarding</w:t>
      </w:r>
      <w:r>
        <w:t xml:space="preserve"> </w:t>
      </w:r>
      <w:r>
        <w:t xml:space="preserve">the marketing and distribution rules (as described in section 5). This leads to important differences</w:t>
      </w:r>
      <w:r>
        <w:t xml:space="preserve"> </w:t>
      </w:r>
      <w:r>
        <w:t xml:space="preserve">in terms of achieving the specific objectives of the review.</w:t>
      </w:r>
      <w:r>
        <w:br/>
      </w:r>
      <w:r>
        <w:t xml:space="preserve">Legend: +++ = Very positive ++ = Positive + = Slightly positive +/- = Mixed effect 0 = no</w:t>
      </w:r>
      <w:r>
        <w:t xml:space="preserve"> </w:t>
      </w:r>
      <w:r>
        <w:t xml:space="preserve">effect - = Slightly negative – = Negative — = very negative</w:t>
      </w:r>
    </w:p>
    <w:p>
      <w:pPr>
        <w:pStyle w:val="BodyText"/>
      </w:pPr>
      <w:r>
        <w:t xml:space="preserve">171 E.g. a technology-focused fund could nonetheless include information on sustainability targets, or exclusions of</w:t>
      </w:r>
      <w:r>
        <w:t xml:space="preserve"> </w:t>
      </w:r>
      <w:r>
        <w:t xml:space="preserve">certain sectors or activities based on ESG grounds.</w:t>
      </w:r>
      <w:r>
        <w:t xml:space="preserve"> </w:t>
      </w:r>
      <w:r>
        <w:t xml:space="preserve">Specific objective 1: the extent to which the categories simplify and reduce sustainability related</w:t>
      </w:r>
      <w:r>
        <w:t xml:space="preserve"> </w:t>
      </w:r>
      <w:r>
        <w:t xml:space="preserve">requirements for FMPs and enhance coherence</w:t>
      </w:r>
      <w:r>
        <w:br/>
      </w:r>
      <w:r>
        <w:t xml:space="preserve">Option</w:t>
      </w:r>
      <w:r>
        <w:t xml:space="preserve"> </w:t>
      </w:r>
      <w:r>
        <w:t xml:space="preserve">3.1</w:t>
      </w:r>
      <w:r>
        <w:t xml:space="preserve"> </w:t>
      </w:r>
      <w:r>
        <w:t xml:space="preserve">The categories would bring coherence and provide FMPs with one common EU</w:t>
      </w:r>
      <w:r>
        <w:t xml:space="preserve"> </w:t>
      </w:r>
      <w:r>
        <w:t xml:space="preserve">set of rules for products making ESG claims and/or be distributed to retail investors</w:t>
      </w:r>
      <w:r>
        <w:t xml:space="preserve"> </w:t>
      </w:r>
      <w:r>
        <w:t xml:space="preserve">with sustainability preferences across the EU. They would help overcome different</w:t>
      </w:r>
      <w:r>
        <w:t xml:space="preserve"> </w:t>
      </w:r>
      <w:r>
        <w:t xml:space="preserve">expectations from NCAs which are taking different approaches to regulate ESG</w:t>
      </w:r>
      <w:r>
        <w:t xml:space="preserve"> </w:t>
      </w:r>
      <w:r>
        <w:t xml:space="preserve">claims, on top of requirements to adhere to the ESMA guidelines when making</w:t>
      </w:r>
      <w:r>
        <w:t xml:space="preserve"> </w:t>
      </w:r>
      <w:r>
        <w:t xml:space="preserve">ESG claims in the name of funds (not covering all products within the SFDR scope</w:t>
      </w:r>
      <w:r>
        <w:t xml:space="preserve"> </w:t>
      </w:r>
      <w:r>
        <w:t xml:space="preserve">however nor marketing documentation). The different sets of rules depending on</w:t>
      </w:r>
      <w:r>
        <w:t xml:space="preserve"> </w:t>
      </w:r>
      <w:r>
        <w:t xml:space="preserve">where the claims are made and on the jurisdictions would be harmonised. Under</w:t>
      </w:r>
      <w:r>
        <w:t xml:space="preserve"> </w:t>
      </w:r>
      <w:r>
        <w:t xml:space="preserve">this approach, the criteria of the categories could be used to define the extent to</w:t>
      </w:r>
      <w:r>
        <w:t xml:space="preserve"> </w:t>
      </w:r>
      <w:r>
        <w:t xml:space="preserve">which a product can make ESG claims to investors and would harmonise the</w:t>
      </w:r>
      <w:r>
        <w:t xml:space="preserve"> </w:t>
      </w:r>
      <w:r>
        <w:t xml:space="preserve">national regulatory and supervisory expectations, thereby addressing the</w:t>
      </w:r>
      <w:r>
        <w:t xml:space="preserve"> </w:t>
      </w:r>
      <w:r>
        <w:t xml:space="preserve">current uncertainty regarding SFDR compliance. However, it is important to</w:t>
      </w:r>
      <w:r>
        <w:t xml:space="preserve"> </w:t>
      </w:r>
      <w:r>
        <w:t xml:space="preserve">note that the categories would be voluntary, therefore FMPs could still include ESG</w:t>
      </w:r>
      <w:r>
        <w:t xml:space="preserve"> </w:t>
      </w:r>
      <w:r>
        <w:t xml:space="preserve">information on regulatory documentations of non-categorised products without</w:t>
      </w:r>
      <w:r>
        <w:t xml:space="preserve"> </w:t>
      </w:r>
      <w:r>
        <w:t xml:space="preserve">having to comply with EU categories and applicable criteria171.</w:t>
      </w:r>
      <w:r>
        <w:br/>
      </w:r>
      <w:r>
        <w:t xml:space="preserve">Disclosures linked to categorised products would be shortened and focused on ESG</w:t>
      </w:r>
      <w:r>
        <w:t xml:space="preserve"> </w:t>
      </w:r>
      <w:r>
        <w:t xml:space="preserve">information which is more readily available. In addition, this option would keep a</w:t>
      </w:r>
      <w:r>
        <w:t xml:space="preserve"> </w:t>
      </w:r>
      <w:r>
        <w:t xml:space="preserve">broader scope (i.e. of the options, three categories could cover the most products</w:t>
      </w:r>
      <w:r>
        <w:t xml:space="preserve"> </w:t>
      </w:r>
      <w:r>
        <w:t xml:space="preserve">disclosing under Article 8/9), ensuring the highest levels of continuity in terms of</w:t>
      </w:r>
      <w:r>
        <w:t xml:space="preserve"> </w:t>
      </w:r>
      <w:r>
        <w:t xml:space="preserve">the marketing communication and names of products.</w:t>
      </w:r>
      <w:r>
        <w:br/>
      </w:r>
      <w:r>
        <w:t xml:space="preserve">The categories could also provide for a very useful tool for operators in charge of</w:t>
      </w:r>
      <w:r>
        <w:t xml:space="preserve"> </w:t>
      </w:r>
      <w:r>
        <w:t xml:space="preserve">assessing the sustainability preferences of clients and defining the target</w:t>
      </w:r>
      <w:r>
        <w:t xml:space="preserve"> </w:t>
      </w:r>
      <w:r>
        <w:t xml:space="preserve">market under MiFID and IDD. Instead of relying on complex and poorly</w:t>
      </w:r>
      <w:r>
        <w:t xml:space="preserve"> </w:t>
      </w:r>
      <w:r>
        <w:t xml:space="preserve">comparable disclosures, distributors could use the three clusters to easily identify</w:t>
      </w:r>
      <w:r>
        <w:t xml:space="preserve"> </w:t>
      </w:r>
      <w:r>
        <w:t xml:space="preserve">suitable products and would also have access to more granular information through</w:t>
      </w:r>
      <w:r>
        <w:t xml:space="preserve"> </w:t>
      </w:r>
      <w:r>
        <w:t xml:space="preserve">the product disclosures.</w:t>
      </w:r>
      <w:r>
        <w:br/>
      </w:r>
      <w:r>
        <w:t xml:space="preserve">+++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172 Funds using “transition”-related terms e.g. “transitioning”, “transitional” etc. and those terms deriving from</w:t>
      </w:r>
      <w:r>
        <w:t xml:space="preserve"> </w:t>
      </w:r>
      <w:r>
        <w:t xml:space="preserve">“improve”, “progress”, “evolution”, “transformation”, “net-zero” etc. already apply the criteria for portfolio level</w:t>
      </w:r>
      <w:r>
        <w:t xml:space="preserve"> </w:t>
      </w:r>
      <w:r>
        <w:t xml:space="preserve">exclusions and a requirement for 80% of investments to align with the overall strategy, entailing little change for them.</w:t>
      </w:r>
      <w:r>
        <w:t xml:space="preserve"> </w:t>
      </w:r>
      <w:r>
        <w:t xml:space="preserve">173 See an explanation of these misalignments in the evaluation annex under the coherence section 3.1.2. ‘misalignments</w:t>
      </w:r>
      <w:r>
        <w:t xml:space="preserve"> </w:t>
      </w:r>
      <w:r>
        <w:t xml:space="preserve">with environmentally sustainable economic activities’ under the EU Taxonomy’ and ‘misalignments with the</w:t>
      </w:r>
      <w:r>
        <w:t xml:space="preserve"> </w:t>
      </w:r>
      <w:r>
        <w:t xml:space="preserve">Benchmarks Regulation’.</w:t>
      </w:r>
      <w:r>
        <w:br/>
      </w:r>
      <w:r>
        <w:t xml:space="preserve">174 Contrary to the preference expressed in the consultation, where 72% of respondents were in favour of a transition-</w:t>
      </w:r>
      <w:r>
        <w:t xml:space="preserve"> </w:t>
      </w:r>
      <w:r>
        <w:t xml:space="preserve">category (see Annex 2) and in consumer studies where global investors signal a strong preference to understand</w:t>
      </w:r>
      <w:r>
        <w:t xml:space="preserve"> </w:t>
      </w:r>
      <w:r>
        <w:t xml:space="preserve">companies’ sustainability and decarbonisation commitments when making investment decisions (see Annex 10</w:t>
      </w:r>
      <w:r>
        <w:t xml:space="preserve"> </w:t>
      </w:r>
      <w:r>
        <w:t xml:space="preserve">‘Specific sustainability objectives/themes’).</w:t>
      </w:r>
      <w:r>
        <w:t xml:space="preserve"> </w:t>
      </w:r>
      <w:r>
        <w:t xml:space="preserve">Finally, the transition category would equip FMPs with suitable criteria according</w:t>
      </w:r>
      <w:r>
        <w:t xml:space="preserve"> </w:t>
      </w:r>
      <w:r>
        <w:t xml:space="preserve">to inclusive and well-established metrics (and accompanying disclosures linked to</w:t>
      </w:r>
      <w:r>
        <w:t xml:space="preserve"> </w:t>
      </w:r>
      <w:r>
        <w:t xml:space="preserve">ESG data which is available and reliable) for products contributing to the EU</w:t>
      </w:r>
      <w:r>
        <w:t xml:space="preserve"> </w:t>
      </w:r>
      <w:r>
        <w:t xml:space="preserve">transition to a greener and fairer economy. The criteria for the new transition</w:t>
      </w:r>
      <w:r>
        <w:t xml:space="preserve"> </w:t>
      </w:r>
      <w:r>
        <w:t xml:space="preserve">category would not be disruptive as they reflect market practice pursuant to the</w:t>
      </w:r>
      <w:r>
        <w:t xml:space="preserve"> </w:t>
      </w:r>
      <w:r>
        <w:t xml:space="preserve">ESMA guidelines, and will continue to be supervised by national supervisors172.</w:t>
      </w:r>
      <w:r>
        <w:br/>
      </w:r>
      <w:r>
        <w:t xml:space="preserve">Option</w:t>
      </w:r>
      <w:r>
        <w:t xml:space="preserve"> </w:t>
      </w:r>
      <w:r>
        <w:t xml:space="preserve">3.2</w:t>
      </w:r>
      <w:r>
        <w:t xml:space="preserve"> </w:t>
      </w:r>
      <w:r>
        <w:t xml:space="preserve">The narrow scope of this option means that both categorised and non-categorised</w:t>
      </w:r>
      <w:r>
        <w:t xml:space="preserve"> </w:t>
      </w:r>
      <w:r>
        <w:t xml:space="preserve">products could make ESG claims (i.e. FMPs would be allowed to make ESG claims</w:t>
      </w:r>
      <w:r>
        <w:t xml:space="preserve"> </w:t>
      </w:r>
      <w:r>
        <w:t xml:space="preserve">in marketing documentation and names on non-categorised products). It would not</w:t>
      </w:r>
      <w:r>
        <w:t xml:space="preserve"> </w:t>
      </w:r>
      <w:r>
        <w:t xml:space="preserve">limit the right to make ESG claims to the products making a direct positive</w:t>
      </w:r>
      <w:r>
        <w:t xml:space="preserve"> </w:t>
      </w:r>
      <w:r>
        <w:t xml:space="preserve">contribution to sustainability or transition objectives due to the small portion of</w:t>
      </w:r>
      <w:r>
        <w:t xml:space="preserve"> </w:t>
      </w:r>
      <w:r>
        <w:t xml:space="preserve">market that would be covered. However, for non-categorised ESG products, FMPs</w:t>
      </w:r>
      <w:r>
        <w:t xml:space="preserve"> </w:t>
      </w:r>
      <w:r>
        <w:t xml:space="preserve">are still likely to face different sets of rules depending on the type of products or</w:t>
      </w:r>
      <w:r>
        <w:t xml:space="preserve"> </w:t>
      </w:r>
      <w:r>
        <w:t xml:space="preserve">depending on national rules. While this option would set criteria for fewer</w:t>
      </w:r>
      <w:r>
        <w:t xml:space="preserve"> </w:t>
      </w:r>
      <w:r>
        <w:t xml:space="preserve">products (although a part of the non-categorised products would likely still be</w:t>
      </w:r>
      <w:r>
        <w:t xml:space="preserve"> </w:t>
      </w:r>
      <w:r>
        <w:t xml:space="preserve">subject to the ESMA guidelines), it would also not address the differing</w:t>
      </w:r>
      <w:r>
        <w:t xml:space="preserve"> </w:t>
      </w:r>
      <w:r>
        <w:t xml:space="preserve">regulatory expectations in the supervision of ESG non-categorised products.</w:t>
      </w:r>
      <w:r>
        <w:br/>
      </w:r>
      <w:r>
        <w:t xml:space="preserve">This option would also only partly support the distributors in the implementation of</w:t>
      </w:r>
      <w:r>
        <w:t xml:space="preserve"> </w:t>
      </w:r>
      <w:r>
        <w:t xml:space="preserve">the sustainability preferences of clients under MiFID and IDD. Operators would</w:t>
      </w:r>
      <w:r>
        <w:t xml:space="preserve"> </w:t>
      </w:r>
      <w:r>
        <w:t xml:space="preserve">still need to rely on disclosures for all non-categorised products with ESG features.</w:t>
      </w:r>
      <w:r>
        <w:br/>
      </w:r>
      <w:r>
        <w:t xml:space="preserve">Like option 3.1, the transition category would ease the implementation of the</w:t>
      </w:r>
      <w:r>
        <w:t xml:space="preserve"> </w:t>
      </w:r>
      <w:r>
        <w:t xml:space="preserve">regime for products with transition-related products, following ESMA guidelines.</w:t>
      </w:r>
      <w:r>
        <w:br/>
      </w:r>
      <w:r>
        <w:t xml:space="preserve">+</w:t>
      </w:r>
      <w:r>
        <w:t xml:space="preserve"> </w:t>
      </w:r>
      <w:r>
        <w:t xml:space="preserve">Option</w:t>
      </w:r>
      <w:r>
        <w:t xml:space="preserve"> </w:t>
      </w:r>
      <w:r>
        <w:t xml:space="preserve">3.3</w:t>
      </w:r>
      <w:r>
        <w:t xml:space="preserve"> </w:t>
      </w:r>
      <w:r>
        <w:t xml:space="preserve">This option would largely affirm the practice in the market of treating Article 8 and</w:t>
      </w:r>
      <w:r>
        <w:t xml:space="preserve"> </w:t>
      </w:r>
      <w:r>
        <w:t xml:space="preserve">9 as de facto categories, namely for ‘sustainable’ and ‘other ESG’ products. It</w:t>
      </w:r>
      <w:r>
        <w:t xml:space="preserve"> </w:t>
      </w:r>
      <w:r>
        <w:t xml:space="preserve">would entail maintaining the existing sustainability concepts deemed complex and</w:t>
      </w:r>
      <w:r>
        <w:t xml:space="preserve"> </w:t>
      </w:r>
      <w:r>
        <w:t xml:space="preserve">confusing to FMPs. Therefore, the simplification potential of option 3.1 and 3.2</w:t>
      </w:r>
      <w:r>
        <w:t xml:space="preserve"> </w:t>
      </w:r>
      <w:r>
        <w:t xml:space="preserve">(described in section 6.3.1) would not apply to option 3.3. FMPs would continue</w:t>
      </w:r>
      <w:r>
        <w:t xml:space="preserve"> </w:t>
      </w:r>
      <w:r>
        <w:t xml:space="preserve">to face complex and unclear rules when applying the existing articles as</w:t>
      </w:r>
      <w:r>
        <w:t xml:space="preserve"> </w:t>
      </w:r>
      <w:r>
        <w:t xml:space="preserve">categories. Gold-plating practices are also likely to continue, as NCAs could be</w:t>
      </w:r>
      <w:r>
        <w:t xml:space="preserve"> </w:t>
      </w:r>
      <w:r>
        <w:t xml:space="preserve">expected to continue to refine national approaches to act on greenwashing concerns</w:t>
      </w:r>
      <w:r>
        <w:t xml:space="preserve"> </w:t>
      </w:r>
      <w:r>
        <w:t xml:space="preserve">in the absence of clear harmonised EU criteria. Coherence with the rest of the</w:t>
      </w:r>
      <w:r>
        <w:t xml:space="preserve"> </w:t>
      </w:r>
      <w:r>
        <w:t xml:space="preserve">framework would also be largely unchanged, i.e. the misalignments between the</w:t>
      </w:r>
      <w:r>
        <w:t xml:space="preserve"> </w:t>
      </w:r>
      <w:r>
        <w:t xml:space="preserve">SFDR definition of ‘sustainable investment’ and similar concepts under the EU</w:t>
      </w:r>
      <w:r>
        <w:t xml:space="preserve"> </w:t>
      </w:r>
      <w:r>
        <w:t xml:space="preserve">Taxonomy and the Benchmark Regulation would not be addressed173.</w:t>
      </w:r>
      <w:r>
        <w:t xml:space="preserve"> </w:t>
      </w:r>
      <w:r>
        <w:t xml:space="preserve">No distinct category to promote transition investments would be set up174.</w:t>
      </w:r>
      <w:r>
        <w:t xml:space="preserve"> </w:t>
      </w:r>
      <w:r>
        <w:t xml:space="preserve">This option could be seen, however, as less disruptive, as the bulk of the existing</w:t>
      </w:r>
      <w:r>
        <w:t xml:space="preserve"> </w:t>
      </w:r>
      <w:r>
        <w:t xml:space="preserve">+/-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‘criteria’ would be retained. The categories might integrate the minimum safeguards</w:t>
      </w:r>
      <w:r>
        <w:t xml:space="preserve"> </w:t>
      </w:r>
      <w:r>
        <w:t xml:space="preserve">of the ESMA guidelines but would largely remain aligned with the current content</w:t>
      </w:r>
      <w:r>
        <w:t xml:space="preserve"> </w:t>
      </w:r>
      <w:r>
        <w:t xml:space="preserve">and principles of Articles 8 and 9.</w:t>
      </w:r>
      <w:r>
        <w:t xml:space="preserve"> </w:t>
      </w:r>
      <w:r>
        <w:t xml:space="preserve">Specific objective 2: the extent to which the categories improve end-investors ability to understand and</w:t>
      </w:r>
      <w:r>
        <w:t xml:space="preserve"> </w:t>
      </w:r>
      <w:r>
        <w:t xml:space="preserve">compare ESG products</w:t>
      </w:r>
      <w:r>
        <w:br/>
      </w:r>
      <w:r>
        <w:t xml:space="preserve">Option</w:t>
      </w:r>
      <w:r>
        <w:t xml:space="preserve"> </w:t>
      </w:r>
      <w:r>
        <w:t xml:space="preserve">3.1</w:t>
      </w:r>
      <w:r>
        <w:t xml:space="preserve"> </w:t>
      </w:r>
      <w:r>
        <w:t xml:space="preserve">The categories would largely simplify the investment journey of end-investors by</w:t>
      </w:r>
      <w:r>
        <w:t xml:space="preserve"> </w:t>
      </w:r>
      <w:r>
        <w:t xml:space="preserve">providing a coherent and harmonised set of criteria that all products making</w:t>
      </w:r>
      <w:r>
        <w:t xml:space="preserve"> </w:t>
      </w:r>
      <w:r>
        <w:t xml:space="preserve">ESG claims need to comply with, regardless of where they are marketed. All</w:t>
      </w:r>
      <w:r>
        <w:t xml:space="preserve"> </w:t>
      </w:r>
      <w:r>
        <w:t xml:space="preserve">investors could trust that any products making prominent ESG claims are</w:t>
      </w:r>
      <w:r>
        <w:t xml:space="preserve"> </w:t>
      </w:r>
      <w:r>
        <w:t xml:space="preserve">complying with robust and harmonised EU minimum safeguards and criteria. End</w:t>
      </w:r>
      <w:r>
        <w:t xml:space="preserve"> </w:t>
      </w:r>
      <w:r>
        <w:t xml:space="preserve">investors would also see which category a product belongs to and could very easily</w:t>
      </w:r>
      <w:r>
        <w:t xml:space="preserve"> </w:t>
      </w:r>
      <w:r>
        <w:t xml:space="preserve">understand their sustainability objectives and levels of ambition. The three</w:t>
      </w:r>
      <w:r>
        <w:t xml:space="preserve"> </w:t>
      </w:r>
      <w:r>
        <w:t xml:space="preserve">groupings can offer a clear picture to investors regarding the type of ESG products</w:t>
      </w:r>
      <w:r>
        <w:t xml:space="preserve"> </w:t>
      </w:r>
      <w:r>
        <w:t xml:space="preserve">available and how they differ. For example, contrary to the situation today,</w:t>
      </w:r>
      <w:r>
        <w:t xml:space="preserve"> </w:t>
      </w:r>
      <w:r>
        <w:t xml:space="preserve">investors would have upfront reassurance whether a product can have significant</w:t>
      </w:r>
      <w:r>
        <w:t xml:space="preserve"> </w:t>
      </w:r>
      <w:r>
        <w:t xml:space="preserve">fossil fuel exposure (transition category) or not (sustainable category), and that they</w:t>
      </w:r>
      <w:r>
        <w:t xml:space="preserve"> </w:t>
      </w:r>
      <w:r>
        <w:t xml:space="preserve">cannot invest in assets linked to questionable human rights records (all categories).</w:t>
      </w:r>
      <w:r>
        <w:t xml:space="preserve"> </w:t>
      </w:r>
      <w:r>
        <w:t xml:space="preserve">This would avoid having to read the details behind products, would mitigate</w:t>
      </w:r>
      <w:r>
        <w:t xml:space="preserve"> </w:t>
      </w:r>
      <w:r>
        <w:t xml:space="preserve">negative surprises and make it easier for investors to compare all ESG products</w:t>
      </w:r>
      <w:r>
        <w:t xml:space="preserve"> </w:t>
      </w:r>
      <w:r>
        <w:t xml:space="preserve">both within a category and between them.</w:t>
      </w:r>
      <w:r>
        <w:br/>
      </w:r>
      <w:r>
        <w:t xml:space="preserve">In addition, providing the possibility that all ESG products are categorised (and</w:t>
      </w:r>
      <w:r>
        <w:t xml:space="preserve"> </w:t>
      </w:r>
      <w:r>
        <w:t xml:space="preserve">therefore comply with EU criteria) would do away with the need for lengthy</w:t>
      </w:r>
      <w:r>
        <w:t xml:space="preserve"> </w:t>
      </w:r>
      <w:r>
        <w:t xml:space="preserve">disclosures. In fact, categories would ensure higher levels of investors protection</w:t>
      </w:r>
      <w:r>
        <w:t xml:space="preserve"> </w:t>
      </w:r>
      <w:r>
        <w:t xml:space="preserve">through minimum safeguards and by removing the need for investors to go through</w:t>
      </w:r>
      <w:r>
        <w:t xml:space="preserve"> </w:t>
      </w:r>
      <w:r>
        <w:t xml:space="preserve">complex and lengthy disclosures to understand the ESG features and ambitions of</w:t>
      </w:r>
      <w:r>
        <w:t xml:space="preserve"> </w:t>
      </w:r>
      <w:r>
        <w:t xml:space="preserve">products. By establishing the key parameters for products to be categorised as either</w:t>
      </w:r>
      <w:r>
        <w:t xml:space="preserve"> </w:t>
      </w:r>
      <w:r>
        <w:t xml:space="preserve">sustainable, transition or other ESG, supported by the need to demonstrate progress</w:t>
      </w:r>
      <w:r>
        <w:t xml:space="preserve"> </w:t>
      </w:r>
      <w:r>
        <w:t xml:space="preserve">toward or alignment with the objectives by way of indicators, but without</w:t>
      </w:r>
      <w:r>
        <w:t xml:space="preserve"> </w:t>
      </w:r>
      <w:r>
        <w:t xml:space="preserve">specifying ex ante in the Regulation exactly how FMPs are to set and meet these</w:t>
      </w:r>
      <w:r>
        <w:t xml:space="preserve"> </w:t>
      </w:r>
      <w:r>
        <w:t xml:space="preserve">objectives, investors would have upfront reassurance that products in each category</w:t>
      </w:r>
      <w:r>
        <w:t xml:space="preserve"> </w:t>
      </w:r>
      <w:r>
        <w:t xml:space="preserve">deliver what they claim to do, while not over-regulating the matter and stifling</w:t>
      </w:r>
      <w:r>
        <w:t xml:space="preserve"> </w:t>
      </w:r>
      <w:r>
        <w:t xml:space="preserve">product innovation.</w:t>
      </w:r>
      <w:r>
        <w:br/>
      </w:r>
      <w:r>
        <w:t xml:space="preserve">It will be imperative that the name of the categories correctly reflects their</w:t>
      </w:r>
      <w:r>
        <w:t xml:space="preserve"> </w:t>
      </w:r>
      <w:r>
        <w:t xml:space="preserve">respective levels of ambition and type of criteria. It is important that end-investors</w:t>
      </w:r>
      <w:r>
        <w:t xml:space="preserve"> </w:t>
      </w:r>
      <w:r>
        <w:t xml:space="preserve">understand the differences between products that are mainly focused on sustainable</w:t>
      </w:r>
      <w:r>
        <w:t xml:space="preserve"> </w:t>
      </w:r>
      <w:r>
        <w:t xml:space="preserve">assets (sustainable category), ones which focus on assets helping the transition of</w:t>
      </w:r>
      <w:r>
        <w:t xml:space="preserve"> </w:t>
      </w:r>
      <w:r>
        <w:t xml:space="preserve">various economic sectors (transition category), and products that are applying much</w:t>
      </w:r>
      <w:r>
        <w:t xml:space="preserve"> </w:t>
      </w:r>
      <w:r>
        <w:t xml:space="preserve">lighter ESG criteria (other ESG category). If this distinction if not made clear, end-</w:t>
      </w:r>
      <w:r>
        <w:t xml:space="preserve"> </w:t>
      </w:r>
      <w:r>
        <w:t xml:space="preserve">investors could be misled in thinking that all categorised products offer the same</w:t>
      </w:r>
      <w:r>
        <w:t xml:space="preserve"> </w:t>
      </w:r>
      <w:r>
        <w:t xml:space="preserve">levels of ESG performance.</w:t>
      </w:r>
      <w:r>
        <w:br/>
      </w:r>
      <w:r>
        <w:t xml:space="preserve">+++</w:t>
      </w:r>
      <w:r>
        <w:t xml:space="preserve"> </w:t>
      </w:r>
      <w:r>
        <w:t xml:space="preserve">Option</w:t>
      </w:r>
      <w:r>
        <w:t xml:space="preserve"> </w:t>
      </w:r>
      <w:r>
        <w:t xml:space="preserve">3.2</w:t>
      </w:r>
      <w:r>
        <w:t xml:space="preserve"> </w:t>
      </w:r>
      <w:r>
        <w:t xml:space="preserve">On the one hand, end-investors would be able to easily identify the most ambitious</w:t>
      </w:r>
      <w:r>
        <w:t xml:space="preserve"> </w:t>
      </w:r>
      <w:r>
        <w:t xml:space="preserve">products in the market. The adherence to a category would be made visible, and</w:t>
      </w:r>
      <w:r>
        <w:t xml:space="preserve"> </w:t>
      </w:r>
      <w:r>
        <w:t xml:space="preserve">retail investors interested in sustainability would be easily directed towards products</w:t>
      </w:r>
      <w:r>
        <w:t xml:space="preserve"> </w:t>
      </w:r>
      <w:r>
        <w:t xml:space="preserve">with genuine positive contribution. On the other hand, there would be no minimum</w:t>
      </w:r>
      <w:r>
        <w:t xml:space="preserve"> </w:t>
      </w:r>
      <w:r>
        <w:t xml:space="preserve">safeguards for a large portion of products making ESG claims. The investor</w:t>
      </w:r>
      <w:r>
        <w:t xml:space="preserve"> </w:t>
      </w:r>
      <w:r>
        <w:t xml:space="preserve">protection against misleading claims from non-categorised products would not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 Relative efficiency (costs)</w:t>
      </w:r>
      <w:r>
        <w:br/>
      </w:r>
      <w:r>
        <w:t xml:space="preserve">Expected costs and benefits of option 3.1 and 3.2</w:t>
      </w:r>
      <w:r>
        <w:t xml:space="preserve"> </w:t>
      </w:r>
      <w:r>
        <w:t xml:space="preserve">Assessing the cost-efficiency of creating categories is more difficult compared to assessing the</w:t>
      </w:r>
      <w:r>
        <w:t xml:space="preserve"> </w:t>
      </w:r>
      <w:r>
        <w:t xml:space="preserve">cost-efficiency of changes to SFDR disclosures. Disclosures are part of the requirements today, for</w:t>
      </w:r>
      <w:r>
        <w:t xml:space="preserve"> </w:t>
      </w:r>
      <w:r>
        <w:t xml:space="preserve">which cost estimates under the baseline scenario are available (Annex 3), whereas categories are</w:t>
      </w:r>
      <w:r>
        <w:t xml:space="preserve"> </w:t>
      </w:r>
      <w:r>
        <w:t xml:space="preserve">not.</w:t>
      </w:r>
      <w:r>
        <w:br/>
      </w:r>
      <w:r>
        <w:t xml:space="preserve">First, estimating the initial one-off costs associated with the setup of new categories by engaging</w:t>
      </w:r>
      <w:r>
        <w:t xml:space="preserve"> </w:t>
      </w:r>
      <w:r>
        <w:t xml:space="preserve">with FMPs has yielded limited data. These suggest initial one-off costs for a single FMP starting as</w:t>
      </w:r>
      <w:r>
        <w:t xml:space="preserve"> </w:t>
      </w:r>
      <w:r>
        <w:t xml:space="preserve">of EUR 30 000, with others suggesting one-off costs in the range of EU 60 000 to EUR 500 000.</w:t>
      </w:r>
      <w:r>
        <w:t xml:space="preserve"> </w:t>
      </w:r>
      <w:r>
        <w:t xml:space="preserve">This is mainly because, at this preparatory stage of policy development, FMPs do not have clarity</w:t>
      </w:r>
      <w:r>
        <w:t xml:space="preserve"> </w:t>
      </w:r>
      <w:r>
        <w:t xml:space="preserve">on the type of criteria that would accompany these categories yet.</w:t>
      </w:r>
      <w:r>
        <w:br/>
      </w:r>
      <w:r>
        <w:t xml:space="preserve">In addition, estimates also differ on the size of recurring costs associated with categories. Some</w:t>
      </w:r>
      <w:r>
        <w:t xml:space="preserve"> </w:t>
      </w:r>
      <w:r>
        <w:t xml:space="preserve">expect this to represent 5-10% of initial one-off costs. However, the recurring costs with categories</w:t>
      </w:r>
      <w:r>
        <w:t xml:space="preserve"> </w:t>
      </w:r>
      <w:r>
        <w:t xml:space="preserve">would be expected to be lower than the recurring costs of the current SFDR in the longer term due</w:t>
      </w:r>
      <w:r>
        <w:t xml:space="preserve"> </w:t>
      </w:r>
      <w:r>
        <w:t xml:space="preserve">to the following factors:</w:t>
      </w:r>
      <w:r>
        <w:br/>
      </w:r>
      <w:r>
        <w:t xml:space="preserve">(1) The rules are expected to be much clearer and to limit gold-plating which would result in</w:t>
      </w:r>
      <w:r>
        <w:t xml:space="preserve"> </w:t>
      </w:r>
      <w:r>
        <w:t xml:space="preserve">less compliance costs linked to uncertainty and to applying different national regimes.</w:t>
      </w:r>
      <w:r>
        <w:t xml:space="preserve"> </w:t>
      </w:r>
      <w:r>
        <w:t xml:space="preserve">(2) The criteria would build on elements that are already being applied by some financial</w:t>
      </w:r>
      <w:r>
        <w:t xml:space="preserve"> </w:t>
      </w:r>
      <w:r>
        <w:t xml:space="preserve">products under other regulatory pieces (i.e. all funds subject to the ESMA guidelines on</w:t>
      </w:r>
      <w:r>
        <w:t xml:space="preserve"> </w:t>
      </w:r>
      <w:r>
        <w:t xml:space="preserve">be increased compared to today’s situation.</w:t>
      </w:r>
      <w:r>
        <w:br/>
      </w:r>
      <w:r>
        <w:t xml:space="preserve">These risks could be mitigated by the ESG disclosures that could be imposed on</w:t>
      </w:r>
      <w:r>
        <w:t xml:space="preserve"> </w:t>
      </w:r>
      <w:r>
        <w:t xml:space="preserve">non-categorised products making ESG claims. In addition, certain ESG terms could</w:t>
      </w:r>
      <w:r>
        <w:t xml:space="preserve"> </w:t>
      </w:r>
      <w:r>
        <w:t xml:space="preserve">be restricted for non-categorised products (for example, ‘sustainable’, ‘transition’</w:t>
      </w:r>
      <w:r>
        <w:t xml:space="preserve"> </w:t>
      </w:r>
      <w:r>
        <w:t xml:space="preserve">etc). The extent to which FMPs would be allowed to communicate on ESG</w:t>
      </w:r>
      <w:r>
        <w:t xml:space="preserve"> </w:t>
      </w:r>
      <w:r>
        <w:t xml:space="preserve">elements in the marketing documentations of non-categorised products could also</w:t>
      </w:r>
      <w:r>
        <w:t xml:space="preserve"> </w:t>
      </w:r>
      <w:r>
        <w:t xml:space="preserve">be limited (e.g. no more than x% of their marketing materials).</w:t>
      </w:r>
      <w:r>
        <w:br/>
      </w:r>
      <w:r>
        <w:t xml:space="preserve">However, such additional disclosures would work against the first objective of</w:t>
      </w:r>
      <w:r>
        <w:t xml:space="preserve"> </w:t>
      </w:r>
      <w:r>
        <w:t xml:space="preserve">overall simplification and burden reduction. It is also doubtful that end-investors</w:t>
      </w:r>
      <w:r>
        <w:t xml:space="preserve"> </w:t>
      </w:r>
      <w:r>
        <w:t xml:space="preserve">(more particularly retail) would effectively be aware of and appreciate the</w:t>
      </w:r>
      <w:r>
        <w:t xml:space="preserve"> </w:t>
      </w:r>
      <w:r>
        <w:t xml:space="preserve">differences between an ESG categorised and an ESG non-categorised product and</w:t>
      </w:r>
      <w:r>
        <w:t xml:space="preserve"> </w:t>
      </w:r>
      <w:r>
        <w:t xml:space="preserve">could therefore align their expectations accordingly. As a result, their ability to</w:t>
      </w:r>
      <w:r>
        <w:t xml:space="preserve"> </w:t>
      </w:r>
      <w:r>
        <w:t xml:space="preserve">understand the differences in claims between categorised and non-categorised</w:t>
      </w:r>
      <w:r>
        <w:t xml:space="preserve"> </w:t>
      </w:r>
      <w:r>
        <w:t xml:space="preserve">products, and notably compare ESG non-categorised products, would remain</w:t>
      </w:r>
      <w:r>
        <w:t xml:space="preserve"> </w:t>
      </w:r>
      <w:r>
        <w:t xml:space="preserve">limited.</w:t>
      </w:r>
      <w:r>
        <w:br/>
      </w:r>
      <w:r>
        <w:t xml:space="preserve">Option</w:t>
      </w:r>
      <w:r>
        <w:t xml:space="preserve"> </w:t>
      </w:r>
      <w:r>
        <w:t xml:space="preserve">3.3</w:t>
      </w:r>
      <w:r>
        <w:t xml:space="preserve"> </w:t>
      </w:r>
      <w:r>
        <w:t xml:space="preserve">This option would not have a strong impact on the extent to which end investors can</w:t>
      </w:r>
      <w:r>
        <w:t xml:space="preserve"> </w:t>
      </w:r>
      <w:r>
        <w:t xml:space="preserve">understand and compare ESG products, largely perpetuating today’s situation. In</w:t>
      </w:r>
      <w:r>
        <w:t xml:space="preserve"> </w:t>
      </w:r>
      <w:r>
        <w:t xml:space="preserve">addition, the lack of transition category would not enable investors to easily identify</w:t>
      </w:r>
      <w:r>
        <w:t xml:space="preserve"> </w:t>
      </w:r>
      <w:r>
        <w:t xml:space="preserve">those products and might prevent investors from properly comparing products if</w:t>
      </w:r>
      <w:r>
        <w:t xml:space="preserve"> </w:t>
      </w:r>
      <w:r>
        <w:t xml:space="preserve">criteria/disclosures for transition products are not implemented.</w:t>
      </w:r>
      <w:r>
        <w:br/>
      </w:r>
      <w:r>
        <w:t xml:space="preserve">+/-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funds names would not need to bear the one-off implementation cost again175). As</w:t>
      </w:r>
      <w:r>
        <w:t xml:space="preserve"> </w:t>
      </w:r>
      <w:r>
        <w:t xml:space="preserve">mentioned above, the criteria could be phased in for others (insurance and pensions</w:t>
      </w:r>
      <w:r>
        <w:t xml:space="preserve"> </w:t>
      </w:r>
      <w:r>
        <w:t xml:space="preserve">products). Option 3.1 and 3.2 suggest removing some existing requirement under the SFDR</w:t>
      </w:r>
      <w:r>
        <w:t xml:space="preserve"> </w:t>
      </w:r>
      <w:r>
        <w:t xml:space="preserve">while building on some of the rules under the ESMA guidelines, which should lead to cost</w:t>
      </w:r>
      <w:r>
        <w:t xml:space="preserve"> </w:t>
      </w:r>
      <w:r>
        <w:t xml:space="preserve">reduction for FMPs currently subject to both.</w:t>
      </w:r>
      <w:r>
        <w:br/>
      </w:r>
      <w:r>
        <w:t xml:space="preserve">(3) The criteria would be less data intensive and would allow FMPs to focus on a reduced</w:t>
      </w:r>
      <w:r>
        <w:t xml:space="preserve"> </w:t>
      </w:r>
      <w:r>
        <w:t xml:space="preserve">number of datapoints. In addition, these criteria would better reflect, in a far more cost-</w:t>
      </w:r>
      <w:r>
        <w:t xml:space="preserve"> </w:t>
      </w:r>
      <w:r>
        <w:t xml:space="preserve">effective way, the availability of data in the post-omnibus landscape. Categories are thus an</w:t>
      </w:r>
      <w:r>
        <w:t xml:space="preserve"> </w:t>
      </w:r>
      <w:r>
        <w:t xml:space="preserve">effective and efficient way to overcome data gaps compared to today’s baseline scenario in</w:t>
      </w:r>
      <w:r>
        <w:t xml:space="preserve"> </w:t>
      </w:r>
      <w:r>
        <w:t xml:space="preserve">which SFDR disclosures would continue to hinge on access to data which is less likely to be</w:t>
      </w:r>
      <w:r>
        <w:t xml:space="preserve"> </w:t>
      </w:r>
      <w:r>
        <w:t xml:space="preserve">available.</w:t>
      </w:r>
      <w:r>
        <w:t xml:space="preserve"> </w:t>
      </w:r>
      <w:r>
        <w:t xml:space="preserve">As outlined in section 5.3, the categories would also not involve changes to supervisory costs, nor</w:t>
      </w:r>
      <w:r>
        <w:t xml:space="preserve"> </w:t>
      </w:r>
      <w:r>
        <w:t xml:space="preserve">entail new external verification costs for FMPs, which could otherwise have negative impacts on</w:t>
      </w:r>
      <w:r>
        <w:t xml:space="preserve"> </w:t>
      </w:r>
      <w:r>
        <w:t xml:space="preserve">efficiency. Categories and associated reduced product disclosures also help investors to benefit</w:t>
      </w:r>
      <w:r>
        <w:t xml:space="preserve"> </w:t>
      </w:r>
      <w:r>
        <w:t xml:space="preserve">from data which is more meaningful, decision-relevant and entails lower search-costs – and</w:t>
      </w:r>
      <w:r>
        <w:t xml:space="preserve"> </w:t>
      </w:r>
      <w:r>
        <w:t xml:space="preserve">therefore more efficient from their perspective.</w:t>
      </w:r>
      <w:r>
        <w:br/>
      </w:r>
      <w:r>
        <w:t xml:space="preserve">Finally, the costs reported by FMPs should be offset against the savings achieved from reduced</w:t>
      </w:r>
      <w:r>
        <w:t xml:space="preserve"> </w:t>
      </w:r>
      <w:r>
        <w:t xml:space="preserve">disclosures. Given the uncertainty of costs related to categories vs. the availability of cost-estimates</w:t>
      </w:r>
      <w:r>
        <w:t xml:space="preserve"> </w:t>
      </w:r>
      <w:r>
        <w:t xml:space="preserve">for disclosures, it is however not possible to arrive at a reliable estimate of the net figure at this</w:t>
      </w:r>
      <w:r>
        <w:t xml:space="preserve"> </w:t>
      </w:r>
      <w:r>
        <w:t xml:space="preserve">stage. Annex 3 sets out a rough indication suggesting that there could be some initial one-off costs</w:t>
      </w:r>
      <w:r>
        <w:t xml:space="preserve"> </w:t>
      </w:r>
      <w:r>
        <w:t xml:space="preserve">notably for FMPs which are SMEs which choose to be active in offering ESG products, which</w:t>
      </w:r>
      <w:r>
        <w:t xml:space="preserve"> </w:t>
      </w:r>
      <w:r>
        <w:t xml:space="preserve">could however be offset in the long-term by corresponding cost savings. Given scale-effects, one-</w:t>
      </w:r>
      <w:r>
        <w:t xml:space="preserve"> </w:t>
      </w:r>
      <w:r>
        <w:t xml:space="preserve">off costs for larger FMPs are assessed to be far more limited and which could be quickly offset</w:t>
      </w:r>
      <w:r>
        <w:t xml:space="preserve"> </w:t>
      </w:r>
      <w:r>
        <w:t xml:space="preserve">(after about 2 years)176.</w:t>
      </w:r>
      <w:r>
        <w:br/>
      </w:r>
      <w:r>
        <w:t xml:space="preserve">Expected costs and benefits of option 3.3</w:t>
      </w:r>
      <w:r>
        <w:t xml:space="preserve"> </w:t>
      </w:r>
      <w:r>
        <w:t xml:space="preserve">Option 3.3 (minimum changes) is not expected to entail significant changes to costs (negative or</w:t>
      </w:r>
      <w:r>
        <w:t xml:space="preserve"> </w:t>
      </w:r>
      <w:r>
        <w:t xml:space="preserve">positive). Low initial one-off costs are to be expected, and the current high recurring costs should</w:t>
      </w:r>
      <w:r>
        <w:t xml:space="preserve"> </w:t>
      </w:r>
      <w:r>
        <w:t xml:space="preserve">remain very similar, although targeted changes to the existing sustainability concepts could slightly</w:t>
      </w:r>
      <w:r>
        <w:t xml:space="preserve"> </w:t>
      </w:r>
      <w:r>
        <w:t xml:space="preserve">reduce these.</w:t>
      </w:r>
      <w:r>
        <w:br/>
      </w:r>
      <w:r>
        <w:t xml:space="preserve"> Relative other economic, social, environmental and fundamental rights impacts</w:t>
      </w:r>
      <w:r>
        <w:br/>
      </w:r>
      <w:r>
        <w:t xml:space="preserve">Under option 3.1, categories would imply that a larger number of products would apply EU</w:t>
      </w:r>
      <w:r>
        <w:t xml:space="preserve"> </w:t>
      </w:r>
      <w:r>
        <w:t xml:space="preserve">minimum safeguards, which is expected to have an indirect positive impact on social,</w:t>
      </w:r>
      <w:r>
        <w:t xml:space="preserve"> </w:t>
      </w:r>
      <w:r>
        <w:t xml:space="preserve">environmental and fundamental rights (although the new minimum safeguards would cover fewer</w:t>
      </w:r>
      <w:r>
        <w:t xml:space="preserve"> </w:t>
      </w:r>
      <w:r>
        <w:t xml:space="preserve">sustainability aspects than the current DNSH, but these often relate to factors which are not</w:t>
      </w:r>
      <w:r>
        <w:t xml:space="preserve"> </w:t>
      </w:r>
      <w:r>
        <w:t xml:space="preserve">considered by products anyway177). Under option 3.2, fewer products would apply such safeguards,</w:t>
      </w:r>
      <w:r>
        <w:t xml:space="preserve"> </w:t>
      </w:r>
      <w:r>
        <w:t xml:space="preserve">therefore limiting the positive impact that the SFDR can have in this regard. However, option 3.2</w:t>
      </w:r>
      <w:r>
        <w:t xml:space="preserve"> </w:t>
      </w:r>
      <w:r>
        <w:t xml:space="preserve">could potentially encourage FMPs to produce more ambitious products, due to the absence of an</w:t>
      </w:r>
      <w:r>
        <w:t xml:space="preserve"> </w:t>
      </w:r>
      <w:r>
        <w:t xml:space="preserve">inclusive lighter 3rd category. This could potentially lead to positive social, environmental and</w:t>
      </w:r>
    </w:p>
    <w:p>
      <w:pPr>
        <w:pStyle w:val="BodyText"/>
      </w:pPr>
      <w:r>
        <w:t xml:space="preserve">175 Recent figures from Morningstar (ESMA Guidelines on ESG Funds’ Names, May 2025) estimate that 4220</w:t>
      </w:r>
      <w:r>
        <w:t xml:space="preserve"> </w:t>
      </w:r>
      <w:r>
        <w:t xml:space="preserve">investment funds have applied the ESMA guidelines criteria</w:t>
      </w:r>
      <w:r>
        <w:br/>
      </w:r>
      <w:r>
        <w:t xml:space="preserve">176 See Annex 3, sections 3.10 and 3.11, which set out a provisional overview of cumulative costs and benefits under</w:t>
      </w:r>
      <w:r>
        <w:t xml:space="preserve"> </w:t>
      </w:r>
      <w:r>
        <w:t xml:space="preserve">the preferred options and demonstrates that the overall savings outweigh the costs. Given data limitations at this stage,</w:t>
      </w:r>
      <w:r>
        <w:t xml:space="preserve"> </w:t>
      </w:r>
      <w:r>
        <w:t xml:space="preserve">this is however subject to considerable uncertainty regarding notably the estimated costs associated with the creation of</w:t>
      </w:r>
      <w:r>
        <w:t xml:space="preserve"> </w:t>
      </w:r>
      <w:r>
        <w:t xml:space="preserve">product categories.</w:t>
      </w:r>
      <w:r>
        <w:t xml:space="preserve"> </w:t>
      </w:r>
      <w:r>
        <w:t xml:space="preserve">177 See Annex 11, section 3.1.1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fundamental rights impacts. Under option 3.3, a large number of products would be in scope, but</w:t>
      </w:r>
      <w:r>
        <w:t xml:space="preserve"> </w:t>
      </w:r>
      <w:r>
        <w:t xml:space="preserve">the criteria might be less impactful, therefore reducing the potential positive impact.</w:t>
      </w:r>
      <w:r>
        <w:br/>
      </w:r>
      <w:r>
        <w:t xml:space="preserve">Given the dominant share of the EU sustainable investment market (84% of global sustainable fund</w:t>
      </w:r>
      <w:r>
        <w:t xml:space="preserve"> </w:t>
      </w:r>
      <w:r>
        <w:t xml:space="preserve">assets178), simple categories could further boost the EU as an attractive market for investors</w:t>
      </w:r>
      <w:r>
        <w:t xml:space="preserve"> </w:t>
      </w:r>
      <w:r>
        <w:t xml:space="preserve">interested in sustainability.</w:t>
      </w:r>
      <w:r>
        <w:br/>
      </w:r>
      <w:r>
        <w:t xml:space="preserve">Summary of relative impacts</w:t>
      </w:r>
      <w:r>
        <w:br/>
      </w:r>
      <w:r>
        <w:t xml:space="preserve">Comparative effectiveness, efficiency, coherence and other economic and ESG impact</w:t>
      </w:r>
      <w:r>
        <w:br/>
      </w:r>
      <w:r>
        <w:t xml:space="preserve">Legend: +++ = Very positive ++ = Positive + = Slightly positive +/- = Mixed effect 0 = no</w:t>
      </w:r>
      <w:r>
        <w:t xml:space="preserve"> </w:t>
      </w:r>
      <w:r>
        <w:t xml:space="preserve">effect - = Slightly negative – = Negative — = very negative</w:t>
      </w:r>
    </w:p>
    <w:p>
      <w:pPr>
        <w:pStyle w:val="BodyText"/>
      </w:pPr>
      <w:r>
        <w:t xml:space="preserve">Option 3.1</w:t>
      </w:r>
      <w:r>
        <w:t xml:space="preserve"> </w:t>
      </w:r>
      <w:r>
        <w:t xml:space="preserve">Option 3.2</w:t>
      </w:r>
      <w:r>
        <w:t xml:space="preserve"> </w:t>
      </w:r>
      <w:r>
        <w:t xml:space="preserve">Option 3.3</w:t>
      </w:r>
      <w:r>
        <w:t xml:space="preserve"> </w:t>
      </w:r>
      <w:r>
        <w:t xml:space="preserve">Effectiveness:</w:t>
      </w:r>
    </w:p>
    <w:p>
      <w:pPr>
        <w:pStyle w:val="Compact"/>
        <w:numPr>
          <w:ilvl w:val="0"/>
          <w:numId w:val="1005"/>
        </w:numPr>
      </w:pPr>
      <w:r>
        <w:t xml:space="preserve">In</w:t>
      </w:r>
      <w:r>
        <w:t xml:space="preserve"> </w:t>
      </w:r>
      <w:r>
        <w:t xml:space="preserve">simplifying</w:t>
      </w:r>
      <w:r>
        <w:t xml:space="preserve"> </w:t>
      </w:r>
      <w:r>
        <w:t xml:space="preserve">and</w:t>
      </w:r>
      <w:r>
        <w:t xml:space="preserve"> </w:t>
      </w:r>
      <w:r>
        <w:t xml:space="preserve">reducing</w:t>
      </w:r>
      <w:r>
        <w:t xml:space="preserve"> </w:t>
      </w:r>
      <w:r>
        <w:t xml:space="preserve">the</w:t>
      </w:r>
      <w:r>
        <w:t xml:space="preserve"> </w:t>
      </w:r>
      <w:r>
        <w:t xml:space="preserve">sustainability related requirements for</w:t>
      </w:r>
      <w:r>
        <w:t xml:space="preserve"> </w:t>
      </w:r>
      <w:r>
        <w:t xml:space="preserve">FMPs and enhancing coherence</w:t>
      </w:r>
      <w:r>
        <w:t xml:space="preserve"> </w:t>
      </w:r>
      <w:r>
        <w:t xml:space="preserve">+++</w:t>
      </w:r>
    </w:p>
    <w:p>
      <w:pPr>
        <w:pStyle w:val="Compact"/>
        <w:numPr>
          <w:ilvl w:val="0"/>
          <w:numId w:val="1006"/>
        </w:numPr>
      </w:pPr>
      <w:r>
        <w:t xml:space="preserve">+/-</w:t>
      </w:r>
    </w:p>
    <w:p>
      <w:pPr>
        <w:pStyle w:val="Compact"/>
        <w:numPr>
          <w:ilvl w:val="0"/>
          <w:numId w:val="1007"/>
        </w:numPr>
      </w:pPr>
      <w:r>
        <w:t xml:space="preserve">In improving end-investors’ ability to</w:t>
      </w:r>
      <w:r>
        <w:t xml:space="preserve"> </w:t>
      </w:r>
      <w:r>
        <w:t xml:space="preserve">understand and compare ESG products</w:t>
      </w:r>
      <w:r>
        <w:t xml:space="preserve"> </w:t>
      </w:r>
      <w:r>
        <w:t xml:space="preserve">+++</w:t>
      </w:r>
    </w:p>
    <w:p>
      <w:pPr>
        <w:pStyle w:val="Compact"/>
        <w:numPr>
          <w:ilvl w:val="0"/>
          <w:numId w:val="1008"/>
        </w:numPr>
      </w:pPr>
      <w:r>
        <w:t xml:space="preserve">+/-</w:t>
      </w:r>
      <w:r>
        <w:t xml:space="preserve"> </w:t>
      </w:r>
      <w:r>
        <w:t xml:space="preserve">Overall effectiveness:</w:t>
      </w:r>
      <w:r>
        <w:br/>
      </w:r>
      <w:r>
        <w:t xml:space="preserve">+++</w:t>
      </w:r>
    </w:p>
    <w:p>
      <w:pPr>
        <w:pStyle w:val="Compact"/>
        <w:numPr>
          <w:ilvl w:val="0"/>
          <w:numId w:val="1008"/>
        </w:numPr>
      </w:pPr>
      <w:r>
        <w:t xml:space="preserve">+/-</w:t>
      </w:r>
      <w:r>
        <w:t xml:space="preserve"> </w:t>
      </w:r>
      <w:r>
        <w:t xml:space="preserve">Efficiency</w:t>
      </w:r>
      <w:r>
        <w:br/>
      </w:r>
      <w:r>
        <w:t xml:space="preserve">++</w:t>
      </w:r>
      <w:r>
        <w:t xml:space="preserve"> </w:t>
      </w:r>
      <w:r>
        <w:t xml:space="preserve">++</w:t>
      </w:r>
    </w:p>
    <w:p>
      <w:pPr>
        <w:pStyle w:val="FirstParagraph"/>
      </w:pPr>
      <w:r>
        <w:t xml:space="preserve"> Stakeholders’ feedback</w:t>
      </w:r>
      <w:r>
        <w:br/>
      </w:r>
      <w:r>
        <w:t xml:space="preserve">The public consultation revealed strong support for a voluntary categorisation system regulated at</w:t>
      </w:r>
      <w:r>
        <w:t xml:space="preserve"> </w:t>
      </w:r>
      <w:r>
        <w:t xml:space="preserve">the EU level: A large majority of respondents believe that EU sustainability product categories are</w:t>
      </w:r>
      <w:r>
        <w:t xml:space="preserve"> </w:t>
      </w:r>
      <w:r>
        <w:t xml:space="preserve">necessary for an efficient distribution system based on investors’ sustainability preferences (69%),</w:t>
      </w:r>
      <w:r>
        <w:t xml:space="preserve"> </w:t>
      </w:r>
      <w:r>
        <w:t xml:space="preserve">to combat greenwashing (64%), and to facilitate professional investors (72%) and retail investors</w:t>
      </w:r>
      <w:r>
        <w:t xml:space="preserve"> </w:t>
      </w:r>
      <w:r>
        <w:t xml:space="preserve">(80%) understanding of products’ sustainability-related strategies and objectives. 72% of</w:t>
      </w:r>
      <w:r>
        <w:t xml:space="preserve"> </w:t>
      </w:r>
      <w:r>
        <w:t xml:space="preserve">respondents believe that disclosures alone are not enough to achieve these objectives. While the</w:t>
      </w:r>
      <w:r>
        <w:t xml:space="preserve"> </w:t>
      </w:r>
      <w:r>
        <w:t xml:space="preserve">distribution of responses is similar across different stakeholder groups, respondents belonging to or</w:t>
      </w:r>
      <w:r>
        <w:t xml:space="preserve"> </w:t>
      </w:r>
      <w:r>
        <w:t xml:space="preserve">representing the three financial services sectors (insurance, asset management and banking sector)</w:t>
      </w:r>
      <w:r>
        <w:t xml:space="preserve"> </w:t>
      </w:r>
      <w:r>
        <w:t xml:space="preserve">have a slightly different view as regards the benefits of product categories for investors. 42% (11</w:t>
      </w:r>
      <w:r>
        <w:t xml:space="preserve"> </w:t>
      </w:r>
      <w:r>
        <w:t xml:space="preserve">out of 26) of respondents belonging to or representing the insurance sector totally or mostly agree</w:t>
      </w:r>
      <w:r>
        <w:t xml:space="preserve"> </w:t>
      </w:r>
      <w:r>
        <w:t xml:space="preserve">that a categorisation system would improve understanding among professional investors, compared</w:t>
      </w:r>
      <w:r>
        <w:t xml:space="preserve"> </w:t>
      </w:r>
      <w:r>
        <w:t xml:space="preserve">to 73% (104 out of 143) and 76% (13 out of 17) in the asset management and banking sectors,</w:t>
      </w:r>
      <w:r>
        <w:t xml:space="preserve"> </w:t>
      </w:r>
      <w:r>
        <w:t xml:space="preserve">respectively. Similarly, 50% (13 out of 26) of the insurance sector respondents believe a</w:t>
      </w:r>
      <w:r>
        <w:t xml:space="preserve"> </w:t>
      </w:r>
      <w:r>
        <w:t xml:space="preserve">categorisation system would help retail investors, compared to 84% (120 out of 143) and 76% (13</w:t>
      </w:r>
      <w:r>
        <w:t xml:space="preserve"> </w:t>
      </w:r>
      <w:r>
        <w:t xml:space="preserve">out of 17) in the asset management and banking sectors, respectively.</w:t>
      </w:r>
    </w:p>
    <w:p>
      <w:pPr>
        <w:pStyle w:val="BodyText"/>
      </w:pPr>
      <w:r>
        <w:t xml:space="preserve">178 Categorisation of products under SFDR - Report. See also Annex 5.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In addition, the call for evidence179 confirmed a very large support for creating categories. Most</w:t>
      </w:r>
      <w:r>
        <w:t xml:space="preserve"> </w:t>
      </w:r>
      <w:r>
        <w:t xml:space="preserve">respondents expressed support for creating 3 categories (sustainable, transition, and other ESG),</w:t>
      </w:r>
      <w:r>
        <w:t xml:space="preserve"> </w:t>
      </w:r>
      <w:r>
        <w:t xml:space="preserve">while a small minority preferred 2 categories (sustainable and transition). A small portion of</w:t>
      </w:r>
      <w:r>
        <w:t xml:space="preserve"> </w:t>
      </w:r>
      <w:r>
        <w:t xml:space="preserve">stakeholders also expressed interest for a standalone impact category, while acknowledging that</w:t>
      </w:r>
      <w:r>
        <w:t xml:space="preserve"> </w:t>
      </w:r>
      <w:r>
        <w:t xml:space="preserve">impact products could also fall under the sustainable or transition category and disclose how they</w:t>
      </w:r>
      <w:r>
        <w:t xml:space="preserve"> </w:t>
      </w:r>
      <w:r>
        <w:t xml:space="preserve">conduct impact investing.</w:t>
      </w:r>
      <w:r>
        <w:br/>
      </w:r>
      <w:r>
        <w:t xml:space="preserve">The responses to the call for evidence also showed a general agreement regarding the need to align</w:t>
      </w:r>
      <w:r>
        <w:t xml:space="preserve"> </w:t>
      </w:r>
      <w:r>
        <w:t xml:space="preserve">the criteria with the ESMA guidelines (i.e. the PAB and CTB exclusions). Many have also urged to</w:t>
      </w:r>
      <w:r>
        <w:t xml:space="preserve"> </w:t>
      </w:r>
      <w:r>
        <w:t xml:space="preserve">ensure that the criteria will be adapted to all types of asset classes, while underlining that certain</w:t>
      </w:r>
      <w:r>
        <w:t xml:space="preserve"> </w:t>
      </w:r>
      <w:r>
        <w:t xml:space="preserve">assets classes (such as derivatives, real estate and sovereigns) face considerable challenges under</w:t>
      </w:r>
      <w:r>
        <w:t xml:space="preserve"> </w:t>
      </w:r>
      <w:r>
        <w:t xml:space="preserve">the current rules. Stakeholders from the insurance and pension sectors have urged to ensure that the</w:t>
      </w:r>
      <w:r>
        <w:t xml:space="preserve"> </w:t>
      </w:r>
      <w:r>
        <w:t xml:space="preserve">criteria would fit their sectoral specificities.</w:t>
      </w:r>
      <w:r>
        <w:br/>
      </w:r>
      <w:r>
        <w:t xml:space="preserve">7. PREFERRED COMBINATION OF POLICY OPTIONS</w:t>
      </w:r>
      <w:r>
        <w:t xml:space="preserve"> </w:t>
      </w:r>
      <w:r>
        <w:t xml:space="preserve">On the basis of the comparison of options carried out in section 6, the preferred option would</w:t>
      </w:r>
      <w:r>
        <w:t xml:space="preserve"> </w:t>
      </w:r>
      <w:r>
        <w:t xml:space="preserve">combine option 1.2 for entity-level disclosures, 2.2 for product-level disclosures, and 3.1 for the</w:t>
      </w:r>
      <w:r>
        <w:t xml:space="preserve"> </w:t>
      </w:r>
      <w:r>
        <w:t xml:space="preserve">set-up of sustainability-related categories.</w:t>
      </w:r>
      <w:r>
        <w:br/>
      </w:r>
      <w:r>
        <w:t xml:space="preserve">7.1.</w:t>
      </w:r>
      <w:r>
        <w:t xml:space="preserve"> </w:t>
      </w:r>
      <w:r>
        <w:t xml:space="preserve">Impacts of preferred options on the specific objectives</w:t>
      </w:r>
      <w:r>
        <w:br/>
      </w:r>
      <w:r>
        <w:t xml:space="preserve">This combination of the preferred options is the more efficient and effective overall way to achieve</w:t>
      </w:r>
      <w:r>
        <w:t xml:space="preserve"> </w:t>
      </w:r>
      <w:r>
        <w:t xml:space="preserve">the two specific objectives:</w:t>
      </w:r>
      <w:r>
        <w:br/>
      </w:r>
      <w:r>
        <w:t xml:space="preserve">(1) FMPs would be provided with three categories with simple criteria for all ESG products.</w:t>
      </w:r>
      <w:r>
        <w:t xml:space="preserve"> </w:t>
      </w:r>
      <w:r>
        <w:t xml:space="preserve">Compared to the current system, the new approach would create one set of coherent rules</w:t>
      </w:r>
      <w:r>
        <w:t xml:space="preserve"> </w:t>
      </w:r>
      <w:r>
        <w:t xml:space="preserve">regarding ESG claims in names, marketing communication and in the distribution of such</w:t>
      </w:r>
      <w:r>
        <w:t xml:space="preserve"> </w:t>
      </w:r>
      <w:r>
        <w:t xml:space="preserve">products, more geared towards FMPs and investors with an interest in ESG products which</w:t>
      </w:r>
      <w:r>
        <w:t xml:space="preserve"> </w:t>
      </w:r>
      <w:r>
        <w:t xml:space="preserve">would be easier to compare as they would be based on shorter and standardised templates, .</w:t>
      </w:r>
      <w:r>
        <w:t xml:space="preserve"> </w:t>
      </w:r>
      <w:r>
        <w:t xml:space="preserve">The criteria would provide clarity on the regulatory expectations and would also lower the</w:t>
      </w:r>
      <w:r>
        <w:t xml:space="preserve"> </w:t>
      </w:r>
      <w:r>
        <w:t xml:space="preserve">risks of national gold plating. Excessive information requirements which are based on data</w:t>
      </w:r>
      <w:r>
        <w:t xml:space="preserve"> </w:t>
      </w:r>
      <w:r>
        <w:t xml:space="preserve">which is less available and are not found to be decision-useful for investors would be cut.</w:t>
      </w:r>
      <w:r>
        <w:t xml:space="preserve"> </w:t>
      </w:r>
      <w:r>
        <w:t xml:space="preserve">While these new categories may involve an initial cost in the short term (for FMPs and</w:t>
      </w:r>
      <w:r>
        <w:t xml:space="preserve"> </w:t>
      </w:r>
      <w:r>
        <w:t xml:space="preserve">products not already subject to the ESMA guidelines), this would be duly phased in. The</w:t>
      </w:r>
      <w:r>
        <w:t xml:space="preserve"> </w:t>
      </w:r>
      <w:r>
        <w:t xml:space="preserve">trade-off is also justified as the simplification measures are anticipated to reduce recurring</w:t>
      </w:r>
      <w:r>
        <w:t xml:space="preserve"> </w:t>
      </w:r>
      <w:r>
        <w:t xml:space="preserve">costs over the medium to longer term, ultimately leading to greater overall efficiency. Long-</w:t>
      </w:r>
      <w:r>
        <w:t xml:space="preserve"> </w:t>
      </w:r>
      <w:r>
        <w:t xml:space="preserve">term adherence to the fewer rules linked to the categories would be streamlined and much</w:t>
      </w:r>
      <w:r>
        <w:t xml:space="preserve"> </w:t>
      </w:r>
      <w:r>
        <w:t xml:space="preserve">simpler than the current rules FMPs need to comply with. The disclosure requirements that</w:t>
      </w:r>
      <w:r>
        <w:t xml:space="preserve"> </w:t>
      </w:r>
      <w:r>
        <w:t xml:space="preserve">would accompany these disclosures would be much shorter than the current reporting</w:t>
      </w:r>
      <w:r>
        <w:t xml:space="preserve"> </w:t>
      </w:r>
      <w:r>
        <w:t xml:space="preserve">template under the Article 8 and 9. Therefore, as set out in Annex 3, costs linked to product</w:t>
      </w:r>
      <w:r>
        <w:t xml:space="preserve"> </w:t>
      </w:r>
      <w:r>
        <w:t xml:space="preserve">level disclosures are expected to be significantly reduced while those related to entity-level</w:t>
      </w:r>
      <w:r>
        <w:t xml:space="preserve"> </w:t>
      </w:r>
      <w:r>
        <w:t xml:space="preserve">disclosures would disappear. Over time, these would offset the one-off costs of moving to</w:t>
      </w:r>
      <w:r>
        <w:t xml:space="preserve"> </w:t>
      </w:r>
      <w:r>
        <w:t xml:space="preserve">the new rules.</w:t>
      </w:r>
      <w:r>
        <w:t xml:space="preserve"> </w:t>
      </w:r>
      <w:r>
        <w:t xml:space="preserve">(2) The categories would effectively cluster the ESG financial products into three groupings</w:t>
      </w:r>
      <w:r>
        <w:t xml:space="preserve"> </w:t>
      </w:r>
      <w:r>
        <w:t xml:space="preserve">depending on ESG objectives and levels of ambition. End-investors would be able to easily</w:t>
      </w:r>
      <w:r>
        <w:t xml:space="preserve"> </w:t>
      </w:r>
      <w:r>
        <w:t xml:space="preserve">and quickly understand whether a financial product is focused on contributing to a</w:t>
      </w:r>
      <w:r>
        <w:t xml:space="preserve"> </w:t>
      </w:r>
      <w:r>
        <w:t xml:space="preserve">sustainability objective/made largely of sustainable assets, if a product is focused on helping</w:t>
      </w:r>
      <w:r>
        <w:t xml:space="preserve"> </w:t>
      </w:r>
      <w:r>
        <w:t xml:space="preserve">companies to transition toward more sustainable practices, or if a product is applying</w:t>
      </w:r>
    </w:p>
    <w:p>
      <w:pPr>
        <w:pStyle w:val="BodyText"/>
      </w:pPr>
      <w:r>
        <w:t xml:space="preserve">179 Feedback gathered during the Call for Evidence which ran from 2 May to 30 May 2025.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broader or lighter ESG strategies. The underlying criteria of the categories would ensure</w:t>
      </w:r>
      <w:r>
        <w:t xml:space="preserve"> </w:t>
      </w:r>
      <w:r>
        <w:t xml:space="preserve">harmonised minimum ESG performance, notably against risks deemed unacceptable by the</w:t>
      </w:r>
      <w:r>
        <w:t xml:space="preserve"> </w:t>
      </w:r>
      <w:r>
        <w:t xml:space="preserve">majority of sustainability-minded investors180, thereby increasing investors’ protection</w:t>
      </w:r>
      <w:r>
        <w:t xml:space="preserve"> </w:t>
      </w:r>
      <w:r>
        <w:t xml:space="preserve">against greenwashing risks. Also, accompanying product disclosures would be made easier</w:t>
      </w:r>
      <w:r>
        <w:t xml:space="preserve"> </w:t>
      </w:r>
      <w:r>
        <w:t xml:space="preserve">and simpler for them, giving them the essential information which experience demonstrates</w:t>
      </w:r>
      <w:r>
        <w:t xml:space="preserve"> </w:t>
      </w:r>
      <w:r>
        <w:t xml:space="preserve">is of greatest value181, with an opportunity for investors to get more detailed information on</w:t>
      </w:r>
      <w:r>
        <w:t xml:space="preserve"> </w:t>
      </w:r>
      <w:r>
        <w:t xml:space="preserve">the ESG features if they want. This would facilitate the comparison of ESG products falling</w:t>
      </w:r>
      <w:r>
        <w:t xml:space="preserve"> </w:t>
      </w:r>
      <w:r>
        <w:t xml:space="preserve">under the same category.</w:t>
      </w:r>
      <w:r>
        <w:br/>
      </w:r>
      <w:r>
        <w:t xml:space="preserve">7.2.</w:t>
      </w:r>
      <w:r>
        <w:t xml:space="preserve"> </w:t>
      </w:r>
      <w:r>
        <w:t xml:space="preserve">Impacts of preferred options on the general objectives</w:t>
      </w:r>
      <w:r>
        <w:br/>
      </w:r>
      <w:r>
        <w:t xml:space="preserve">The preferred options would help contribute to the general objectives. Namely, they would help</w:t>
      </w:r>
      <w:r>
        <w:t xml:space="preserve"> </w:t>
      </w:r>
      <w:r>
        <w:t xml:space="preserve">boost the integrity of the EU single market for sustainable finance by fighting greenwashing in an</w:t>
      </w:r>
      <w:r>
        <w:t xml:space="preserve"> </w:t>
      </w:r>
      <w:r>
        <w:t xml:space="preserve">effective and efficient way, by replacing lengthy and complex disclosures with targeted minimum</w:t>
      </w:r>
      <w:r>
        <w:t xml:space="preserve"> </w:t>
      </w:r>
      <w:r>
        <w:t xml:space="preserve">safeguards and ambition criteria, which would apply to all products making ESG claims or be</w:t>
      </w:r>
      <w:r>
        <w:t xml:space="preserve"> </w:t>
      </w:r>
      <w:r>
        <w:t xml:space="preserve">distributed to retail investors with preferences for sustainable products. This would also help</w:t>
      </w:r>
      <w:r>
        <w:t xml:space="preserve"> </w:t>
      </w:r>
      <w:r>
        <w:t xml:space="preserve">encourage the efficient allocation of capital for Europe’s sustainable prosperity by boosting trust in</w:t>
      </w:r>
      <w:r>
        <w:t xml:space="preserve"> </w:t>
      </w:r>
      <w:r>
        <w:t xml:space="preserve">ESG financial products and contributing to re-directing private capital that either contribute</w:t>
      </w:r>
      <w:r>
        <w:t xml:space="preserve"> </w:t>
      </w:r>
      <w:r>
        <w:t xml:space="preserve">positively to EU sustainable goals or avoid harm to these objectives as part of deeper, more</w:t>
      </w:r>
      <w:r>
        <w:t xml:space="preserve"> </w:t>
      </w:r>
      <w:r>
        <w:t xml:space="preserve">integrated and more competitive EU financial markets. No other EU legislation sets ESG</w:t>
      </w:r>
      <w:r>
        <w:t xml:space="preserve"> </w:t>
      </w:r>
      <w:r>
        <w:t xml:space="preserve">disclosures for financial products which can help serve this purpose, and market-based solutions</w:t>
      </w:r>
      <w:r>
        <w:t xml:space="preserve"> </w:t>
      </w:r>
      <w:r>
        <w:t xml:space="preserve">which would deliver the same are highly unlikely to emerge. Of course, as the options address the</w:t>
      </w:r>
      <w:r>
        <w:t xml:space="preserve"> </w:t>
      </w:r>
      <w:r>
        <w:t xml:space="preserve">specific objectives identified for this initiative, they would need to work in tandem with other</w:t>
      </w:r>
      <w:r>
        <w:t xml:space="preserve"> </w:t>
      </w:r>
      <w:r>
        <w:t xml:space="preserve">factors, involving the efficient functioning of markets and determining capital allocation, which are</w:t>
      </w:r>
      <w:r>
        <w:t xml:space="preserve"> </w:t>
      </w:r>
      <w:r>
        <w:t xml:space="preserve">beyond the scope of this impact assessment, to fully achieve the general objectives.</w:t>
      </w:r>
      <w:r>
        <w:br/>
      </w:r>
      <w:r>
        <w:t xml:space="preserve">The combination of the preferred options is expected to directly or indirectly contribute to positive</w:t>
      </w:r>
      <w:r>
        <w:t xml:space="preserve"> </w:t>
      </w:r>
      <w:r>
        <w:t xml:space="preserve">environmental, social and human rights impacts through its three ESG categories, underpinning</w:t>
      </w:r>
      <w:r>
        <w:t xml:space="preserve"> </w:t>
      </w:r>
      <w:r>
        <w:t xml:space="preserve">criteria and accompanying simpler disclosures. All ESG products would need to comply with EU</w:t>
      </w:r>
      <w:r>
        <w:t xml:space="preserve"> </w:t>
      </w:r>
      <w:r>
        <w:t xml:space="preserve">minimum safeguards if they wish to make ESG claims or be distributed as such. These safeguards</w:t>
      </w:r>
      <w:r>
        <w:t xml:space="preserve"> </w:t>
      </w:r>
      <w:r>
        <w:t xml:space="preserve">would include, depending on the nature of the claims, elements linked to the respect of human</w:t>
      </w:r>
      <w:r>
        <w:t xml:space="preserve"> </w:t>
      </w:r>
      <w:r>
        <w:t xml:space="preserve">rights, adherence to social safeguards and norms, and mitigation of key environmental impacts.</w:t>
      </w:r>
      <w:r>
        <w:t xml:space="preserve"> </w:t>
      </w:r>
      <w:r>
        <w:t xml:space="preserve">Certain ESG products would also need to demonstrate their positive contribution to environmental,</w:t>
      </w:r>
      <w:r>
        <w:t xml:space="preserve"> </w:t>
      </w:r>
      <w:r>
        <w:t xml:space="preserve">social or fundamental right objectives, in order to fall under the more ambitious categories</w:t>
      </w:r>
      <w:r>
        <w:t xml:space="preserve"> </w:t>
      </w:r>
      <w:r>
        <w:t xml:space="preserve">(sustainable and transition). These products would also need to comply with minimum disclosure</w:t>
      </w:r>
      <w:r>
        <w:t xml:space="preserve"> </w:t>
      </w:r>
      <w:r>
        <w:t xml:space="preserve">requirements, which would include reporting on some social aspects.</w:t>
      </w:r>
      <w:r>
        <w:br/>
      </w:r>
      <w:r>
        <w:t xml:space="preserve">This initiative is also expected to directly or indirectly contribute to the achievement of UN</w:t>
      </w:r>
      <w:r>
        <w:t xml:space="preserve"> </w:t>
      </w:r>
      <w:r>
        <w:t xml:space="preserve">Sustainable Development Goals (SDGs) notably those related to the climate, environment and</w:t>
      </w:r>
      <w:r>
        <w:t xml:space="preserve"> </w:t>
      </w:r>
      <w:r>
        <w:t xml:space="preserve">social progress by ensuring that ESG financial products can more efficiently both contribute to and</w:t>
      </w:r>
      <w:r>
        <w:t xml:space="preserve"> </w:t>
      </w:r>
      <w:r>
        <w:t xml:space="preserve">not cause harm to these goals. Finally, in this regard the combination of the preferred options is also</w:t>
      </w:r>
      <w:r>
        <w:t xml:space="preserve"> </w:t>
      </w:r>
      <w:r>
        <w:t xml:space="preserve">assessed to be the best way to ensure that the revised SFDR is consistent with the climate neutrality</w:t>
      </w:r>
      <w:r>
        <w:t xml:space="preserve"> </w:t>
      </w:r>
      <w:r>
        <w:t xml:space="preserve">objective of the climate law182.</w:t>
      </w:r>
    </w:p>
    <w:p>
      <w:pPr>
        <w:pStyle w:val="BodyText"/>
      </w:pPr>
      <w:r>
        <w:t xml:space="preserve">180 See Annex 10 ‘Specific sustainability objectives/themes’</w:t>
      </w:r>
      <w:r>
        <w:t xml:space="preserve"> </w:t>
      </w:r>
      <w:r>
        <w:t xml:space="preserve">181 See Annex 11, section 3.1.1</w:t>
      </w:r>
      <w:r>
        <w:t xml:space="preserve"> </w:t>
      </w:r>
      <w:r>
        <w:t xml:space="preserve">182 Regulation (EU) 2021/1119 of 30 June 2021 establishing the framework for achieving climate neutrality</w:t>
      </w:r>
      <w:r>
        <w:br/>
      </w:r>
      <w:r>
        <w:t xml:space="preserve">(European Climate Law)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7.3.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As per the specific objective 1 (and the description of the impact of the preferred option on this</w:t>
      </w:r>
      <w:r>
        <w:t xml:space="preserve"> </w:t>
      </w:r>
      <w:r>
        <w:t xml:space="preserve">objective in section 6), the combination of the preferred options has the potential to drastically</w:t>
      </w:r>
      <w:r>
        <w:t xml:space="preserve"> </w:t>
      </w:r>
      <w:r>
        <w:t xml:space="preserve">simplify and improve the efficiency of the legislation.</w:t>
      </w:r>
      <w:r>
        <w:br/>
      </w:r>
      <w:r>
        <w:t xml:space="preserve">7.4.</w:t>
      </w:r>
      <w:r>
        <w:t xml:space="preserve"> </w:t>
      </w:r>
      <w:r>
        <w:t xml:space="preserve">Application of the ‘one in, one out’ approach</w:t>
      </w:r>
      <w:r>
        <w:t xml:space="preserve"> </w:t>
      </w:r>
      <w:r>
        <w:t xml:space="preserve">The quantifiable costs of this initiative are categorised as administrative costs from a better</w:t>
      </w:r>
      <w:r>
        <w:t xml:space="preserve"> </w:t>
      </w:r>
      <w:r>
        <w:t xml:space="preserve">regulation perspective as they link to costs for disclosures to the public.</w:t>
      </w:r>
      <w:r>
        <w:br/>
      </w:r>
      <w:r>
        <w:t xml:space="preserve">For the preferred option 1.2, we estimate an annual saving of EUR 56 million compared to the</w:t>
      </w:r>
      <w:r>
        <w:t xml:space="preserve"> </w:t>
      </w:r>
      <w:r>
        <w:t xml:space="preserve">baseline. For the preferred option 2.2. we conservatively estimate annual recurring savings of at</w:t>
      </w:r>
      <w:r>
        <w:t xml:space="preserve"> </w:t>
      </w:r>
      <w:r>
        <w:t xml:space="preserve">least EUR 55 million and for 3.1 we were unable to collect sufficient quantitative evidence to</w:t>
      </w:r>
      <w:r>
        <w:t xml:space="preserve"> </w:t>
      </w:r>
      <w:r>
        <w:t xml:space="preserve">estimate the costs with a sufficient degree of statistical confidence.</w:t>
      </w:r>
      <w:r>
        <w:t xml:space="preserve"> </w:t>
      </w:r>
      <w:r>
        <w:t xml:space="preserve">Overall, Annex 3 suggests a net reduction in administrative costs from the initiative183.</w:t>
      </w:r>
      <w:r>
        <w:br/>
      </w:r>
      <w:r>
        <w:t xml:space="preserve">8. HOW WILL ACTUAL IMPACTS BE MONITORED AND EVALUATED?</w:t>
      </w:r>
      <w:r>
        <w:t xml:space="preserve"> </w:t>
      </w:r>
      <w:r>
        <w:t xml:space="preserve">To monitor progress towards meeting the specific and general objectives, the Commission services</w:t>
      </w:r>
      <w:r>
        <w:t xml:space="preserve"> </w:t>
      </w:r>
      <w:r>
        <w:t xml:space="preserve">would continue to work together with established processes underway notably with the European</w:t>
      </w:r>
      <w:r>
        <w:t xml:space="preserve"> </w:t>
      </w:r>
      <w:r>
        <w:t xml:space="preserve">Supervisory Authorities (ESAs) and the Platform for Sustainable Finance (PSF) to analyse:</w:t>
      </w:r>
      <w:r>
        <w:br/>
      </w:r>
      <w:r>
        <w:t xml:space="preserve">(1) The costs incurred by the industry - The ESAs and the NCAs could be tasked to survey</w:t>
      </w:r>
      <w:r>
        <w:t xml:space="preserve"> </w:t>
      </w:r>
      <w:r>
        <w:t xml:space="preserve">and assess the implementation costs linked to the new categorisation system at the latest 3</w:t>
      </w:r>
      <w:r>
        <w:t xml:space="preserve"> </w:t>
      </w:r>
      <w:r>
        <w:t xml:space="preserve">years after its implementation. This assessment could also monitor the cost reductions from</w:t>
      </w:r>
      <w:r>
        <w:t xml:space="preserve"> </w:t>
      </w:r>
      <w:r>
        <w:t xml:space="preserve">the reduced disclosures and assessing how the market is adapting to the new rules.</w:t>
      </w:r>
      <w:r>
        <w:t xml:space="preserve"> </w:t>
      </w:r>
      <w:r>
        <w:t xml:space="preserve">(2) Possible occurrences of greenwashing in EU markets. The ESAs – together with the</w:t>
      </w:r>
      <w:r>
        <w:t xml:space="preserve"> </w:t>
      </w:r>
      <w:r>
        <w:t xml:space="preserve">national competent authorities (NCAs) are already monitoring the occurrences of</w:t>
      </w:r>
      <w:r>
        <w:t xml:space="preserve"> </w:t>
      </w:r>
      <w:r>
        <w:t xml:space="preserve">greenwashing and supervise sustainability-related claims. Their 2023 and 2024 reports184</w:t>
      </w:r>
      <w:r>
        <w:t xml:space="preserve"> </w:t>
      </w:r>
      <w:r>
        <w:t xml:space="preserve">assess which areas of the sustainable investment value chain (SIVC) are more exposed to</w:t>
      </w:r>
      <w:r>
        <w:t xml:space="preserve"> </w:t>
      </w:r>
      <w:r>
        <w:t xml:space="preserve">the risk of greenwashing. The Commission could work with the ESAs to conduct these</w:t>
      </w:r>
      <w:r>
        <w:t xml:space="preserve"> </w:t>
      </w:r>
      <w:r>
        <w:t xml:space="preserve">assessments regularly (e.g. every two years), including to help assess the effectiveness of</w:t>
      </w:r>
      <w:r>
        <w:t xml:space="preserve"> </w:t>
      </w:r>
      <w:r>
        <w:t xml:space="preserve">the future SFDR as a tool against greenwashing and amid the changes introduced by the</w:t>
      </w:r>
      <w:r>
        <w:t xml:space="preserve"> </w:t>
      </w:r>
      <w:r>
        <w:t xml:space="preserve">omnibus proposals.</w:t>
      </w:r>
      <w:r>
        <w:br/>
      </w:r>
      <w:r>
        <w:t xml:space="preserve">(3) Capital flows to sustainable investment – the Platform for Sustainable Finance has</w:t>
      </w:r>
      <w:r>
        <w:t xml:space="preserve"> </w:t>
      </w:r>
      <w:r>
        <w:t xml:space="preserve">developed a novel framework for monitoring capital flows to sustainable investment, i.e. the</w:t>
      </w:r>
      <w:r>
        <w:t xml:space="preserve"> </w:t>
      </w:r>
      <w:r>
        <w:t xml:space="preserve">financing of a clean and competitive transition185. The Commission could work with the</w:t>
      </w:r>
      <w:r>
        <w:t xml:space="preserve"> </w:t>
      </w:r>
      <w:r>
        <w:t xml:space="preserve">PSF to conduct a targeted analysis a few years after the implementation of the regime to</w:t>
      </w:r>
      <w:r>
        <w:t xml:space="preserve"> </w:t>
      </w:r>
      <w:r>
        <w:t xml:space="preserve">assess the degree to which the categorisation system, together with the simplified</w:t>
      </w:r>
      <w:r>
        <w:t xml:space="preserve"> </w:t>
      </w:r>
      <w:r>
        <w:t xml:space="preserve">disclosures, has helped boost financing toward sustainable economic activities and projects</w:t>
      </w:r>
      <w:r>
        <w:t xml:space="preserve"> </w:t>
      </w:r>
      <w:r>
        <w:t xml:space="preserve">and helped lower the cost of capital linked to these.</w:t>
      </w:r>
      <w:r>
        <w:br/>
      </w:r>
      <w:r>
        <w:t xml:space="preserve">(4) The understanding of EU retail investors – Finally, the Commission could work with the</w:t>
      </w:r>
      <w:r>
        <w:t xml:space="preserve"> </w:t>
      </w:r>
      <w:r>
        <w:t xml:space="preserve">ESAs and other associations to conduct a consumer survey a few years after the</w:t>
      </w:r>
      <w:r>
        <w:t xml:space="preserve"> </w:t>
      </w:r>
      <w:r>
        <w:t xml:space="preserve">implementation of the regime. The survey could test whether the categories and their</w:t>
      </w:r>
    </w:p>
    <w:p>
      <w:pPr>
        <w:pStyle w:val="BodyText"/>
      </w:pPr>
      <w:r>
        <w:t xml:space="preserve">183 See Annex 3, sections 3.10 and 3.11</w:t>
      </w:r>
      <w:r>
        <w:t xml:space="preserve"> </w:t>
      </w:r>
      <w:r>
        <w:t xml:space="preserve">184 2023 interim reports: ESMA progress report, EBA progress report, EIOPA progress report and the 2024 joint final</w:t>
      </w:r>
      <w:r>
        <w:t xml:space="preserve"> </w:t>
      </w:r>
      <w:r>
        <w:t xml:space="preserve">report</w:t>
      </w:r>
      <w:r>
        <w:t xml:space="preserve"> </w:t>
      </w:r>
      <w:r>
        <w:t xml:space="preserve">185 Financing a Clean and Competitive Transition: monitoring capital flows to sustainable investment, PSF March 2025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accompanying streamlined disclosures have managed to improve consumers’ ability to</w:t>
      </w:r>
      <w:r>
        <w:t xml:space="preserve"> </w:t>
      </w:r>
      <w:r>
        <w:t xml:space="preserve">understand and compare ESG products and deliver credible ESG information to investors.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This Impact Assessment Report was prepared by Directorate C</w:t>
      </w:r>
      <w:r>
        <w:t xml:space="preserve"> </w:t>
      </w:r>
      <w:r>
        <w:t xml:space="preserve">“Financial Markets”</w:t>
      </w:r>
      <w:r>
        <w:t xml:space="preserve"> </w:t>
      </w:r>
      <w:r>
        <w:t xml:space="preserve">of the</w:t>
      </w:r>
      <w:r>
        <w:t xml:space="preserve"> </w:t>
      </w:r>
      <w:r>
        <w:t xml:space="preserve">Directorate General</w:t>
      </w:r>
      <w:r>
        <w:t xml:space="preserve"> </w:t>
      </w:r>
      <w:r>
        <w:t xml:space="preserve">“Directorate-General for Financial Stability, Financial Services and Capital</w:t>
      </w:r>
      <w:r>
        <w:t xml:space="preserve"> </w:t>
      </w:r>
      <w:r>
        <w:t xml:space="preserve">Markets Union”</w:t>
      </w:r>
      <w:r>
        <w:t xml:space="preserve"> </w:t>
      </w:r>
      <w:r>
        <w:t xml:space="preserve">(DG FISMA). The Decide Planning reference of the</w:t>
      </w:r>
      <w:r>
        <w:t xml:space="preserve"> </w:t>
      </w:r>
      <w:r>
        <w:t xml:space="preserve">“Revision of the Sustainable</w:t>
      </w:r>
      <w:r>
        <w:t xml:space="preserve"> </w:t>
      </w:r>
      <w:r>
        <w:t xml:space="preserve">Finance Disclosure Regulation (SFDR)”</w:t>
      </w:r>
      <w:r>
        <w:t xml:space="preserve"> </w:t>
      </w:r>
      <w:r>
        <w:t xml:space="preserve">is PLAN/2024/2126. This initiative is part of the</w:t>
      </w:r>
      <w:r>
        <w:t xml:space="preserve"> </w:t>
      </w:r>
      <w:r>
        <w:t xml:space="preserve">Commission’s Work Programme Simplification 2025.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Several services of the Commission with an interest in the initiative have been involved in the</w:t>
      </w:r>
      <w:r>
        <w:t xml:space="preserve"> </w:t>
      </w:r>
      <w:r>
        <w:t xml:space="preserve">development of this analysis. Three Inter-Service Steering Group (ISSG) meetings, consisting of</w:t>
      </w:r>
      <w:r>
        <w:t xml:space="preserve"> </w:t>
      </w:r>
      <w:r>
        <w:t xml:space="preserve">representatives from various Directorates-General of the Commission, were held in 2024 and 2025.</w:t>
      </w:r>
      <w:r>
        <w:t xml:space="preserve"> </w:t>
      </w:r>
      <w:r>
        <w:t xml:space="preserve">The first meeting took place on 2 October 2024 attended by representatives from DEFIS, ENV,</w:t>
      </w:r>
      <w:r>
        <w:t xml:space="preserve"> </w:t>
      </w:r>
      <w:r>
        <w:t xml:space="preserve">CLIMA, EMPL, GROW, JUST, JRC, SJ, INTPA, and the Secretariat General (SG).</w:t>
      </w:r>
      <w:r>
        <w:br/>
      </w:r>
      <w:r>
        <w:t xml:space="preserve">The second meeting was held on 24 April 2025. Representatives from DEFIS, MOVE, SJ, INTPA,</w:t>
      </w:r>
      <w:r>
        <w:t xml:space="preserve"> </w:t>
      </w:r>
      <w:r>
        <w:t xml:space="preserve">ENV, CLIMA, EMPL, GROW, JUST, ENER, JRC and the Secretariat General (SG) were present.</w:t>
      </w:r>
      <w:r>
        <w:br/>
      </w:r>
      <w:r>
        <w:t xml:space="preserve">The third meeting was held on 21 May 2025 and was attended by JRC, EMPL, MOVE, DEFIS,</w:t>
      </w:r>
      <w:r>
        <w:t xml:space="preserve"> </w:t>
      </w:r>
      <w:r>
        <w:t xml:space="preserve">GROW, CLIMA, JUST, ENER, ENV and the SG. This was the last meeting of the ISSG before the</w:t>
      </w:r>
      <w:r>
        <w:t xml:space="preserve"> </w:t>
      </w:r>
      <w:r>
        <w:t xml:space="preserve">submission to the Regulatory Scrutiny Board on 4 June 2025. The meetings were chaired by</w:t>
      </w:r>
      <w:r>
        <w:t xml:space="preserve"> </w:t>
      </w:r>
      <w:r>
        <w:t xml:space="preserve">FISMA.</w:t>
      </w:r>
      <w:r>
        <w:br/>
      </w:r>
      <w:r>
        <w:t xml:space="preserve">DG FISMA has considered the comments made by DGs in the final version of the IA.</w:t>
      </w:r>
      <w:r>
        <w:t xml:space="preserve"> </w:t>
      </w:r>
      <w:r>
        <w:t xml:space="preserve">3. Consultation of the RSB</w:t>
      </w:r>
      <w:r>
        <w:t xml:space="preserve"> </w:t>
      </w:r>
      <w:r>
        <w:t xml:space="preserve">The Impact Assessment report was examined by the Regulatory Scrutiny Board on 2 July 2025.</w:t>
      </w:r>
      <w:r>
        <w:t xml:space="preserve"> </w:t>
      </w:r>
      <w:r>
        <w:t xml:space="preserve">The Board gave a negative opinion with the following comments. The changes in response to the</w:t>
      </w:r>
      <w:r>
        <w:t xml:space="preserve"> </w:t>
      </w:r>
      <w:r>
        <w:t xml:space="preserve">comments are summarised under each respective point below (referring to version 1). The Board</w:t>
      </w:r>
      <w:r>
        <w:t xml:space="preserve"> </w:t>
      </w:r>
      <w:r>
        <w:t xml:space="preserve">gave a positive opinion with reservations on the revised version on 8 October 2025, changes to</w:t>
      </w:r>
      <w:r>
        <w:t xml:space="preserve"> </w:t>
      </w:r>
      <w:r>
        <w:t xml:space="preserve">which are also summarised below (referring to version 2).</w:t>
      </w:r>
      <w:r>
        <w:br/>
      </w:r>
      <w:r>
        <w:t xml:space="preserve">RSB comment version 1: Policy options are not sufficiently specified to allow for an adequate</w:t>
      </w:r>
      <w:r>
        <w:t xml:space="preserve"> </w:t>
      </w:r>
      <w:r>
        <w:t xml:space="preserve">assessment and comparison. The report leaves evidence uncovered that is necessary to justify and</w:t>
      </w:r>
      <w:r>
        <w:t xml:space="preserve"> </w:t>
      </w:r>
      <w:r>
        <w:t xml:space="preserve">ensure feasibility, effectiveness and efficiency of the action at level 2.</w:t>
      </w:r>
      <w:r>
        <w:t xml:space="preserve"> </w:t>
      </w:r>
      <w:r>
        <w:t xml:space="preserve">Changes made to the IA: The report includes a more detailed description of what the policy</w:t>
      </w:r>
      <w:r>
        <w:t xml:space="preserve"> </w:t>
      </w:r>
      <w:r>
        <w:t xml:space="preserve">options would concretely look like, mainly by providing a detailed description/example for</w:t>
      </w:r>
      <w:r>
        <w:t xml:space="preserve"> </w:t>
      </w:r>
      <w:r>
        <w:t xml:space="preserve">streamlined disclosures and criteria for the proposed categories.</w:t>
      </w:r>
      <w:r>
        <w:br/>
      </w:r>
      <w:r>
        <w:t xml:space="preserve">These specifications are added to the core report (section 5.3.2 for a description of the disclosures</w:t>
      </w:r>
      <w:r>
        <w:t xml:space="preserve"> </w:t>
      </w:r>
      <w:r>
        <w:t xml:space="preserve">and section 5.4 for a description of the criteria, notably box 3) and further detailed in Annex 8</w:t>
      </w:r>
      <w:r>
        <w:t xml:space="preserve"> </w:t>
      </w:r>
      <w:r>
        <w:t xml:space="preserve">(which also provides illustration of what the level 2 criteria could look like and a mock disclosure</w:t>
      </w:r>
      <w:r>
        <w:t xml:space="preserve"> </w:t>
      </w:r>
      <w:r>
        <w:t xml:space="preserve">template). Sections 5.3 and 5.4 also explain the detail of what would be developed in level 1 vs. </w:t>
      </w:r>
      <w:r>
        <w:t xml:space="preserve"> </w:t>
      </w:r>
      <w:r>
        <w:t xml:space="preserve">level 2.</w:t>
      </w:r>
      <w:r>
        <w:br/>
      </w:r>
      <w:r>
        <w:t xml:space="preserve">The report also includes evidence of the feasibility of relying on such disclosures and criteria to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achieve the specific objectives, mainly taken from market analysis of current practices and</w:t>
      </w:r>
      <w:r>
        <w:t xml:space="preserve"> </w:t>
      </w:r>
      <w:r>
        <w:t xml:space="preserve">compliance with existing obligations. Evidence shows that the suggested criteria build on data</w:t>
      </w:r>
      <w:r>
        <w:t xml:space="preserve"> </w:t>
      </w:r>
      <w:r>
        <w:t xml:space="preserve">that is available to a significant degree and are already applied by a large portion of the market, in</w:t>
      </w:r>
      <w:r>
        <w:t xml:space="preserve"> </w:t>
      </w:r>
      <w:r>
        <w:t xml:space="preserve">contrast to other datapoints which are less available. It also explains how the introduction of such</w:t>
      </w:r>
      <w:r>
        <w:t xml:space="preserve"> </w:t>
      </w:r>
      <w:r>
        <w:t xml:space="preserve">criteria would largely align with investors’ known preferences (based on studies outlined in</w:t>
      </w:r>
      <w:r>
        <w:t xml:space="preserve"> </w:t>
      </w:r>
      <w:r>
        <w:t xml:space="preserve">Annex 10), increase comparability and better address greenwashing concerns, compared to the</w:t>
      </w:r>
      <w:r>
        <w:t xml:space="preserve"> </w:t>
      </w:r>
      <w:r>
        <w:t xml:space="preserve">current situation.</w:t>
      </w:r>
      <w:r>
        <w:br/>
      </w:r>
      <w:r>
        <w:t xml:space="preserve">These additional elements do not pre-empt future level 2 rules but are provided as guiding</w:t>
      </w:r>
      <w:r>
        <w:t xml:space="preserve"> </w:t>
      </w:r>
      <w:r>
        <w:t xml:space="preserve">illustrations to help better grasp the contours of the proposed categories and the main elements of</w:t>
      </w:r>
      <w:r>
        <w:t xml:space="preserve"> </w:t>
      </w:r>
      <w:r>
        <w:t xml:space="preserve">the disclosures. Further analysis (such as market analysis and consumer testing) would be needed</w:t>
      </w:r>
      <w:r>
        <w:t xml:space="preserve"> </w:t>
      </w:r>
      <w:r>
        <w:t xml:space="preserve">to set the final details once the level 1 is agreed by co-legislators.</w:t>
      </w:r>
      <w:r>
        <w:br/>
      </w:r>
      <w:r>
        <w:t xml:space="preserve">RSB comment version 1: The report does not fully assess a sufficient range of options, including</w:t>
      </w:r>
      <w:r>
        <w:t xml:space="preserve"> </w:t>
      </w:r>
      <w:r>
        <w:t xml:space="preserve">a repeal option. The coherence with the ‘omnibus 1’ is not sufficiently established</w:t>
      </w:r>
      <w:r>
        <w:t xml:space="preserve"> </w:t>
      </w:r>
      <w:r>
        <w:t xml:space="preserve">Changes made to the IA: The coherence with the ‘omnibus 1’ proposals, and more particularly</w:t>
      </w:r>
      <w:r>
        <w:t xml:space="preserve"> </w:t>
      </w:r>
      <w:r>
        <w:t xml:space="preserve">the possible future changes to the CSRD and the EU Taxonomy, is further detailed. This is</w:t>
      </w:r>
      <w:r>
        <w:t xml:space="preserve"> </w:t>
      </w:r>
      <w:r>
        <w:t xml:space="preserve">provided in section 5 setting the stage for and describing the relevant policy options, as well as in</w:t>
      </w:r>
      <w:r>
        <w:t xml:space="preserve"> </w:t>
      </w:r>
      <w:r>
        <w:t xml:space="preserve">Annexes 3 and 6, regarding the assumptions regarding costs underpinning the assessment and the</w:t>
      </w:r>
      <w:r>
        <w:t xml:space="preserve"> </w:t>
      </w:r>
      <w:r>
        <w:t xml:space="preserve">links with other parts of the sustainable finance framework.</w:t>
      </w:r>
      <w:r>
        <w:br/>
      </w:r>
      <w:r>
        <w:t xml:space="preserve">The repeal option has been fully analyzed alongside the other proposed policy options. This is set</w:t>
      </w:r>
      <w:r>
        <w:t xml:space="preserve"> </w:t>
      </w:r>
      <w:r>
        <w:t xml:space="preserve">out in the newly inserted sections 5.1 and 6.1.</w:t>
      </w:r>
      <w:r>
        <w:br/>
      </w:r>
      <w:r>
        <w:t xml:space="preserve">After more studied consideration of the implications of the ‘omnibus 1’ proposals as well as the</w:t>
      </w:r>
      <w:r>
        <w:t xml:space="preserve"> </w:t>
      </w:r>
      <w:r>
        <w:t xml:space="preserve">option to repeal the SFDR, the report maintains its conclusions that the preferred options</w:t>
      </w:r>
      <w:r>
        <w:t xml:space="preserve"> </w:t>
      </w:r>
      <w:r>
        <w:t xml:space="preserve">(streamlined product disclosures and creation of 3 categories) are the most aligned with the</w:t>
      </w:r>
      <w:r>
        <w:t xml:space="preserve"> </w:t>
      </w:r>
      <w:r>
        <w:t xml:space="preserve">specific objectives (simplifying and reducing the cost for financial market participants; improving</w:t>
      </w:r>
      <w:r>
        <w:t xml:space="preserve"> </w:t>
      </w:r>
      <w:r>
        <w:t xml:space="preserve">end investors’ ability to understand and compare ESG products). The analysis is further</w:t>
      </w:r>
      <w:r>
        <w:t xml:space="preserve"> </w:t>
      </w:r>
      <w:r>
        <w:t xml:space="preserve">substantiated to demonstrate that a review of the SFDR along these lines, not its repeal, is not</w:t>
      </w:r>
      <w:r>
        <w:t xml:space="preserve"> </w:t>
      </w:r>
      <w:r>
        <w:t xml:space="preserve">only the most effective and efficient way to achieve these objectives but also the most coherent</w:t>
      </w:r>
      <w:r>
        <w:t xml:space="preserve"> </w:t>
      </w:r>
      <w:r>
        <w:t xml:space="preserve">with the reality post-‘omnibus 1’ and its practical impacts.</w:t>
      </w:r>
      <w:r>
        <w:br/>
      </w:r>
      <w:r>
        <w:t xml:space="preserve">RSB comment version 1: The report is not convincing in terms of the feasibility of providing</w:t>
      </w:r>
      <w:r>
        <w:t xml:space="preserve"> </w:t>
      </w:r>
      <w:r>
        <w:t xml:space="preserve">relevant ESG information partly based on estimates, which would nevertheless allow end</w:t>
      </w:r>
      <w:r>
        <w:t xml:space="preserve"> </w:t>
      </w:r>
      <w:r>
        <w:t xml:space="preserve">investors to make meaningful assessments and comparisons across funds, while at the same time</w:t>
      </w:r>
      <w:r>
        <w:t xml:space="preserve"> </w:t>
      </w:r>
      <w:r>
        <w:t xml:space="preserve">reducing costs and avoiding green washing</w:t>
      </w:r>
      <w:r>
        <w:t xml:space="preserve"> </w:t>
      </w:r>
      <w:r>
        <w:t xml:space="preserve">Changes made to the IA: The report introduces evidence of the feasibility to set ESG</w:t>
      </w:r>
      <w:r>
        <w:t xml:space="preserve"> </w:t>
      </w:r>
      <w:r>
        <w:t xml:space="preserve">disclosures that would be meaningful and would be based on comparable and credible</w:t>
      </w:r>
      <w:r>
        <w:t xml:space="preserve"> </w:t>
      </w:r>
      <w:r>
        <w:t xml:space="preserve">sustainability information which responds to investors’ demand is of most interest to them</w:t>
      </w:r>
      <w:r>
        <w:t xml:space="preserve"> </w:t>
      </w:r>
      <w:r>
        <w:t xml:space="preserve">(further explained in section 5.2.2 and in Annex 10).</w:t>
      </w:r>
      <w:r>
        <w:br/>
      </w:r>
      <w:r>
        <w:t xml:space="preserve">First, the report describes the necessary features of the disclosures: (1) building from the existing</w:t>
      </w:r>
      <w:r>
        <w:t xml:space="preserve"> </w:t>
      </w:r>
      <w:r>
        <w:t xml:space="preserve">corporate disclosures under the EU regulatory framework (i.e. CSRD and EU Taxonomy); (2)</w:t>
      </w:r>
      <w:r>
        <w:t xml:space="preserve"> </w:t>
      </w:r>
      <w:r>
        <w:t xml:space="preserve">relying on concepts and metrics which are most commonly available, respond to investors’</w:t>
      </w:r>
      <w:r>
        <w:t xml:space="preserve"> </w:t>
      </w:r>
      <w:r>
        <w:t xml:space="preserve">demand, and can be externally derived or estimated in case the company is not in scope of the EU</w:t>
      </w:r>
      <w:r>
        <w:t xml:space="preserve"> </w:t>
      </w:r>
      <w:r>
        <w:t xml:space="preserve">regulatory framework. For the latter, the report provides an overview of the state of play of</w:t>
      </w:r>
      <w:r>
        <w:t xml:space="preserve"> </w:t>
      </w:r>
      <w:r>
        <w:t xml:space="preserve">estimation practices and identifies the ESG topics and indicators for which robust estimation has</w:t>
      </w:r>
      <w:r>
        <w:t xml:space="preserve"> </w:t>
      </w:r>
      <w:r>
        <w:t xml:space="preserve">proven to be feasible. The main findings are that the estimation practices on the suggested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exclusions are robust and derive from data that is widely available from companies. The focus on</w:t>
      </w:r>
      <w:r>
        <w:t xml:space="preserve"> </w:t>
      </w:r>
      <w:r>
        <w:t xml:space="preserve">more simple and clear ESG indicators and concepts that would need to be estimated should also</w:t>
      </w:r>
      <w:r>
        <w:t xml:space="preserve"> </w:t>
      </w:r>
      <w:r>
        <w:t xml:space="preserve">result in making the estimated disclosures more robust, reliable and comparable, compared to the</w:t>
      </w:r>
      <w:r>
        <w:t xml:space="preserve"> </w:t>
      </w:r>
      <w:r>
        <w:t xml:space="preserve">excessive complexity and disparity in the disclosures today.</w:t>
      </w:r>
      <w:r>
        <w:t xml:space="preserve"> </w:t>
      </w:r>
      <w:r>
        <w:t xml:space="preserve">Second, the report presents possible safeguards which could limit the greenwashing concerns</w:t>
      </w:r>
      <w:r>
        <w:t xml:space="preserve"> </w:t>
      </w:r>
      <w:r>
        <w:t xml:space="preserve">around estimations. These consist of transparency obligations on: (1) the proportion of data that</w:t>
      </w:r>
      <w:r>
        <w:t xml:space="preserve"> </w:t>
      </w:r>
      <w:r>
        <w:t xml:space="preserve">was estimated; (2) the possible use of external providers; (3) the implementation of the</w:t>
      </w:r>
      <w:r>
        <w:t xml:space="preserve"> </w:t>
      </w:r>
      <w:r>
        <w:t xml:space="preserve">precautionary principle; (3) the calculation methodology and assumptions.</w:t>
      </w:r>
      <w:r>
        <w:br/>
      </w:r>
      <w:r>
        <w:t xml:space="preserve">These elements are added to the main report (section 5.4) and Annex 8.</w:t>
      </w:r>
      <w:r>
        <w:t xml:space="preserve"> </w:t>
      </w:r>
      <w:r>
        <w:t xml:space="preserve">RSB comment version 1: The report does not provide sufficient information on the costs</w:t>
      </w:r>
      <w:r>
        <w:t xml:space="preserve"> </w:t>
      </w:r>
      <w:r>
        <w:t xml:space="preserve">associated with different options, including who will bear the costs and who will benefit from</w:t>
      </w:r>
      <w:r>
        <w:t xml:space="preserve"> </w:t>
      </w:r>
      <w:r>
        <w:t xml:space="preserve">savings.</w:t>
      </w:r>
      <w:r>
        <w:t xml:space="preserve"> </w:t>
      </w:r>
      <w:r>
        <w:t xml:space="preserve">Changes made to the IA: Further details are provided in Annex 3 and in relevant parts of section</w:t>
      </w:r>
      <w:r>
        <w:t xml:space="preserve"> </w:t>
      </w:r>
      <w:r>
        <w:t xml:space="preserve">6 in the main report of the costs and benefits associated with the options. A more complete</w:t>
      </w:r>
      <w:r>
        <w:t xml:space="preserve"> </w:t>
      </w:r>
      <w:r>
        <w:t xml:space="preserve">overview of the market size for products under the scope of the SFDR is also added in Annex 3</w:t>
      </w:r>
      <w:r>
        <w:t xml:space="preserve"> </w:t>
      </w:r>
      <w:r>
        <w:t xml:space="preserve">(section 1), together with an overview of academic studies on the benefits of sustainable</w:t>
      </w:r>
      <w:r>
        <w:t xml:space="preserve"> </w:t>
      </w:r>
      <w:r>
        <w:t xml:space="preserve">investment (section 2), to support the findings of consumer studies in Annex 10 illustrating the</w:t>
      </w:r>
      <w:r>
        <w:t xml:space="preserve"> </w:t>
      </w:r>
      <w:r>
        <w:t xml:space="preserve">demand for ESG investment options among investors. Annex 3 and relevant parts of section 6 of</w:t>
      </w:r>
      <w:r>
        <w:t xml:space="preserve"> </w:t>
      </w:r>
      <w:r>
        <w:t xml:space="preserve">the main report also show further breakdowns of these impacts by type of stakeholder (SME vs. </w:t>
      </w:r>
      <w:r>
        <w:t xml:space="preserve"> </w:t>
      </w:r>
      <w:r>
        <w:t xml:space="preserve">larger FMPs), detailed in the overview tables in Annex 3 as well as in its section 3. Further</w:t>
      </w:r>
      <w:r>
        <w:t xml:space="preserve"> </w:t>
      </w:r>
      <w:r>
        <w:t xml:space="preserve">impacts in terms of specific sectors which could be affected by the introduction are included in</w:t>
      </w:r>
      <w:r>
        <w:t xml:space="preserve"> </w:t>
      </w:r>
      <w:r>
        <w:t xml:space="preserve">the analysis of existing market practices in Annex 8 and in Annex 5 (competitiveness check).</w:t>
      </w:r>
      <w:r>
        <w:br/>
      </w:r>
      <w:r>
        <w:t xml:space="preserve">RSB comment version 2: The report does not sufficiently assess how the revised SFRD will</w:t>
      </w:r>
      <w:r>
        <w:t xml:space="preserve"> </w:t>
      </w:r>
      <w:r>
        <w:t xml:space="preserve">ensure the comparability between different investment products and the risks related to the use of</w:t>
      </w:r>
      <w:r>
        <w:t xml:space="preserve"> </w:t>
      </w:r>
      <w:r>
        <w:t xml:space="preserve">estimates. The report does not adequately assess the risks of greenwashing.</w:t>
      </w:r>
      <w:r>
        <w:t xml:space="preserve"> </w:t>
      </w:r>
      <w:r>
        <w:t xml:space="preserve">Changes made to the IA: The discussion introducing options 3.1 and 3.2 in section 5.4 includes</w:t>
      </w:r>
      <w:r>
        <w:t xml:space="preserve"> </w:t>
      </w:r>
      <w:r>
        <w:t xml:space="preserve">additional descriptions and analysis of some of the challenges and limitations in pursuing further</w:t>
      </w:r>
      <w:r>
        <w:t xml:space="preserve"> </w:t>
      </w:r>
      <w:r>
        <w:t xml:space="preserve">comparability beyond that achieved with the proposed criteria. The section also explains further</w:t>
      </w:r>
      <w:r>
        <w:t xml:space="preserve"> </w:t>
      </w:r>
      <w:r>
        <w:t xml:space="preserve">the balance to be struck in relying on data which is available, estimable and of most interest to</w:t>
      </w:r>
      <w:r>
        <w:t xml:space="preserve"> </w:t>
      </w:r>
      <w:r>
        <w:t xml:space="preserve">investors, and the possible risks of greenwashing in overlooking some potentially decision-useful</w:t>
      </w:r>
      <w:r>
        <w:t xml:space="preserve"> </w:t>
      </w:r>
      <w:r>
        <w:t xml:space="preserve">datapoints in the process. This is recalled in section 6.3 in comparing the relative merits of the</w:t>
      </w:r>
      <w:r>
        <w:t xml:space="preserve"> </w:t>
      </w:r>
      <w:r>
        <w:t xml:space="preserve">options.</w:t>
      </w:r>
      <w:r>
        <w:t xml:space="preserve"> </w:t>
      </w:r>
      <w:r>
        <w:t xml:space="preserve">RSB comment version 2: The options are not sufficiently specified to allow for an assessment</w:t>
      </w:r>
      <w:r>
        <w:t xml:space="preserve"> </w:t>
      </w:r>
      <w:r>
        <w:t xml:space="preserve">and comparison. The report does not fully assess effectiveness, efficiency and coherence of</w:t>
      </w:r>
      <w:r>
        <w:t xml:space="preserve"> </w:t>
      </w:r>
      <w:r>
        <w:t xml:space="preserve">options including the repeal option.</w:t>
      </w:r>
      <w:r>
        <w:t xml:space="preserve"> </w:t>
      </w:r>
      <w:r>
        <w:t xml:space="preserve">Changes made to the IA: The articulation and relationship between the options is further</w:t>
      </w:r>
      <w:r>
        <w:t xml:space="preserve"> </w:t>
      </w:r>
      <w:r>
        <w:t xml:space="preserve">specified in the introductory part of section 5, section 5.4 explains further what the options set out</w:t>
      </w:r>
      <w:r>
        <w:t xml:space="preserve"> </w:t>
      </w:r>
      <w:r>
        <w:t xml:space="preserve">to achieve in terms balancing between the need for continuity, simplicity and adequate</w:t>
      </w:r>
      <w:r>
        <w:t xml:space="preserve"> </w:t>
      </w:r>
      <w:r>
        <w:t xml:space="preserve">transparency for financial market participants and investors, and the analysis in sections 6.1 and</w:t>
      </w:r>
      <w:r>
        <w:t xml:space="preserve"> </w:t>
      </w:r>
      <w:r>
        <w:t xml:space="preserve">6.3 is complemented with additional information as recommended by the Board. Section 6.1</w:t>
      </w:r>
      <w:r>
        <w:t xml:space="preserve"> </w:t>
      </w:r>
      <w:r>
        <w:t xml:space="preserve">addresses why reliance on horizontal consumer protection rules (Unfair Commercial Practices</w:t>
      </w:r>
      <w:r>
        <w:t xml:space="preserve"> </w:t>
      </w:r>
      <w:r>
        <w:t xml:space="preserve">Directive) would be suboptimal for the subject matter covered by the SFDR, and 6.3 discusses</w:t>
      </w:r>
      <w:r>
        <w:t xml:space="preserve"> </w:t>
      </w:r>
      <w:r>
        <w:t xml:space="preserve">how each category can ensure the right information to investors but without overly prescribing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investment strategies for financial products and hampering market innovation.</w:t>
      </w:r>
      <w:r>
        <w:br/>
      </w:r>
      <w:r>
        <w:t xml:space="preserve">RSB comment version 2: Since the full assessment of policy options depends on level 2</w:t>
      </w:r>
      <w:r>
        <w:t xml:space="preserve"> </w:t>
      </w:r>
      <w:r>
        <w:t xml:space="preserve">legislation, the report should explain how main alternatives and their impacts will be assessed for</w:t>
      </w:r>
      <w:r>
        <w:t xml:space="preserve"> </w:t>
      </w:r>
      <w:r>
        <w:t xml:space="preserve">such subsequent regulations.</w:t>
      </w:r>
      <w:r>
        <w:t xml:space="preserve"> </w:t>
      </w:r>
      <w:r>
        <w:t xml:space="preserve">Changes made to the IA: Section 5.4 (Box: Elements to be defined at level 1 vs elements to be</w:t>
      </w:r>
      <w:r>
        <w:t xml:space="preserve"> </w:t>
      </w:r>
      <w:r>
        <w:t xml:space="preserve">defined at level 2) recalls that the key choices will be set in level 1 and it would be premature to</w:t>
      </w:r>
      <w:r>
        <w:t xml:space="preserve"> </w:t>
      </w:r>
      <w:r>
        <w:t xml:space="preserve">anticipate details on any level 2 implementing measures at this stage, which will be impacted by</w:t>
      </w:r>
      <w:r>
        <w:t xml:space="preserve"> </w:t>
      </w:r>
      <w:r>
        <w:t xml:space="preserve">negotiations between co-legislators and are foreseen to be informed by further analysis including</w:t>
      </w:r>
      <w:r>
        <w:t xml:space="preserve"> </w:t>
      </w:r>
      <w:r>
        <w:t xml:space="preserve">of consumer preferences and data availability. The section notes however that those measures</w:t>
      </w:r>
      <w:r>
        <w:t xml:space="preserve"> </w:t>
      </w:r>
      <w:r>
        <w:t xml:space="preserve">would be assessed against their costs and benefits analysis and the preparation would follow</w:t>
      </w:r>
      <w:r>
        <w:t xml:space="preserve"> </w:t>
      </w:r>
      <w:r>
        <w:t xml:space="preserve">better regulation guidelines. As an example, the IA notes that the points picked up by the Board</w:t>
      </w:r>
      <w:r>
        <w:t xml:space="preserve"> </w:t>
      </w:r>
      <w:r>
        <w:t xml:space="preserve">on the usability of specific datapoints regarding adherence to UN and OECD guidance on</w:t>
      </w:r>
      <w:r>
        <w:t xml:space="preserve"> </w:t>
      </w:r>
      <w:r>
        <w:t xml:space="preserve">governance practices would be addressed in level 2.</w:t>
      </w:r>
      <w:r>
        <w:br/>
      </w:r>
      <w:r>
        <w:t xml:space="preserve">Other changes in response to comments by the RSB (version 1)</w:t>
      </w:r>
      <w:r>
        <w:t xml:space="preserve"> </w:t>
      </w:r>
      <w:r>
        <w:t xml:space="preserve">-</w:t>
      </w:r>
      <w:r>
        <w:t xml:space="preserve"> </w:t>
      </w:r>
      <w:r>
        <w:t xml:space="preserve">The analysis of the problems is substantiated with further background of the root causes and</w:t>
      </w:r>
      <w:r>
        <w:t xml:space="preserve"> </w:t>
      </w:r>
      <w:r>
        <w:t xml:space="preserve">other factors that have led to their emergence (in the evaluation, annex 11 to do with the</w:t>
      </w:r>
      <w:r>
        <w:t xml:space="preserve"> </w:t>
      </w:r>
      <w:r>
        <w:t xml:space="preserve">timing of implementation of the existing SFDR, unsolved data availability issues,</w:t>
      </w:r>
      <w:r>
        <w:t xml:space="preserve"> </w:t>
      </w:r>
      <w:r>
        <w:t xml:space="preserve">insufficient sensitivity to genuine investor-needs etc.) and which inform the lessons learned</w:t>
      </w:r>
      <w:r>
        <w:t xml:space="preserve"> </w:t>
      </w:r>
      <w:r>
        <w:t xml:space="preserve">for the review.</w:t>
      </w:r>
      <w:r>
        <w:br/>
      </w:r>
      <w:r>
        <w:t xml:space="preserve">-</w:t>
      </w:r>
      <w:r>
        <w:t xml:space="preserve"> </w:t>
      </w:r>
      <w:r>
        <w:t xml:space="preserve">Further detail throughout the report that the requirements underpinning the proposed</w:t>
      </w:r>
      <w:r>
        <w:t xml:space="preserve"> </w:t>
      </w:r>
      <w:r>
        <w:t xml:space="preserve">categories, including the ‘transition’ category largely favoured in feedback by FMPs and</w:t>
      </w:r>
      <w:r>
        <w:t xml:space="preserve"> </w:t>
      </w:r>
      <w:r>
        <w:t xml:space="preserve">investors, do not constitute major new departures from the status quo but rather codify</w:t>
      </w:r>
      <w:r>
        <w:t xml:space="preserve"> </w:t>
      </w:r>
      <w:r>
        <w:t xml:space="preserve">existing requirements and practice under the ESMA guidelines for fund names, and update</w:t>
      </w:r>
      <w:r>
        <w:t xml:space="preserve"> </w:t>
      </w:r>
      <w:r>
        <w:t xml:space="preserve">and retrofit the requirements of the SFDR to this purpose.</w:t>
      </w:r>
      <w:r>
        <w:t xml:space="preserve"> </w:t>
      </w:r>
      <w:r>
        <w:t xml:space="preserve">-</w:t>
      </w:r>
      <w:r>
        <w:t xml:space="preserve"> </w:t>
      </w:r>
      <w:r>
        <w:t xml:space="preserve">Analysis to underpin that the proposed new disclosures and categories would constitute a</w:t>
      </w:r>
      <w:r>
        <w:t xml:space="preserve"> </w:t>
      </w:r>
      <w:r>
        <w:t xml:space="preserve">more proportionate regime than the status quo, more consciously geared toward FMPs and</w:t>
      </w:r>
      <w:r>
        <w:t xml:space="preserve"> </w:t>
      </w:r>
      <w:r>
        <w:t xml:space="preserve">investors with an explicit interest in ESG investing (section 5).</w:t>
      </w:r>
      <w:r>
        <w:t xml:space="preserve"> </w:t>
      </w:r>
      <w:r>
        <w:t xml:space="preserve">-</w:t>
      </w:r>
      <w:r>
        <w:t xml:space="preserve"> </w:t>
      </w:r>
      <w:r>
        <w:t xml:space="preserve">Further analysis showing that the discarded options (soft law/no categories/one</w:t>
      </w:r>
      <w:r>
        <w:t xml:space="preserve"> </w:t>
      </w:r>
      <w:r>
        <w:t xml:space="preserve">category/more than three categories) are suboptimal in meeting the specific and general</w:t>
      </w:r>
      <w:r>
        <w:t xml:space="preserve"> </w:t>
      </w:r>
      <w:r>
        <w:t xml:space="preserve">objectives of the review and at odds with stakeholder feedback (section 5.5).</w:t>
      </w:r>
      <w:r>
        <w:t xml:space="preserve"> </w:t>
      </w:r>
      <w:r>
        <w:t xml:space="preserve">-</w:t>
      </w:r>
      <w:r>
        <w:t xml:space="preserve"> </w:t>
      </w:r>
      <w:r>
        <w:t xml:space="preserve">A discussion on how investment in sovereign bonds could be treated in assessing their</w:t>
      </w:r>
      <w:r>
        <w:t xml:space="preserve"> </w:t>
      </w:r>
      <w:r>
        <w:t xml:space="preserve">potential positive ESG contribution (annex 7), noting that stakeholder feedback on the issue</w:t>
      </w:r>
      <w:r>
        <w:t xml:space="preserve"> </w:t>
      </w:r>
      <w:r>
        <w:t xml:space="preserve">is inconclusive in the absence of comprehensive metrics for measuring public sector ESG</w:t>
      </w:r>
      <w:r>
        <w:t xml:space="preserve"> </w:t>
      </w:r>
      <w:r>
        <w:t xml:space="preserve">performance, and suggesting a preference for their inclusion on an optional or partial basis,</w:t>
      </w:r>
      <w:r>
        <w:t xml:space="preserve"> </w:t>
      </w:r>
      <w:r>
        <w:t xml:space="preserve">subject to additional disclosures.</w:t>
      </w:r>
      <w:r>
        <w:br/>
      </w:r>
      <w:r>
        <w:t xml:space="preserve">Other changes in response to comments by the RSB (version 2)</w:t>
      </w:r>
      <w:r>
        <w:t xml:space="preserve"> </w:t>
      </w:r>
      <w:r>
        <w:t xml:space="preserve">-</w:t>
      </w:r>
      <w:r>
        <w:t xml:space="preserve"> </w:t>
      </w:r>
      <w:r>
        <w:t xml:space="preserve">Besides information on the trade-offs with estimates added in section 5.4 and 6.3, further</w:t>
      </w:r>
      <w:r>
        <w:t xml:space="preserve"> </w:t>
      </w:r>
      <w:r>
        <w:t xml:space="preserve">assessment is added in sections 5.4 and Annex 8, section 3 on why it is not considered apt to</w:t>
      </w:r>
      <w:r>
        <w:t xml:space="preserve"> </w:t>
      </w:r>
      <w:r>
        <w:t xml:space="preserve">regulate ESG data providers, given the main results of the evaluation, coherence with the</w:t>
      </w:r>
      <w:r>
        <w:t xml:space="preserve"> </w:t>
      </w:r>
      <w:r>
        <w:t xml:space="preserve">overall simplification agenda and for reasons of proportionality.</w:t>
      </w:r>
      <w:r>
        <w:t xml:space="preserve"> </w:t>
      </w:r>
      <w:r>
        <w:t xml:space="preserve">-</w:t>
      </w:r>
      <w:r>
        <w:t xml:space="preserve"> </w:t>
      </w:r>
      <w:r>
        <w:t xml:space="preserve">Further clarifications are added to the introductory part of section 5, section 5.4 and section</w:t>
      </w:r>
      <w:r>
        <w:t xml:space="preserve"> </w:t>
      </w:r>
      <w:r>
        <w:t xml:space="preserve">6.3 on the voluntary nature of the revised framework, that this however entails certain</w:t>
      </w:r>
      <w:r>
        <w:t xml:space="preserve"> </w:t>
      </w:r>
      <w:r>
        <w:t xml:space="preserve">restrictions for non-categorised products on how they can be marketed to investors, and that</w:t>
      </w:r>
      <w:r>
        <w:t xml:space="preserve"> </w:t>
      </w:r>
      <w:r>
        <w:t xml:space="preserve">the preferred options do not go beyond what is necessary to achieve the objectives.</w:t>
      </w:r>
    </w:p>
    <w:p>
      <w:pPr>
        <w:pStyle w:val="BodyText"/>
      </w:pPr>
      <w:r>
        <w:t xml:space="preserve">70</w:t>
      </w:r>
    </w:p>
    <w:p>
      <w:pPr>
        <w:pStyle w:val="Compact"/>
        <w:numPr>
          <w:ilvl w:val="0"/>
          <w:numId w:val="1009"/>
        </w:numPr>
      </w:pPr>
      <w:r>
        <w:t xml:space="preserve">The option to repeal the SFDR is complemented with details on links to horizontal</w:t>
      </w:r>
      <w:r>
        <w:t xml:space="preserve"> </w:t>
      </w:r>
      <w:r>
        <w:t xml:space="preserve">consumer protection rules in sections 5.2, section 6.1 and Annex 6, section 3, and why</w:t>
      </w:r>
      <w:r>
        <w:t xml:space="preserve"> </w:t>
      </w:r>
      <w:r>
        <w:t xml:space="preserve">reliance on these would likely be suboptimal, as well as further recalling why mere reliance</w:t>
      </w:r>
      <w:r>
        <w:t xml:space="preserve"> </w:t>
      </w:r>
      <w:r>
        <w:t xml:space="preserve">on ESMA fund name guidelines would also be ineffective.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Section 5.4 adds some analysis that the framework will have to evolve over time, should not</w:t>
      </w:r>
      <w:r>
        <w:t xml:space="preserve"> </w:t>
      </w:r>
      <w:r>
        <w:t xml:space="preserve">be overly prescriptive to begin with to prevent this from happening, and that notably</w:t>
      </w:r>
      <w:r>
        <w:t xml:space="preserve"> </w:t>
      </w:r>
      <w:r>
        <w:t xml:space="preserve">research regarding consumer preferences will continue to be important to reflect in level 2</w:t>
      </w:r>
      <w:r>
        <w:t xml:space="preserve"> </w:t>
      </w:r>
      <w:r>
        <w:t xml:space="preserve">and in future updates of the framework.</w:t>
      </w:r>
      <w:r>
        <w:br/>
      </w:r>
    </w:p>
    <w:p>
      <w:pPr>
        <w:numPr>
          <w:ilvl w:val="0"/>
          <w:numId w:val="1010"/>
        </w:numPr>
      </w:pPr>
      <w:r>
        <w:t xml:space="preserve">Evidence, sources and quality</w:t>
      </w:r>
      <w:r>
        <w:t xml:space="preserve"> </w:t>
      </w:r>
      <w:r>
        <w:t xml:space="preserve">The impact assessment draws on a combination of desk research, a targeted and open public</w:t>
      </w:r>
      <w:r>
        <w:t xml:space="preserve"> </w:t>
      </w:r>
      <w:r>
        <w:t xml:space="preserve">consultation, two Briefings from the Platform for Sustainable Finance (PSF), a joint Opinion from</w:t>
      </w:r>
      <w:r>
        <w:t xml:space="preserve"> </w:t>
      </w:r>
      <w:r>
        <w:t xml:space="preserve">the European Supervisory Authorities (ESAs), external studies, meetings with stakeholders and</w:t>
      </w:r>
      <w:r>
        <w:t xml:space="preserve"> </w:t>
      </w:r>
      <w:r>
        <w:t xml:space="preserve">other outreach. The material used has been gathered since December 2022, when Commissioner</w:t>
      </w:r>
      <w:r>
        <w:t xml:space="preserve"> </w:t>
      </w:r>
      <w:r>
        <w:t xml:space="preserve">McGuinness announced a comprehensive assessment of the SFDR framework. This material</w:t>
      </w:r>
      <w:r>
        <w:t xml:space="preserve"> </w:t>
      </w:r>
      <w:r>
        <w:t xml:space="preserve">includes but is not limited to the following:</w:t>
      </w:r>
      <w:r>
        <w:br/>
      </w:r>
    </w:p>
    <w:p>
      <w:pPr>
        <w:numPr>
          <w:ilvl w:val="0"/>
          <w:numId w:val="1010"/>
        </w:numPr>
      </w:pPr>
      <w:r>
        <w:t xml:space="preserve">Targeted186 and open public187 consultation: The targeted and open public consultations,</w:t>
      </w:r>
      <w:r>
        <w:t xml:space="preserve"> </w:t>
      </w:r>
      <w:r>
        <w:t xml:space="preserve">held between 14 September 2023 and 22 December 2023, were an important part of the</w:t>
      </w:r>
      <w:r>
        <w:t xml:space="preserve"> </w:t>
      </w:r>
      <w:r>
        <w:t xml:space="preserve">assessment announced by Commissioner McGuinness to evaluate potential shortcomings –</w:t>
      </w:r>
      <w:r>
        <w:t xml:space="preserve"> </w:t>
      </w:r>
      <w:r>
        <w:t xml:space="preserve">focusing on legal certainty, the useability of the regulation and its ability to play its part in</w:t>
      </w:r>
      <w:r>
        <w:t xml:space="preserve"> </w:t>
      </w:r>
      <w:r>
        <w:t xml:space="preserve">tackling greenwashing. The open public consultation was addressed to the general public.</w:t>
      </w:r>
      <w:r>
        <w:t xml:space="preserve"> </w:t>
      </w:r>
      <w:r>
        <w:t xml:space="preserve">The targeted consultation gathered input from public bodies and stakeholders who were</w:t>
      </w:r>
      <w:r>
        <w:t xml:space="preserve"> </w:t>
      </w:r>
      <w:r>
        <w:t xml:space="preserve">more familiar with the SFDR and the EU’s sustainable finance framework. Views were</w:t>
      </w:r>
      <w:r>
        <w:t xml:space="preserve"> </w:t>
      </w:r>
      <w:r>
        <w:t xml:space="preserve">welcome from financial market participants, investors, NGOs, relevant public authorities,</w:t>
      </w:r>
      <w:r>
        <w:t xml:space="preserve"> </w:t>
      </w:r>
      <w:r>
        <w:t xml:space="preserve">national regulators, and others that were subject directly or indirectly to the provisions of</w:t>
      </w:r>
      <w:r>
        <w:t xml:space="preserve"> </w:t>
      </w:r>
      <w:r>
        <w:t xml:space="preserve">the SFDR and/or had more in-depth knowledge and/or (working) experience in the field of</w:t>
      </w:r>
      <w:r>
        <w:t xml:space="preserve"> </w:t>
      </w:r>
      <w:r>
        <w:t xml:space="preserve">sustainable finance disclosures. The consultation provided the Commission with valuable</w:t>
      </w:r>
      <w:r>
        <w:t xml:space="preserve"> </w:t>
      </w:r>
      <w:r>
        <w:t xml:space="preserve">input to inform the review of the SFDR.</w:t>
      </w:r>
    </w:p>
    <w:p>
      <w:pPr>
        <w:numPr>
          <w:ilvl w:val="0"/>
          <w:numId w:val="1010"/>
        </w:numPr>
      </w:pPr>
      <w:r>
        <w:t xml:space="preserve">Four technical workshops and roundtables, enabling stakeholders to submit further input.</w:t>
      </w:r>
      <w:r>
        <w:t xml:space="preserve"> </w:t>
      </w:r>
      <w:r>
        <w:t xml:space="preserve">The workshops and roundtables complemented the open and targeted consultation,</w:t>
      </w:r>
      <w:r>
        <w:t xml:space="preserve"> </w:t>
      </w:r>
      <w:r>
        <w:t xml:space="preserve">enriching the information and the observations received in the consultation.</w:t>
      </w:r>
    </w:p>
    <w:p>
      <w:pPr>
        <w:numPr>
          <w:ilvl w:val="0"/>
          <w:numId w:val="1010"/>
        </w:numPr>
      </w:pPr>
      <w:r>
        <w:t xml:space="preserve">Two Briefings188 189 from the expert group the Platform for Sustainable Finance (PSF). The</w:t>
      </w:r>
      <w:r>
        <w:t xml:space="preserve"> </w:t>
      </w:r>
      <w:r>
        <w:t xml:space="preserve">Platform for Sustainable Finance (PSF) responded to the Commission’s targeted</w:t>
      </w:r>
      <w:r>
        <w:t xml:space="preserve"> </w:t>
      </w:r>
      <w:r>
        <w:t xml:space="preserve">consultation with a briefing note in December 2023. Further on, the PSF published in</w:t>
      </w:r>
      <w:r>
        <w:t xml:space="preserve"> </w:t>
      </w:r>
      <w:r>
        <w:t xml:space="preserve">December 2024 a briefing note for the Commission outlining how a categorisation system</w:t>
      </w:r>
      <w:r>
        <w:t xml:space="preserve"> </w:t>
      </w:r>
      <w:r>
        <w:t xml:space="preserve">for sustainable finance products could be set up.</w:t>
      </w:r>
    </w:p>
    <w:p>
      <w:pPr>
        <w:numPr>
          <w:ilvl w:val="0"/>
          <w:numId w:val="1010"/>
        </w:numPr>
      </w:pPr>
      <w:r>
        <w:t xml:space="preserve">The joint Opinion from the European Supervisory Authorities (ESAs) on how to set up</w:t>
      </w:r>
      <w:r>
        <w:t xml:space="preserve"> </w:t>
      </w:r>
      <w:r>
        <w:t xml:space="preserve">categories for financial products190. The Commission duly considered this joint Opinion by</w:t>
      </w:r>
    </w:p>
    <w:p>
      <w:pPr>
        <w:pStyle w:val="FirstParagraph"/>
      </w:pPr>
      <w:r>
        <w:t xml:space="preserve">186 Consultation document - Targeted consultation on the implementation of the Sustainable Finance Disclosures</w:t>
      </w:r>
      <w:r>
        <w:t xml:space="preserve"> </w:t>
      </w:r>
      <w:r>
        <w:t xml:space="preserve">Regulation (SFDR)</w:t>
      </w:r>
      <w:r>
        <w:t xml:space="preserve"> </w:t>
      </w:r>
      <w:r>
        <w:t xml:space="preserve">187 Sustainable Finance Disclosure Regulation - assessment</w:t>
      </w:r>
      <w:r>
        <w:t xml:space="preserve"> </w:t>
      </w:r>
      <w:r>
        <w:t xml:space="preserve">188 Platform on Sustainable Finance briefing on EC targeted consultation regarding SFDR Implementation - December</w:t>
      </w:r>
      <w:r>
        <w:t xml:space="preserve"> </w:t>
      </w:r>
      <w:r>
        <w:t xml:space="preserve">2023</w:t>
      </w:r>
      <w:r>
        <w:t xml:space="preserve"> </w:t>
      </w:r>
      <w:r>
        <w:t xml:space="preserve">189 Categorisation of products under SFDR - Report</w:t>
      </w:r>
      <w:r>
        <w:t xml:space="preserve"> </w:t>
      </w:r>
      <w:r>
        <w:t xml:space="preserve">190 JC 2024 06 Joint ESAs Opinion on the assessment of the Sustainable Finance Disclosure Regulation (SFDR)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the European Supervisory Authorities (the ESA’s), delivered in June 2024 on their own</w:t>
      </w:r>
      <w:r>
        <w:t xml:space="preserve"> </w:t>
      </w:r>
      <w:r>
        <w:t xml:space="preserve">initiative.</w:t>
      </w:r>
    </w:p>
    <w:p>
      <w:pPr>
        <w:numPr>
          <w:ilvl w:val="0"/>
          <w:numId w:val="1011"/>
        </w:numPr>
      </w:pPr>
      <w:r>
        <w:t xml:space="preserve">External Studies: the Commission has considered studies from both institutional and</w:t>
      </w:r>
      <w:r>
        <w:t xml:space="preserve"> </w:t>
      </w:r>
      <w:r>
        <w:t xml:space="preserve">academic sources, quoted throughout in this assessment. Inter alia, the Commission</w:t>
      </w:r>
      <w:r>
        <w:t xml:space="preserve"> </w:t>
      </w:r>
      <w:r>
        <w:t xml:space="preserve">considered the views contained in the study requested by the ECON Committee of the</w:t>
      </w:r>
      <w:r>
        <w:t xml:space="preserve"> </w:t>
      </w:r>
      <w:r>
        <w:t xml:space="preserve">European Parliament on “the current implementation of the SFDR”191. The Commission</w:t>
      </w:r>
      <w:r>
        <w:t xml:space="preserve"> </w:t>
      </w:r>
      <w:r>
        <w:t xml:space="preserve">also pondered the input provided in “Mind the ESG capital allocation gap”, by economists</w:t>
      </w:r>
      <w:r>
        <w:t xml:space="preserve"> </w:t>
      </w:r>
      <w:r>
        <w:t xml:space="preserve">Jan Fichtner, Robin Jaspert and Johannes Petry.</w:t>
      </w:r>
    </w:p>
    <w:p>
      <w:pPr>
        <w:numPr>
          <w:ilvl w:val="0"/>
          <w:numId w:val="1011"/>
        </w:numPr>
      </w:pPr>
      <w:r>
        <w:t xml:space="preserve">Engagement with Member States in the context of the Member State Expert Group</w:t>
      </w:r>
      <w:r>
        <w:t xml:space="preserve"> </w:t>
      </w:r>
      <w:r>
        <w:t xml:space="preserve">(December 2024, June 2025), receiving preliminary inputs.</w:t>
      </w:r>
    </w:p>
    <w:p>
      <w:pPr>
        <w:numPr>
          <w:ilvl w:val="0"/>
          <w:numId w:val="1011"/>
        </w:numPr>
      </w:pPr>
      <w:r>
        <w:t xml:space="preserve">Continuous engagement with experts on key challenges and on how to set up categories.</w:t>
      </w:r>
      <w:r>
        <w:t xml:space="preserve"> </w:t>
      </w:r>
      <w:r>
        <w:t xml:space="preserve">With a view to address specific issues, the European Commission continuously engaged</w:t>
      </w:r>
      <w:r>
        <w:t xml:space="preserve"> </w:t>
      </w:r>
      <w:r>
        <w:t xml:space="preserve">with experts from the financial industry, NGOs/civil society and academics, as needed.</w:t>
      </w:r>
    </w:p>
    <w:p>
      <w:pPr>
        <w:numPr>
          <w:ilvl w:val="0"/>
          <w:numId w:val="1011"/>
        </w:numPr>
      </w:pPr>
      <w:r>
        <w:t xml:space="preserve">Feedback gathered during the Call for Evidence which ran from 2 May to 30 May 2025.</w:t>
      </w:r>
      <w:r>
        <w:t xml:space="preserve"> </w:t>
      </w:r>
      <w:r>
        <w:t xml:space="preserve">The material used to inform this impact assessment comes from the market participants as well as</w:t>
      </w:r>
      <w:r>
        <w:t xml:space="preserve"> </w:t>
      </w:r>
      <w:r>
        <w:t xml:space="preserve">other reputable and well-recognised sources. Findings were cross-checked across the different</w:t>
      </w:r>
      <w:r>
        <w:t xml:space="preserve"> </w:t>
      </w:r>
      <w:r>
        <w:t xml:space="preserve">information sources to avoid biases caused by outliers or vested interests.</w:t>
      </w:r>
    </w:p>
    <w:p>
      <w:pPr>
        <w:pStyle w:val="FirstParagraph"/>
      </w:pPr>
      <w:r>
        <w:t xml:space="preserve">191 The current Implementation of the Sustainability-related Financial Disclosures Regulation (SFDR); With an</w:t>
      </w:r>
      <w:r>
        <w:t xml:space="preserve"> </w:t>
      </w:r>
      <w:r>
        <w:t xml:space="preserve">assessment on how the legislative framework is working for retail investors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1. Overview of consultation activities</w:t>
      </w:r>
      <w:r>
        <w:t xml:space="preserve"> </w:t>
      </w:r>
      <w:r>
        <w:t xml:space="preserve">In December 2022, Commissioner Mairead McGuinness announced a comprehensive assessment of</w:t>
      </w:r>
      <w:r>
        <w:t xml:space="preserve"> </w:t>
      </w:r>
      <w:r>
        <w:t xml:space="preserve">the SFDR framework. Since then, the European Commission has conducted extensive consultation</w:t>
      </w:r>
      <w:r>
        <w:t xml:space="preserve"> </w:t>
      </w:r>
      <w:r>
        <w:t xml:space="preserve">activities, addressing all aspects of the proposed legislative review.</w:t>
      </w:r>
      <w:r>
        <w:br/>
      </w:r>
      <w:r>
        <w:t xml:space="preserve">These activities encompassed:</w:t>
      </w:r>
      <w:r>
        <w:t xml:space="preserve"> </w:t>
      </w:r>
      <w:r>
        <w:t xml:space="preserve">1. Two public consultations that ran from September to December 2023 (targeted192 and</w:t>
      </w:r>
      <w:r>
        <w:t xml:space="preserve"> </w:t>
      </w:r>
      <w:r>
        <w:t xml:space="preserve">open193). A summary report194 was published in May 2024.</w:t>
      </w:r>
      <w:r>
        <w:t xml:space="preserve"> </w:t>
      </w:r>
      <w:r>
        <w:t xml:space="preserve">2. Four technical workshops and roundtables, enabling stakeholders to submit further</w:t>
      </w:r>
      <w:r>
        <w:t xml:space="preserve"> </w:t>
      </w:r>
      <w:r>
        <w:t xml:space="preserve">input.</w:t>
      </w:r>
      <w:r>
        <w:t xml:space="preserve"> </w:t>
      </w:r>
      <w:r>
        <w:t xml:space="preserve">3. Two Briefings195 196 from the expert group the Platform for Sustainable Finance (PSF).</w:t>
      </w:r>
      <w:r>
        <w:t xml:space="preserve"> </w:t>
      </w:r>
      <w:r>
        <w:t xml:space="preserve">4. The joint Opinion from the European Supervisory Authorities (ESAs) on how to set up</w:t>
      </w:r>
      <w:r>
        <w:t xml:space="preserve"> </w:t>
      </w:r>
      <w:r>
        <w:t xml:space="preserve">categories for financial products197.</w:t>
      </w:r>
      <w:r>
        <w:t xml:space="preserve"> </w:t>
      </w:r>
      <w:r>
        <w:t xml:space="preserve">5. The Study requested by the ECON Committee of the European Parliament on “the</w:t>
      </w:r>
      <w:r>
        <w:t xml:space="preserve"> </w:t>
      </w:r>
      <w:r>
        <w:t xml:space="preserve">current implementation of the SFDR”198.</w:t>
      </w:r>
      <w:r>
        <w:t xml:space="preserve"> </w:t>
      </w:r>
      <w:r>
        <w:t xml:space="preserve">6. Engagement with Member States in the context of the Member State Expert Group</w:t>
      </w:r>
      <w:r>
        <w:t xml:space="preserve"> </w:t>
      </w:r>
      <w:r>
        <w:t xml:space="preserve">(December 2024, June 2025)</w:t>
      </w:r>
      <w:r>
        <w:t xml:space="preserve"> </w:t>
      </w:r>
      <w:r>
        <w:t xml:space="preserve">7. Continuous engagement with experts on key challenges and on how to set up categories.</w:t>
      </w:r>
      <w:r>
        <w:t xml:space="preserve"> </w:t>
      </w:r>
      <w:r>
        <w:t xml:space="preserve">8. Feedback gathered during the Call for Evidence which ran from 2 May to 30 May 2025.</w:t>
      </w:r>
    </w:p>
    <w:p>
      <w:pPr>
        <w:pStyle w:val="Compact"/>
        <w:numPr>
          <w:ilvl w:val="0"/>
          <w:numId w:val="1012"/>
        </w:numPr>
      </w:pPr>
      <w:r>
        <w:t xml:space="preserve">Stakeholder consultations</w:t>
      </w:r>
    </w:p>
    <w:p>
      <w:pPr>
        <w:pStyle w:val="FirstParagraph"/>
      </w:pPr>
      <w:r>
        <w:t xml:space="preserve">2.1.Targeted and open public consultations</w:t>
      </w:r>
      <w:r>
        <w:t xml:space="preserve"> </w:t>
      </w:r>
      <w:r>
        <w:t xml:space="preserve">Two public consultations, open and targeted, ran from September to December 2023. The open</w:t>
      </w:r>
      <w:r>
        <w:t xml:space="preserve"> </w:t>
      </w:r>
      <w:r>
        <w:t xml:space="preserve">consultation, aimed at the general public, asked about the current requirements of the SFDR and the</w:t>
      </w:r>
      <w:r>
        <w:t xml:space="preserve"> </w:t>
      </w:r>
      <w:r>
        <w:t xml:space="preserve">interaction with other sustainable finance legislation. As the Commission was also interested in</w:t>
      </w:r>
      <w:r>
        <w:t xml:space="preserve"> </w:t>
      </w:r>
      <w:r>
        <w:t xml:space="preserve">exploring possible options to improve the framework and address any potential shortcomings, it</w:t>
      </w:r>
      <w:r>
        <w:t xml:space="preserve"> </w:t>
      </w:r>
      <w:r>
        <w:t xml:space="preserve">also presented a targeted consultation, aimed at experts such as financial market participants,</w:t>
      </w:r>
      <w:r>
        <w:t xml:space="preserve"> </w:t>
      </w:r>
      <w:r>
        <w:t xml:space="preserve">investors, NGOs, relevant public authorities and NCAs inter alia, adding to the questions of the</w:t>
      </w:r>
      <w:r>
        <w:t xml:space="preserve"> </w:t>
      </w:r>
      <w:r>
        <w:t xml:space="preserve">public consultation other queries about potential changes to the disclosure requirements of the</w:t>
      </w:r>
      <w:r>
        <w:t xml:space="preserve"> </w:t>
      </w:r>
      <w:r>
        <w:t xml:space="preserve">SFDR and the potential establishment of a categorisation system for financial products.</w:t>
      </w:r>
    </w:p>
    <w:p>
      <w:pPr>
        <w:pStyle w:val="BodyText"/>
      </w:pPr>
      <w:r>
        <w:t xml:space="preserve">192 Consultation document - Targeted consultation on the implementation of the Sustainable Finance Disclosures</w:t>
      </w:r>
      <w:r>
        <w:t xml:space="preserve"> </w:t>
      </w:r>
      <w:r>
        <w:t xml:space="preserve">Regulation (SFDR)</w:t>
      </w:r>
      <w:r>
        <w:t xml:space="preserve"> </w:t>
      </w:r>
      <w:r>
        <w:t xml:space="preserve">193 Sustainable Finance Disclosure Regulation - assessment</w:t>
      </w:r>
      <w:r>
        <w:t xml:space="preserve"> </w:t>
      </w:r>
      <w:r>
        <w:t xml:space="preserve">194 Summary report of the open and targeted consultations on the implementation of the Sustainable Finance</w:t>
      </w:r>
      <w:r>
        <w:t xml:space="preserve"> </w:t>
      </w:r>
      <w:r>
        <w:t xml:space="preserve">Disclosures Regulation (SFDR)</w:t>
      </w:r>
      <w:r>
        <w:t xml:space="preserve"> </w:t>
      </w:r>
      <w:r>
        <w:t xml:space="preserve">195 Platform on Sustainable Finance briefing on EC targeted consultation regarding SFDR Implementation - December</w:t>
      </w:r>
      <w:r>
        <w:t xml:space="preserve"> </w:t>
      </w:r>
      <w:r>
        <w:t xml:space="preserve">2023</w:t>
      </w:r>
      <w:r>
        <w:t xml:space="preserve"> </w:t>
      </w:r>
      <w:r>
        <w:t xml:space="preserve">196 Categorisation of products under SFDR - Report</w:t>
      </w:r>
      <w:r>
        <w:t xml:space="preserve"> </w:t>
      </w:r>
      <w:r>
        <w:t xml:space="preserve">197 JC 2024 06 Joint ESAs Opinion on the assessment of the Sustainable Finance Disclosure Regulation (SFDR)</w:t>
      </w:r>
      <w:r>
        <w:t xml:space="preserve"> </w:t>
      </w:r>
      <w:r>
        <w:t xml:space="preserve">198 The current Implementation of the Sustainability-related Financial Disclosures Regulation (SFDR); With an</w:t>
      </w:r>
      <w:r>
        <w:t xml:space="preserve"> </w:t>
      </w:r>
      <w:r>
        <w:t xml:space="preserve">assessment on how the legislative framework is working for retail investors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324 organisations and individuals participated in the targeted consultation. Financial market</w:t>
      </w:r>
      <w:r>
        <w:t xml:space="preserve"> </w:t>
      </w:r>
      <w:r>
        <w:t xml:space="preserve">participants (FMPs) and financial advisers made up the largest group of respondents (63%, 204 out</w:t>
      </w:r>
      <w:r>
        <w:t xml:space="preserve"> </w:t>
      </w:r>
      <w:r>
        <w:t xml:space="preserve">of 324), primarily consisting of asset management firms (75%), insurance companies (14%), and</w:t>
      </w:r>
      <w:r>
        <w:t xml:space="preserve"> </w:t>
      </w:r>
      <w:r>
        <w:t xml:space="preserve">banks (10%). The second largest group of respondents were NGOs, which constituted 11% (36 out</w:t>
      </w:r>
      <w:r>
        <w:t xml:space="preserve"> </w:t>
      </w:r>
      <w:r>
        <w:t xml:space="preserve">of 324) of the respondents. FMPs and financial advisers who responded to the consultation mostly</w:t>
      </w:r>
      <w:r>
        <w:t xml:space="preserve"> </w:t>
      </w:r>
      <w:r>
        <w:t xml:space="preserve">conduct business for both professional and retail investors (44%) or towards professional investors</w:t>
      </w:r>
      <w:r>
        <w:t xml:space="preserve"> </w:t>
      </w:r>
      <w:r>
        <w:t xml:space="preserve">only (41%), with 14% focusing solely on retail investors. Respondents were predominantly from</w:t>
      </w:r>
      <w:r>
        <w:t xml:space="preserve"> </w:t>
      </w:r>
      <w:r>
        <w:t xml:space="preserve">EU countries, with France, Germany, Belgium, Spain, and Luxembourg being the most represented</w:t>
      </w:r>
      <w:r>
        <w:t xml:space="preserve"> </w:t>
      </w:r>
      <w:r>
        <w:t xml:space="preserve">(23%, 10%, 7%, 6%, and 6%, respectively, totalling 52%). Approximately 19% of respondents</w:t>
      </w:r>
      <w:r>
        <w:t xml:space="preserve"> </w:t>
      </w:r>
      <w:r>
        <w:t xml:space="preserve">were from non-EU countries, predominantly the UK (11%) and the US (5%).</w:t>
      </w:r>
      <w:r>
        <w:br/>
      </w:r>
      <w:r>
        <w:t xml:space="preserve">51 respondents provided answers to the open public consultation only. This group consists mainly</w:t>
      </w:r>
      <w:r>
        <w:t xml:space="preserve"> </w:t>
      </w:r>
      <w:r>
        <w:t xml:space="preserve">of FMPs and financial advisers (37.3%, 19 out of 51) and NGOs (15.7%). The greatest number of</w:t>
      </w:r>
      <w:r>
        <w:t xml:space="preserve"> </w:t>
      </w:r>
      <w:r>
        <w:t xml:space="preserve">respondents were from Germany (14%, 7 out of 51), followed by France, Belgium, Romania (12%</w:t>
      </w:r>
      <w:r>
        <w:t xml:space="preserve"> </w:t>
      </w:r>
      <w:r>
        <w:t xml:space="preserve">each), and the UK (10%). Their responses were consistent with the trends observed in the targeted</w:t>
      </w:r>
      <w:r>
        <w:t xml:space="preserve"> </w:t>
      </w:r>
      <w:r>
        <w:t xml:space="preserve">consultation.</w:t>
      </w:r>
      <w:r>
        <w:br/>
      </w:r>
      <w:r>
        <w:t xml:space="preserve">2.2.Technical workshops and roundtables</w:t>
      </w:r>
      <w:r>
        <w:t xml:space="preserve"> </w:t>
      </w:r>
      <w:r>
        <w:t xml:space="preserve">The European Commission also held a series of technical workshops and roundtables when it</w:t>
      </w:r>
      <w:r>
        <w:t xml:space="preserve"> </w:t>
      </w:r>
      <w:r>
        <w:t xml:space="preserve">issued the consultations on the implementation of the SFDR, allowing stakeholders to provide</w:t>
      </w:r>
      <w:r>
        <w:t xml:space="preserve"> </w:t>
      </w:r>
      <w:r>
        <w:t xml:space="preserve">further comments accompanying the replies to the consultations. The workshops took place in</w:t>
      </w:r>
      <w:r>
        <w:t xml:space="preserve"> </w:t>
      </w:r>
      <w:r>
        <w:t xml:space="preserve">October and December 2023, and January 2024.</w:t>
      </w:r>
      <w:r>
        <w:t xml:space="preserve"> </w:t>
      </w:r>
      <w:r>
        <w:t xml:space="preserve">2.3.Two opinions from the expert group the Platform for Sustainable Finance (PSF).</w:t>
      </w:r>
      <w:r>
        <w:t xml:space="preserve"> </w:t>
      </w:r>
      <w:r>
        <w:t xml:space="preserve">The Platform for Sustainable Finance (PSF) prepared a briefing note in December 2023 to address</w:t>
      </w:r>
      <w:r>
        <w:t xml:space="preserve"> </w:t>
      </w:r>
      <w:r>
        <w:t xml:space="preserve">the main questions raised by the European Commission in the targeted consultation.</w:t>
      </w:r>
      <w:r>
        <w:t xml:space="preserve"> </w:t>
      </w:r>
      <w:r>
        <w:t xml:space="preserve">Following the European Commission’s public consultation, in December 2024 the PSF published a</w:t>
      </w:r>
      <w:r>
        <w:t xml:space="preserve"> </w:t>
      </w:r>
      <w:r>
        <w:t xml:space="preserve">briefing note for the Commission outlining how a categorisation system for sustainable finance</w:t>
      </w:r>
      <w:r>
        <w:t xml:space="preserve"> </w:t>
      </w:r>
      <w:r>
        <w:t xml:space="preserve">products could be set up and calibrated. The briefing note is accompanied by an annex with</w:t>
      </w:r>
      <w:r>
        <w:t xml:space="preserve"> </w:t>
      </w:r>
      <w:r>
        <w:t xml:space="preserve">guidance on setting thresholds and supporting data. The annex shows primary findings on the</w:t>
      </w:r>
      <w:r>
        <w:t xml:space="preserve"> </w:t>
      </w:r>
      <w:r>
        <w:t xml:space="preserve">current state of the ESG markets and the potential impact that setting certain thresholds could have</w:t>
      </w:r>
      <w:r>
        <w:t xml:space="preserve"> </w:t>
      </w:r>
      <w:r>
        <w:t xml:space="preserve">on current products falling under the scope of Article 8 and Article 9 of the SFDR. It also provides</w:t>
      </w:r>
      <w:r>
        <w:t xml:space="preserve"> </w:t>
      </w:r>
      <w:r>
        <w:t xml:space="preserve">guidance on steps to determine possible thresholds for categories.</w:t>
      </w:r>
      <w:r>
        <w:t xml:space="preserve"> </w:t>
      </w:r>
      <w:r>
        <w:t xml:space="preserve">2.4.The Opinion from the European Supervisory Authorities (ESAs) on how to set up categories</w:t>
      </w:r>
      <w:r>
        <w:t xml:space="preserve"> </w:t>
      </w:r>
      <w:r>
        <w:t xml:space="preserve">for financial products.</w:t>
      </w:r>
      <w:r>
        <w:t xml:space="preserve"> </w:t>
      </w:r>
      <w:r>
        <w:t xml:space="preserve">The European Supervisory Authorities (the ESA’s), on their own initiative, delivered in June 2024</w:t>
      </w:r>
      <w:r>
        <w:t xml:space="preserve"> </w:t>
      </w:r>
      <w:r>
        <w:t xml:space="preserve">a joint Opinion on the assessment of the SFDR.</w:t>
      </w:r>
      <w:r>
        <w:br/>
      </w:r>
      <w:r>
        <w:t xml:space="preserve">2.5.The Study requested by the ECON Committee of the European Parliament on “the current</w:t>
      </w:r>
      <w:r>
        <w:t xml:space="preserve"> </w:t>
      </w:r>
      <w:r>
        <w:t xml:space="preserve">implementation of the SFDR”.</w:t>
      </w:r>
      <w:r>
        <w:t xml:space="preserve"> </w:t>
      </w:r>
      <w:r>
        <w:t xml:space="preserve">This document was provided in July 2024 by the Policy Department for Economic, Scientific and</w:t>
      </w:r>
      <w:r>
        <w:t xml:space="preserve"> </w:t>
      </w:r>
      <w:r>
        <w:t xml:space="preserve">Quality of Life Policies at the request of the Committee on Economic and Monetary Affairs</w:t>
      </w:r>
      <w:r>
        <w:t xml:space="preserve"> </w:t>
      </w:r>
      <w:r>
        <w:t xml:space="preserve">(ECON) of the European Parliament. The purpose of the study is to inform the policy debate on</w:t>
      </w:r>
      <w:r>
        <w:t xml:space="preserve"> </w:t>
      </w:r>
      <w:r>
        <w:t xml:space="preserve">sustainability disclosures under the SFDR and provide a legal assessment on possible changes to be</w:t>
      </w:r>
      <w:r>
        <w:t xml:space="preserve"> </w:t>
      </w:r>
      <w:r>
        <w:t xml:space="preserve">brought to relevant legislation in order to improve the framework. The opinions expressed in the</w:t>
      </w:r>
      <w:r>
        <w:t xml:space="preserve"> </w:t>
      </w:r>
      <w:r>
        <w:t xml:space="preserve">study are the sole responsibility of the authors and do not necessarily represent the official position</w:t>
      </w:r>
      <w:r>
        <w:t xml:space="preserve"> </w:t>
      </w:r>
      <w:r>
        <w:t xml:space="preserve">of the European Parliament.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2.6.Engagement with Member States in the context of the Member State Expert Group</w:t>
      </w:r>
      <w:r>
        <w:t xml:space="preserve"> </w:t>
      </w:r>
      <w:r>
        <w:t xml:space="preserve">(December 2024, June 2025)</w:t>
      </w:r>
      <w:r>
        <w:t xml:space="preserve"> </w:t>
      </w:r>
      <w:r>
        <w:t xml:space="preserve">The European Commission engaged with Member States in the context of the Member State Expert</w:t>
      </w:r>
      <w:r>
        <w:t xml:space="preserve"> </w:t>
      </w:r>
      <w:r>
        <w:t xml:space="preserve">Group in December 2024, receiving preliminary comments.</w:t>
      </w:r>
      <w:r>
        <w:t xml:space="preserve"> </w:t>
      </w:r>
      <w:r>
        <w:t xml:space="preserve">2.7.Continuous engagement with experts on key challenges and on how to set up categories.</w:t>
      </w:r>
      <w:r>
        <w:t xml:space="preserve"> </w:t>
      </w:r>
      <w:r>
        <w:t xml:space="preserve">The European Commission engaged continuously with experts such as financial market</w:t>
      </w:r>
      <w:r>
        <w:t xml:space="preserve"> </w:t>
      </w:r>
      <w:r>
        <w:t xml:space="preserve">participants, investors, NGOs, academics and other interested stakeholders, to tackle specific issues.</w:t>
      </w:r>
      <w:r>
        <w:t xml:space="preserve"> </w:t>
      </w:r>
      <w:r>
        <w:t xml:space="preserve">2.8.Feedback gathered during the Call for Evidence which ran from 2 May to 30 May 2025.</w:t>
      </w:r>
      <w:r>
        <w:t xml:space="preserve"> </w:t>
      </w:r>
      <w:r>
        <w:t xml:space="preserve">195 stakeholders responded to the call for evidence. Businesses associations and</w:t>
      </w:r>
      <w:r>
        <w:t xml:space="preserve"> </w:t>
      </w:r>
      <w:r>
        <w:t xml:space="preserve">companies/businesses made up the largest group of respondents (68,4%). The second largest group</w:t>
      </w:r>
      <w:r>
        <w:t xml:space="preserve"> </w:t>
      </w:r>
      <w:r>
        <w:t xml:space="preserve">of respondents were NGOs, which constituted 9.8% of the responses, followed by national</w:t>
      </w:r>
      <w:r>
        <w:t xml:space="preserve"> </w:t>
      </w:r>
      <w:r>
        <w:t xml:space="preserve">authorities (5.2%). Respondents were predominantly from EU countries, with France, Germany,</w:t>
      </w:r>
      <w:r>
        <w:t xml:space="preserve"> </w:t>
      </w:r>
      <w:r>
        <w:t xml:space="preserve">Belgium, Italy and Netherlands being the most represented (19,7%, 16,1%, 15%, 6,7%, and 5.2%).</w:t>
      </w:r>
      <w:r>
        <w:t xml:space="preserve"> </w:t>
      </w:r>
      <w:r>
        <w:t xml:space="preserve">14% of respondents were from the UK.</w:t>
      </w:r>
      <w:r>
        <w:br/>
      </w:r>
      <w:r>
        <w:t xml:space="preserve">3. Results of the stakeholder consultations:</w:t>
      </w:r>
    </w:p>
    <w:p>
      <w:pPr>
        <w:pStyle w:val="BodyText"/>
      </w:pPr>
      <w:r>
        <w:t xml:space="preserve">3.1.Current requirements of the SFDR and interaction with other sustainable finance legislation.</w:t>
      </w:r>
    </w:p>
    <w:p>
      <w:pPr>
        <w:pStyle w:val="BodyText"/>
      </w:pPr>
      <w:r>
        <w:t xml:space="preserve">The consultation showed widespread support for the broad objectives of the SFDR. 89% (272 out</w:t>
      </w:r>
      <w:r>
        <w:t xml:space="preserve"> </w:t>
      </w:r>
      <w:r>
        <w:t xml:space="preserve">of 304 respondents) considered that the objective to strengthen transparency through sustainability-</w:t>
      </w:r>
      <w:r>
        <w:t xml:space="preserve"> </w:t>
      </w:r>
      <w:r>
        <w:t xml:space="preserve">related disclosures in the financial services sector was still relevant. In addition, 94% (276 out of</w:t>
      </w:r>
      <w:r>
        <w:t xml:space="preserve"> </w:t>
      </w:r>
      <w:r>
        <w:t xml:space="preserve">294 respondents) totally or mostly agreed that opting for a disclosure framework at the EU level</w:t>
      </w:r>
      <w:r>
        <w:t xml:space="preserve"> </w:t>
      </w:r>
      <w:r>
        <w:t xml:space="preserve">was more effective than national measures at Member State level.</w:t>
      </w:r>
      <w:r>
        <w:t xml:space="preserve"> </w:t>
      </w:r>
      <w:r>
        <w:t xml:space="preserve">However, a wide majority of respondents also highlighted key limitations of the framework such as</w:t>
      </w:r>
      <w:r>
        <w:t xml:space="preserve"> </w:t>
      </w:r>
      <w:r>
        <w:t xml:space="preserve">lack of legal clarity regarding key concepts, limited relevance of certain disclosure requirements</w:t>
      </w:r>
      <w:r>
        <w:t xml:space="preserve"> </w:t>
      </w:r>
      <w:r>
        <w:t xml:space="preserve">and issues linked to data availability. According to many respondents, these limitations had</w:t>
      </w:r>
      <w:r>
        <w:t xml:space="preserve"> </w:t>
      </w:r>
      <w:r>
        <w:t xml:space="preserve">hindered the effectiveness and usability of the framework.</w:t>
      </w:r>
      <w:r>
        <w:br/>
      </w:r>
      <w:r>
        <w:t xml:space="preserve">Most notably, 84% (249 out of 296) totally or mostly agreed that the disclosures required by the</w:t>
      </w:r>
      <w:r>
        <w:t xml:space="preserve"> </w:t>
      </w:r>
      <w:r>
        <w:t xml:space="preserve">SFDR are not sufficiently useful to investors, and 82% (247 out of 301) that some of its</w:t>
      </w:r>
      <w:r>
        <w:t xml:space="preserve"> </w:t>
      </w:r>
      <w:r>
        <w:t xml:space="preserve">requirements and concepts are not sufficiently clear. 88% (263 out of 299) totally or mostly agreed</w:t>
      </w:r>
      <w:r>
        <w:t xml:space="preserve"> </w:t>
      </w:r>
      <w:r>
        <w:t xml:space="preserve">that data gaps are making it challenging for FMPs and financial advisers to cope with the SFDR</w:t>
      </w:r>
      <w:r>
        <w:t xml:space="preserve"> </w:t>
      </w:r>
      <w:r>
        <w:t xml:space="preserve">legal requirements. Most respondents agreed that these limitations are currently creating legal</w:t>
      </w:r>
      <w:r>
        <w:t xml:space="preserve"> </w:t>
      </w:r>
      <w:r>
        <w:t xml:space="preserve">uncertainty (79%, 233 out of 296) and posing reputational risks for FMPs and financial advisers</w:t>
      </w:r>
      <w:r>
        <w:t xml:space="preserve"> </w:t>
      </w:r>
      <w:r>
        <w:t xml:space="preserve">(80%, 237 out of 297) as well as risks of greenwashing and mis-selling (81%, 237 out of 294). In</w:t>
      </w:r>
      <w:r>
        <w:t xml:space="preserve"> </w:t>
      </w:r>
      <w:r>
        <w:t xml:space="preserve">addition, a great majority (over 66%) of FMPs and financial advisers (over 66%) considered the</w:t>
      </w:r>
      <w:r>
        <w:t xml:space="preserve"> </w:t>
      </w:r>
      <w:r>
        <w:t xml:space="preserve">current interactions between principal adverse impact (PAI) product and entity level disclosures</w:t>
      </w:r>
      <w:r>
        <w:t xml:space="preserve"> </w:t>
      </w:r>
      <w:r>
        <w:t xml:space="preserve">unclear. In particular, 80% of FMPs face methodological challenges with the requirement to ‘take</w:t>
      </w:r>
      <w:r>
        <w:t xml:space="preserve"> </w:t>
      </w:r>
      <w:r>
        <w:t xml:space="preserve">account of ’the principal adverse impact (PAI) indicators established in the RTS at entity level for</w:t>
      </w:r>
      <w:r>
        <w:t xml:space="preserve"> </w:t>
      </w:r>
      <w:r>
        <w:t xml:space="preserve">the ‘do no significant harm ’(DNSH) test at product level. In addition, 77% found it unclear how</w:t>
      </w:r>
      <w:r>
        <w:t xml:space="preserve"> </w:t>
      </w:r>
      <w:r>
        <w:t xml:space="preserve">FMPs should approach materiality as regards these PAI indicators in the context of product</w:t>
      </w:r>
      <w:r>
        <w:t xml:space="preserve"> </w:t>
      </w:r>
      <w:r>
        <w:t xml:space="preserve">disclosures for DNSH.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When asked about issues surrounding data availability, 98% (176 out of 180) of FMPs who</w:t>
      </w:r>
      <w:r>
        <w:t xml:space="preserve"> </w:t>
      </w:r>
      <w:r>
        <w:t xml:space="preserve">responded to these questions said they faced difficulties in obtaining good-quality data, and 53%</w:t>
      </w:r>
      <w:r>
        <w:t xml:space="preserve"> </w:t>
      </w:r>
      <w:r>
        <w:t xml:space="preserve">(90 out of 171) reported engaging to a very large or large extent with investee companies to</w:t>
      </w:r>
      <w:r>
        <w:t xml:space="preserve"> </w:t>
      </w:r>
      <w:r>
        <w:t xml:space="preserve">encourage reporting of the missing data. When asked about the cost of disclosures, 58% (167 out of</w:t>
      </w:r>
      <w:r>
        <w:t xml:space="preserve"> </w:t>
      </w:r>
      <w:r>
        <w:t xml:space="preserve">287) of total respondents answered that they did not consider it to be proportionate to the benefits</w:t>
      </w:r>
      <w:r>
        <w:t xml:space="preserve"> </w:t>
      </w:r>
      <w:r>
        <w:t xml:space="preserve">generated. This figure increases to 71% (133 out of 186) among FMPs and 6 financial advisers.</w:t>
      </w:r>
      <w:r>
        <w:t xml:space="preserve"> </w:t>
      </w:r>
      <w:r>
        <w:t xml:space="preserve">FMPs and financial advisers indicated that the main components of the costs of disclosures are the</w:t>
      </w:r>
      <w:r>
        <w:t xml:space="preserve"> </w:t>
      </w:r>
      <w:r>
        <w:t xml:space="preserve">costs of personnel and of external advisory services.</w:t>
      </w:r>
      <w:r>
        <w:t xml:space="preserve"> </w:t>
      </w:r>
      <w:r>
        <w:t xml:space="preserve">Finally, 83% of respondents (245 out of 296) totally or mostly agreed that the SFDR was not being</w:t>
      </w:r>
      <w:r>
        <w:t xml:space="preserve"> </w:t>
      </w:r>
      <w:r>
        <w:t xml:space="preserve">used solely as a disclosure framework as intended but also as a labelling and marketing tool (in</w:t>
      </w:r>
      <w:r>
        <w:t xml:space="preserve"> </w:t>
      </w:r>
      <w:r>
        <w:t xml:space="preserve">particular articles 8 and 9).</w:t>
      </w:r>
      <w:r>
        <w:br/>
      </w:r>
      <w:r>
        <w:t xml:space="preserve">As a result, respondents expressed divided opinions regarding the extent to which the regulation</w:t>
      </w:r>
      <w:r>
        <w:t xml:space="preserve"> </w:t>
      </w:r>
      <w:r>
        <w:t xml:space="preserve">had achieved its objectives during its first years of implementation. For example, A majority (62%,</w:t>
      </w:r>
      <w:r>
        <w:t xml:space="preserve"> </w:t>
      </w:r>
      <w:r>
        <w:t xml:space="preserve">181 out of 292) said the SFDR had not effectively strengthened protection for end investors or</w:t>
      </w:r>
      <w:r>
        <w:t xml:space="preserve"> </w:t>
      </w:r>
      <w:r>
        <w:t xml:space="preserve">made it easier for them to compare financial products with sustainability claims. A slight majority</w:t>
      </w:r>
      <w:r>
        <w:t xml:space="preserve"> </w:t>
      </w:r>
      <w:r>
        <w:t xml:space="preserve">(52%, 153 out of 294) did not agree that it had successfully directed capital towards investments</w:t>
      </w:r>
      <w:r>
        <w:t xml:space="preserve"> </w:t>
      </w:r>
      <w:r>
        <w:t xml:space="preserve">deemed sustainable, including transitional investments.</w:t>
      </w:r>
      <w:r>
        <w:br/>
      </w:r>
      <w:r>
        <w:t xml:space="preserve">The PSF, for its part, made in its Briefing suggestions to improve the effectiveness and the</w:t>
      </w:r>
      <w:r>
        <w:t xml:space="preserve"> </w:t>
      </w:r>
      <w:r>
        <w:t xml:space="preserve">understanding of ESG and sustainable investment products: to precisely align the product’s name,</w:t>
      </w:r>
      <w:r>
        <w:t xml:space="preserve"> </w:t>
      </w:r>
      <w:r>
        <w:t xml:space="preserve">its sustainability marketing claims, declared sustainability contributions, and the actual investment</w:t>
      </w:r>
      <w:r>
        <w:t xml:space="preserve"> </w:t>
      </w:r>
      <w:r>
        <w:t xml:space="preserve">strategy; that the reporting on sustainability performance should cover the entire product, rather</w:t>
      </w:r>
      <w:r>
        <w:t xml:space="preserve"> </w:t>
      </w:r>
      <w:r>
        <w:t xml:space="preserve">than just a portion of it; and when referencing sustainable economic activities, the definitions of</w:t>
      </w:r>
      <w:r>
        <w:t xml:space="preserve"> </w:t>
      </w:r>
      <w:r>
        <w:t xml:space="preserve">environmentally sustainable investments to be exclusively derived from the Taxonomy.</w:t>
      </w:r>
      <w:r>
        <w:t xml:space="preserve"> </w:t>
      </w:r>
      <w:r>
        <w:t xml:space="preserve">As regards the interaction with other sustainable finance legislation, the consultation showed</w:t>
      </w:r>
      <w:r>
        <w:t xml:space="preserve"> </w:t>
      </w:r>
      <w:r>
        <w:t xml:space="preserve">consensus on the need to ensure consistency across the wider Sustainable Finance framework:</w:t>
      </w:r>
      <w:r>
        <w:t xml:space="preserve"> </w:t>
      </w:r>
      <w:r>
        <w:t xml:space="preserve">many respondents identified problems with the interactions between the SFDR and the EU</w:t>
      </w:r>
      <w:r>
        <w:t xml:space="preserve"> </w:t>
      </w:r>
      <w:r>
        <w:t xml:space="preserve">Taxonomy, the Corporate Sustainability Reporting Directive (CSRD), the sustainability rules under</w:t>
      </w:r>
      <w:r>
        <w:t xml:space="preserve"> </w:t>
      </w:r>
      <w:r>
        <w:t xml:space="preserve">MiFID II and IDD and the EU Climate Benchmarks. These respondents stated that these</w:t>
      </w:r>
      <w:r>
        <w:t xml:space="preserve"> </w:t>
      </w:r>
      <w:r>
        <w:t xml:space="preserve">misalignments led to implementation challenges and operational costs and called for further</w:t>
      </w:r>
      <w:r>
        <w:t xml:space="preserve"> </w:t>
      </w:r>
      <w:r>
        <w:t xml:space="preserve">improvement in the overall coherence of the wider framework.</w:t>
      </w:r>
      <w:r>
        <w:t xml:space="preserve"> </w:t>
      </w:r>
      <w:r>
        <w:t xml:space="preserve">The ESAs, in their joint opinion, also concurred that the framework could be improved and that the</w:t>
      </w:r>
      <w:r>
        <w:t xml:space="preserve"> </w:t>
      </w:r>
      <w:r>
        <w:t xml:space="preserve">disclosures to investors in the SFDR may be complex by nature and difficult to understand, in</w:t>
      </w:r>
      <w:r>
        <w:t xml:space="preserve"> </w:t>
      </w:r>
      <w:r>
        <w:t xml:space="preserve">particular for retail investors, as shown by two consumer testing exercises199. In addition, the ESAs</w:t>
      </w:r>
      <w:r>
        <w:t xml:space="preserve"> </w:t>
      </w:r>
      <w:r>
        <w:t xml:space="preserve">also noted that, in practice, disclosures had been used by financial market participants to classify</w:t>
      </w:r>
      <w:r>
        <w:t xml:space="preserve"> </w:t>
      </w:r>
      <w:r>
        <w:t xml:space="preserve">their financial products, as ‘Article 8’ or ‘Article 9’ products had been used since the outset in</w:t>
      </w:r>
      <w:r>
        <w:t xml:space="preserve"> </w:t>
      </w:r>
      <w:r>
        <w:t xml:space="preserve">marketing material as ‘quality labels’ for sustainability, consequently posing greenwashing and</w:t>
      </w:r>
      <w:r>
        <w:t xml:space="preserve"> </w:t>
      </w:r>
      <w:r>
        <w:t xml:space="preserve">mis-selling risks.</w:t>
      </w:r>
      <w:r>
        <w:br/>
      </w:r>
      <w:r>
        <w:t xml:space="preserve">The study requested by the ECON Committee concurs with the view that investors, especially retail</w:t>
      </w:r>
      <w:r>
        <w:t xml:space="preserve"> </w:t>
      </w:r>
      <w:r>
        <w:t xml:space="preserve">ones, have little use for most of the information generated under the SFDR. The disclosures are</w:t>
      </w:r>
      <w:r>
        <w:t xml:space="preserve"> </w:t>
      </w:r>
      <w:r>
        <w:t xml:space="preserve">complex and based on concepts that are unfamiliar and unintuitive for them. Moreover, investors</w:t>
      </w:r>
      <w:r>
        <w:t xml:space="preserve"> </w:t>
      </w:r>
      <w:r>
        <w:t xml:space="preserve">would be unable to differentiate the types of funds within Article 8 or Article 9 and may even</w:t>
      </w:r>
      <w:r>
        <w:t xml:space="preserve"> </w:t>
      </w:r>
      <w:r>
        <w:t xml:space="preserve">struggle to differentiate Article 8 and Article 9 products. The study also recognizes that, while the</w:t>
      </w:r>
    </w:p>
    <w:p>
      <w:pPr>
        <w:pStyle w:val="BodyText"/>
      </w:pPr>
      <w:r>
        <w:t xml:space="preserve">199 The latest round of testing in the context of the Final Report on draft RTS on the review of PAI and financial</w:t>
      </w:r>
      <w:r>
        <w:t xml:space="preserve"> </w:t>
      </w:r>
      <w:r>
        <w:t xml:space="preserve">product disclosures in the SFDR Delegated Regulation showed that respondents found the SFDR templates</w:t>
      </w:r>
      <w:r>
        <w:t xml:space="preserve"> </w:t>
      </w:r>
      <w:r>
        <w:t xml:space="preserve">‘complicated and hard to read’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SFDR was conceived as a disclosure regime, in practice it is used instead as a labelling scheme for</w:t>
      </w:r>
      <w:r>
        <w:t xml:space="preserve"> </w:t>
      </w:r>
      <w:r>
        <w:t xml:space="preserve">products, yet with no binding threshold to substantiate the claims, leading to uncertainty and</w:t>
      </w:r>
      <w:r>
        <w:t xml:space="preserve"> </w:t>
      </w:r>
      <w:r>
        <w:t xml:space="preserve">making it hard for investors to assess the veracity of green claims. That, in turn, increases the risk</w:t>
      </w:r>
      <w:r>
        <w:t xml:space="preserve"> </w:t>
      </w:r>
      <w:r>
        <w:t xml:space="preserve">of “greenwashing” and mis-selling, but also of “green bleaching”, i.e., when FMPs choose not to</w:t>
      </w:r>
      <w:r>
        <w:t xml:space="preserve"> </w:t>
      </w:r>
      <w:r>
        <w:t xml:space="preserve">claim environmental, social, and governance (ESG) features for their products to avoid extra costs</w:t>
      </w:r>
      <w:r>
        <w:t xml:space="preserve"> </w:t>
      </w:r>
      <w:r>
        <w:t xml:space="preserve">and legal risks.</w:t>
      </w:r>
      <w:r>
        <w:t xml:space="preserve"> </w:t>
      </w:r>
      <w:r>
        <w:t xml:space="preserve">The Study also noted inconsistencies between the SFDR and other Sustainable Finance legislation,</w:t>
      </w:r>
      <w:r>
        <w:t xml:space="preserve"> </w:t>
      </w:r>
      <w:r>
        <w:t xml:space="preserve">signalling for instance inconsistencies with the Taxonomy Regulation, the Benchmarks Regulation</w:t>
      </w:r>
      <w:r>
        <w:t xml:space="preserve"> </w:t>
      </w:r>
      <w:r>
        <w:t xml:space="preserve">exclusions and their relationship with the SFDR’s PAIs, or some problems with corporate reporting</w:t>
      </w:r>
      <w:r>
        <w:t xml:space="preserve"> </w:t>
      </w:r>
      <w:r>
        <w:t xml:space="preserve">under the Corporate Sustainability Reporting Directive (CSRD): corporates and FMPs may differ</w:t>
      </w:r>
      <w:r>
        <w:t xml:space="preserve"> </w:t>
      </w:r>
      <w:r>
        <w:t xml:space="preserve">about what “material” impacts must be reported, and corporates who struggle to comply with all the</w:t>
      </w:r>
      <w:r>
        <w:t xml:space="preserve"> </w:t>
      </w:r>
      <w:r>
        <w:t xml:space="preserve">CSRD data points may have little incentive to produce information in a form and level of detail</w:t>
      </w:r>
      <w:r>
        <w:t xml:space="preserve"> </w:t>
      </w:r>
      <w:r>
        <w:t xml:space="preserve">enough to let FMPs to comply with their own SFDR-based reporting.</w:t>
      </w:r>
      <w:r>
        <w:br/>
      </w:r>
      <w:r>
        <w:t xml:space="preserve">Feedback from the call for evidence very much reflected the previous feedback on the main</w:t>
      </w:r>
      <w:r>
        <w:t xml:space="preserve"> </w:t>
      </w:r>
      <w:r>
        <w:t xml:space="preserve">limitations of the SFDR. The key limitations mentioned included the lack of clarity of the main</w:t>
      </w:r>
      <w:r>
        <w:t xml:space="preserve"> </w:t>
      </w:r>
      <w:r>
        <w:t xml:space="preserve">concepts (i.e. sustainable investment and principal adverse impact); the excessive complexity of the</w:t>
      </w:r>
      <w:r>
        <w:t xml:space="preserve"> </w:t>
      </w:r>
      <w:r>
        <w:t xml:space="preserve">disclosure requirements, the gold-plating practices and the poor comparability across products. As a</w:t>
      </w:r>
      <w:r>
        <w:t xml:space="preserve"> </w:t>
      </w:r>
      <w:r>
        <w:t xml:space="preserve">result, the large majority of responses to the call for evidence suggests that the review should aim at</w:t>
      </w:r>
      <w:r>
        <w:t xml:space="preserve"> </w:t>
      </w:r>
      <w:r>
        <w:t xml:space="preserve">simplifying the framework and definitions, enhance legal certainty and supervisory harmonisation,</w:t>
      </w:r>
      <w:r>
        <w:t xml:space="preserve"> </w:t>
      </w:r>
      <w:r>
        <w:t xml:space="preserve">improve data quality and focus on end-investor understanding.</w:t>
      </w:r>
      <w:r>
        <w:t xml:space="preserve"> </w:t>
      </w:r>
      <w:r>
        <w:t xml:space="preserve">3.2.Changes to the disclosure requirements</w:t>
      </w:r>
      <w:r>
        <w:t xml:space="preserve"> </w:t>
      </w:r>
      <w:r>
        <w:t xml:space="preserve">Entity level disclosures:</w:t>
      </w:r>
      <w:r>
        <w:t xml:space="preserve"> </w:t>
      </w:r>
      <w:r>
        <w:t xml:space="preserve">In the consultation, views on whether the SFDR is the right place to set entity-level disclosure</w:t>
      </w:r>
      <w:r>
        <w:t xml:space="preserve"> </w:t>
      </w:r>
      <w:r>
        <w:t xml:space="preserve">requirements for FMPs and financial advisers were split, especially across the different</w:t>
      </w:r>
      <w:r>
        <w:t xml:space="preserve"> </w:t>
      </w:r>
      <w:r>
        <w:t xml:space="preserve">stakeholders ’groups. Most FMPs and financial advisers responded that they do not consider the</w:t>
      </w:r>
      <w:r>
        <w:t xml:space="preserve"> </w:t>
      </w:r>
      <w:r>
        <w:t xml:space="preserve">SFDR the right place to include entity-level disclosures200, while a majority of NGOs expressed</w:t>
      </w:r>
      <w:r>
        <w:t xml:space="preserve"> </w:t>
      </w:r>
      <w:r>
        <w:t xml:space="preserve">support for having such disclosures in the SFDR201. NCAs’ responses were split202.</w:t>
      </w:r>
    </w:p>
    <w:p>
      <w:pPr>
        <w:pStyle w:val="BodyText"/>
      </w:pPr>
      <w:r>
        <w:t xml:space="preserve">There was no consensus either regarding the views on the usefulness of the three sets of SFDR</w:t>
      </w:r>
      <w:r>
        <w:t xml:space="preserve"> </w:t>
      </w:r>
      <w:r>
        <w:t xml:space="preserve">entity-level disclosures. Disclosures concerning sustainability risk policies gathered the highest</w:t>
      </w:r>
      <w:r>
        <w:t xml:space="preserve"> </w:t>
      </w:r>
      <w:r>
        <w:t xml:space="preserve">level of support, with 49% (138 out of 280) of respondents finding them ‘totally’ or ‘mostly’ useful,</w:t>
      </w:r>
      <w:r>
        <w:t xml:space="preserve"> </w:t>
      </w:r>
      <w:r>
        <w:t xml:space="preserve">while 15% (41 out of 280) responded ‘not really’ or ‘not at all’. Opinions were less definitive on</w:t>
      </w:r>
      <w:r>
        <w:t xml:space="preserve"> </w:t>
      </w:r>
      <w:r>
        <w:t xml:space="preserve">disclosures regarding adverse sustainability impacts (31% in support, 31% against) and</w:t>
      </w:r>
      <w:r>
        <w:t xml:space="preserve"> </w:t>
      </w:r>
      <w:r>
        <w:t xml:space="preserve">remuneration policies (39% in support, 26% against).</w:t>
      </w:r>
      <w:r>
        <w:br/>
      </w:r>
      <w:r>
        <w:t xml:space="preserve">Those in favour of the existing set of entity-level disclosures stated that they can provide valuable</w:t>
      </w:r>
      <w:r>
        <w:t xml:space="preserve"> </w:t>
      </w:r>
      <w:r>
        <w:t xml:space="preserve">information to investors and civil society, allowing them to assess the sustainability ambition of an</w:t>
      </w:r>
      <w:r>
        <w:t xml:space="preserve"> </w:t>
      </w:r>
      <w:r>
        <w:t xml:space="preserve">FMP and serving as a tool against greenwashing. Those against argued that they are not appropriate</w:t>
      </w:r>
      <w:r>
        <w:t xml:space="preserve"> </w:t>
      </w:r>
      <w:r>
        <w:t xml:space="preserve">or useful to end-investors investing in financial products and reported that investors rarely seek</w:t>
      </w:r>
      <w:r>
        <w:t xml:space="preserve"> </w:t>
      </w:r>
      <w:r>
        <w:t xml:space="preserve">aggregate sustainability-related information at the level of the FMP.</w:t>
      </w:r>
    </w:p>
    <w:p>
      <w:pPr>
        <w:pStyle w:val="BodyText"/>
      </w:pPr>
      <w:r>
        <w:t xml:space="preserve">200 52% (94 out of 182) responded ‘not at all’ or ‘not really’ and 21% (39 out of 182) responded ‘mostly’ or ‘totally’.</w:t>
      </w:r>
      <w:r>
        <w:t xml:space="preserve"> </w:t>
      </w:r>
      <w:r>
        <w:t xml:space="preserve">The rest responded ‘partially’ or ‘don’t know’</w:t>
      </w:r>
      <w:r>
        <w:t xml:space="preserve"> </w:t>
      </w:r>
      <w:r>
        <w:t xml:space="preserve">201 19% (6 out of 32) responded ‘not at all’ or ‘not really’ and 59% (19 out of 32) responded ‘mostly’ or ‘totally’. The</w:t>
      </w:r>
      <w:r>
        <w:t xml:space="preserve"> </w:t>
      </w:r>
      <w:r>
        <w:t xml:space="preserve">rest responded ‘partially’ or ‘don’t know’</w:t>
      </w:r>
      <w:r>
        <w:t xml:space="preserve"> </w:t>
      </w:r>
      <w:r>
        <w:t xml:space="preserve">202 29% (4 out of 14) responded ‘not at all’ or ‘not really’ and 36% (5 out of 14) responded ‘mostly’. The rest</w:t>
      </w:r>
      <w:r>
        <w:t xml:space="preserve"> </w:t>
      </w:r>
      <w:r>
        <w:t xml:space="preserve">responded ‘partially’ or ‘don’t know’.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A large majority of respondents called for these disclosure requirements to be simplified and</w:t>
      </w:r>
      <w:r>
        <w:t xml:space="preserve"> </w:t>
      </w:r>
      <w:r>
        <w:t xml:space="preserve">streamlined across the sustainable finance framework. Many expressed concerns about a potential</w:t>
      </w:r>
      <w:r>
        <w:t xml:space="preserve"> </w:t>
      </w:r>
      <w:r>
        <w:t xml:space="preserve">overlap between the transparency requirements on principal adverse impacts under the SFDR and</w:t>
      </w:r>
      <w:r>
        <w:t xml:space="preserve"> </w:t>
      </w:r>
      <w:r>
        <w:t xml:space="preserve">the reporting obligations under the CSRD.</w:t>
      </w:r>
      <w:r>
        <w:t xml:space="preserve"> </w:t>
      </w:r>
      <w:r>
        <w:t xml:space="preserve">The PSF in its Briefing recommended assessing to what extent the disclosure of Principal Adverse</w:t>
      </w:r>
      <w:r>
        <w:t xml:space="preserve"> </w:t>
      </w:r>
      <w:r>
        <w:t xml:space="preserve">Impacts (PAIs), at an entity level, could be integrated into CSRD/ESRS disclosures for Financial</w:t>
      </w:r>
      <w:r>
        <w:t xml:space="preserve"> </w:t>
      </w:r>
      <w:r>
        <w:t xml:space="preserve">Market Participants (FMPs) that adhere to both regulations. The Platform believed that conducting</w:t>
      </w:r>
      <w:r>
        <w:t xml:space="preserve"> </w:t>
      </w:r>
      <w:r>
        <w:t xml:space="preserve">a review of the effectiveness of various requirements, simplifying them and prioritising GHG</w:t>
      </w:r>
      <w:r>
        <w:t xml:space="preserve"> </w:t>
      </w:r>
      <w:r>
        <w:t xml:space="preserve">emission reduction targets, progress reporting, taxonomy and transition plans would be beneficial.</w:t>
      </w:r>
      <w:r>
        <w:t xml:space="preserve"> </w:t>
      </w:r>
      <w:r>
        <w:t xml:space="preserve">The large majority of the responses to the call for evidence supported the deletion of the entity-level</w:t>
      </w:r>
      <w:r>
        <w:t xml:space="preserve"> </w:t>
      </w:r>
      <w:r>
        <w:t xml:space="preserve">disclosures. Most respondents argued that end-investors are more interested in product-related</w:t>
      </w:r>
      <w:r>
        <w:t xml:space="preserve"> </w:t>
      </w:r>
      <w:r>
        <w:t xml:space="preserve">information and that entity level disclosures should only be mandated under the CSRD, as per the</w:t>
      </w:r>
      <w:r>
        <w:t xml:space="preserve"> </w:t>
      </w:r>
      <w:r>
        <w:t xml:space="preserve">new scope proposed by the omnibus. However, a small minority was in favour of retaining the</w:t>
      </w:r>
      <w:r>
        <w:t xml:space="preserve"> </w:t>
      </w:r>
      <w:r>
        <w:t xml:space="preserve">entity-level disclosures while streamlining them in view of the reduction of data points under the</w:t>
      </w:r>
      <w:r>
        <w:t xml:space="preserve"> </w:t>
      </w:r>
      <w:r>
        <w:t xml:space="preserve">CSRD.</w:t>
      </w:r>
      <w:r>
        <w:br/>
      </w:r>
      <w:r>
        <w:t xml:space="preserve">Product level disclosures:</w:t>
      </w:r>
      <w:r>
        <w:br/>
      </w:r>
      <w:r>
        <w:t xml:space="preserve">The consultation sought stakeholder views on potential changes to the product level disclosures,</w:t>
      </w:r>
      <w:r>
        <w:t xml:space="preserve"> </w:t>
      </w:r>
      <w:r>
        <w:t xml:space="preserve">specifically on whether the framework should impose uniform requirements for all or for some</w:t>
      </w:r>
      <w:r>
        <w:t xml:space="preserve"> </w:t>
      </w:r>
      <w:r>
        <w:t xml:space="preserve">financial products (e.g. products whose asset under management exceed a certain threshold to be</w:t>
      </w:r>
      <w:r>
        <w:t xml:space="preserve"> </w:t>
      </w:r>
      <w:r>
        <w:t xml:space="preserve">defined, or products intended solely for retail investors) regardless of their sustainability-related</w:t>
      </w:r>
      <w:r>
        <w:t xml:space="preserve"> </w:t>
      </w:r>
      <w:r>
        <w:t xml:space="preserve">claims, and whether additional disclosure requirements should be required from financial products</w:t>
      </w:r>
      <w:r>
        <w:t xml:space="preserve"> </w:t>
      </w:r>
      <w:r>
        <w:t xml:space="preserve">that make sustainability-related claims. 56% of respondents (161 out of 288) agreed ‘to a very</w:t>
      </w:r>
      <w:r>
        <w:t xml:space="preserve"> </w:t>
      </w:r>
      <w:r>
        <w:t xml:space="preserve">large’ or ‘large extent’ that the EU should impose uniform disclosure requirements for all financial</w:t>
      </w:r>
      <w:r>
        <w:t xml:space="preserve"> </w:t>
      </w:r>
      <w:r>
        <w:t xml:space="preserve">products offered in the EU, regardless of their sustainability claims. 31% (88 out of 288) of</w:t>
      </w:r>
      <w:r>
        <w:t xml:space="preserve"> </w:t>
      </w:r>
      <w:r>
        <w:t xml:space="preserve">respondents expressed the opposite view. Supporters of this measure, which were present</w:t>
      </w:r>
      <w:r>
        <w:t xml:space="preserve"> </w:t>
      </w:r>
      <w:r>
        <w:t xml:space="preserve">throughout all stakeholders’ groups (for example, 50% of FMPs and financial advisers support such</w:t>
      </w:r>
      <w:r>
        <w:t xml:space="preserve"> </w:t>
      </w:r>
      <w:r>
        <w:t xml:space="preserve">disclosures), argued that it would enable a level playing field, avoiding that sustainable products are</w:t>
      </w:r>
      <w:r>
        <w:t xml:space="preserve"> </w:t>
      </w:r>
      <w:r>
        <w:t xml:space="preserve">disadvantaged by more reporting burdens and costs. Some also argued that it would enhance</w:t>
      </w:r>
      <w:r>
        <w:t xml:space="preserve"> </w:t>
      </w:r>
      <w:r>
        <w:t xml:space="preserve">transparency and comparability, allowing investors to make better informed choices. Those against</w:t>
      </w:r>
      <w:r>
        <w:t xml:space="preserve"> </w:t>
      </w:r>
      <w:r>
        <w:t xml:space="preserve">argued that it would impose unnecessary costs on products without sustainability claims and could</w:t>
      </w:r>
      <w:r>
        <w:t xml:space="preserve"> </w:t>
      </w:r>
      <w:r>
        <w:t xml:space="preserve">confuse investors with information that may not be aligned with a product’s investment strategy,</w:t>
      </w:r>
      <w:r>
        <w:t xml:space="preserve"> </w:t>
      </w:r>
      <w:r>
        <w:t xml:space="preserve">raising the risk of greenwashing. When asked about what these disclosures should be, a large</w:t>
      </w:r>
      <w:r>
        <w:t xml:space="preserve"> </w:t>
      </w:r>
      <w:r>
        <w:t xml:space="preserve">majority of respondents answered that they should be restricted to key meaningful indicators that</w:t>
      </w:r>
      <w:r>
        <w:t xml:space="preserve"> </w:t>
      </w:r>
      <w:r>
        <w:t xml:space="preserve">are comparable across different markets and asset classes and easily understandable for retail</w:t>
      </w:r>
      <w:r>
        <w:t xml:space="preserve"> </w:t>
      </w:r>
      <w:r>
        <w:t xml:space="preserve">investors. Respondents mostly mentioned climate, diversity and human rights as topics to be</w:t>
      </w:r>
      <w:r>
        <w:t xml:space="preserve"> </w:t>
      </w:r>
      <w:r>
        <w:t xml:space="preserve">covered by the disclosures. Many respondents also argued that metrics on transition should be</w:t>
      </w:r>
      <w:r>
        <w:t xml:space="preserve"> </w:t>
      </w:r>
      <w:r>
        <w:t xml:space="preserve">added. Conversely, some respondents, mainly from the NGO sector, suggested that there should be</w:t>
      </w:r>
      <w:r>
        <w:t xml:space="preserve"> </w:t>
      </w:r>
      <w:r>
        <w:t xml:space="preserve">a comprehensive set of disclosures which could include the mandatory PAIs, alignment with the</w:t>
      </w:r>
      <w:r>
        <w:t xml:space="preserve"> </w:t>
      </w:r>
      <w:r>
        <w:t xml:space="preserve">EU Taxonomy, percentage of investments in undertakings with a science-based transition plan,</w:t>
      </w:r>
      <w:r>
        <w:t xml:space="preserve"> </w:t>
      </w:r>
      <w:r>
        <w:t xml:space="preserve">exclusions and engagement.</w:t>
      </w:r>
      <w:r>
        <w:br/>
      </w:r>
      <w:r>
        <w:t xml:space="preserve">In the consultation it was shown that there was less support for imposing uniform disclosure</w:t>
      </w:r>
      <w:r>
        <w:t xml:space="preserve"> </w:t>
      </w:r>
      <w:r>
        <w:t xml:space="preserve">requirements for some financial products, regardless of their sustainability related claims (e.g. </w:t>
      </w:r>
      <w:r>
        <w:t xml:space="preserve"> </w:t>
      </w:r>
      <w:r>
        <w:t xml:space="preserve">products whose assets under management exceed a certain threshold to be defined, or products</w:t>
      </w:r>
      <w:r>
        <w:t xml:space="preserve"> </w:t>
      </w:r>
      <w:r>
        <w:t xml:space="preserve">intended solely for retail investors), with 62% (172 out of 277) of respondents not agreeing at all, or</w:t>
      </w:r>
      <w:r>
        <w:t xml:space="preserve"> </w:t>
      </w:r>
      <w:r>
        <w:t xml:space="preserve">only agreeing to a limited extent. The distribution of responses is similar across all stakeholder</w:t>
      </w:r>
      <w:r>
        <w:t xml:space="preserve"> </w:t>
      </w:r>
      <w:r>
        <w:t xml:space="preserve">groups. Most respondents expressed concerns that it would make sustainability performance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comparison impossible and would make the disclosure framework more complex and confusing.</w:t>
      </w:r>
      <w:r>
        <w:t xml:space="preserve"> </w:t>
      </w:r>
      <w:r>
        <w:t xml:space="preserve">Many have also flagged that it would be challenging to define a subset of financial products that</w:t>
      </w:r>
      <w:r>
        <w:t xml:space="preserve"> </w:t>
      </w:r>
      <w:r>
        <w:t xml:space="preserve">would need to fall within the scope of these disclosures.</w:t>
      </w:r>
      <w:r>
        <w:t xml:space="preserve"> </w:t>
      </w:r>
      <w:r>
        <w:t xml:space="preserve">Additionally, 55% (152 out of 274) of respondents agreed that products making sustainability</w:t>
      </w:r>
      <w:r>
        <w:t xml:space="preserve"> </w:t>
      </w:r>
      <w:r>
        <w:t xml:space="preserve">claims should provide additional disclosures to support their claims to ensure credibility and</w:t>
      </w:r>
      <w:r>
        <w:t xml:space="preserve"> </w:t>
      </w:r>
      <w:r>
        <w:t xml:space="preserve">prevent greenwashing. While there was no clear consensus about what these qualitative and</w:t>
      </w:r>
      <w:r>
        <w:t xml:space="preserve"> </w:t>
      </w:r>
      <w:r>
        <w:t xml:space="preserve">quantitative disclosures should be, the most cited ones include: sustainability objectives, sustainable</w:t>
      </w:r>
      <w:r>
        <w:t xml:space="preserve"> </w:t>
      </w:r>
      <w:r>
        <w:t xml:space="preserve">investment strategy and associated binding and measurable KPIs, minimum standards of good</w:t>
      </w:r>
      <w:r>
        <w:t xml:space="preserve"> </w:t>
      </w:r>
      <w:r>
        <w:t xml:space="preserve">governance, percentage of sustainable investments and Taxonomy-alignment, decarbonisation</w:t>
      </w:r>
      <w:r>
        <w:t xml:space="preserve"> </w:t>
      </w:r>
      <w:r>
        <w:t xml:space="preserve">targets, percentage of undertakings having a transition plan, applied exclusions, engagement and</w:t>
      </w:r>
      <w:r>
        <w:t xml:space="preserve"> </w:t>
      </w:r>
      <w:r>
        <w:t xml:space="preserve">voting policies and PAIs. Some respondents argued that such disclosures should be set in a flexible</w:t>
      </w:r>
      <w:r>
        <w:t xml:space="preserve"> </w:t>
      </w:r>
      <w:r>
        <w:t xml:space="preserve">manner to align with diverse product investment strategies and to accommodate innovation and</w:t>
      </w:r>
      <w:r>
        <w:t xml:space="preserve"> </w:t>
      </w:r>
      <w:r>
        <w:t xml:space="preserve">evolving market standards. On the other hand, others were of the view that these disclosures should</w:t>
      </w:r>
      <w:r>
        <w:t xml:space="preserve"> </w:t>
      </w:r>
      <w:r>
        <w:t xml:space="preserve">be set by the regulators and be identical for all financial products with sustainability claims.</w:t>
      </w:r>
      <w:r>
        <w:br/>
      </w:r>
      <w:r>
        <w:t xml:space="preserve">Lastly, many respondents stressed the importance of aligning these disclosures with potential future</w:t>
      </w:r>
      <w:r>
        <w:t xml:space="preserve"> </w:t>
      </w:r>
      <w:r>
        <w:t xml:space="preserve">product categories and minimum criteria under the revised SFDR framework and argued that any</w:t>
      </w:r>
      <w:r>
        <w:t xml:space="preserve"> </w:t>
      </w:r>
      <w:r>
        <w:t xml:space="preserve">changes to the SFDR disclosures would need to be reflected in the MiFID and IDD sustainability</w:t>
      </w:r>
      <w:r>
        <w:t xml:space="preserve"> </w:t>
      </w:r>
      <w:r>
        <w:t xml:space="preserve">preferences rules.</w:t>
      </w:r>
      <w:r>
        <w:t xml:space="preserve"> </w:t>
      </w:r>
      <w:r>
        <w:t xml:space="preserve">On the other hand, the PSF in its Briefing in December 2023 underlined the importance of PAI</w:t>
      </w:r>
      <w:r>
        <w:t xml:space="preserve"> </w:t>
      </w:r>
      <w:r>
        <w:t xml:space="preserve">disclosure on product level, in particular for products that consider PAIs under Article 7 of the</w:t>
      </w:r>
      <w:r>
        <w:t xml:space="preserve"> </w:t>
      </w:r>
      <w:r>
        <w:t xml:space="preserve">SFDR.</w:t>
      </w:r>
      <w:r>
        <w:br/>
      </w:r>
      <w:r>
        <w:t xml:space="preserve">The Platform also proposed a streamlined approach to disclosures, recommending a set of pre-</w:t>
      </w:r>
      <w:r>
        <w:t xml:space="preserve"> </w:t>
      </w:r>
      <w:r>
        <w:t xml:space="preserve">contractual disclosures and a single set of periodic reporting disclosures.</w:t>
      </w:r>
      <w:r>
        <w:br/>
      </w:r>
      <w:r>
        <w:t xml:space="preserve">Disclosures should focus on key information, accommodating multi-option products by utilising</w:t>
      </w:r>
      <w:r>
        <w:t xml:space="preserve"> </w:t>
      </w:r>
      <w:r>
        <w:t xml:space="preserve">website disclosure for additional details, such as individual PAI indicators.</w:t>
      </w:r>
      <w:r>
        <w:br/>
      </w:r>
      <w:r>
        <w:t xml:space="preserve">The Platform envisioned the integration of the Taxonomy into the periodic reporting of any</w:t>
      </w:r>
      <w:r>
        <w:t xml:space="preserve"> </w:t>
      </w:r>
      <w:r>
        <w:t xml:space="preserve">financial product in the future.</w:t>
      </w:r>
      <w:r>
        <w:br/>
      </w:r>
      <w:r>
        <w:t xml:space="preserve">Over the long term, the Platform advocated mandatory minimum ESG reporting requirements,</w:t>
      </w:r>
      <w:r>
        <w:t xml:space="preserve"> </w:t>
      </w:r>
      <w:r>
        <w:t xml:space="preserve">including GHG emissions and the Taxonomy, across all financial products.</w:t>
      </w:r>
      <w:r>
        <w:br/>
      </w:r>
      <w:r>
        <w:t xml:space="preserve">Lastly, the Platform underscored the importance of distinguishing between pre-contractual</w:t>
      </w:r>
      <w:r>
        <w:t xml:space="preserve"> </w:t>
      </w:r>
      <w:r>
        <w:t xml:space="preserve">commitments and periodic reporting, claiming that the former entails product restrictions while the</w:t>
      </w:r>
      <w:r>
        <w:t xml:space="preserve"> </w:t>
      </w:r>
      <w:r>
        <w:t xml:space="preserve">latter provides information on the current investments of the product.</w:t>
      </w:r>
      <w:r>
        <w:t xml:space="preserve"> </w:t>
      </w:r>
      <w:r>
        <w:t xml:space="preserve">As regards the ESAs, in their joint Opinion published in June 2024 they recommended the</w:t>
      </w:r>
      <w:r>
        <w:t xml:space="preserve"> </w:t>
      </w:r>
      <w:r>
        <w:t xml:space="preserve">Commission to ensure that sustainability disclosures catered to different investor needs, and</w:t>
      </w:r>
      <w:r>
        <w:t xml:space="preserve"> </w:t>
      </w:r>
      <w:r>
        <w:t xml:space="preserve">improvements in sustainability disclosures took into account different distribution channels,</w:t>
      </w:r>
      <w:r>
        <w:t xml:space="preserve"> </w:t>
      </w:r>
      <w:r>
        <w:t xml:space="preserve">including digital ones, and ensured consistency of information provided. The Commission should</w:t>
      </w:r>
      <w:r>
        <w:t xml:space="preserve"> </w:t>
      </w:r>
      <w:r>
        <w:t xml:space="preserve">prioritise only essential information for retail investors while professional investors may benefit</w:t>
      </w:r>
      <w:r>
        <w:t xml:space="preserve"> </w:t>
      </w:r>
      <w:r>
        <w:t xml:space="preserve">from more detailed information. The ESAs encouraged the Commission to carefully reflect on</w:t>
      </w:r>
      <w:r>
        <w:t xml:space="preserve"> </w:t>
      </w:r>
      <w:r>
        <w:t xml:space="preserve">whether to include other products in the SFDR scope to ensure harmonised disclosures for both</w:t>
      </w:r>
      <w:r>
        <w:t xml:space="preserve"> </w:t>
      </w:r>
      <w:r>
        <w:t xml:space="preserve">products currently in the scope of SFDR and any other products that could be brought into the</w:t>
      </w:r>
      <w:r>
        <w:t xml:space="preserve"> </w:t>
      </w:r>
      <w:r>
        <w:t xml:space="preserve">scope. Furthermore, information on key adverse impact indicators could be considered for all</w:t>
      </w:r>
      <w:r>
        <w:t xml:space="preserve"> </w:t>
      </w:r>
      <w:r>
        <w:t xml:space="preserve">financial products, based on a cost-benefit analysis justifying the introduction of such requirement;</w:t>
      </w:r>
      <w:r>
        <w:t xml:space="preserve"> </w:t>
      </w:r>
      <w:r>
        <w:t xml:space="preserve">and the ESAs also suggested that the Commission could evaluate the introduction of a framework</w:t>
      </w:r>
      <w:r>
        <w:t xml:space="preserve"> </w:t>
      </w:r>
      <w:r>
        <w:t xml:space="preserve">to assess the sustainability features of government bonds, taking into account the specificities of</w:t>
      </w:r>
      <w:r>
        <w:t xml:space="preserve"> </w:t>
      </w:r>
      <w:r>
        <w:t xml:space="preserve">that asset class.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For its part, the Study requested by the ECON Committee considers that SFDR disclosures should</w:t>
      </w:r>
      <w:r>
        <w:t xml:space="preserve"> </w:t>
      </w:r>
      <w:r>
        <w:t xml:space="preserve">work seamlessly with other disclosure rules. In general, the information pipeline (including</w:t>
      </w:r>
      <w:r>
        <w:t xml:space="preserve"> </w:t>
      </w:r>
      <w:r>
        <w:t xml:space="preserve">corporate reporting under the CSRD, indexes under the Benchmarks Regulation, and reporting</w:t>
      </w:r>
      <w:r>
        <w:t xml:space="preserve"> </w:t>
      </w:r>
      <w:r>
        <w:t xml:space="preserve">under the SFDR) needs to be streamlined. A more widespread reporting of PAIs, covering more</w:t>
      </w:r>
      <w:r>
        <w:t xml:space="preserve"> </w:t>
      </w:r>
      <w:r>
        <w:t xml:space="preserve">products, is needed, but calibrated between sustainable or impact products, transition products, and</w:t>
      </w:r>
      <w:r>
        <w:t xml:space="preserve"> </w:t>
      </w:r>
      <w:r>
        <w:t xml:space="preserve">general products with no sustainability features. The Study claims that the streamlining of rules and</w:t>
      </w:r>
      <w:r>
        <w:t xml:space="preserve"> </w:t>
      </w:r>
      <w:r>
        <w:t xml:space="preserve">the expansion of their scope, would derive considerable benefit from more emphasis, in parallel, on</w:t>
      </w:r>
      <w:r>
        <w:t xml:space="preserve"> </w:t>
      </w:r>
      <w:r>
        <w:t xml:space="preserve">FMPs’ methodologies, technology and tools to process the information. Authorities that play a</w:t>
      </w:r>
      <w:r>
        <w:t xml:space="preserve"> </w:t>
      </w:r>
      <w:r>
        <w:t xml:space="preserve">constructive role in developing such methodologies and tools could be more prescriptive in their</w:t>
      </w:r>
      <w:r>
        <w:t xml:space="preserve"> </w:t>
      </w:r>
      <w:r>
        <w:t xml:space="preserve">expectations, while reducing (some) FMPs’ dependence on “infomediaries”, regulated (index and</w:t>
      </w:r>
      <w:r>
        <w:t xml:space="preserve"> </w:t>
      </w:r>
      <w:r>
        <w:t xml:space="preserve">ESG Ratings providers) or not (e.g., other data providers).</w:t>
      </w:r>
      <w:r>
        <w:br/>
      </w:r>
      <w:r>
        <w:t xml:space="preserve">The call for evidence signalled that a large majority of stakeholders across the board welcome</w:t>
      </w:r>
      <w:r>
        <w:t xml:space="preserve"> </w:t>
      </w:r>
      <w:r>
        <w:t xml:space="preserve">considerable simplifications to product level disclosures (for example by limiting the number of</w:t>
      </w:r>
      <w:r>
        <w:t xml:space="preserve"> </w:t>
      </w:r>
      <w:r>
        <w:t xml:space="preserve">pages for the pre-contractual document to 2 to 3 pages), focusing on key information for investors</w:t>
      </w:r>
      <w:r>
        <w:t xml:space="preserve"> </w:t>
      </w:r>
      <w:r>
        <w:t xml:space="preserve">regarding e.g. the potential classification of a product and adherence to associated criteria (see</w:t>
      </w:r>
      <w:r>
        <w:t xml:space="preserve"> </w:t>
      </w:r>
      <w:r>
        <w:t xml:space="preserve">below), its main sustainability-linked objectives and strategy, and KPIs for measuring performance.</w:t>
      </w:r>
      <w:r>
        <w:t xml:space="preserve"> </w:t>
      </w:r>
      <w:r>
        <w:t xml:space="preserve">In addition, most respondents stressed the need to add a reference to the category in the PRIIPs</w:t>
      </w:r>
      <w:r>
        <w:t xml:space="preserve"> </w:t>
      </w:r>
      <w:r>
        <w:t xml:space="preserve">KIID. Most respondents also indicated that disclosures of sustainability risks remain useful,</w:t>
      </w:r>
      <w:r>
        <w:t xml:space="preserve"> </w:t>
      </w:r>
      <w:r>
        <w:t xml:space="preserve">including for products currently falling under Article 6 (i.e. or non-categorised products).</w:t>
      </w:r>
      <w:r>
        <w:t xml:space="preserve"> </w:t>
      </w:r>
      <w:r>
        <w:t xml:space="preserve">3.3.Categorisation for financial products</w:t>
      </w:r>
      <w:r>
        <w:t xml:space="preserve"> </w:t>
      </w:r>
      <w:r>
        <w:t xml:space="preserve">In the consultation, strong support for a voluntary categorisation system regulated at the EU level</w:t>
      </w:r>
      <w:r>
        <w:t xml:space="preserve"> </w:t>
      </w:r>
      <w:r>
        <w:t xml:space="preserve">was expressed: a large majority of respondents (72%, 205 out of 284) totally or mostly disagreed</w:t>
      </w:r>
      <w:r>
        <w:t xml:space="preserve"> </w:t>
      </w:r>
      <w:r>
        <w:t xml:space="preserve">with the idea that simply disclosing sustainability information was enough, indicating the need to</w:t>
      </w:r>
      <w:r>
        <w:t xml:space="preserve"> </w:t>
      </w:r>
      <w:r>
        <w:t xml:space="preserve">set up an EU categorisation system for financial products. While the distribution of responses was</w:t>
      </w:r>
      <w:r>
        <w:t xml:space="preserve"> </w:t>
      </w:r>
      <w:r>
        <w:t xml:space="preserve">similar across different stakeholder groups, respondents belonging to or representing the three</w:t>
      </w:r>
      <w:r>
        <w:t xml:space="preserve"> </w:t>
      </w:r>
      <w:r>
        <w:t xml:space="preserve">financial services sectors (insurance, asset management and banking sector) had a slightly different</w:t>
      </w:r>
      <w:r>
        <w:t xml:space="preserve"> </w:t>
      </w:r>
      <w:r>
        <w:t xml:space="preserve">view as regards the benefits of product categories for investors: 42% (11 out of 26) of respondents</w:t>
      </w:r>
      <w:r>
        <w:t xml:space="preserve"> </w:t>
      </w:r>
      <w:r>
        <w:t xml:space="preserve">belonging to or representing the insurance sector totally or mostly agree that a categorisation</w:t>
      </w:r>
      <w:r>
        <w:t xml:space="preserve"> </w:t>
      </w:r>
      <w:r>
        <w:t xml:space="preserve">system would improve understanding among professional investors, compared to 73% (104 out of</w:t>
      </w:r>
      <w:r>
        <w:t xml:space="preserve"> </w:t>
      </w:r>
      <w:r>
        <w:t xml:space="preserve">143) and 76% (13 out of 17) in the asset management and banking sectors, respectively. Similarly,</w:t>
      </w:r>
      <w:r>
        <w:t xml:space="preserve"> </w:t>
      </w:r>
      <w:r>
        <w:t xml:space="preserve">50% (13 out of 26) of the insurance sector respondents believed a categorisation system would help</w:t>
      </w:r>
      <w:r>
        <w:t xml:space="preserve"> </w:t>
      </w:r>
      <w:r>
        <w:t xml:space="preserve">retail investors, compared to 84% (120 out of 143) and 76% (13 out of 17) in the asset management</w:t>
      </w:r>
      <w:r>
        <w:t xml:space="preserve"> </w:t>
      </w:r>
      <w:r>
        <w:t xml:space="preserve">and banking sectors, respectively.</w:t>
      </w:r>
      <w:r>
        <w:br/>
      </w:r>
      <w:r>
        <w:t xml:space="preserve">61% (163 out of 268) of respondents agreed that the SFDR is the appropriate legal instrument to</w:t>
      </w:r>
      <w:r>
        <w:t xml:space="preserve"> </w:t>
      </w:r>
      <w:r>
        <w:t xml:space="preserve">deal with the accuracy and fairness of marketing communications and the use of sustainability</w:t>
      </w:r>
      <w:r>
        <w:t xml:space="preserve"> </w:t>
      </w:r>
      <w:r>
        <w:t xml:space="preserve">related names for financial products, 19% (51 out of 268) disagreed and the remainder were unsure.</w:t>
      </w:r>
      <w:r>
        <w:t xml:space="preserve"> </w:t>
      </w:r>
      <w:r>
        <w:t xml:space="preserve">In addition, 69% (192 out of 279) of respondents totally or mostly agreed that the introduction of</w:t>
      </w:r>
      <w:r>
        <w:t xml:space="preserve"> </w:t>
      </w:r>
      <w:r>
        <w:t xml:space="preserve">product categories should be accompanied by specific rules on how market participants must label</w:t>
      </w:r>
      <w:r>
        <w:t xml:space="preserve"> </w:t>
      </w:r>
      <w:r>
        <w:t xml:space="preserve">and communicate on their products. Several stakeholders raised timing concerns regarding the</w:t>
      </w:r>
      <w:r>
        <w:t xml:space="preserve"> </w:t>
      </w:r>
      <w:r>
        <w:t xml:space="preserve">ESMA guidelines for fund names and the regulatory coherence with a potential new product</w:t>
      </w:r>
      <w:r>
        <w:t xml:space="preserve"> </w:t>
      </w:r>
      <w:r>
        <w:t xml:space="preserve">categorisation system.</w:t>
      </w:r>
      <w:r>
        <w:t xml:space="preserve"> </w:t>
      </w:r>
      <w:r>
        <w:t xml:space="preserve">The consultation asked about two proposed approaches to a potential EU categorisation system:</w:t>
      </w:r>
      <w:r>
        <w:t xml:space="preserve"> </w:t>
      </w:r>
      <w:r>
        <w:t xml:space="preserve">whether such categories should be based on new criteria (not related to existing concepts under the</w:t>
      </w:r>
      <w:r>
        <w:t xml:space="preserve"> </w:t>
      </w:r>
      <w:r>
        <w:t xml:space="preserve">SFDR) (approach 1), or if Articles 8 and 9 should be converted into formal product categories by</w:t>
      </w:r>
      <w:r>
        <w:t xml:space="preserve"> </w:t>
      </w:r>
      <w:r>
        <w:t xml:space="preserve">clarifying and adding criteria to support the already existing concepts (approach 2). Respondents</w:t>
      </w:r>
      <w:r>
        <w:t xml:space="preserve"> </w:t>
      </w:r>
      <w:r>
        <w:t xml:space="preserve">showed no clear preference: results indicated a slight preference for the first approach, with 50%</w:t>
      </w:r>
      <w:r>
        <w:t xml:space="preserve"> </w:t>
      </w:r>
      <w:r>
        <w:t xml:space="preserve">(145 out of 293) of respondents totally or mostly agreeing and 23% (66 out of 293) totally or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mostly disagreeing. The distribution of responses varied among the different types of respondents.</w:t>
      </w:r>
      <w:r>
        <w:t xml:space="preserve"> </w:t>
      </w:r>
      <w:r>
        <w:t xml:space="preserve">Notably, the majority of respondents belonging or representing NCAs and the asset management</w:t>
      </w:r>
      <w:r>
        <w:t xml:space="preserve"> </w:t>
      </w:r>
      <w:r>
        <w:t xml:space="preserve">sector supported the approach 1, while most respondents from the insurance sector strongly</w:t>
      </w:r>
      <w:r>
        <w:t xml:space="preserve"> </w:t>
      </w:r>
      <w:r>
        <w:t xml:space="preserve">disagreed with it and favoured an approach based on existing concepts. The views of respondents</w:t>
      </w:r>
      <w:r>
        <w:t xml:space="preserve"> </w:t>
      </w:r>
      <w:r>
        <w:t xml:space="preserve">representing the banking sector were divided. The majority of respondents in favour of approach 1</w:t>
      </w:r>
      <w:r>
        <w:t xml:space="preserve"> </w:t>
      </w:r>
      <w:r>
        <w:t xml:space="preserve">highlighted the limitations in the current framework and argued that the existing concepts could not</w:t>
      </w:r>
      <w:r>
        <w:t xml:space="preserve"> </w:t>
      </w:r>
      <w:r>
        <w:t xml:space="preserve">cater for, or differentiate between, the wide range of ESG strategies in the market. Many also stated</w:t>
      </w:r>
      <w:r>
        <w:t xml:space="preserve"> </w:t>
      </w:r>
      <w:r>
        <w:t xml:space="preserve">that the current terms were not adequate for retail investors. They also argued that new categories</w:t>
      </w:r>
      <w:r>
        <w:t xml:space="preserve"> </w:t>
      </w:r>
      <w:r>
        <w:t xml:space="preserve">could allow for a potential alignment with other national regimes. Conversely, most respondents in</w:t>
      </w:r>
      <w:r>
        <w:t xml:space="preserve"> </w:t>
      </w:r>
      <w:r>
        <w:t xml:space="preserve">favour of approach 2 argued that the SFDR already provided the necessary elements for</w:t>
      </w:r>
      <w:r>
        <w:t xml:space="preserve"> </w:t>
      </w:r>
      <w:r>
        <w:t xml:space="preserve">sustainability assessments and disclosures and expressed concerns about regulatory stability and the</w:t>
      </w:r>
      <w:r>
        <w:t xml:space="preserve"> </w:t>
      </w:r>
      <w:r>
        <w:t xml:space="preserve">associated costs of switching to a different system, which would be transferred to end-investors.</w:t>
      </w:r>
      <w:r>
        <w:t xml:space="preserve"> </w:t>
      </w:r>
      <w:r>
        <w:t xml:space="preserve">Despite diverging views on the approach to be taken, many respondents indicated that they would</w:t>
      </w:r>
      <w:r>
        <w:t xml:space="preserve"> </w:t>
      </w:r>
      <w:r>
        <w:t xml:space="preserve">support a hybrid approach combining established SFDR concepts with a voluntary categorisation</w:t>
      </w:r>
      <w:r>
        <w:t xml:space="preserve"> </w:t>
      </w:r>
      <w:r>
        <w:t xml:space="preserve">framework. Irrespective of the chosen approach, most respondents emphasised the importance of</w:t>
      </w:r>
      <w:r>
        <w:t xml:space="preserve"> </w:t>
      </w:r>
      <w:r>
        <w:t xml:space="preserve">the categories being focused on retail investors, incorporating international frameworks, and</w:t>
      </w:r>
      <w:r>
        <w:t xml:space="preserve"> </w:t>
      </w:r>
      <w:r>
        <w:t xml:space="preserve">leveraging existing national labels.</w:t>
      </w:r>
      <w:r>
        <w:t xml:space="preserve"> </w:t>
      </w:r>
      <w:r>
        <w:t xml:space="preserve">Although opinions differed on the approach to be taken, commonly agreed principles for the</w:t>
      </w:r>
      <w:r>
        <w:t xml:space="preserve"> </w:t>
      </w:r>
      <w:r>
        <w:t xml:space="preserve">categories and underlying criteria emerged among respondents: (1) Retail investors-focused: A</w:t>
      </w:r>
      <w:r>
        <w:t xml:space="preserve"> </w:t>
      </w:r>
      <w:r>
        <w:t xml:space="preserve">large majority of respondents stressed the importance of categories being easily understandable by</w:t>
      </w:r>
      <w:r>
        <w:t xml:space="preserve"> </w:t>
      </w:r>
      <w:r>
        <w:t xml:space="preserve">retail investors. They called for simple and comparable disclosures to help retail investors grasp the</w:t>
      </w:r>
      <w:r>
        <w:t xml:space="preserve"> </w:t>
      </w:r>
      <w:r>
        <w:t xml:space="preserve">products’ investment goals, strategies used to achieve them, and ESG performance monitoring. (2)</w:t>
      </w:r>
      <w:r>
        <w:t xml:space="preserve"> </w:t>
      </w:r>
      <w:r>
        <w:t xml:space="preserve">International dimension: While acknowledging that full alignment with third countries’</w:t>
      </w:r>
      <w:r>
        <w:t xml:space="preserve"> </w:t>
      </w:r>
      <w:r>
        <w:t xml:space="preserve">categorisation systems may not be feasible, most respondents urged the European approach to allow</w:t>
      </w:r>
      <w:r>
        <w:t xml:space="preserve"> </w:t>
      </w:r>
      <w:r>
        <w:t xml:space="preserve">for international applicability. (3) Integrating the concept of transition finance: There is</w:t>
      </w:r>
      <w:r>
        <w:t xml:space="preserve"> </w:t>
      </w:r>
      <w:r>
        <w:t xml:space="preserve">overwhelming support (72% of respondents) for creating a specific category for products with a</w:t>
      </w:r>
      <w:r>
        <w:t xml:space="preserve"> </w:t>
      </w:r>
      <w:r>
        <w:t xml:space="preserve">transition focus, aiming to improve the sustainability profile of the assets they invest in. (4) Asset-</w:t>
      </w:r>
      <w:r>
        <w:t xml:space="preserve"> </w:t>
      </w:r>
      <w:r>
        <w:t xml:space="preserve">neutral criteria: Respondents highlighted the need for underlying criteria to be asset-neutral and</w:t>
      </w:r>
      <w:r>
        <w:t xml:space="preserve"> </w:t>
      </w:r>
      <w:r>
        <w:t xml:space="preserve">applicable to all types of financial products.</w:t>
      </w:r>
      <w:r>
        <w:t xml:space="preserve"> </w:t>
      </w:r>
      <w:r>
        <w:t xml:space="preserve">The Platform also advocated in its first Briefing in December 2023 for the introduction of a</w:t>
      </w:r>
      <w:r>
        <w:t xml:space="preserve"> </w:t>
      </w:r>
      <w:r>
        <w:t xml:space="preserve">common categorisation scheme to address the existing fragmentation and confusion in the</w:t>
      </w:r>
      <w:r>
        <w:t xml:space="preserve"> </w:t>
      </w:r>
      <w:r>
        <w:t xml:space="preserve">European market. The Platform suggested that such categorisation:</w:t>
      </w:r>
      <w:r>
        <w:br/>
      </w:r>
      <w:r>
        <w:t xml:space="preserve"> Should be structured in such a way to be easily understood by retail investors and used to</w:t>
      </w:r>
      <w:r>
        <w:t xml:space="preserve"> </w:t>
      </w:r>
      <w:r>
        <w:t xml:space="preserve">address sustainability preferences.</w:t>
      </w:r>
      <w:r>
        <w:br/>
      </w:r>
      <w:r>
        <w:t xml:space="preserve"> Should avoid the impression that one product’s processes are ranked better than another’s</w:t>
      </w:r>
      <w:r>
        <w:t xml:space="preserve"> </w:t>
      </w:r>
      <w:r>
        <w:t xml:space="preserve">(e.g. </w:t>
      </w:r>
      <w:r>
        <w:t xml:space="preserve">‘best in class’ better than ’engagement’</w:t>
      </w:r>
      <w:r>
        <w:t xml:space="preserve"> </w:t>
      </w:r>
      <w:r>
        <w:t xml:space="preserve">or vice versa), whereas a ranking according to</w:t>
      </w:r>
      <w:r>
        <w:t xml:space="preserve"> </w:t>
      </w:r>
      <w:r>
        <w:t xml:space="preserve">the extent of transparency (e.g. Article 9 or 8) appeared suitable from a precautionary</w:t>
      </w:r>
      <w:r>
        <w:t xml:space="preserve"> </w:t>
      </w:r>
      <w:r>
        <w:t xml:space="preserve">principle perspective.</w:t>
      </w:r>
      <w:r>
        <w:t xml:space="preserve"> </w:t>
      </w:r>
      <w:r>
        <w:t xml:space="preserve"> Should only be based on a thorough analysis of the intended use, how to ensure clarity of</w:t>
      </w:r>
      <w:r>
        <w:t xml:space="preserve"> </w:t>
      </w:r>
      <w:r>
        <w:t xml:space="preserve">categorisation, proper evaluation of the impact of such categorisation as well as an analysis</w:t>
      </w:r>
      <w:r>
        <w:t xml:space="preserve"> </w:t>
      </w:r>
      <w:r>
        <w:t xml:space="preserve">whether it should be mandatory or optional. In addition, it should be analysed whether the</w:t>
      </w:r>
      <w:r>
        <w:t xml:space="preserve"> </w:t>
      </w:r>
      <w:r>
        <w:t xml:space="preserve">categorisation should be based on committed elements or actual elements of a product.</w:t>
      </w:r>
      <w:r>
        <w:t xml:space="preserve"> </w:t>
      </w:r>
      <w:r>
        <w:t xml:space="preserve">The ESAs, in their joint Opinion, made some recommendations to the Commission regarding the</w:t>
      </w:r>
      <w:r>
        <w:t xml:space="preserve"> </w:t>
      </w:r>
      <w:r>
        <w:t xml:space="preserve">potential categorisation of financial products. In this vein, the Commission could consider the</w:t>
      </w:r>
      <w:r>
        <w:t xml:space="preserve"> </w:t>
      </w:r>
      <w:r>
        <w:t xml:space="preserve">introduction of a product classification system based on regulatory categories and/or sustainability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indicator(s)203 to help consumers navigate the broad selection of sustainable products and support</w:t>
      </w:r>
      <w:r>
        <w:t xml:space="preserve"> </w:t>
      </w:r>
      <w:r>
        <w:t xml:space="preserve">the full transition to sustainable finance. The categories should be simple with clear objective</w:t>
      </w:r>
      <w:r>
        <w:t xml:space="preserve"> </w:t>
      </w:r>
      <w:r>
        <w:t xml:space="preserve">criteria or thresholds to identify which category the product falls into. The ESAs encouraged, at</w:t>
      </w:r>
      <w:r>
        <w:t xml:space="preserve"> </w:t>
      </w:r>
      <w:r>
        <w:t xml:space="preserve">least, categories of ‘sustainability’ and ‘transition’. The options for product categorisation and /or</w:t>
      </w:r>
      <w:r>
        <w:t xml:space="preserve"> </w:t>
      </w:r>
      <w:r>
        <w:t xml:space="preserve">sustainability indicator(s) should be consumer tested and consulted on. With clear product</w:t>
      </w:r>
      <w:r>
        <w:t xml:space="preserve"> </w:t>
      </w:r>
      <w:r>
        <w:t xml:space="preserve">categories and/or sustainability indicator(s), sustainability disclosures would not need to be as</w:t>
      </w:r>
      <w:r>
        <w:t xml:space="preserve"> </w:t>
      </w:r>
      <w:r>
        <w:t xml:space="preserve">detailed and extensive.</w:t>
      </w:r>
      <w:r>
        <w:t xml:space="preserve"> </w:t>
      </w:r>
      <w:r>
        <w:t xml:space="preserve">In the Study requested by the ECON Committee, the authors concur that product names, categories</w:t>
      </w:r>
      <w:r>
        <w:t xml:space="preserve"> </w:t>
      </w:r>
      <w:r>
        <w:t xml:space="preserve">or “labels” are useful. However, they believe that article 8 and article 9 should not be transformed</w:t>
      </w:r>
      <w:r>
        <w:t xml:space="preserve"> </w:t>
      </w:r>
      <w:r>
        <w:t xml:space="preserve">into categories, as they are too complex and unintuitive for investors. Instead, a new system, with</w:t>
      </w:r>
      <w:r>
        <w:t xml:space="preserve"> </w:t>
      </w:r>
      <w:r>
        <w:t xml:space="preserve">new categories should be established. In light of investor preferences, market structure, and policy</w:t>
      </w:r>
      <w:r>
        <w:t xml:space="preserve"> </w:t>
      </w:r>
      <w:r>
        <w:t xml:space="preserve">priorities, they consider that the new categories should include “impact” products and “transition”</w:t>
      </w:r>
      <w:r>
        <w:t xml:space="preserve"> </w:t>
      </w:r>
      <w:r>
        <w:t xml:space="preserve">(in the sense of transition facilitating) products. The inclusion of “transition” products would make</w:t>
      </w:r>
      <w:r>
        <w:t xml:space="preserve"> </w:t>
      </w:r>
      <w:r>
        <w:t xml:space="preserve">it possible for investors to choose products that, while not making investments that are sustainable,</w:t>
      </w:r>
      <w:r>
        <w:t xml:space="preserve"> </w:t>
      </w:r>
      <w:r>
        <w:t xml:space="preserve">have a clear aim to bring measurable improvements to the sustainability profile of the assets</w:t>
      </w:r>
      <w:r>
        <w:t xml:space="preserve"> </w:t>
      </w:r>
      <w:r>
        <w:t xml:space="preserve">invested in. Furthermore, a “sustainable” products category, though promising would need more</w:t>
      </w:r>
      <w:r>
        <w:t xml:space="preserve"> </w:t>
      </w:r>
      <w:r>
        <w:t xml:space="preserve">precision. Clearer product categories would make the information more usable for investors,</w:t>
      </w:r>
      <w:r>
        <w:t xml:space="preserve"> </w:t>
      </w:r>
      <w:r>
        <w:t xml:space="preserve">helping with both “greenwashing” and “green bleaching”, under certain conditions. First, all these</w:t>
      </w:r>
      <w:r>
        <w:t xml:space="preserve"> </w:t>
      </w:r>
      <w:r>
        <w:t xml:space="preserve">categories should be based on consumer testing, both beforehand and ex post, to ensure that the</w:t>
      </w:r>
      <w:r>
        <w:t xml:space="preserve"> </w:t>
      </w:r>
      <w:r>
        <w:t xml:space="preserve">categories work as intended. Second, products “names” need to be considered together with</w:t>
      </w:r>
      <w:r>
        <w:t xml:space="preserve"> </w:t>
      </w:r>
      <w:r>
        <w:t xml:space="preserve">mechanisms that ensure measurability and accountability. Third, there should be more emphasis on</w:t>
      </w:r>
      <w:r>
        <w:t xml:space="preserve"> </w:t>
      </w:r>
      <w:r>
        <w:t xml:space="preserve">market analysis, to ensure that the categories encompass a sufficiently large part of the market, and</w:t>
      </w:r>
      <w:r>
        <w:t xml:space="preserve"> </w:t>
      </w:r>
      <w:r>
        <w:t xml:space="preserve">to track whether they help FMPs improve their sustainability features.</w:t>
      </w:r>
      <w:r>
        <w:t xml:space="preserve"> </w:t>
      </w:r>
      <w:r>
        <w:t xml:space="preserve">The Platform on Sustainable Finance (PSF), in its second Briefing presented in December 2024,</w:t>
      </w:r>
      <w:r>
        <w:t xml:space="preserve"> </w:t>
      </w:r>
      <w:r>
        <w:t xml:space="preserve">strongly supported establishing a categorisation scheme that benefitted retail investors, and which</w:t>
      </w:r>
      <w:r>
        <w:t xml:space="preserve"> </w:t>
      </w:r>
      <w:r>
        <w:t xml:space="preserve">would be usable for all investors. The proposal took consideration of the need for a smooth</w:t>
      </w:r>
      <w:r>
        <w:t xml:space="preserve"> </w:t>
      </w:r>
      <w:r>
        <w:t xml:space="preserve">transition from the existing disclosure regime. The Platform recommended categorising products</w:t>
      </w:r>
      <w:r>
        <w:t xml:space="preserve"> </w:t>
      </w:r>
      <w:r>
        <w:t xml:space="preserve">with the following sustainability strategies:</w:t>
      </w:r>
      <w:r>
        <w:br/>
      </w:r>
      <w:r>
        <w:t xml:space="preserve"> Sustainable: Contributions through Taxonomy-aligned Investments or Sustainable</w:t>
      </w:r>
      <w:r>
        <w:t xml:space="preserve"> </w:t>
      </w:r>
      <w:r>
        <w:t xml:space="preserve">Investments with no significant harmful activities, or assets based on a more concise</w:t>
      </w:r>
      <w:r>
        <w:t xml:space="preserve"> </w:t>
      </w:r>
      <w:r>
        <w:t xml:space="preserve">definition consistent with the EU Taxonomy.</w:t>
      </w:r>
      <w:r>
        <w:t xml:space="preserve"> </w:t>
      </w:r>
      <w:r>
        <w:t xml:space="preserve"> Transition: Investments or portfolios supporting the transition to net zero and a sustainable</w:t>
      </w:r>
      <w:r>
        <w:t xml:space="preserve"> </w:t>
      </w:r>
      <w:r>
        <w:t xml:space="preserve">economy, avoiding carbon lock-ins, in line with the European Commission’s</w:t>
      </w:r>
      <w:r>
        <w:t xml:space="preserve"> </w:t>
      </w:r>
      <w:r>
        <w:t xml:space="preserve">recommendations on facilitating finance for the transition to a sustainable economy.</w:t>
      </w:r>
      <w:r>
        <w:br/>
      </w:r>
      <w:r>
        <w:t xml:space="preserve"> ESG collection: Excluding significantly harmful investments/activities, investing in assets</w:t>
      </w:r>
      <w:r>
        <w:t xml:space="preserve"> </w:t>
      </w:r>
      <w:r>
        <w:t xml:space="preserve">with better environmental and/or social criteria or applying various sustainability features.</w:t>
      </w:r>
      <w:r>
        <w:br/>
      </w:r>
      <w:r>
        <w:t xml:space="preserve">All other products would be identified as unclassified products.</w:t>
      </w:r>
      <w:r>
        <w:br/>
      </w:r>
      <w:r>
        <w:t xml:space="preserve">The PSF argued that the proposal, to be effective, requires aligning sustainability preferences with</w:t>
      </w:r>
      <w:r>
        <w:t xml:space="preserve"> </w:t>
      </w:r>
      <w:r>
        <w:t xml:space="preserve">the categories. Investors and advisors should easily identify the products that match sustainability</w:t>
      </w:r>
      <w:r>
        <w:t xml:space="preserve"> </w:t>
      </w:r>
      <w:r>
        <w:t xml:space="preserve">preferences, supported by mandatory disclosures that facilitate the alignment. The categorisation of</w:t>
      </w:r>
      <w:r>
        <w:t xml:space="preserve"> </w:t>
      </w:r>
      <w:r>
        <w:t xml:space="preserve">products should reflect the sustainability strategy employed in constructing each financial product.</w:t>
      </w:r>
      <w:r>
        <w:t xml:space="preserve"> </w:t>
      </w:r>
      <w:r>
        <w:t xml:space="preserve">The Platform recommended evaluating whether the scope of the categorisation should go beyond</w:t>
      </w:r>
      <w:r>
        <w:t xml:space="preserve"> </w:t>
      </w:r>
      <w:r>
        <w:t xml:space="preserve">the current SFDR, considering whether all products and services under sustainability preferences in</w:t>
      </w:r>
    </w:p>
    <w:p>
      <w:pPr>
        <w:pStyle w:val="BodyText"/>
      </w:pPr>
      <w:r>
        <w:t xml:space="preserve">203 A sustainability indicator could refer to environmental sustainability, social sustainability or both, illustrating to</w:t>
      </w:r>
      <w:r>
        <w:t xml:space="preserve"> </w:t>
      </w:r>
      <w:r>
        <w:t xml:space="preserve">investors the sustainability features of a product in a scale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IDD/MiFID should be categorised. Furthermore, the Platform recommended to develop a common</w:t>
      </w:r>
      <w:r>
        <w:t xml:space="preserve"> </w:t>
      </w:r>
      <w:r>
        <w:t xml:space="preserve">understanding on impact investing in the EU sustainable finance framework and how it relates to</w:t>
      </w:r>
      <w:r>
        <w:t xml:space="preserve"> </w:t>
      </w:r>
      <w:r>
        <w:t xml:space="preserve">the EU Taxonomy (Taxonomy) and, subsequently, determine how to integrate it in the</w:t>
      </w:r>
      <w:r>
        <w:t xml:space="preserve"> </w:t>
      </w:r>
      <w:r>
        <w:t xml:space="preserve">categorisation scheme.</w:t>
      </w:r>
      <w:r>
        <w:br/>
      </w:r>
      <w:r>
        <w:t xml:space="preserve">The categorisation scheme should be grounded in the sustainability strategy of the financial product</w:t>
      </w:r>
      <w:r>
        <w:t xml:space="preserve"> </w:t>
      </w:r>
      <w:r>
        <w:t xml:space="preserve">and align with an investor’s values or impact objectives. Investors’ sustainability values should be</w:t>
      </w:r>
      <w:r>
        <w:t xml:space="preserve"> </w:t>
      </w:r>
      <w:r>
        <w:t xml:space="preserve">identified through their preferences, enabling a clear match with available products. Pre-contractual</w:t>
      </w:r>
      <w:r>
        <w:t xml:space="preserve"> </w:t>
      </w:r>
      <w:r>
        <w:t xml:space="preserve">product disclosures would assist in identifying suitable options, while regular reporting should keep</w:t>
      </w:r>
      <w:r>
        <w:t xml:space="preserve"> </w:t>
      </w:r>
      <w:r>
        <w:t xml:space="preserve">investors informed about the sustainability performance of their chosen products. All types of</w:t>
      </w:r>
      <w:r>
        <w:t xml:space="preserve"> </w:t>
      </w:r>
      <w:r>
        <w:t xml:space="preserve">products and services relevant for IDD/MiFID sustainability preferences should be able to be</w:t>
      </w:r>
      <w:r>
        <w:t xml:space="preserve"> </w:t>
      </w:r>
      <w:r>
        <w:t xml:space="preserve">classified within the scheme. Furthermore, investment options that today do not fall under SFDR</w:t>
      </w:r>
      <w:r>
        <w:t xml:space="preserve"> </w:t>
      </w:r>
      <w:r>
        <w:t xml:space="preserve">should be able to demonstrate that they fulfil the category criteria and are then classified</w:t>
      </w:r>
      <w:r>
        <w:t xml:space="preserve"> </w:t>
      </w:r>
      <w:r>
        <w:t xml:space="preserve">accordingly.</w:t>
      </w:r>
      <w:r>
        <w:t xml:space="preserve"> </w:t>
      </w:r>
      <w:r>
        <w:t xml:space="preserve">Categories should have precise minimum criteria, clearly defined objectives, and measurable KPIs.</w:t>
      </w:r>
      <w:r>
        <w:t xml:space="preserve"> </w:t>
      </w:r>
      <w:r>
        <w:t xml:space="preserve">Products within these categories should measure and disclose their sustainability performance.</w:t>
      </w:r>
      <w:r>
        <w:br/>
      </w:r>
      <w:r>
        <w:t xml:space="preserve">The PSF argued that the categorisation scheme proposed addressed SFDR disclosure issues such as</w:t>
      </w:r>
      <w:r>
        <w:t xml:space="preserve"> </w:t>
      </w:r>
      <w:r>
        <w:t xml:space="preserve">the challenges related to inappropriate use of SFDR disclosure requirements. It aims at mitigating</w:t>
      </w:r>
      <w:r>
        <w:t xml:space="preserve"> </w:t>
      </w:r>
      <w:r>
        <w:t xml:space="preserve">fragmentation due to varying national labelling regimes and different interpretations by National</w:t>
      </w:r>
      <w:r>
        <w:t xml:space="preserve"> </w:t>
      </w:r>
      <w:r>
        <w:t xml:space="preserve">Competent Authorities (NCAs), auditors, and lawyers. The scheme should facilitate investment</w:t>
      </w:r>
      <w:r>
        <w:t xml:space="preserve"> </w:t>
      </w:r>
      <w:r>
        <w:t xml:space="preserve">flows and sustainable economic growth by preventing fragmentation, which affects the passporting</w:t>
      </w:r>
      <w:r>
        <w:t xml:space="preserve"> </w:t>
      </w:r>
      <w:r>
        <w:t xml:space="preserve">regime for investment products.</w:t>
      </w:r>
      <w:r>
        <w:br/>
      </w:r>
      <w:r>
        <w:t xml:space="preserve">The PSF acknowledged that the proposal remained high-level, but it should serve as a basis from</w:t>
      </w:r>
      <w:r>
        <w:t xml:space="preserve"> </w:t>
      </w:r>
      <w:r>
        <w:t xml:space="preserve">which to build a complete and detailed categorisation scheme. The proposal requires further</w:t>
      </w:r>
      <w:r>
        <w:t xml:space="preserve"> </w:t>
      </w:r>
      <w:r>
        <w:t xml:space="preserve">development to define or refine thresholds based on real world testing.</w:t>
      </w:r>
      <w:r>
        <w:t xml:space="preserve"> </w:t>
      </w:r>
      <w:r>
        <w:t xml:space="preserve">The call for evidence confirmed a very large support for creating categories. Most respondents</w:t>
      </w:r>
      <w:r>
        <w:t xml:space="preserve"> </w:t>
      </w:r>
      <w:r>
        <w:t xml:space="preserve">expressed support for creating 3 categories (sustainable, transition, and other ESG), while a small</w:t>
      </w:r>
      <w:r>
        <w:t xml:space="preserve"> </w:t>
      </w:r>
      <w:r>
        <w:t xml:space="preserve">minority preferred 2 categories (sustainable and transition). A small portion of stakeholders also</w:t>
      </w:r>
      <w:r>
        <w:t xml:space="preserve"> </w:t>
      </w:r>
      <w:r>
        <w:t xml:space="preserve">expressed interest for a standalone impact category, while acknowledging that impact products</w:t>
      </w:r>
      <w:r>
        <w:t xml:space="preserve"> </w:t>
      </w:r>
      <w:r>
        <w:t xml:space="preserve">could also fall under the sustainable or transition category and disclose how they conduct impact</w:t>
      </w:r>
      <w:r>
        <w:t xml:space="preserve"> </w:t>
      </w:r>
      <w:r>
        <w:t xml:space="preserve">investing.</w:t>
      </w:r>
      <w:r>
        <w:br/>
      </w:r>
      <w:r>
        <w:t xml:space="preserve">The responses to the call for evidence also showed a general agreement regarding the need to align</w:t>
      </w:r>
      <w:r>
        <w:t xml:space="preserve"> </w:t>
      </w:r>
      <w:r>
        <w:t xml:space="preserve">the criteria with the ESMA guidelines (i.e. the PAB and CTB exclusions). Many have also urged</w:t>
      </w:r>
      <w:r>
        <w:t xml:space="preserve"> </w:t>
      </w:r>
      <w:r>
        <w:t xml:space="preserve">the Commission to ensure that the criteria will be adapted to all types of asset classes, while</w:t>
      </w:r>
      <w:r>
        <w:t xml:space="preserve"> </w:t>
      </w:r>
      <w:r>
        <w:t xml:space="preserve">underlying that certain assets classes (such as derivatives, real estates and sovereigns) and facing</w:t>
      </w:r>
      <w:r>
        <w:t xml:space="preserve"> </w:t>
      </w:r>
      <w:r>
        <w:t xml:space="preserve">considering challenges under the current rules. Stakeholders from the insurance and pension sectors</w:t>
      </w:r>
      <w:r>
        <w:t xml:space="preserve"> </w:t>
      </w:r>
      <w:r>
        <w:t xml:space="preserve">have urged to ensure that the criteria would fit their sectoral specificities.</w:t>
      </w:r>
      <w:r>
        <w:br/>
      </w:r>
      <w:r>
        <w:t xml:space="preserve">Finally, a majority of respondents called for due consideration of the changes expected under the</w:t>
      </w:r>
      <w:r>
        <w:t xml:space="preserve"> </w:t>
      </w:r>
      <w:r>
        <w:t xml:space="preserve">omnibus proposals, and the need to reflect potential categories in product distribution rules namely</w:t>
      </w:r>
      <w:r>
        <w:t xml:space="preserve"> </w:t>
      </w:r>
      <w:r>
        <w:t xml:space="preserve">under MiFID and IDD.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</w:p>
    <w:p>
      <w:pPr>
        <w:pStyle w:val="BodyText"/>
      </w:pPr>
      <w:r>
        <w:t xml:space="preserve">This initiative addresses the following problem drivers identified in the evaluation and problem</w:t>
      </w:r>
      <w:r>
        <w:t xml:space="preserve"> </w:t>
      </w:r>
      <w:r>
        <w:t xml:space="preserve">definition:</w:t>
      </w:r>
      <w:r>
        <w:br/>
      </w:r>
      <w:r>
        <w:t xml:space="preserve"> Unclear lengthy and complex disclosure requirements and ESG concepts</w:t>
      </w:r>
      <w:r>
        <w:t xml:space="preserve"> </w:t>
      </w:r>
      <w:r>
        <w:t xml:space="preserve"> Misalignments and duplication with other sustainable finance rules</w:t>
      </w:r>
      <w:r>
        <w:t xml:space="preserve"> </w:t>
      </w:r>
      <w:r>
        <w:t xml:space="preserve"> Lack of ESG data and insufficient guidance of estimations</w:t>
      </w:r>
      <w:r>
        <w:t xml:space="preserve"> </w:t>
      </w:r>
      <w:r>
        <w:t xml:space="preserve"> Disclosure articles (Art. 8 and 9) used as categorisation while not being fit for that purpose</w:t>
      </w:r>
      <w:r>
        <w:t xml:space="preserve"> </w:t>
      </w:r>
      <w:r>
        <w:t xml:space="preserve">It intends to address those problems by the following combination of preferred options:</w:t>
      </w:r>
      <w:r>
        <w:br/>
      </w:r>
      <w:r>
        <w:t xml:space="preserve"> Option 1.2: Deletion of entity-level disclosures</w:t>
      </w:r>
      <w:r>
        <w:t xml:space="preserve"> </w:t>
      </w:r>
      <w:r>
        <w:t xml:space="preserve"> Option 2.2: Significantly reduce product-level disclosures</w:t>
      </w:r>
      <w:r>
        <w:t xml:space="preserve"> </w:t>
      </w:r>
      <w:r>
        <w:t xml:space="preserve"> Option 3.1: introduction of categorisation system with 3 categories (sustainable, transition</w:t>
      </w:r>
      <w:r>
        <w:t xml:space="preserve"> </w:t>
      </w:r>
      <w:r>
        <w:t xml:space="preserve">and other ESG).</w:t>
      </w:r>
      <w:r>
        <w:t xml:space="preserve"> </w:t>
      </w:r>
      <w:r>
        <w:t xml:space="preserve">This initiative will have impacts on the following groups of stakeholders:</w:t>
      </w:r>
      <w:r>
        <w:br/>
      </w:r>
      <w:r>
        <w:t xml:space="preserve"> Financial market participants (including SMEs): are bearing the cost of implementing the</w:t>
      </w:r>
      <w:r>
        <w:t xml:space="preserve"> </w:t>
      </w:r>
      <w:r>
        <w:t xml:space="preserve">SFDR as well as potential future policy options to further develop the SFDR framework. A</w:t>
      </w:r>
      <w:r>
        <w:t xml:space="preserve"> </w:t>
      </w:r>
      <w:r>
        <w:t xml:space="preserve">significant share of financial market participants are SMEs.</w:t>
      </w:r>
      <w:r>
        <w:t xml:space="preserve"> </w:t>
      </w:r>
      <w:r>
        <w:t xml:space="preserve"> Non-financial businesses: can benefit from the SFDR provisions if they are performing</w:t>
      </w:r>
      <w:r>
        <w:t xml:space="preserve"> </w:t>
      </w:r>
      <w:r>
        <w:t xml:space="preserve">activities that are classified as sustainable or not harmful from an environmental, social or</w:t>
      </w:r>
      <w:r>
        <w:t xml:space="preserve"> </w:t>
      </w:r>
      <w:r>
        <w:t xml:space="preserve">governance perspective and can have easier access to finance by disclosing sustainability</w:t>
      </w:r>
      <w:r>
        <w:t xml:space="preserve"> </w:t>
      </w:r>
      <w:r>
        <w:t xml:space="preserve">information.</w:t>
      </w:r>
      <w:r>
        <w:t xml:space="preserve"> </w:t>
      </w:r>
      <w:r>
        <w:t xml:space="preserve"> Citizens: Would benefit from the SFDR revision by receiving in the future sustainability</w:t>
      </w:r>
      <w:r>
        <w:t xml:space="preserve"> </w:t>
      </w:r>
      <w:r>
        <w:t xml:space="preserve">information for financial products in a simpler format giving higher transparency, a clearer</w:t>
      </w:r>
      <w:r>
        <w:t xml:space="preserve"> </w:t>
      </w:r>
      <w:r>
        <w:t xml:space="preserve">and more visible differentiation and assuring minimum quality standards by introducing</w:t>
      </w:r>
      <w:r>
        <w:t xml:space="preserve"> </w:t>
      </w:r>
      <w:r>
        <w:t xml:space="preserve">safeguards that should mitigate greenwashing risks, increase trust and confidence in such</w:t>
      </w:r>
      <w:r>
        <w:t xml:space="preserve"> </w:t>
      </w:r>
      <w:r>
        <w:t xml:space="preserve">products.</w:t>
      </w:r>
      <w:r>
        <w:t xml:space="preserve"> </w:t>
      </w:r>
      <w:r>
        <w:t xml:space="preserve"> Public administrations will have one-off efforts to familiarise themselves with the updated</w:t>
      </w:r>
      <w:r>
        <w:t xml:space="preserve"> </w:t>
      </w:r>
      <w:r>
        <w:t xml:space="preserve">SFDR rules. These largely follow market practices in the wake of the ESMA guidelines and</w:t>
      </w:r>
      <w:r>
        <w:t xml:space="preserve"> </w:t>
      </w:r>
      <w:r>
        <w:t xml:space="preserve">are they are expected to benefit in the long-term from clearer rules and simpler disclosures.</w:t>
      </w:r>
    </w:p>
    <w:p>
      <w:pPr>
        <w:pStyle w:val="BodyText"/>
      </w:pPr>
      <w:r>
        <w:t xml:space="preserve">84</w:t>
      </w:r>
    </w:p>
    <w:p>
      <w:pPr>
        <w:pStyle w:val="Compact"/>
        <w:numPr>
          <w:ilvl w:val="0"/>
          <w:numId w:val="1013"/>
        </w:numPr>
      </w:pPr>
      <w:r>
        <w:t xml:space="preserve">Summary of costs and benefits</w:t>
      </w:r>
    </w:p>
    <w:p>
      <w:pPr>
        <w:pStyle w:val="FirstParagraph"/>
      </w:pPr>
      <w:r>
        <w:t xml:space="preserve">Table 1: Overview of costs and benefits identified in the evaluation</w:t>
      </w:r>
      <w:r>
        <w:t xml:space="preserve"> </w:t>
      </w:r>
      <w:r>
        <w:t xml:space="preserve">Measure</w:t>
      </w:r>
      <w:r>
        <w:t xml:space="preserve"> </w:t>
      </w:r>
      <w:r>
        <w:t xml:space="preserve">BR Type</w:t>
      </w:r>
      <w:r>
        <w:t xml:space="preserve"> </w:t>
      </w:r>
      <w:r>
        <w:t xml:space="preserve">of cost or</w:t>
      </w:r>
      <w:r>
        <w:t xml:space="preserve"> </w:t>
      </w:r>
      <w:r>
        <w:t xml:space="preserve">benefit*</w:t>
      </w:r>
      <w:r>
        <w:t xml:space="preserve"> </w:t>
      </w:r>
      <w:r>
        <w:t xml:space="preserve">Group</w:t>
      </w:r>
      <w:r>
        <w:t xml:space="preserve"> </w:t>
      </w:r>
      <w:r>
        <w:t xml:space="preserve">Affected**</w:t>
      </w:r>
      <w:r>
        <w:t xml:space="preserve"> </w:t>
      </w:r>
      <w:r>
        <w:t xml:space="preserve">Frequency</w:t>
      </w:r>
      <w:r>
        <w:t xml:space="preserve"> </w:t>
      </w:r>
      <w:r>
        <w:t xml:space="preserve">Amount</w:t>
      </w:r>
      <w:r>
        <w:t xml:space="preserve"> </w:t>
      </w:r>
      <w:r>
        <w:t xml:space="preserve">Description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publish</w:t>
      </w:r>
      <w:r>
        <w:t xml:space="preserve"> </w:t>
      </w:r>
      <w:r>
        <w:t xml:space="preserve">entity</w:t>
      </w:r>
      <w:r>
        <w:t xml:space="preserve"> </w:t>
      </w:r>
      <w:r>
        <w:t xml:space="preserve">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Citizens</w:t>
      </w:r>
      <w:r>
        <w:t xml:space="preserve"> </w:t>
      </w:r>
      <w:r>
        <w:t xml:space="preserve">that are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  <w:r>
        <w:t xml:space="preserve"> </w:t>
      </w:r>
      <w:r>
        <w:t xml:space="preserve">acting as</w:t>
      </w:r>
      <w:r>
        <w:t xml:space="preserve"> </w:t>
      </w:r>
      <w:r>
        <w:t xml:space="preserve">professional</w:t>
      </w:r>
      <w:r>
        <w:t xml:space="preserve"> </w:t>
      </w:r>
      <w:r>
        <w:t xml:space="preserve">investors</w:t>
      </w:r>
      <w:r>
        <w:t xml:space="preserve"> </w:t>
      </w:r>
      <w:r>
        <w:t xml:space="preserve">Recurrent</w:t>
      </w:r>
      <w:r>
        <w:t xml:space="preserve"> </w:t>
      </w:r>
      <w:r>
        <w:t xml:space="preserve">qualitative</w:t>
      </w:r>
      <w:r>
        <w:t xml:space="preserve"> </w:t>
      </w:r>
      <w:r>
        <w:t xml:space="preserve">Entity-level disclosures of FMPs provide</w:t>
      </w:r>
      <w:r>
        <w:t xml:space="preserve"> </w:t>
      </w:r>
      <w:r>
        <w:t xml:space="preserve">information on their policies on integrating</w:t>
      </w:r>
      <w:r>
        <w:t xml:space="preserve"> </w:t>
      </w:r>
      <w:r>
        <w:t xml:space="preserve">sustainability risks, how they consider principal</w:t>
      </w:r>
      <w:r>
        <w:t xml:space="preserve"> </w:t>
      </w:r>
      <w:r>
        <w:t xml:space="preserve">adverse impacts on sustainability factors, and</w:t>
      </w:r>
      <w:r>
        <w:t xml:space="preserve"> </w:t>
      </w:r>
      <w:r>
        <w:t xml:space="preserve">how their remuneration policies align with</w:t>
      </w:r>
      <w:r>
        <w:t xml:space="preserve"> </w:t>
      </w:r>
      <w:r>
        <w:t xml:space="preserve">sustainability objectives. This can help investors</w:t>
      </w:r>
      <w:r>
        <w:t xml:space="preserve"> </w:t>
      </w:r>
      <w:r>
        <w:t xml:space="preserve">to choose products from those FMPs that align</w:t>
      </w:r>
      <w:r>
        <w:t xml:space="preserve"> </w:t>
      </w:r>
      <w:r>
        <w:t xml:space="preserve">best with their sustainability preferences.</w:t>
      </w:r>
      <w:r>
        <w:t xml:space="preserve"> </w:t>
      </w:r>
      <w:r>
        <w:t xml:space="preserve">Professional investors benefit from the ability to</w:t>
      </w:r>
      <w:r>
        <w:t xml:space="preserve"> </w:t>
      </w:r>
      <w:r>
        <w:t xml:space="preserve">perform due diligence and select partners or</w:t>
      </w:r>
      <w:r>
        <w:t xml:space="preserve"> </w:t>
      </w:r>
      <w:r>
        <w:t xml:space="preserve">products that align with their clients’ ESG</w:t>
      </w:r>
      <w:r>
        <w:t xml:space="preserve"> </w:t>
      </w:r>
      <w:r>
        <w:t xml:space="preserve">mandates or their own institutional policies</w:t>
      </w:r>
      <w:r>
        <w:t xml:space="preserve"> </w:t>
      </w:r>
      <w:r>
        <w:t xml:space="preserve">Direct</w:t>
      </w:r>
      <w:r>
        <w:t xml:space="preserve"> </w:t>
      </w:r>
      <w:r>
        <w:t xml:space="preserve">admini-</w:t>
      </w:r>
      <w:r>
        <w:t xml:space="preserve"> </w:t>
      </w:r>
      <w:r>
        <w:t xml:space="preserve">strative</w:t>
      </w:r>
      <w:r>
        <w:t xml:space="preserve"> </w:t>
      </w:r>
      <w:r>
        <w:t xml:space="preserve">costs</w:t>
      </w:r>
      <w:r>
        <w:br/>
      </w:r>
      <w:r>
        <w:t xml:space="preserve">Small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br/>
      </w:r>
      <w:r>
        <w:t xml:space="preserve">€70m</w:t>
      </w:r>
      <w:r>
        <w:t xml:space="preserve"> </w:t>
      </w:r>
      <w:r>
        <w:t xml:space="preserve">Internal Personnel, IT implementation and</w:t>
      </w:r>
      <w:r>
        <w:t xml:space="preserve"> </w:t>
      </w:r>
      <w:r>
        <w:t xml:space="preserve">external</w:t>
      </w:r>
      <w:r>
        <w:t xml:space="preserve"> </w:t>
      </w:r>
      <w:r>
        <w:t xml:space="preserve">advice</w:t>
      </w:r>
      <w:r>
        <w:t xml:space="preserve"> </w:t>
      </w:r>
      <w:r>
        <w:t xml:space="preserve">to</w:t>
      </w:r>
      <w:r>
        <w:t xml:space="preserve"> </w:t>
      </w:r>
      <w:r>
        <w:t xml:space="preserve">familiarise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implement entity-level disclosures</w:t>
      </w:r>
      <w:r>
        <w:t xml:space="preserve"> </w:t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br/>
      </w:r>
      <w:r>
        <w:t xml:space="preserve">€50m</w:t>
      </w:r>
      <w:r>
        <w:t xml:space="preserve"> </w:t>
      </w:r>
      <w:r>
        <w:t xml:space="preserve">Internal Personnel, IT implementation and</w:t>
      </w:r>
      <w:r>
        <w:t xml:space="preserve"> </w:t>
      </w:r>
      <w:r>
        <w:t xml:space="preserve">external</w:t>
      </w:r>
      <w:r>
        <w:t xml:space="preserve"> </w:t>
      </w:r>
      <w:r>
        <w:t xml:space="preserve">advice</w:t>
      </w:r>
      <w:r>
        <w:t xml:space="preserve"> </w:t>
      </w:r>
      <w:r>
        <w:t xml:space="preserve">to</w:t>
      </w:r>
      <w:r>
        <w:t xml:space="preserve"> </w:t>
      </w:r>
      <w:r>
        <w:t xml:space="preserve">familiarise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implement entity-level disclosures</w:t>
      </w:r>
      <w:r>
        <w:t xml:space="preserve"> </w:t>
      </w:r>
      <w:r>
        <w:t xml:space="preserve">Small</w:t>
      </w:r>
      <w:r>
        <w:t xml:space="preserve"> </w:t>
      </w:r>
      <w:r>
        <w:t xml:space="preserve">Businesses</w:t>
      </w:r>
      <w:r>
        <w:t xml:space="preserve"> </w:t>
      </w:r>
      <w:r>
        <w:t xml:space="preserve">Recurrent</w:t>
      </w:r>
      <w:r>
        <w:br/>
      </w:r>
      <w:r>
        <w:t xml:space="preserve">€43m</w:t>
      </w:r>
      <w:r>
        <w:t xml:space="preserve"> </w:t>
      </w:r>
      <w:r>
        <w:t xml:space="preserve">Ongoing annual internal and external cost to</w:t>
      </w:r>
      <w:r>
        <w:t xml:space="preserve"> </w:t>
      </w:r>
      <w:r>
        <w:t xml:space="preserve">maintain entity-level disclosures</w:t>
      </w:r>
      <w:r>
        <w:br/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Recurrent</w:t>
      </w:r>
      <w:r>
        <w:t xml:space="preserve"> </w:t>
      </w:r>
      <w:r>
        <w:t xml:space="preserve">€13m</w:t>
      </w:r>
      <w:r>
        <w:t xml:space="preserve"> </w:t>
      </w:r>
      <w:r>
        <w:t xml:space="preserve">Ongoing annual internal and external cost to</w:t>
      </w:r>
      <w:r>
        <w:t xml:space="preserve"> </w:t>
      </w:r>
      <w:r>
        <w:t xml:space="preserve">maintain entity-level disclosures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publish</w:t>
      </w:r>
      <w:r>
        <w:t xml:space="preserve"> </w:t>
      </w:r>
      <w:r>
        <w:t xml:space="preserve">product 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Citizens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professional</w:t>
      </w:r>
      <w:r>
        <w:t xml:space="preserve"> </w:t>
      </w:r>
      <w:r>
        <w:t xml:space="preserve">investors</w:t>
      </w:r>
      <w:r>
        <w:t xml:space="preserve"> </w:t>
      </w:r>
      <w:r>
        <w:t xml:space="preserve">Recurrent</w:t>
      </w:r>
      <w:r>
        <w:t xml:space="preserve"> </w:t>
      </w:r>
      <w:r>
        <w:t xml:space="preserve">qualitative</w:t>
      </w:r>
      <w:r>
        <w:t xml:space="preserve"> </w:t>
      </w:r>
      <w:r>
        <w:t xml:space="preserve">Product-level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provide</w:t>
      </w:r>
      <w:r>
        <w:t xml:space="preserve"> </w:t>
      </w:r>
      <w:r>
        <w:t xml:space="preserve">detailed,</w:t>
      </w:r>
      <w:r>
        <w:t xml:space="preserve"> </w:t>
      </w:r>
      <w:r>
        <w:t xml:space="preserve">information according to common parameters on</w:t>
      </w:r>
      <w:r>
        <w:t xml:space="preserve"> </w:t>
      </w:r>
      <w:r>
        <w:t xml:space="preserve">how</w:t>
      </w:r>
      <w:r>
        <w:t xml:space="preserve"> </w:t>
      </w:r>
      <w:r>
        <w:t xml:space="preserve">each</w:t>
      </w:r>
      <w:r>
        <w:t xml:space="preserve"> </w:t>
      </w:r>
      <w:r>
        <w:t xml:space="preserve">financial</w:t>
      </w:r>
      <w:r>
        <w:t xml:space="preserve"> </w:t>
      </w:r>
      <w:r>
        <w:t xml:space="preserve">product</w:t>
      </w:r>
      <w:r>
        <w:t xml:space="preserve"> </w:t>
      </w:r>
      <w:r>
        <w:t xml:space="preserve">integrates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risks,</w:t>
      </w:r>
      <w:r>
        <w:t xml:space="preserve"> </w:t>
      </w:r>
      <w:r>
        <w:t xml:space="preserve">considers</w:t>
      </w:r>
      <w:r>
        <w:t xml:space="preserve"> </w:t>
      </w:r>
      <w:r>
        <w:t xml:space="preserve">adverse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impacts,</w:t>
      </w:r>
      <w:r>
        <w:t xml:space="preserve"> </w:t>
      </w:r>
      <w:r>
        <w:t xml:space="preserve">and</w:t>
      </w:r>
      <w:r>
        <w:t xml:space="preserve"> </w:t>
      </w:r>
      <w:r>
        <w:t xml:space="preserve">aligns</w:t>
      </w:r>
      <w:r>
        <w:t xml:space="preserve"> </w:t>
      </w:r>
      <w:r>
        <w:t xml:space="preserve">with</w:t>
      </w:r>
      <w:r>
        <w:t xml:space="preserve"> </w:t>
      </w:r>
      <w:r>
        <w:t xml:space="preserve">environmental or social objectives. Retail</w:t>
      </w:r>
      <w:r>
        <w:t xml:space="preserve"> </w:t>
      </w:r>
      <w:r>
        <w:t xml:space="preserve">investors can use product-level disclosures to</w:t>
      </w:r>
      <w:r>
        <w:t xml:space="preserve"> </w:t>
      </w:r>
      <w:r>
        <w:t xml:space="preserve">match</w:t>
      </w:r>
      <w:r>
        <w:t xml:space="preserve"> </w:t>
      </w:r>
      <w:r>
        <w:t xml:space="preserve">investments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personal</w:t>
      </w:r>
      <w:r>
        <w:t xml:space="preserve"> </w:t>
      </w:r>
      <w:r>
        <w:t xml:space="preserve">sustainability goals, focusing on the specific</w:t>
      </w:r>
      <w:r>
        <w:t xml:space="preserve"> </w:t>
      </w:r>
      <w:r>
        <w:t xml:space="preserve">ESG characteristics or objectives of each</w:t>
      </w:r>
      <w:r>
        <w:t xml:space="preserve"> </w:t>
      </w:r>
      <w:r>
        <w:t xml:space="preserve">product. Professional investors benefit from the</w:t>
      </w:r>
      <w:r>
        <w:t xml:space="preserve"> </w:t>
      </w:r>
      <w:r>
        <w:t xml:space="preserve">granularity of data to conduct due diligence,</w:t>
      </w:r>
      <w:r>
        <w:t xml:space="preserve"> </w:t>
      </w:r>
      <w:r>
        <w:t xml:space="preserve">tailor investment strategies, and meet client</w:t>
      </w:r>
      <w:r>
        <w:t xml:space="preserve"> </w:t>
      </w:r>
      <w:r>
        <w:t xml:space="preserve">mandates. Product-level disclosures provide the</w:t>
      </w:r>
      <w:r>
        <w:t xml:space="preserve"> </w:t>
      </w:r>
      <w:r>
        <w:t xml:space="preserve">most relevant information for investment</w:t>
      </w:r>
      <w:r>
        <w:t xml:space="preserve"> </w:t>
      </w:r>
      <w:r>
        <w:t xml:space="preserve">decisions, as retail investors typically invest in</w:t>
      </w:r>
      <w:r>
        <w:t xml:space="preserve"> </w:t>
      </w:r>
      <w:r>
        <w:t xml:space="preserve">individual products rather than at the entity</w:t>
      </w:r>
      <w:r>
        <w:t xml:space="preserve"> </w:t>
      </w:r>
      <w:r>
        <w:t xml:space="preserve">level. The disclosures include pre-contractual</w:t>
      </w:r>
      <w:r>
        <w:t xml:space="preserve"> </w:t>
      </w:r>
      <w:r>
        <w:t xml:space="preserve">and periodic information, helping investors</w:t>
      </w:r>
      <w:r>
        <w:t xml:space="preserve"> </w:t>
      </w:r>
      <w:r>
        <w:t xml:space="preserve">monitor investments over time.</w:t>
      </w:r>
      <w:r>
        <w:t xml:space="preserve"> </w:t>
      </w:r>
      <w:r>
        <w:t xml:space="preserve">Direct</w:t>
      </w:r>
      <w:r>
        <w:t xml:space="preserve"> </w:t>
      </w:r>
      <w:r>
        <w:t xml:space="preserve">admini-</w:t>
      </w:r>
      <w:r>
        <w:t xml:space="preserve"> </w:t>
      </w:r>
      <w:r>
        <w:t xml:space="preserve">strative</w:t>
      </w:r>
      <w:r>
        <w:t xml:space="preserve"> </w:t>
      </w:r>
      <w:r>
        <w:t xml:space="preserve">costs</w:t>
      </w:r>
      <w:r>
        <w:br/>
      </w:r>
      <w:r>
        <w:t xml:space="preserve">Small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br/>
      </w:r>
      <w:r>
        <w:t xml:space="preserve">€200m</w:t>
      </w:r>
      <w:r>
        <w:t xml:space="preserve"> </w:t>
      </w:r>
      <w:r>
        <w:t xml:space="preserve">Internal Personnel, IT implementation and</w:t>
      </w:r>
      <w:r>
        <w:t xml:space="preserve"> </w:t>
      </w:r>
      <w:r>
        <w:t xml:space="preserve">external</w:t>
      </w:r>
      <w:r>
        <w:t xml:space="preserve"> </w:t>
      </w:r>
      <w:r>
        <w:t xml:space="preserve">advice</w:t>
      </w:r>
      <w:r>
        <w:t xml:space="preserve"> </w:t>
      </w:r>
      <w:r>
        <w:t xml:space="preserve">to</w:t>
      </w:r>
      <w:r>
        <w:t xml:space="preserve"> </w:t>
      </w:r>
      <w:r>
        <w:t xml:space="preserve">familiarise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t xml:space="preserve">implement entity-level disclosures</w:t>
      </w:r>
      <w:r>
        <w:t xml:space="preserve"> </w:t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br/>
      </w:r>
      <w:r>
        <w:t xml:space="preserve">€180m</w:t>
      </w:r>
      <w:r>
        <w:t xml:space="preserve"> </w:t>
      </w:r>
      <w:r>
        <w:t xml:space="preserve">Internal Personnel, IT implementation and</w:t>
      </w:r>
      <w:r>
        <w:t xml:space="preserve"> </w:t>
      </w:r>
      <w:r>
        <w:t xml:space="preserve">external</w:t>
      </w:r>
      <w:r>
        <w:t xml:space="preserve"> </w:t>
      </w:r>
      <w:r>
        <w:t xml:space="preserve">advice</w:t>
      </w:r>
      <w:r>
        <w:t xml:space="preserve"> </w:t>
      </w:r>
      <w:r>
        <w:t xml:space="preserve">to</w:t>
      </w:r>
      <w:r>
        <w:t xml:space="preserve"> </w:t>
      </w:r>
      <w:r>
        <w:t xml:space="preserve">familiarise</w:t>
      </w:r>
      <w:r>
        <w:t xml:space="preserve"> </w:t>
      </w:r>
      <w:r>
        <w:t xml:space="preserve">with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BR Type</w:t>
      </w:r>
      <w:r>
        <w:t xml:space="preserve"> </w:t>
      </w:r>
      <w:r>
        <w:t xml:space="preserve">of cost or</w:t>
      </w:r>
      <w:r>
        <w:t xml:space="preserve"> </w:t>
      </w:r>
      <w:r>
        <w:t xml:space="preserve">benefit*</w:t>
      </w:r>
      <w:r>
        <w:t xml:space="preserve"> </w:t>
      </w:r>
      <w:r>
        <w:t xml:space="preserve">Group</w:t>
      </w:r>
      <w:r>
        <w:t xml:space="preserve"> </w:t>
      </w:r>
      <w:r>
        <w:t xml:space="preserve">Affected**</w:t>
      </w:r>
      <w:r>
        <w:t xml:space="preserve"> </w:t>
      </w:r>
      <w:r>
        <w:t xml:space="preserve">Frequency</w:t>
      </w:r>
      <w:r>
        <w:t xml:space="preserve"> </w:t>
      </w:r>
      <w:r>
        <w:t xml:space="preserve">Amount</w:t>
      </w:r>
      <w:r>
        <w:t xml:space="preserve"> </w:t>
      </w:r>
      <w:r>
        <w:t xml:space="preserve">Description</w:t>
      </w:r>
      <w:r>
        <w:t xml:space="preserve"> </w:t>
      </w:r>
      <w:r>
        <w:t xml:space="preserve">implement entity-level disclosures</w:t>
      </w:r>
      <w:r>
        <w:t xml:space="preserve"> </w:t>
      </w:r>
      <w:r>
        <w:t xml:space="preserve">Small</w:t>
      </w:r>
      <w:r>
        <w:t xml:space="preserve"> </w:t>
      </w:r>
      <w:r>
        <w:t xml:space="preserve">Businesses</w:t>
      </w:r>
      <w:r>
        <w:t xml:space="preserve"> </w:t>
      </w:r>
      <w:r>
        <w:t xml:space="preserve">Recurrent</w:t>
      </w:r>
      <w:r>
        <w:br/>
      </w:r>
      <w:r>
        <w:t xml:space="preserve">€120m</w:t>
      </w:r>
      <w:r>
        <w:t xml:space="preserve"> </w:t>
      </w:r>
      <w:r>
        <w:t xml:space="preserve">Ongoing annual internal and external cost to</w:t>
      </w:r>
      <w:r>
        <w:t xml:space="preserve"> </w:t>
      </w:r>
      <w:r>
        <w:t xml:space="preserve">maintain product-level disclosures</w:t>
      </w:r>
      <w:r>
        <w:br/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Recurrent</w:t>
      </w:r>
      <w:r>
        <w:t xml:space="preserve"> </w:t>
      </w:r>
      <w:r>
        <w:t xml:space="preserve">€70m</w:t>
      </w:r>
      <w:r>
        <w:t xml:space="preserve"> </w:t>
      </w:r>
      <w:r>
        <w:t xml:space="preserve">Ongoing annual internal and external cost to</w:t>
      </w:r>
      <w:r>
        <w:t xml:space="preserve"> </w:t>
      </w:r>
      <w:r>
        <w:t xml:space="preserve">maintain product-level disclosures</w:t>
      </w:r>
      <w:r>
        <w:t xml:space="preserve"> </w:t>
      </w:r>
      <w:r>
        <w:t xml:space="preserve">Supervise</w:t>
      </w:r>
      <w:r>
        <w:t xml:space="preserve"> </w:t>
      </w:r>
      <w:r>
        <w:t xml:space="preserve">entity</w:t>
      </w:r>
      <w:r>
        <w:t xml:space="preserve"> </w:t>
      </w:r>
      <w:r>
        <w:t xml:space="preserve">and</w:t>
      </w:r>
      <w:r>
        <w:t xml:space="preserve"> </w:t>
      </w:r>
      <w:r>
        <w:t xml:space="preserve">product 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Citizens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</w:t>
      </w:r>
      <w:r>
        <w:t xml:space="preserve"> </w:t>
      </w:r>
      <w:r>
        <w:t xml:space="preserve">and</w:t>
      </w:r>
      <w:r>
        <w:t xml:space="preserve"> </w:t>
      </w:r>
      <w:r>
        <w:t xml:space="preserve">Businesses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professional</w:t>
      </w:r>
      <w:r>
        <w:t xml:space="preserve"> </w:t>
      </w:r>
      <w:r>
        <w:t xml:space="preserve">investors</w:t>
      </w:r>
      <w:r>
        <w:t xml:space="preserve"> </w:t>
      </w:r>
      <w:r>
        <w:t xml:space="preserve">Recurrent</w:t>
      </w:r>
    </w:p>
    <w:p>
      <w:pPr>
        <w:pStyle w:val="BodyText"/>
      </w:pPr>
      <w:r>
        <w:t xml:space="preserve">Supervision ensures that FMPs comply with the</w:t>
      </w:r>
      <w:r>
        <w:t xml:space="preserve"> </w:t>
      </w:r>
      <w:r>
        <w:t xml:space="preserve">SFDR, which strengthens accountability for the</w:t>
      </w:r>
      <w:r>
        <w:t xml:space="preserve"> </w:t>
      </w:r>
      <w:r>
        <w:t xml:space="preserve">claims made about sustainability. Effective</w:t>
      </w:r>
      <w:r>
        <w:t xml:space="preserve"> </w:t>
      </w:r>
      <w:r>
        <w:t xml:space="preserve">supervision makes it harder for firms to engage</w:t>
      </w:r>
      <w:r>
        <w:t xml:space="preserve"> </w:t>
      </w:r>
      <w:r>
        <w:t xml:space="preserve">in greenwashing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Admini-</w:t>
      </w:r>
      <w:r>
        <w:t xml:space="preserve"> </w:t>
      </w:r>
      <w:r>
        <w:t xml:space="preserve">strations</w:t>
      </w:r>
      <w:r>
        <w:t xml:space="preserve"> </w:t>
      </w:r>
      <w:r>
        <w:t xml:space="preserve">One-off</w:t>
      </w:r>
      <w:r>
        <w:br/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Costs for supervisors and NCAs to familiarise</w:t>
      </w:r>
      <w:r>
        <w:t xml:space="preserve"> </w:t>
      </w:r>
      <w:r>
        <w:t xml:space="preserve">themselves with the new rules and implement</w:t>
      </w:r>
      <w:r>
        <w:t xml:space="preserve"> </w:t>
      </w:r>
      <w:r>
        <w:t xml:space="preserve">new procedures (e.g. processes, IT-systems,</w:t>
      </w:r>
      <w:r>
        <w:t xml:space="preserve"> </w:t>
      </w:r>
      <w:r>
        <w:t xml:space="preserve">databases)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Admini-</w:t>
      </w:r>
      <w:r>
        <w:t xml:space="preserve"> </w:t>
      </w:r>
      <w:r>
        <w:t xml:space="preserve">strations</w:t>
      </w:r>
      <w:r>
        <w:t xml:space="preserve"> </w:t>
      </w:r>
      <w:r>
        <w:t xml:space="preserve">Recurrent</w:t>
      </w:r>
      <w:r>
        <w:br/>
      </w:r>
      <w:r>
        <w:t xml:space="preserve">Not</w:t>
      </w:r>
      <w:r>
        <w:t xml:space="preserve"> </w:t>
      </w:r>
      <w:r>
        <w:t xml:space="preserve">quantified</w:t>
      </w:r>
      <w:r>
        <w:t xml:space="preserve"> </w:t>
      </w:r>
      <w:r>
        <w:t xml:space="preserve">Costs for ongoing administrative procedures</w:t>
      </w:r>
      <w:r>
        <w:t xml:space="preserve"> </w:t>
      </w:r>
      <w:r>
        <w:t xml:space="preserve">linked to the supervision of the SFDR.</w:t>
      </w:r>
      <w:r>
        <w:t xml:space="preserve"> </w:t>
      </w:r>
      <w:r>
        <w:t xml:space="preserve">According to the most recent Greenwashing</w:t>
      </w:r>
      <w:r>
        <w:t xml:space="preserve"> </w:t>
      </w:r>
      <w:r>
        <w:t xml:space="preserve">reports of ESMA, about 80 FTEs are allocated</w:t>
      </w:r>
      <w:r>
        <w:t xml:space="preserve"> </w:t>
      </w:r>
      <w:r>
        <w:t xml:space="preserve">to sustainability matters in NCAs that deal with</w:t>
      </w:r>
      <w:r>
        <w:t xml:space="preserve"> </w:t>
      </w:r>
      <w:r>
        <w:t xml:space="preserve">market supervision of issuers and about 92 FTEs</w:t>
      </w:r>
      <w:r>
        <w:t xml:space="preserve"> </w:t>
      </w:r>
      <w:r>
        <w:t xml:space="preserve">to supervisory and regulatory activities linked to</w:t>
      </w:r>
      <w:r>
        <w:t xml:space="preserve"> </w:t>
      </w:r>
      <w:r>
        <w:t xml:space="preserve">investment management204. EBA determined</w:t>
      </w:r>
      <w:r>
        <w:t xml:space="preserve"> </w:t>
      </w:r>
      <w:r>
        <w:t xml:space="preserve">that the competent authorities (CA) in banking</w:t>
      </w:r>
      <w:r>
        <w:t xml:space="preserve"> </w:t>
      </w:r>
      <w:r>
        <w:t xml:space="preserve">allocated only limited resources to sustainability</w:t>
      </w:r>
      <w:r>
        <w:t xml:space="preserve"> </w:t>
      </w:r>
      <w:r>
        <w:t xml:space="preserve">issues with 9 CAs out of 30 with 3 or more FTE;</w:t>
      </w:r>
      <w:r>
        <w:t xml:space="preserve"> </w:t>
      </w:r>
      <w:r>
        <w:t xml:space="preserve">13 two or less; and 9 with no resources or no</w:t>
      </w:r>
      <w:r>
        <w:t xml:space="preserve"> </w:t>
      </w:r>
      <w:r>
        <w:t xml:space="preserve">information205. EIOPA reports about 30 FTEs in</w:t>
      </w:r>
      <w:r>
        <w:t xml:space="preserve"> </w:t>
      </w:r>
      <w:r>
        <w:t xml:space="preserve">total that are performing sustainability-related</w:t>
      </w:r>
      <w:r>
        <w:t xml:space="preserve"> </w:t>
      </w:r>
      <w:r>
        <w:t xml:space="preserve">tasks.206-</w:t>
      </w:r>
    </w:p>
    <w:p>
      <w:pPr>
        <w:pStyle w:val="BodyText"/>
      </w:pPr>
      <w:r>
        <w:t xml:space="preserve">204 ESMA (June 2024): Final Report on Greenwashing: ESMA36-287652198-2699</w:t>
      </w:r>
      <w:r>
        <w:t xml:space="preserve"> </w:t>
      </w:r>
      <w:r>
        <w:t xml:space="preserve">205 EBA (September 2024): Report on greenwashing monitoring and supervision.pdf and EBA (May 2023): progress</w:t>
      </w:r>
      <w:r>
        <w:t xml:space="preserve"> </w:t>
      </w:r>
      <w:r>
        <w:t xml:space="preserve">report on greewnwashing.pdf.</w:t>
      </w:r>
      <w:r>
        <w:t xml:space="preserve"> </w:t>
      </w:r>
      <w:r>
        <w:t xml:space="preserve">206 EIOPA(June 2024): Advice to the European Commission on greenwashing risks and the supervision of sustainable</w:t>
      </w:r>
      <w:r>
        <w:t xml:space="preserve"> </w:t>
      </w:r>
      <w:r>
        <w:t xml:space="preserve">finance policies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– I. Overview of Benefits (total for all provisions) – Preferred Option</w:t>
      </w:r>
      <w:r>
        <w:t xml:space="preserve"> </w:t>
      </w:r>
      <w:r>
        <w:t xml:space="preserve">– Measure</w:t>
      </w:r>
      <w:r>
        <w:t xml:space="preserve"> </w:t>
      </w:r>
      <w:r>
        <w:t xml:space="preserve">– Group</w:t>
      </w:r>
      <w:r>
        <w:t xml:space="preserve"> </w:t>
      </w:r>
      <w:r>
        <w:t xml:space="preserve">affected</w:t>
      </w:r>
      <w:r>
        <w:t xml:space="preserve"> </w:t>
      </w:r>
      <w:r>
        <w:t xml:space="preserve">– Frequency</w:t>
      </w:r>
      <w:r>
        <w:t xml:space="preserve"> </w:t>
      </w:r>
      <w:r>
        <w:t xml:space="preserve">– Amount</w:t>
      </w:r>
      <w:r>
        <w:t xml:space="preserve"> </w:t>
      </w:r>
      <w:r>
        <w:t xml:space="preserve">– Comments</w:t>
      </w:r>
      <w:r>
        <w:t xml:space="preserve"> </w:t>
      </w:r>
      <w:r>
        <w:t xml:space="preserve">– Direct benefits</w:t>
      </w:r>
      <w:r>
        <w:t xml:space="preserve"> </w:t>
      </w:r>
      <w:r>
        <w:t xml:space="preserve">– Combination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– Small</w:t>
      </w:r>
      <w:r>
        <w:t xml:space="preserve"> </w:t>
      </w:r>
      <w:r>
        <w:t xml:space="preserve">Business</w:t>
      </w:r>
      <w:r>
        <w:t xml:space="preserve"> </w:t>
      </w:r>
      <w:r>
        <w:t xml:space="preserve">es</w:t>
      </w:r>
      <w:r>
        <w:t xml:space="preserve"> </w:t>
      </w:r>
      <w:r>
        <w:t xml:space="preserve">– Recurrent</w:t>
      </w:r>
      <w:r>
        <w:br/>
      </w:r>
      <w:r>
        <w:t xml:space="preserve">– -€60m</w:t>
      </w:r>
      <w:r>
        <w:t xml:space="preserve"> </w:t>
      </w:r>
      <w:r>
        <w:t xml:space="preserve">– Details</w:t>
      </w:r>
      <w:r>
        <w:t xml:space="preserve"> </w:t>
      </w:r>
      <w:r>
        <w:t xml:space="preserve">see</w:t>
      </w:r>
      <w:r>
        <w:t xml:space="preserve"> </w:t>
      </w:r>
      <w:r>
        <w:t xml:space="preserve">section 3.10</w:t>
      </w:r>
      <w:r>
        <w:t xml:space="preserve"> </w:t>
      </w:r>
      <w:r>
        <w:t xml:space="preserve">below.</w:t>
      </w:r>
      <w:r>
        <w:t xml:space="preserve"> </w:t>
      </w:r>
      <w:r>
        <w:t xml:space="preserve">– Combination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– Large</w:t>
      </w:r>
      <w:r>
        <w:t xml:space="preserve"> </w:t>
      </w:r>
      <w:r>
        <w:t xml:space="preserve">Business</w:t>
      </w:r>
      <w:r>
        <w:t xml:space="preserve"> </w:t>
      </w:r>
      <w:r>
        <w:t xml:space="preserve">es</w:t>
      </w:r>
      <w:r>
        <w:t xml:space="preserve"> </w:t>
      </w:r>
      <w:r>
        <w:t xml:space="preserve">– Recurrent</w:t>
      </w:r>
      <w:r>
        <w:t xml:space="preserve"> </w:t>
      </w:r>
      <w:r>
        <w:t xml:space="preserve">– -€30m</w:t>
      </w:r>
      <w:r>
        <w:t xml:space="preserve"> </w:t>
      </w:r>
      <w:r>
        <w:t xml:space="preserve">– Details</w:t>
      </w:r>
      <w:r>
        <w:t xml:space="preserve"> </w:t>
      </w:r>
      <w:r>
        <w:t xml:space="preserve">see</w:t>
      </w:r>
      <w:r>
        <w:t xml:space="preserve"> </w:t>
      </w:r>
      <w:r>
        <w:t xml:space="preserve">section 3.10</w:t>
      </w:r>
      <w:r>
        <w:t xml:space="preserve"> </w:t>
      </w:r>
      <w:r>
        <w:t xml:space="preserve">below.</w:t>
      </w:r>
      <w:r>
        <w:t xml:space="preserve"> </w:t>
      </w:r>
      <w:r>
        <w:t xml:space="preserve">– Indirect benefits</w:t>
      </w:r>
      <w:r>
        <w:t xml:space="preserve"> </w:t>
      </w:r>
      <w:r>
        <w:t xml:space="preserve">– Combination</w:t>
      </w:r>
      <w:r>
        <w:t xml:space="preserve"> </w:t>
      </w:r>
      <w:r>
        <w:t xml:space="preserve">of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options:</w:t>
      </w:r>
      <w:r>
        <w:br/>
      </w:r>
      <w:r>
        <w:t xml:space="preserve">1) Abolish entity level</w:t>
      </w:r>
      <w:r>
        <w:t xml:space="preserve"> </w:t>
      </w:r>
      <w:r>
        <w:t xml:space="preserve">disclosures</w:t>
      </w:r>
      <w:r>
        <w:br/>
      </w:r>
      <w:r>
        <w:t xml:space="preserve">2) Significantly</w:t>
      </w:r>
      <w:r>
        <w:t xml:space="preserve"> </w:t>
      </w:r>
      <w:r>
        <w:t xml:space="preserve">reduce</w:t>
      </w:r>
      <w:r>
        <w:t xml:space="preserve"> </w:t>
      </w:r>
      <w:r>
        <w:t xml:space="preserve">Product</w:t>
      </w:r>
      <w:r>
        <w:t xml:space="preserve"> </w:t>
      </w:r>
      <w:r>
        <w:t xml:space="preserve">level disclosures</w:t>
      </w:r>
      <w:r>
        <w:t xml:space="preserve"> </w:t>
      </w:r>
      <w:r>
        <w:t xml:space="preserve">3) Introduce</w:t>
      </w:r>
      <w:r>
        <w:t xml:space="preserve"> </w:t>
      </w:r>
      <w:r>
        <w:t xml:space="preserve">categorisation</w:t>
      </w:r>
      <w:r>
        <w:t xml:space="preserve"> </w:t>
      </w:r>
      <w:r>
        <w:t xml:space="preserve">system</w:t>
      </w:r>
      <w:r>
        <w:t xml:space="preserve"> </w:t>
      </w:r>
      <w:r>
        <w:t xml:space="preserve">with</w:t>
      </w:r>
      <w:r>
        <w:t xml:space="preserve"> </w:t>
      </w:r>
      <w:r>
        <w:t xml:space="preserve">3</w:t>
      </w:r>
      <w:r>
        <w:t xml:space="preserve"> </w:t>
      </w:r>
      <w:r>
        <w:t xml:space="preserve">categories</w:t>
      </w:r>
      <w:r>
        <w:t xml:space="preserve"> </w:t>
      </w:r>
      <w:r>
        <w:t xml:space="preserve">–</w:t>
      </w:r>
      <w:r>
        <w:br/>
      </w:r>
      <w:r>
        <w:t xml:space="preserve">–</w:t>
      </w:r>
      <w:r>
        <w:br/>
      </w:r>
      <w:r>
        <w:t xml:space="preserve">– qualitative</w:t>
      </w:r>
      <w:r>
        <w:t xml:space="preserve"> </w:t>
      </w:r>
      <w:r>
        <w:t xml:space="preserve">–</w:t>
      </w:r>
      <w:r>
        <w:br/>
      </w:r>
      <w:r>
        <w:t xml:space="preserve">– FMP</w:t>
      </w:r>
      <w:r>
        <w:t xml:space="preserve"> </w:t>
      </w:r>
      <w:r>
        <w:t xml:space="preserve">(preparer</w:t>
      </w:r>
      <w:r>
        <w:t xml:space="preserve"> </w:t>
      </w:r>
      <w:r>
        <w:t xml:space="preserve">perspective)</w:t>
      </w:r>
      <w:r>
        <w:t xml:space="preserve"> </w:t>
      </w:r>
      <w:r>
        <w:t xml:space="preserve">:</w:t>
      </w:r>
      <w:r>
        <w:br/>
      </w:r>
      <w:r>
        <w:t xml:space="preserve">– Reduce</w:t>
      </w:r>
      <w:r>
        <w:t xml:space="preserve"> </w:t>
      </w:r>
      <w:r>
        <w:t xml:space="preserve">the</w:t>
      </w:r>
      <w:r>
        <w:t xml:space="preserve"> </w:t>
      </w:r>
      <w:r>
        <w:t xml:space="preserve">sustainability-</w:t>
      </w:r>
      <w:r>
        <w:t xml:space="preserve"> </w:t>
      </w:r>
      <w:r>
        <w:t xml:space="preserve">related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complexity</w:t>
      </w:r>
      <w:r>
        <w:t xml:space="preserve"> </w:t>
      </w:r>
      <w:r>
        <w:t xml:space="preserve">– Boost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Europe’s</w:t>
      </w:r>
      <w:r>
        <w:t xml:space="preserve"> </w:t>
      </w:r>
      <w:r>
        <w:t xml:space="preserve">financial</w:t>
      </w:r>
      <w:r>
        <w:t xml:space="preserve"> </w:t>
      </w:r>
      <w:r>
        <w:t xml:space="preserve">sector by ensuring</w:t>
      </w:r>
      <w:r>
        <w:t xml:space="preserve"> </w:t>
      </w:r>
      <w:r>
        <w:t xml:space="preserve">conditions</w:t>
      </w:r>
      <w:r>
        <w:t xml:space="preserve"> </w:t>
      </w:r>
      <w:r>
        <w:t xml:space="preserve">which</w:t>
      </w:r>
      <w:r>
        <w:t xml:space="preserve"> </w:t>
      </w:r>
      <w:r>
        <w:t xml:space="preserve">make</w:t>
      </w:r>
      <w:r>
        <w:t xml:space="preserve"> </w:t>
      </w:r>
      <w:r>
        <w:t xml:space="preserve">business</w:t>
      </w:r>
      <w:r>
        <w:t xml:space="preserve"> </w:t>
      </w:r>
      <w:r>
        <w:t xml:space="preserve">easier and help to</w:t>
      </w:r>
      <w:r>
        <w:t xml:space="preserve"> </w:t>
      </w:r>
      <w:r>
        <w:t xml:space="preserve">deepen our single</w:t>
      </w:r>
      <w:r>
        <w:t xml:space="preserve"> </w:t>
      </w:r>
      <w:r>
        <w:t xml:space="preserve">market</w:t>
      </w:r>
      <w:r>
        <w:t xml:space="preserve"> </w:t>
      </w:r>
      <w:r>
        <w:t xml:space="preserve">for</w:t>
      </w:r>
      <w:r>
        <w:t xml:space="preserve"> </w:t>
      </w:r>
      <w:r>
        <w:t xml:space="preserve">sustainability-linked</w:t>
      </w:r>
      <w:r>
        <w:t xml:space="preserve"> </w:t>
      </w:r>
      <w:r>
        <w:t xml:space="preserve">financial products</w:t>
      </w:r>
      <w:r>
        <w:t xml:space="preserve"> </w:t>
      </w:r>
      <w:r>
        <w:t xml:space="preserve">– End-</w:t>
      </w:r>
      <w:r>
        <w:t xml:space="preserve"> </w:t>
      </w:r>
      <w:r>
        <w:t xml:space="preserve">investor</w:t>
      </w:r>
      <w:r>
        <w:t xml:space="preserve"> </w:t>
      </w:r>
      <w:r>
        <w:t xml:space="preserve">and</w:t>
      </w:r>
      <w:r>
        <w:t xml:space="preserve"> </w:t>
      </w:r>
      <w:r>
        <w:t xml:space="preserve">distributor</w:t>
      </w:r>
      <w:r>
        <w:t xml:space="preserve"> </w:t>
      </w:r>
      <w:r>
        <w:t xml:space="preserve">(user</w:t>
      </w:r>
      <w:r>
        <w:t xml:space="preserve"> </w:t>
      </w:r>
      <w:r>
        <w:t xml:space="preserve">perspective):</w:t>
      </w:r>
      <w:r>
        <w:t xml:space="preserve"> </w:t>
      </w:r>
      <w:r>
        <w:t xml:space="preserve">– Improve</w:t>
      </w:r>
      <w:r>
        <w:t xml:space="preserve"> </w:t>
      </w:r>
      <w:r>
        <w:t xml:space="preserve">end-</w:t>
      </w:r>
      <w:r>
        <w:t xml:space="preserve"> </w:t>
      </w:r>
      <w:r>
        <w:t xml:space="preserve">investors’ ability to</w:t>
      </w:r>
      <w:r>
        <w:t xml:space="preserve"> </w:t>
      </w:r>
      <w:r>
        <w:t xml:space="preserve">understand</w:t>
      </w:r>
      <w:r>
        <w:t xml:space="preserve"> </w:t>
      </w:r>
      <w:r>
        <w:t xml:space="preserve">and</w:t>
      </w:r>
      <w:r>
        <w:t xml:space="preserve"> </w:t>
      </w:r>
      <w:r>
        <w:t xml:space="preserve">compare</w:t>
      </w:r>
      <w:r>
        <w:t xml:space="preserve"> </w:t>
      </w:r>
      <w:r>
        <w:t xml:space="preserve">sustainability-linked</w:t>
      </w:r>
      <w:r>
        <w:t xml:space="preserve"> </w:t>
      </w:r>
      <w:r>
        <w:t xml:space="preserve">financial products</w:t>
      </w:r>
      <w:r>
        <w:t xml:space="preserve"> </w:t>
      </w:r>
      <w:r>
        <w:t xml:space="preserve">– Facilitate</w:t>
      </w:r>
      <w:r>
        <w:t xml:space="preserve"> </w:t>
      </w:r>
      <w:r>
        <w:t xml:space="preserve">distribution</w:t>
      </w:r>
      <w:r>
        <w:t xml:space="preserve"> </w:t>
      </w:r>
      <w:r>
        <w:t xml:space="preserve">along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chain</w:t>
      </w:r>
      <w:r>
        <w:t xml:space="preserve"> </w:t>
      </w:r>
      <w:r>
        <w:t xml:space="preserve">– Increase consumers’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financial</w:t>
      </w:r>
      <w:r>
        <w:t xml:space="preserve"> </w:t>
      </w:r>
      <w:r>
        <w:t xml:space="preserve">products</w:t>
      </w:r>
      <w:r>
        <w:t xml:space="preserve"> </w:t>
      </w:r>
      <w:r>
        <w:t xml:space="preserve">with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claims by setting</w:t>
      </w:r>
      <w:r>
        <w:t xml:space="preserve"> </w:t>
      </w:r>
      <w:r>
        <w:t xml:space="preserve">minimum standards</w:t>
      </w:r>
      <w:r>
        <w:t xml:space="preserve"> </w:t>
      </w:r>
      <w:r>
        <w:t xml:space="preserve">(in line with the</w:t>
      </w:r>
      <w:r>
        <w:t xml:space="preserve"> </w:t>
      </w:r>
      <w:r>
        <w:t xml:space="preserve">applicable</w:t>
      </w:r>
      <w:r>
        <w:t xml:space="preserve"> </w:t>
      </w:r>
      <w:r>
        <w:t xml:space="preserve">ESMA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guidelines on funds</w:t>
      </w:r>
      <w:r>
        <w:t xml:space="preserve"> </w:t>
      </w:r>
      <w:r>
        <w:t xml:space="preserve">names)</w:t>
      </w:r>
      <w:r>
        <w:t xml:space="preserve"> </w:t>
      </w:r>
      <w:r>
        <w:t xml:space="preserve">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</w:t>
      </w:r>
    </w:p>
    <w:p>
      <w:pPr>
        <w:pStyle w:val="BodyText"/>
      </w:pPr>
      <w:r>
        <w:t xml:space="preserve"> II. Overview of costs – Preferred option</w:t>
      </w:r>
      <w:r>
        <w:t xml:space="preserve"> </w:t>
      </w:r>
      <w:r>
        <w:t xml:space="preserve"></w:t>
      </w:r>
      <w:r>
        <w:br/>
      </w:r>
      <w:r>
        <w:t xml:space="preserve"> Citizens/Consumers</w:t>
      </w:r>
      <w:r>
        <w:t xml:space="preserve"> </w:t>
      </w:r>
      <w:r>
        <w:t xml:space="preserve"> Businesses</w:t>
      </w:r>
      <w:r>
        <w:t xml:space="preserve"> </w:t>
      </w:r>
      <w:r>
        <w:t xml:space="preserve"> Administrations</w:t>
      </w:r>
      <w:r>
        <w:t xml:space="preserve"> </w:t>
      </w:r>
      <w:r>
        <w:t xml:space="preserve"> One-off  Recurre</w:t>
      </w:r>
      <w:r>
        <w:t xml:space="preserve"> </w:t>
      </w:r>
      <w:r>
        <w:t xml:space="preserve">nt</w:t>
      </w:r>
      <w:r>
        <w:t xml:space="preserve"> </w:t>
      </w:r>
      <w:r>
        <w:t xml:space="preserve"> One-off</w:t>
      </w:r>
      <w:r>
        <w:t xml:space="preserve"> </w:t>
      </w:r>
      <w:r>
        <w:t xml:space="preserve"> Recurrent  One-off  Recurre</w:t>
      </w:r>
      <w:r>
        <w:t xml:space="preserve"> </w:t>
      </w:r>
      <w:r>
        <w:t xml:space="preserve">nt</w:t>
      </w:r>
      <w:r>
        <w:br/>
      </w:r>
      <w:r>
        <w:t xml:space="preserve"> Actio</w:t>
      </w:r>
      <w:r>
        <w:t xml:space="preserve"> </w:t>
      </w:r>
      <w:r>
        <w:t xml:space="preserve">n (a)</w:t>
      </w:r>
      <w:r>
        <w:br/>
      </w:r>
      <w:r>
        <w:t xml:space="preserve"> 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Effort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familiar</w:t>
      </w:r>
      <w:r>
        <w:t xml:space="preserve"> </w:t>
      </w:r>
      <w:r>
        <w:t xml:space="preserve">isation</w:t>
      </w:r>
      <w:r>
        <w:t xml:space="preserve"> </w:t>
      </w:r>
      <w:r>
        <w:t xml:space="preserve">207</w:t>
      </w:r>
      <w:r>
        <w:t xml:space="preserve"> </w:t>
      </w:r>
      <w:r>
        <w:t xml:space="preserve"> mixed208</w:t>
      </w:r>
      <w:r>
        <w:t xml:space="preserve"> </w:t>
      </w:r>
      <w:r>
        <w:t xml:space="preserve"> 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€€74m</w:t>
      </w:r>
      <w:r>
        <w:t xml:space="preserve"> </w:t>
      </w:r>
      <w:r>
        <w:t xml:space="preserve"> -€90m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</w:p>
    <w:p>
      <w:pPr>
        <w:pStyle w:val="BodyText"/>
      </w:pPr>
      <w:r>
        <w:t xml:space="preserve">207 Public administrations surveyed expect for the abolishment of entity-level disclosures no or limited additional effort</w:t>
      </w:r>
      <w:r>
        <w:t xml:space="preserve"> </w:t>
      </w:r>
      <w:r>
        <w:t xml:space="preserve">(mainly to understand the new requirement), for the simplification of product level disclosures about 0.1-2 additional</w:t>
      </w:r>
      <w:r>
        <w:t xml:space="preserve"> </w:t>
      </w:r>
      <w:r>
        <w:t xml:space="preserve">FTE in the first year and about the same additional FTE for the introduction of a product categories in year 1 to</w:t>
      </w:r>
      <w:r>
        <w:t xml:space="preserve"> </w:t>
      </w:r>
      <w:r>
        <w:t xml:space="preserve">familiarise themselves with the new regulation and perform the required adaptation.</w:t>
      </w:r>
      <w:r>
        <w:br/>
      </w:r>
      <w:r>
        <w:t xml:space="preserve">208 The replies of authorities were mixed, many authorities could not assess the long-term consequences without seeing</w:t>
      </w:r>
      <w:r>
        <w:t xml:space="preserve"> </w:t>
      </w:r>
      <w:r>
        <w:t xml:space="preserve">the final proposal, some authorities saw a long-term potential of saving effort up to 30% provided that the legal clarity,</w:t>
      </w:r>
      <w:r>
        <w:t xml:space="preserve"> </w:t>
      </w:r>
      <w:r>
        <w:t xml:space="preserve">simplicity and objectivity will increase and ambiguity decrease; some authorities expected additional effort, e.g. due to</w:t>
      </w:r>
      <w:r>
        <w:t xml:space="preserve"> </w:t>
      </w:r>
      <w:r>
        <w:t xml:space="preserve">the approval process of funds under the new regime.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 II. Overview of costs – Preferred option</w:t>
      </w:r>
      <w:r>
        <w:t xml:space="preserve"> </w:t>
      </w:r>
      <w:r>
        <w:t xml:space="preserve"></w:t>
      </w:r>
      <w:r>
        <w:br/>
      </w:r>
      <w:r>
        <w:t xml:space="preserve"> Citizens/Consumers</w:t>
      </w:r>
      <w:r>
        <w:t xml:space="preserve"> </w:t>
      </w:r>
      <w:r>
        <w:t xml:space="preserve"> Businesses</w:t>
      </w:r>
      <w:r>
        <w:t xml:space="preserve"> </w:t>
      </w:r>
      <w:r>
        <w:t xml:space="preserve"> Administrations</w:t>
      </w:r>
      <w:r>
        <w:t xml:space="preserve"> </w:t>
      </w:r>
      <w:r>
        <w:t xml:space="preserve"> One-off  Recurre</w:t>
      </w:r>
      <w:r>
        <w:t xml:space="preserve"> </w:t>
      </w:r>
      <w:r>
        <w:t xml:space="preserve">nt</w:t>
      </w:r>
      <w:r>
        <w:t xml:space="preserve"> </w:t>
      </w:r>
      <w:r>
        <w:t xml:space="preserve"> One-off</w:t>
      </w:r>
      <w:r>
        <w:t xml:space="preserve"> </w:t>
      </w:r>
      <w:r>
        <w:t xml:space="preserve"> Recurrent  One-off  Recurre</w:t>
      </w:r>
      <w:r>
        <w:t xml:space="preserve"> </w:t>
      </w:r>
      <w:r>
        <w:t xml:space="preserve">nt</w:t>
      </w:r>
      <w:r>
        <w:br/>
      </w:r>
      <w:r>
        <w:t xml:space="preserve"> 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Indirect costs 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* The EUR 74 million is the annualised value of one-off costs amounting in total to EUR 630 million (subject to the</w:t>
      </w:r>
      <w:r>
        <w:t xml:space="preserve"> </w:t>
      </w:r>
      <w:r>
        <w:t xml:space="preserve">caveats in Table 3 of section 3.10), assuming that a loan has been issued to finance the one-off burden over a period of</w:t>
      </w:r>
      <w:r>
        <w:t xml:space="preserve"> </w:t>
      </w:r>
      <w:r>
        <w:t xml:space="preserve">10 years and an interest rate of 3%.</w:t>
      </w:r>
    </w:p>
    <w:p>
      <w:pPr>
        <w:pStyle w:val="BodyText"/>
      </w:pPr>
      <w:r>
        <w:t xml:space="preserve">89</w:t>
      </w:r>
    </w:p>
    <w:p>
      <w:pPr>
        <w:pStyle w:val="Compact"/>
        <w:numPr>
          <w:ilvl w:val="0"/>
          <w:numId w:val="1014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€74m</w:t>
      </w:r>
      <w:r>
        <w:t xml:space="preserve"> </w:t>
      </w:r>
      <w:r>
        <w:t xml:space="preserve">€24m</w:t>
      </w:r>
      <w:r>
        <w:t xml:space="preserve"> </w:t>
      </w:r>
      <w:r>
        <w:t xml:space="preserve">€98m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€0m</w:t>
      </w:r>
      <w:r>
        <w:t xml:space="preserve"> </w:t>
      </w:r>
      <w:r>
        <w:t xml:space="preserve">-€110m</w:t>
      </w:r>
      <w:r>
        <w:t xml:space="preserve"> </w:t>
      </w:r>
      <w:r>
        <w:t xml:space="preserve">-€110m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€74m</w:t>
      </w:r>
      <w:r>
        <w:t xml:space="preserve"> </w:t>
      </w:r>
      <w:r>
        <w:t xml:space="preserve">-€86m</w:t>
      </w:r>
      <w:r>
        <w:t xml:space="preserve"> </w:t>
      </w:r>
      <w:r>
        <w:t xml:space="preserve">-€12m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</w:p>
    <w:p>
      <w:pPr>
        <w:pStyle w:val="BodyText"/>
      </w:pPr>
      <w:r>
        <w:t xml:space="preserve">-€12m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Details on the costs and benefits</w:t>
      </w:r>
      <w:r>
        <w:t xml:space="preserve"> </w:t>
      </w:r>
      <w:r>
        <w:t xml:space="preserve">1. Description of the EU funds market</w:t>
      </w:r>
      <w:r>
        <w:t xml:space="preserve"> </w:t>
      </w:r>
      <w:r>
        <w:t xml:space="preserve">The SFDR seeks to harmonize existing provisions on disclosures to investors in relation to</w:t>
      </w:r>
      <w:r>
        <w:t xml:space="preserve"> </w:t>
      </w:r>
      <w:r>
        <w:t xml:space="preserve">sustainability-related disclosures by imposing requirements on financial market participants</w:t>
      </w:r>
      <w:r>
        <w:t xml:space="preserve"> </w:t>
      </w:r>
      <w:r>
        <w:t xml:space="preserve">(“FMP”, e.g. AIFMs and UCITS management companies and investment firms carrying out</w:t>
      </w:r>
      <w:r>
        <w:t xml:space="preserve"> </w:t>
      </w:r>
      <w:r>
        <w:t xml:space="preserve">portfolio management) and financial advisers (“FA”, firms authorized under MiFID to give</w:t>
      </w:r>
      <w:r>
        <w:t xml:space="preserve"> </w:t>
      </w:r>
      <w:r>
        <w:t xml:space="preserve">investment advice and credit institutions) in relation to financial products (e.g. AIFs, UCITS). The</w:t>
      </w:r>
      <w:r>
        <w:t xml:space="preserve"> </w:t>
      </w:r>
      <w:r>
        <w:t xml:space="preserve">SFDR requires an enhanced level of disclosure. The nature and extent of these disclosure</w:t>
      </w:r>
      <w:r>
        <w:t xml:space="preserve"> </w:t>
      </w:r>
      <w:r>
        <w:t xml:space="preserve">requirements under the regulation depend on the characteristics of products.</w:t>
      </w:r>
      <w:r>
        <w:t xml:space="preserve"> </w:t>
      </w:r>
      <w:r>
        <w:t xml:space="preserve">The table below summarises the estimated number of entities affected by the SFDR and their</w:t>
      </w:r>
      <w:r>
        <w:t xml:space="preserve"> </w:t>
      </w:r>
      <w:r>
        <w:t xml:space="preserve">product volume. It is decomposed into the insurance &amp; pension funds, banks and investment firms</w:t>
      </w:r>
      <w:r>
        <w:t xml:space="preserve"> </w:t>
      </w:r>
      <w:r>
        <w:t xml:space="preserve">and investment fund sectors. For the product volume of those sectors, it is important to note that</w:t>
      </w:r>
      <w:r>
        <w:t xml:space="preserve"> </w:t>
      </w:r>
      <w:r>
        <w:t xml:space="preserve">there are overlaps as insurance companies, investment firms as well as banks can invest into funds</w:t>
      </w:r>
      <w:r>
        <w:t xml:space="preserve"> </w:t>
      </w:r>
      <w:r>
        <w:t xml:space="preserve">shares/units and/or provide asset management services. According to EFAMA the total volume of</w:t>
      </w:r>
      <w:r>
        <w:t xml:space="preserve"> </w:t>
      </w:r>
      <w:r>
        <w:t xml:space="preserve">Assets under Management in the scope of SFDR is estimated at about EUR 16 trillion (end 2023),</w:t>
      </w:r>
      <w:r>
        <w:t xml:space="preserve"> </w:t>
      </w:r>
      <w:r>
        <w:t xml:space="preserve">of which about EUR 12 trillion are reported in the database Morningstar that serves as the universe</w:t>
      </w:r>
      <w:r>
        <w:t xml:space="preserve"> </w:t>
      </w:r>
      <w:r>
        <w:t xml:space="preserve">of assets, for which information on the fund volume and SFDR classification was available.</w:t>
      </w:r>
      <w:r>
        <w:t xml:space="preserve"> </w:t>
      </w:r>
      <w:r>
        <w:t xml:space="preserve">Sector</w:t>
      </w:r>
      <w:r>
        <w:t xml:space="preserve"> </w:t>
      </w:r>
      <w:r>
        <w:t xml:space="preserve">Types of entities</w:t>
      </w:r>
      <w:r>
        <w:t xml:space="preserve"> </w:t>
      </w:r>
      <w:r>
        <w:t xml:space="preserve">Total</w:t>
      </w:r>
      <w:r>
        <w:t xml:space="preserve"> </w:t>
      </w:r>
      <w:r>
        <w:t xml:space="preserve">CEPS</w:t>
      </w:r>
      <w:r>
        <w:t xml:space="preserve"> </w:t>
      </w:r>
      <w:r>
        <w:t xml:space="preserve">209</w:t>
      </w:r>
      <w:r>
        <w:t xml:space="preserve"> </w:t>
      </w:r>
      <w:r>
        <w:t xml:space="preserve">(2020)</w:t>
      </w:r>
      <w:r>
        <w:t xml:space="preserve"> </w:t>
      </w:r>
      <w:r>
        <w:t xml:space="preserve">Update</w:t>
      </w:r>
      <w:r>
        <w:t xml:space="preserve"> </w:t>
      </w:r>
      <w:r>
        <w:t xml:space="preserve">d value</w:t>
      </w:r>
      <w:r>
        <w:t xml:space="preserve"> </w:t>
      </w:r>
      <w:r>
        <w:t xml:space="preserve">(2025)</w:t>
      </w:r>
      <w:r>
        <w:t xml:space="preserve"> </w:t>
      </w:r>
      <w:r>
        <w:t xml:space="preserve">Estimated product volume</w:t>
      </w:r>
      <w:r>
        <w:t xml:space="preserve"> </w:t>
      </w:r>
      <w:r>
        <w:t xml:space="preserve">o/w in Morningstar</w:t>
      </w:r>
      <w:r>
        <w:t xml:space="preserve"> </w:t>
      </w:r>
      <w:r>
        <w:t xml:space="preserve">Insur-</w:t>
      </w:r>
      <w:r>
        <w:t xml:space="preserve"> </w:t>
      </w:r>
      <w:r>
        <w:t xml:space="preserve">ance</w:t>
      </w:r>
      <w:r>
        <w:t xml:space="preserve"> </w:t>
      </w:r>
      <w:r>
        <w:t xml:space="preserve">Insurance</w:t>
      </w:r>
      <w:r>
        <w:t xml:space="preserve"> </w:t>
      </w:r>
      <w:r>
        <w:t xml:space="preserve">companies making</w:t>
      </w:r>
      <w:r>
        <w:t xml:space="preserve"> </w:t>
      </w:r>
      <w:r>
        <w:t xml:space="preserve">available IBIPs</w:t>
      </w:r>
      <w:r>
        <w:t xml:space="preserve"> </w:t>
      </w:r>
      <w:r>
        <w:t xml:space="preserve">778</w:t>
      </w:r>
      <w:r>
        <w:t xml:space="preserve"> </w:t>
      </w:r>
      <w:r>
        <w:t xml:space="preserve">772</w:t>
      </w:r>
      <w:r>
        <w:t xml:space="preserve"> </w:t>
      </w:r>
      <w:r>
        <w:t xml:space="preserve">CIU Investment from in unit-or</w:t>
      </w:r>
      <w:r>
        <w:t xml:space="preserve"> </w:t>
      </w:r>
      <w:r>
        <w:t xml:space="preserve">index</w:t>
      </w:r>
      <w:r>
        <w:t xml:space="preserve"> </w:t>
      </w:r>
      <w:r>
        <w:t xml:space="preserve">linked</w:t>
      </w:r>
      <w:r>
        <w:t xml:space="preserve"> </w:t>
      </w:r>
      <w:r>
        <w:t xml:space="preserve">contracts:</w:t>
      </w:r>
      <w:r>
        <w:t xml:space="preserve"> </w:t>
      </w:r>
      <w:r>
        <w:t xml:space="preserve">EUR 1.5 trn4</w:t>
      </w:r>
      <w:r>
        <w:t xml:space="preserve"> </w:t>
      </w:r>
      <w:r>
        <w:t xml:space="preserve">CIU investment from profit-linked</w:t>
      </w:r>
      <w:r>
        <w:t xml:space="preserve"> </w:t>
      </w:r>
      <w:r>
        <w:t xml:space="preserve">contract EUR 1:5 trn4</w:t>
      </w:r>
      <w:r>
        <w:t xml:space="preserve"> </w:t>
      </w:r>
      <w:r>
        <w:t xml:space="preserve">CIU Investment from in unit-or index</w:t>
      </w:r>
      <w:r>
        <w:t xml:space="preserve"> </w:t>
      </w:r>
      <w:r>
        <w:t xml:space="preserve">linked contracts: EUR 1.1 trn4 (75,9%)</w:t>
      </w:r>
      <w:r>
        <w:t xml:space="preserve"> </w:t>
      </w:r>
      <w:r>
        <w:t xml:space="preserve">CIU</w:t>
      </w:r>
      <w:r>
        <w:t xml:space="preserve"> </w:t>
      </w:r>
      <w:r>
        <w:t xml:space="preserve">investment</w:t>
      </w:r>
      <w:r>
        <w:t xml:space="preserve"> </w:t>
      </w:r>
      <w:r>
        <w:t xml:space="preserve">from</w:t>
      </w:r>
      <w:r>
        <w:t xml:space="preserve"> </w:t>
      </w:r>
      <w:r>
        <w:t xml:space="preserve">profit-linked</w:t>
      </w:r>
      <w:r>
        <w:t xml:space="preserve"> </w:t>
      </w:r>
      <w:r>
        <w:t xml:space="preserve">contract EUR 0.3 trn4 (18,9%)</w:t>
      </w:r>
      <w:r>
        <w:t xml:space="preserve"> </w:t>
      </w:r>
      <w:r>
        <w:t xml:space="preserve">Institutions</w:t>
      </w:r>
      <w:r>
        <w:t xml:space="preserve"> </w:t>
      </w:r>
      <w:r>
        <w:t xml:space="preserve">for</w:t>
      </w:r>
      <w:r>
        <w:t xml:space="preserve"> </w:t>
      </w:r>
      <w:r>
        <w:t xml:space="preserve">occupational</w:t>
      </w:r>
      <w:r>
        <w:t xml:space="preserve"> </w:t>
      </w:r>
      <w:r>
        <w:t xml:space="preserve">retirement</w:t>
      </w:r>
      <w:r>
        <w:t xml:space="preserve"> </w:t>
      </w:r>
      <w:r>
        <w:t xml:space="preserve">provisions - IORPs</w:t>
      </w:r>
      <w:r>
        <w:t xml:space="preserve"> </w:t>
      </w:r>
      <w:r>
        <w:t xml:space="preserve">5 669</w:t>
      </w:r>
      <w:r>
        <w:t xml:space="preserve"> </w:t>
      </w:r>
      <w:r>
        <w:t xml:space="preserve">5 5902</w:t>
      </w:r>
      <w:r>
        <w:t xml:space="preserve"> </w:t>
      </w:r>
      <w:r>
        <w:t xml:space="preserve">Consolidated asset value IORPS</w:t>
      </w:r>
      <w:r>
        <w:t xml:space="preserve"> </w:t>
      </w:r>
      <w:r>
        <w:t xml:space="preserve">EUR 2.7 trn</w:t>
      </w:r>
      <w:r>
        <w:br/>
      </w:r>
      <w:r>
        <w:t xml:space="preserve">EUR 0.5 trn (17,9%)</w:t>
      </w:r>
      <w:r>
        <w:br/>
      </w:r>
      <w:r>
        <w:t xml:space="preserve">Banks</w:t>
      </w:r>
      <w:r>
        <w:t xml:space="preserve"> </w:t>
      </w:r>
      <w:r>
        <w:t xml:space="preserve">Credit Institutions</w:t>
      </w:r>
      <w:r>
        <w:t xml:space="preserve"> </w:t>
      </w:r>
      <w:r>
        <w:t xml:space="preserve">providing Portfolio</w:t>
      </w:r>
      <w:r>
        <w:t xml:space="preserve"> </w:t>
      </w:r>
      <w:r>
        <w:t xml:space="preserve">Management</w:t>
      </w:r>
      <w:r>
        <w:t xml:space="preserve"> </w:t>
      </w:r>
      <w:r>
        <w:t xml:space="preserve">2 137</w:t>
      </w:r>
      <w:r>
        <w:t xml:space="preserve"> </w:t>
      </w:r>
      <w:r>
        <w:t xml:space="preserve">236</w:t>
      </w:r>
      <w:r>
        <w:br/>
      </w:r>
      <w:r>
        <w:t xml:space="preserve">(conso-</w:t>
      </w:r>
      <w:r>
        <w:t xml:space="preserve"> </w:t>
      </w:r>
      <w:r>
        <w:t xml:space="preserve">lidating</w:t>
      </w:r>
      <w:r>
        <w:t xml:space="preserve"> </w:t>
      </w:r>
      <w:r>
        <w:t xml:space="preserve">entities</w:t>
      </w:r>
      <w:r>
        <w:t xml:space="preserve"> </w:t>
      </w:r>
      <w:r>
        <w:t xml:space="preserve">with</w:t>
      </w:r>
      <w:r>
        <w:t xml:space="preserve"> </w:t>
      </w:r>
      <w:r>
        <w:t xml:space="preserve">several</w:t>
      </w:r>
      <w:r>
        <w:t xml:space="preserve"> </w:t>
      </w:r>
      <w:r>
        <w:t xml:space="preserve">activi-</w:t>
      </w:r>
      <w:r>
        <w:t xml:space="preserve"> </w:t>
      </w:r>
      <w:r>
        <w:t xml:space="preserve">ties)</w:t>
      </w:r>
      <w:r>
        <w:t xml:space="preserve"> </w:t>
      </w:r>
      <w:r>
        <w:t xml:space="preserve">-</w:t>
      </w:r>
      <w:r>
        <w:t xml:space="preserve"> </w:t>
      </w:r>
      <w:r>
        <w:t xml:space="preserve">EUR 11.1 trn3 AuM (managed</w:t>
      </w:r>
      <w:r>
        <w:t xml:space="preserve"> </w:t>
      </w:r>
      <w:r>
        <w:t xml:space="preserve">by 201 entities)</w:t>
      </w:r>
      <w:r>
        <w:t xml:space="preserve"> </w:t>
      </w:r>
      <w:r>
        <w:t xml:space="preserve">-</w:t>
      </w:r>
      <w:r>
        <w:t xml:space="preserve"> </w:t>
      </w:r>
      <w:r>
        <w:t xml:space="preserve">EUR</w:t>
      </w:r>
      <w:r>
        <w:t xml:space="preserve"> </w:t>
      </w:r>
      <w:r>
        <w:t xml:space="preserve">4.2</w:t>
      </w:r>
      <w:r>
        <w:t xml:space="preserve"> </w:t>
      </w:r>
      <w:r>
        <w:t xml:space="preserve">trn3</w:t>
      </w:r>
      <w:r>
        <w:t xml:space="preserve"> </w:t>
      </w:r>
      <w:r>
        <w:t xml:space="preserve">Customer</w:t>
      </w:r>
      <w:r>
        <w:t xml:space="preserve"> </w:t>
      </w:r>
      <w:r>
        <w:t xml:space="preserve">resources distributed but not</w:t>
      </w:r>
      <w:r>
        <w:t xml:space="preserve"> </w:t>
      </w:r>
      <w:r>
        <w:t xml:space="preserve">managed (153 entities)</w:t>
      </w:r>
      <w:r>
        <w:t xml:space="preserve"> </w:t>
      </w:r>
      <w:r>
        <w:t xml:space="preserve">-</w:t>
      </w:r>
      <w:r>
        <w:t xml:space="preserve"> </w:t>
      </w:r>
      <w:r>
        <w:t xml:space="preserve">EUR 0.82 trn3 (overseen by 60</w:t>
      </w:r>
      <w:r>
        <w:t xml:space="preserve"> </w:t>
      </w:r>
      <w:r>
        <w:t xml:space="preserve">entities)</w:t>
      </w:r>
      <w:r>
        <w:t xml:space="preserve"> </w:t>
      </w:r>
      <w:r>
        <w:t xml:space="preserve">NA</w:t>
      </w:r>
      <w:r>
        <w:t xml:space="preserve"> </w:t>
      </w:r>
      <w:r>
        <w:t xml:space="preserve">Invest</w:t>
      </w:r>
      <w:r>
        <w:t xml:space="preserve"> </w:t>
      </w:r>
      <w:r>
        <w:t xml:space="preserve">ment</w:t>
      </w:r>
      <w:r>
        <w:t xml:space="preserve"> </w:t>
      </w:r>
      <w:r>
        <w:t xml:space="preserve">firms</w:t>
      </w:r>
      <w:r>
        <w:t xml:space="preserve"> </w:t>
      </w:r>
      <w:r>
        <w:t xml:space="preserve">Investment Firms</w:t>
      </w:r>
      <w:r>
        <w:br/>
      </w:r>
      <w:r>
        <w:t xml:space="preserve">5 778</w:t>
      </w:r>
      <w:r>
        <w:t xml:space="preserve"> </w:t>
      </w:r>
      <w:r>
        <w:t xml:space="preserve">5 9231</w:t>
      </w:r>
    </w:p>
    <w:p>
      <w:pPr>
        <w:pStyle w:val="BodyText"/>
      </w:pPr>
      <w:r>
        <w:t xml:space="preserve">Invest</w:t>
      </w:r>
      <w:r>
        <w:t xml:space="preserve"> </w:t>
      </w:r>
      <w:r>
        <w:t xml:space="preserve">ment</w:t>
      </w:r>
      <w:r>
        <w:t xml:space="preserve"> </w:t>
      </w:r>
      <w:r>
        <w:t xml:space="preserve">funds</w:t>
      </w:r>
      <w:r>
        <w:t xml:space="preserve"> </w:t>
      </w:r>
      <w:r>
        <w:t xml:space="preserve">Alternative</w:t>
      </w:r>
      <w:r>
        <w:t xml:space="preserve"> </w:t>
      </w:r>
      <w:r>
        <w:t xml:space="preserve">investment funds -</w:t>
      </w:r>
      <w:r>
        <w:t xml:space="preserve"> </w:t>
      </w:r>
      <w:r>
        <w:t xml:space="preserve">AIF</w:t>
      </w:r>
      <w:r>
        <w:t xml:space="preserve"> </w:t>
      </w:r>
      <w:r>
        <w:t xml:space="preserve">1 987</w:t>
      </w:r>
      <w:r>
        <w:t xml:space="preserve"> </w:t>
      </w:r>
      <w:r>
        <w:t xml:space="preserve">3 1121</w:t>
      </w:r>
      <w:r>
        <w:t xml:space="preserve"> </w:t>
      </w:r>
      <w:r>
        <w:t xml:space="preserve">Assets of investment funds in</w:t>
      </w:r>
      <w:r>
        <w:t xml:space="preserve"> </w:t>
      </w:r>
      <w:r>
        <w:t xml:space="preserve">scope of the SFDR are estimated at</w:t>
      </w:r>
      <w:r>
        <w:t xml:space="preserve"> </w:t>
      </w:r>
      <w:r>
        <w:t xml:space="preserve">about EUR 16 trillion (End 2023).6</w:t>
      </w:r>
    </w:p>
    <w:p>
      <w:pPr>
        <w:pStyle w:val="BodyText"/>
      </w:pPr>
      <w:r>
        <w:t xml:space="preserve">About EUR 0.9 trn of alternative</w:t>
      </w:r>
      <w:r>
        <w:t xml:space="preserve"> </w:t>
      </w:r>
      <w:r>
        <w:t xml:space="preserve">investment</w:t>
      </w:r>
      <w:r>
        <w:t xml:space="preserve"> </w:t>
      </w:r>
      <w:r>
        <w:t xml:space="preserve">funds</w:t>
      </w:r>
      <w:r>
        <w:t xml:space="preserve"> </w:t>
      </w:r>
      <w:r>
        <w:t xml:space="preserve">are</w:t>
      </w:r>
      <w:r>
        <w:t xml:space="preserve"> </w:t>
      </w:r>
      <w:r>
        <w:t xml:space="preserve">shown</w:t>
      </w:r>
      <w:r>
        <w:t xml:space="preserve"> </w:t>
      </w:r>
      <w:r>
        <w:t xml:space="preserve">in</w:t>
      </w:r>
      <w:r>
        <w:t xml:space="preserve"> </w:t>
      </w:r>
      <w:r>
        <w:t xml:space="preserve">Morningstar including 3 950 products</w:t>
      </w:r>
      <w:r>
        <w:t xml:space="preserve"> </w:t>
      </w:r>
      <w:r>
        <w:t xml:space="preserve">from at least 279 issuers.</w:t>
      </w:r>
      <w:r>
        <w:br/>
      </w:r>
      <w:r>
        <w:t xml:space="preserve">Venture</w:t>
      </w:r>
      <w:r>
        <w:t xml:space="preserve"> </w:t>
      </w:r>
      <w:r>
        <w:t xml:space="preserve">capital</w:t>
      </w:r>
      <w:r>
        <w:t xml:space="preserve"> </w:t>
      </w:r>
      <w:r>
        <w:t xml:space="preserve">funds - EuVECA</w:t>
      </w:r>
      <w:r>
        <w:t xml:space="preserve"> </w:t>
      </w:r>
      <w:r>
        <w:t xml:space="preserve">115</w:t>
      </w:r>
      <w:r>
        <w:t xml:space="preserve"> </w:t>
      </w:r>
      <w:r>
        <w:t xml:space="preserve">3871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entrepre-</w:t>
      </w:r>
      <w:r>
        <w:t xml:space="preserve"> </w:t>
      </w:r>
      <w:r>
        <w:t xml:space="preserve">neurship funds -</w:t>
      </w:r>
      <w:r>
        <w:t xml:space="preserve"> </w:t>
      </w:r>
      <w:r>
        <w:t xml:space="preserve">EuSEF</w:t>
      </w:r>
      <w:r>
        <w:t xml:space="preserve"> </w:t>
      </w:r>
      <w:r>
        <w:t xml:space="preserve">6</w:t>
      </w:r>
      <w:r>
        <w:t xml:space="preserve"> </w:t>
      </w:r>
      <w:r>
        <w:t xml:space="preserve">161</w:t>
      </w:r>
    </w:p>
    <w:p>
      <w:pPr>
        <w:pStyle w:val="BodyText"/>
      </w:pPr>
      <w:r>
        <w:t xml:space="preserve">UCITS</w:t>
      </w:r>
      <w:r>
        <w:br/>
      </w:r>
      <w:r>
        <w:t xml:space="preserve">1 139</w:t>
      </w:r>
      <w:r>
        <w:t xml:space="preserve"> </w:t>
      </w:r>
      <w:r>
        <w:t xml:space="preserve">1 3301</w:t>
      </w:r>
      <w:r>
        <w:t xml:space="preserve"> </w:t>
      </w:r>
      <w:r>
        <w:t xml:space="preserve">About EUR 12 trn of UCITS are shown</w:t>
      </w:r>
      <w:r>
        <w:t xml:space="preserve"> </w:t>
      </w:r>
      <w:r>
        <w:t xml:space="preserve">in Morningstar inc. 25 690 products from</w:t>
      </w:r>
    </w:p>
    <w:p>
      <w:pPr>
        <w:pStyle w:val="BodyText"/>
      </w:pPr>
      <w:r>
        <w:t xml:space="preserve">209 Study on the Non-Financial Reporting Directive – CEPS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Sector</w:t>
      </w:r>
      <w:r>
        <w:t xml:space="preserve"> </w:t>
      </w:r>
      <w:r>
        <w:t xml:space="preserve">Types of entities</w:t>
      </w:r>
      <w:r>
        <w:t xml:space="preserve"> </w:t>
      </w:r>
      <w:r>
        <w:t xml:space="preserve">Total</w:t>
      </w:r>
      <w:r>
        <w:t xml:space="preserve"> </w:t>
      </w:r>
      <w:r>
        <w:t xml:space="preserve">CEPS</w:t>
      </w:r>
      <w:r>
        <w:t xml:space="preserve"> </w:t>
      </w:r>
      <w:r>
        <w:t xml:space="preserve">209</w:t>
      </w:r>
      <w:r>
        <w:t xml:space="preserve"> </w:t>
      </w:r>
      <w:r>
        <w:t xml:space="preserve">(2020)</w:t>
      </w:r>
      <w:r>
        <w:t xml:space="preserve"> </w:t>
      </w:r>
      <w:r>
        <w:t xml:space="preserve">Update</w:t>
      </w:r>
      <w:r>
        <w:t xml:space="preserve"> </w:t>
      </w:r>
      <w:r>
        <w:t xml:space="preserve">d value</w:t>
      </w:r>
      <w:r>
        <w:t xml:space="preserve"> </w:t>
      </w:r>
      <w:r>
        <w:t xml:space="preserve">(2025)</w:t>
      </w:r>
      <w:r>
        <w:t xml:space="preserve"> </w:t>
      </w:r>
      <w:r>
        <w:t xml:space="preserve">Estimated product volume</w:t>
      </w:r>
      <w:r>
        <w:t xml:space="preserve"> </w:t>
      </w:r>
      <w:r>
        <w:t xml:space="preserve">o/w in Morningstar</w:t>
      </w:r>
      <w:r>
        <w:t xml:space="preserve"> </w:t>
      </w:r>
      <w:r>
        <w:t xml:space="preserve">at least 871 issuers. 8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17 609</w:t>
      </w:r>
      <w:r>
        <w:t xml:space="preserve"> </w:t>
      </w:r>
      <w:r>
        <w:t xml:space="preserve">17 544</w:t>
      </w:r>
      <w:r>
        <w:t xml:space="preserve"> </w:t>
      </w:r>
      <w:r>
        <w:t xml:space="preserve">Product volume not additive due</w:t>
      </w:r>
      <w:r>
        <w:t xml:space="preserve"> </w:t>
      </w:r>
      <w:r>
        <w:t xml:space="preserve">to overlaps in the financial sector</w:t>
      </w:r>
    </w:p>
    <w:p>
      <w:pPr>
        <w:pStyle w:val="BodyText"/>
      </w:pPr>
      <w:r>
        <w:t xml:space="preserve">Notes to the table:</w:t>
      </w:r>
      <w:r>
        <w:t xml:space="preserve"> </w:t>
      </w:r>
      <w:r>
        <w:t xml:space="preserve">1</w:t>
      </w:r>
      <w:r>
        <w:t xml:space="preserve"> </w:t>
      </w:r>
      <w:r>
        <w:t xml:space="preserve">https://registers.esma.europa.eu/publication/searchRegister?core=esma_registers_upreg</w:t>
      </w:r>
      <w:r>
        <w:t xml:space="preserve"> </w:t>
      </w:r>
      <w:r>
        <w:t xml:space="preserve">2</w:t>
      </w:r>
      <w:r>
        <w:t xml:space="preserve"> </w:t>
      </w:r>
      <w:r>
        <w:t xml:space="preserve">https://register.eiopa.europa.eu/registers/register-of-insurance-undertakings</w:t>
      </w:r>
      <w:r>
        <w:t xml:space="preserve"> </w:t>
      </w:r>
      <w:r>
        <w:t xml:space="preserve">3</w:t>
      </w:r>
      <w:r>
        <w:t xml:space="preserve"> </w:t>
      </w:r>
      <w:r>
        <w:t xml:space="preserve">EBA FINREP data as off Q1 2025. FINREP data is available to EBA only for institutions preparing consolidated accounts.</w:t>
      </w:r>
      <w:r>
        <w:br/>
      </w:r>
      <w:r>
        <w:t xml:space="preserve">4</w:t>
      </w:r>
      <w:r>
        <w:t xml:space="preserve"> </w:t>
      </w:r>
      <w:r>
        <w:t xml:space="preserve">EIOPA (2024): Advice to the European Commission on greenwashing risks and the supervision of sustainable finance</w:t>
      </w:r>
      <w:r>
        <w:t xml:space="preserve"> </w:t>
      </w:r>
      <w:r>
        <w:t xml:space="preserve">policies https://www.eiopa.europa.eu/document/download/4de6b580-521d-4ad0-af83-2ecf133abdf4_en?filename=EIOPA-</w:t>
      </w:r>
      <w:r>
        <w:t xml:space="preserve"> </w:t>
      </w:r>
      <w:r>
        <w:t xml:space="preserve">BoS-25-016_EIOPA%20IORPs%20in%20focus%20report%202024.pdf</w:t>
      </w:r>
      <w:r>
        <w:t xml:space="preserve"> </w:t>
      </w:r>
      <w:r>
        <w:t xml:space="preserve">5</w:t>
      </w:r>
      <w:r>
        <w:t xml:space="preserve"> </w:t>
      </w:r>
      <w:r>
        <w:t xml:space="preserve">EFAMA Quarterly Statistical Release Q4 2024: quarterly-statistical-release-q4-2024.pdf</w:t>
      </w:r>
      <w:r>
        <w:t xml:space="preserve"> </w:t>
      </w:r>
      <w:r>
        <w:t xml:space="preserve">6</w:t>
      </w:r>
      <w:r>
        <w:br/>
      </w:r>
      <w:r>
        <w:t xml:space="preserve">EFAMA Asset Management Report 2024. The product volume estimated for EU investment firms includes also</w:t>
      </w:r>
      <w:r>
        <w:t xml:space="preserve"> </w:t>
      </w:r>
      <w:r>
        <w:t xml:space="preserve">investment volumes managed on behalf of banks and insurers that are clients of those investment firms. Exhibit 1.2</w:t>
      </w:r>
      <w:r>
        <w:t xml:space="preserve"> </w:t>
      </w:r>
      <w:r>
        <w:t xml:space="preserve">7</w:t>
      </w:r>
      <w:r>
        <w:t xml:space="preserve"> </w:t>
      </w:r>
      <w:r>
        <w:t xml:space="preserve">EFAMA Market Insights – The European ESG Market At End Q1 2021 – Introducing the SFDR</w:t>
      </w:r>
      <w:r>
        <w:t xml:space="preserve"> </w:t>
      </w:r>
      <w:r>
        <w:t xml:space="preserve">8</w:t>
      </w:r>
      <w:r>
        <w:t xml:space="preserve"> </w:t>
      </w:r>
      <w:r>
        <w:t xml:space="preserve">According to Morningstar and other independent sources Morningstar has the most comprehensive data collection of</w:t>
      </w:r>
      <w:r>
        <w:t xml:space="preserve"> </w:t>
      </w:r>
      <w:r>
        <w:t xml:space="preserve">UCITS funds in the market.</w:t>
      </w:r>
      <w:r>
        <w:t xml:space="preserve"> </w:t>
      </w:r>
      <w:r>
        <w:t xml:space="preserve">Products that have met certain ESG criteria with respect to the investment process or objective may</w:t>
      </w:r>
      <w:r>
        <w:t xml:space="preserve"> </w:t>
      </w:r>
      <w:r>
        <w:t xml:space="preserve">be disclosed under Article 8 (often referred to as ‘light green’ products) or Article 9 (‘dark green’</w:t>
      </w:r>
      <w:r>
        <w:t xml:space="preserve"> </w:t>
      </w:r>
      <w:r>
        <w:t xml:space="preserve">products). All products which do not meet these criteria are disclosed under Article 6, and often</w:t>
      </w:r>
      <w:r>
        <w:t xml:space="preserve"> </w:t>
      </w:r>
      <w:r>
        <w:t xml:space="preserve">considered as ‘other’ products.</w:t>
      </w:r>
      <w:r>
        <w:br/>
      </w:r>
      <w:r>
        <w:t xml:space="preserve">1. Article 8 products consider or promote environmental or social characteristics in the pursuit</w:t>
      </w:r>
      <w:r>
        <w:t xml:space="preserve"> </w:t>
      </w:r>
      <w:r>
        <w:t xml:space="preserve">of other financial objectives.</w:t>
      </w:r>
      <w:r>
        <w:br/>
      </w:r>
      <w:r>
        <w:t xml:space="preserve">2. Article 9 products seek to make a positive impact on society or the environment through</w:t>
      </w:r>
      <w:r>
        <w:t xml:space="preserve"> </w:t>
      </w:r>
      <w:r>
        <w:t xml:space="preserve">sustainable investment and have a non-financial objective at the core of their offering.</w:t>
      </w:r>
      <w:r>
        <w:br/>
      </w:r>
      <w:r>
        <w:t xml:space="preserve">The following graph shows the evolution of Article 8, Article 9 and other funds since Q2 2021.</w:t>
      </w:r>
    </w:p>
    <w:p>
      <w:pPr>
        <w:pStyle w:val="BodyText"/>
      </w:pPr>
      <w:r>
        <w:t xml:space="preserve">Source: Morningstar</w:t>
      </w:r>
      <w:r>
        <w:t xml:space="preserve"> </w:t>
      </w:r>
      <w:r>
        <w:t xml:space="preserve">Historical development: The total market size for EU funds is fluctuating around EUR 9.1 trillion</w:t>
      </w:r>
      <w:r>
        <w:t xml:space="preserve"> </w:t>
      </w:r>
      <w:r>
        <w:t xml:space="preserve">since Q2 2021 with Art. 8 Funds averaging EUR 5.2 trillion (57%), Art. 9 funds 0.3 trillion (3%)</w:t>
      </w:r>
      <w:r>
        <w:t xml:space="preserve"> </w:t>
      </w:r>
      <w:r>
        <w:t xml:space="preserve">and other 3.6 trillion (40%).</w:t>
      </w:r>
    </w:p>
    <w:p>
      <w:pPr>
        <w:pStyle w:val="BodyText"/>
      </w:pPr>
      <w:r>
        <w:t xml:space="preserve">92</w:t>
      </w:r>
    </w:p>
    <w:p>
      <w:pPr>
        <w:pStyle w:val="Compact"/>
        <w:numPr>
          <w:ilvl w:val="0"/>
          <w:numId w:val="1015"/>
        </w:numPr>
      </w:pPr>
      <w:r>
        <w:t xml:space="preserve">Benefits linked to the SFDR regulation</w:t>
      </w:r>
      <w:r>
        <w:t xml:space="preserve"> </w:t>
      </w:r>
      <w:r>
        <w:t xml:space="preserve">2.1. Transparency for investors to understand and compare ESG characteristics</w:t>
      </w:r>
      <w:r>
        <w:br/>
      </w:r>
      <w:r>
        <w:t xml:space="preserve">While the two main specific objectives of this legislative review are 1) an increase of transparency,</w:t>
      </w:r>
      <w:r>
        <w:t xml:space="preserve"> </w:t>
      </w:r>
      <w:r>
        <w:t xml:space="preserve">i.e. the improvement of end-investors’ ability to understand and compare sustainability-linked</w:t>
      </w:r>
      <w:r>
        <w:t xml:space="preserve"> </w:t>
      </w:r>
      <w:r>
        <w:t xml:space="preserve">financial products as well as 2) a low administrative burden for the provision of such transparency,</w:t>
      </w:r>
      <w:r>
        <w:t xml:space="preserve"> </w:t>
      </w:r>
      <w:r>
        <w:t xml:space="preserve">i.e. simplifying and reducing the sustainability-related administrative requirements of the</w:t>
      </w:r>
      <w:r>
        <w:t xml:space="preserve"> </w:t>
      </w:r>
      <w:r>
        <w:t xml:space="preserve">framework for financial market participants, there are further impacts that go beyond these</w:t>
      </w:r>
      <w:r>
        <w:t xml:space="preserve"> </w:t>
      </w:r>
      <w:r>
        <w:t xml:space="preserve">objectives. The following graph illustrates potential objectives that go beyond the cost-effective</w:t>
      </w:r>
      <w:r>
        <w:t xml:space="preserve"> </w:t>
      </w:r>
      <w:r>
        <w:t xml:space="preserve">provision of transparency (outside the dotted box) as proposed in the academic literature.</w:t>
      </w:r>
    </w:p>
    <w:p>
      <w:pPr>
        <w:pStyle w:val="FirstParagraph"/>
      </w:pPr>
      <w:r>
        <w:t xml:space="preserve">Source: Kölbel et al (2020)210 complemented by own analysis.</w:t>
      </w:r>
    </w:p>
    <w:p>
      <w:pPr>
        <w:pStyle w:val="BodyText"/>
      </w:pPr>
      <w:r>
        <w:t xml:space="preserve">To put the legislative review of the SFDR into such a broader context, the paragraphs below</w:t>
      </w:r>
      <w:r>
        <w:t xml:space="preserve"> </w:t>
      </w:r>
      <w:r>
        <w:t xml:space="preserve">provide scientific evidence for 1) investors demand for transparency as well as 2) indications of</w:t>
      </w:r>
      <w:r>
        <w:t xml:space="preserve"> </w:t>
      </w:r>
      <w:r>
        <w:t xml:space="preserve">real-world impacts linked to sustainable investment.</w:t>
      </w:r>
      <w:r>
        <w:t xml:space="preserve"> </w:t>
      </w:r>
      <w:r>
        <w:t xml:space="preserve">2.2. Investor demand for information on ESG characteristics</w:t>
      </w:r>
      <w:r>
        <w:t xml:space="preserve"> </w:t>
      </w:r>
      <w:r>
        <w:t xml:space="preserve">As also shown in Annex 10, investors increasingly demand that their investments not only yield</w:t>
      </w:r>
      <w:r>
        <w:t xml:space="preserve"> </w:t>
      </w:r>
      <w:r>
        <w:t xml:space="preserve">financial returns, but also social and environmental returns. More and more economic papers</w:t>
      </w:r>
      <w:r>
        <w:t xml:space="preserve"> </w:t>
      </w:r>
      <w:r>
        <w:t xml:space="preserve">provide evidence for this, e.g.:</w:t>
      </w:r>
      <w:r>
        <w:br/>
      </w:r>
      <w:r>
        <w:t xml:space="preserve"> Hartzmark and Susmann (Do investors value sustainability? A natural experiment examining</w:t>
      </w:r>
      <w:r>
        <w:t xml:space="preserve"> </w:t>
      </w:r>
      <w:r>
        <w:t xml:space="preserve">ranking and fund flows, The Journal of Finance 74 (6), 2789-2837) show in a natural</w:t>
      </w:r>
      <w:r>
        <w:t xml:space="preserve"> </w:t>
      </w:r>
      <w:r>
        <w:t xml:space="preserve">experiment approach based on Morningstar mutual fund data that when a fund’s sustainability</w:t>
      </w:r>
      <w:r>
        <w:t xml:space="preserve"> </w:t>
      </w:r>
      <w:r>
        <w:t xml:space="preserve">rating improved (e.g. from one ‘globe’ to five ‘globes’), it experienced a positive net flow of</w:t>
      </w:r>
      <w:r>
        <w:t xml:space="preserve"> </w:t>
      </w:r>
      <w:r>
        <w:t xml:space="preserve">funds. Conversely, a decrease in a sustainability rating led to net outflows.</w:t>
      </w:r>
      <w:r>
        <w:t xml:space="preserve"> </w:t>
      </w:r>
      <w:r>
        <w:t xml:space="preserve"> Barber, Brad M., Adair Morse, and Ayako Yasuda, 2021 (Impact investing, Journal of Financial</w:t>
      </w:r>
      <w:r>
        <w:t xml:space="preserve"> </w:t>
      </w:r>
      <w:r>
        <w:t xml:space="preserve">Economics 139 (1), 162-185) document that investors derive nonpecuniary utility from</w:t>
      </w:r>
      <w:r>
        <w:t xml:space="preserve"> </w:t>
      </w:r>
      <w:r>
        <w:t xml:space="preserve">investing in dual-objective VC funds, thus sacrificing returns. They show both that they ex ante</w:t>
      </w:r>
      <w:r>
        <w:t xml:space="preserve"> </w:t>
      </w:r>
      <w:r>
        <w:t xml:space="preserve">(in random utility/willingness-to-pay (WTP) models) accept 2.5-3.7 percentage points of lower</w:t>
      </w:r>
      <w:r>
        <w:t xml:space="preserve"> </w:t>
      </w:r>
      <w:r>
        <w:t xml:space="preserve">internal rates of return for impact funds and ex post actually earn 4.7 percentage points (ppts)</w:t>
      </w:r>
      <w:r>
        <w:t xml:space="preserve"> </w:t>
      </w:r>
      <w:r>
        <w:t xml:space="preserve">lower internal rates of return as compared to traditional VC funds.</w:t>
      </w:r>
      <w:r>
        <w:br/>
      </w:r>
      <w:r>
        <w:t xml:space="preserve"> Bauer, R., Ruof T., and Smeets P, 2021: (</w:t>
      </w:r>
      <w:r>
        <w:t xml:space="preserve">“Get real! Individuals prefer more sustainable</w:t>
      </w:r>
      <w:r>
        <w:t xml:space="preserve"> </w:t>
      </w:r>
      <w:r>
        <w:t xml:space="preserve">investments”</w:t>
      </w:r>
      <w:r>
        <w:t xml:space="preserve">, Review of Financial Studies 34 (8), 3976–4043) run two field surveys (n = 1,669,</w:t>
      </w:r>
      <w:r>
        <w:t xml:space="preserve"> </w:t>
      </w:r>
      <w:r>
        <w:t xml:space="preserve">n = 3,186) with a pension fund that grants its members a real vote on its sustainable-investment</w:t>
      </w:r>
    </w:p>
    <w:p>
      <w:pPr>
        <w:pStyle w:val="BodyText"/>
      </w:pPr>
      <w:r>
        <w:t xml:space="preserve">210 Kölbel J.F., Heeb F., Paetzold F. and Busch T.: Can Sustainable Investing Save the World? Reviewing the</w:t>
      </w:r>
      <w:r>
        <w:t xml:space="preserve"> </w:t>
      </w:r>
      <w:r>
        <w:t xml:space="preserve">Mechanisms of Investor Impact, Organization and Environment 2020, Vol. 33(4) 554-574.</w:t>
      </w:r>
      <w:r>
        <w:t xml:space="preserve"> </w:t>
      </w:r>
      <w:r>
        <w:t xml:space="preserve">Financial Reporting –</w:t>
      </w:r>
      <w:r>
        <w:t xml:space="preserve"> </w:t>
      </w:r>
      <w:r>
        <w:t xml:space="preserve">Transparency on financial</w:t>
      </w:r>
      <w:r>
        <w:t xml:space="preserve"> </w:t>
      </w:r>
      <w:r>
        <w:t xml:space="preserve">risks</w:t>
      </w:r>
      <w:r>
        <w:t xml:space="preserve"> </w:t>
      </w:r>
      <w:r>
        <w:t xml:space="preserve">ESG Reporting –</w:t>
      </w:r>
      <w:r>
        <w:t xml:space="preserve"> </w:t>
      </w:r>
      <w:r>
        <w:t xml:space="preserve">Transparency on financial</w:t>
      </w:r>
      <w:r>
        <w:t xml:space="preserve"> </w:t>
      </w:r>
      <w:r>
        <w:t xml:space="preserve">risks from ESG factors</w:t>
      </w:r>
      <w:r>
        <w:t xml:space="preserve"> </w:t>
      </w:r>
      <w:r>
        <w:t xml:space="preserve">Transparancy on impacts</w:t>
      </w:r>
      <w:r>
        <w:t xml:space="preserve"> </w:t>
      </w:r>
      <w:r>
        <w:t xml:space="preserve">from ESG factors</w:t>
      </w:r>
      <w:r>
        <w:t xml:space="preserve"> </w:t>
      </w:r>
      <w:r>
        <w:t xml:space="preserve">Reliable (low risk of</w:t>
      </w:r>
      <w:r>
        <w:t xml:space="preserve"> </w:t>
      </w:r>
      <w:r>
        <w:t xml:space="preserve">greenwashing) and</w:t>
      </w:r>
      <w:r>
        <w:t xml:space="preserve"> </w:t>
      </w:r>
      <w:r>
        <w:t xml:space="preserve">comparable</w:t>
      </w:r>
      <w:r>
        <w:t xml:space="preserve"> </w:t>
      </w:r>
      <w:r>
        <w:t xml:space="preserve">information for</w:t>
      </w:r>
      <w:r>
        <w:t xml:space="preserve"> </w:t>
      </w:r>
      <w:r>
        <w:t xml:space="preserve">investment decisons</w:t>
      </w:r>
      <w:r>
        <w:t xml:space="preserve"> </w:t>
      </w:r>
      <w:r>
        <w:t xml:space="preserve">(provision of information at</w:t>
      </w:r>
      <w:r>
        <w:t xml:space="preserve"> </w:t>
      </w:r>
      <w:r>
        <w:t xml:space="preserve">a low administrative cost)</w:t>
      </w:r>
      <w:r>
        <w:t xml:space="preserve"> </w:t>
      </w:r>
      <w:r>
        <w:t xml:space="preserve">Objectives of</w:t>
      </w:r>
      <w:r>
        <w:t xml:space="preserve"> </w:t>
      </w:r>
      <w:r>
        <w:t xml:space="preserve">SFDR review</w:t>
      </w:r>
      <w:r>
        <w:t xml:space="preserve"> </w:t>
      </w:r>
      <w:r>
        <w:t xml:space="preserve">e.g. investment into green</w:t>
      </w:r>
      <w:r>
        <w:t xml:space="preserve"> </w:t>
      </w:r>
      <w:r>
        <w:t xml:space="preserve">technology reflected in</w:t>
      </w:r>
      <w:r>
        <w:t xml:space="preserve"> </w:t>
      </w:r>
      <w:r>
        <w:t xml:space="preserve">taxonomy aligned CaPEX</w:t>
      </w:r>
      <w:r>
        <w:t xml:space="preserve"> </w:t>
      </w:r>
      <w:r>
        <w:t xml:space="preserve">e.g. reduction of CO2-</w:t>
      </w:r>
      <w:r>
        <w:t xml:space="preserve"> </w:t>
      </w:r>
      <w:r>
        <w:t xml:space="preserve">Emmissions</w:t>
      </w:r>
      <w:r>
        <w:t xml:space="preserve"> </w:t>
      </w:r>
      <w:r>
        <w:t xml:space="preserve">Company activity</w:t>
      </w:r>
      <w:r>
        <w:t xml:space="preserve"> </w:t>
      </w:r>
      <w:r>
        <w:t xml:space="preserve">Investor activity</w:t>
      </w:r>
      <w:r>
        <w:t xml:space="preserve"> </w:t>
      </w:r>
      <w:r>
        <w:t xml:space="preserve">e.g. capital allocation;</w:t>
      </w:r>
      <w:r>
        <w:t xml:space="preserve"> </w:t>
      </w:r>
      <w:r>
        <w:t xml:space="preserve">engagement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policy. Participants’ strong social preferences are demonstrated by a high demand reflected in</w:t>
      </w:r>
      <w:r>
        <w:t xml:space="preserve"> </w:t>
      </w:r>
      <w:r>
        <w:t xml:space="preserve">two-thirds of participants are willing to expand the fund’s engagement with companies based on</w:t>
      </w:r>
      <w:r>
        <w:t xml:space="preserve"> </w:t>
      </w:r>
      <w:r>
        <w:t xml:space="preserve">selected sustainable development goals, even when they expect engagement to hurt financial</w:t>
      </w:r>
      <w:r>
        <w:t xml:space="preserve"> </w:t>
      </w:r>
      <w:r>
        <w:t xml:space="preserve">performance. Support remains strong after the fund implements the choice.</w:t>
      </w:r>
      <w:r>
        <w:br/>
      </w:r>
      <w:r>
        <w:t xml:space="preserve"> Heeb, Kölbel, Paetzold, Zeisberger (2022): Do Investors care about impact?: The paper assesses</w:t>
      </w:r>
      <w:r>
        <w:t xml:space="preserve"> </w:t>
      </w:r>
      <w:r>
        <w:t xml:space="preserve">how investors’ willingness-to-pay (WTP) for sustainable investments responds to the social</w:t>
      </w:r>
      <w:r>
        <w:t xml:space="preserve"> </w:t>
      </w:r>
      <w:r>
        <w:t xml:space="preserve">impact of those investments, using a framed field experiment. While investors have a</w:t>
      </w:r>
      <w:r>
        <w:t xml:space="preserve"> </w:t>
      </w:r>
      <w:r>
        <w:t xml:space="preserve">substantial WTP for sustainable investments, they do not pay significantly more for more</w:t>
      </w:r>
      <w:r>
        <w:t xml:space="preserve"> </w:t>
      </w:r>
      <w:r>
        <w:t xml:space="preserve">impact. This also holds for dedicated impact investors. When investors compare several</w:t>
      </w:r>
      <w:r>
        <w:t xml:space="preserve"> </w:t>
      </w:r>
      <w:r>
        <w:t xml:space="preserve">sustainable investments, their WTP responds to relative, but not to absolute, levels of impact.</w:t>
      </w:r>
      <w:r>
        <w:t xml:space="preserve"> </w:t>
      </w:r>
      <w:r>
        <w:t xml:space="preserve">Regardless of investments’ impact, investors experience positive emotions when choosing</w:t>
      </w:r>
      <w:r>
        <w:t xml:space="preserve"> </w:t>
      </w:r>
      <w:r>
        <w:t xml:space="preserve">sustainable investments. The findings suggest that the WTP for sustainable investments is</w:t>
      </w:r>
      <w:r>
        <w:t xml:space="preserve"> </w:t>
      </w:r>
      <w:r>
        <w:t xml:space="preserve">primarily driven by an emotional, rather than a calculative, valuation of impact. (JEL D62, G11,</w:t>
      </w:r>
      <w:r>
        <w:t xml:space="preserve"> </w:t>
      </w:r>
      <w:r>
        <w:t xml:space="preserve">G41, Q56)</w:t>
      </w:r>
      <w:r>
        <w:t xml:space="preserve"> </w:t>
      </w:r>
      <w:r>
        <w:t xml:space="preserve">The European Security Markets Authority (ESMA) identifies in a recent study211 covering both</w:t>
      </w:r>
      <w:r>
        <w:t xml:space="preserve"> </w:t>
      </w:r>
      <w:r>
        <w:t xml:space="preserve">UCITS and Alternative Investment Funds that the proportion of funds with ESG-related names</w:t>
      </w:r>
      <w:r>
        <w:t xml:space="preserve"> </w:t>
      </w:r>
      <w:r>
        <w:t xml:space="preserve">increased significantly from less than 3% before 2015 to about 9% by mid-2024. Fund names are</w:t>
      </w:r>
      <w:r>
        <w:t xml:space="preserve"> </w:t>
      </w:r>
      <w:r>
        <w:t xml:space="preserve">most likely the first piece of information investors encounter about a fund and are thus a crucial</w:t>
      </w:r>
      <w:r>
        <w:t xml:space="preserve"> </w:t>
      </w:r>
      <w:r>
        <w:t xml:space="preserve">signal of the fund’s strategy and aims. Therefore, the authors analyse in a panel event study the</w:t>
      </w:r>
      <w:r>
        <w:t xml:space="preserve"> </w:t>
      </w:r>
      <w:r>
        <w:t xml:space="preserve">impact of adding ESG terms to a fund’s name on funds flows. The results indicate that adding an</w:t>
      </w:r>
      <w:r>
        <w:t xml:space="preserve"> </w:t>
      </w:r>
      <w:r>
        <w:t xml:space="preserve">ESG term has a significant impact on fund inflows during the five quarters following the name</w:t>
      </w:r>
      <w:r>
        <w:t xml:space="preserve"> </w:t>
      </w:r>
      <w:r>
        <w:t xml:space="preserve">change with a cumulative increase in inflows over the first-year amounting to 8.9%.</w:t>
      </w:r>
      <w:r>
        <w:t xml:space="preserve"> </w:t>
      </w:r>
      <w:r>
        <w:t xml:space="preserve">While the results above, together with the findings in Annex 10, provide clear and quantifiable</w:t>
      </w:r>
      <w:r>
        <w:t xml:space="preserve"> </w:t>
      </w:r>
      <w:r>
        <w:t xml:space="preserve">indications of investor demand for ESG information and also a change in the pattern of capital</w:t>
      </w:r>
      <w:r>
        <w:t xml:space="preserve"> </w:t>
      </w:r>
      <w:r>
        <w:t xml:space="preserve">flows linked to higher transparency, the objective of the review of the SFDR aims in the first place</w:t>
      </w:r>
      <w:r>
        <w:t xml:space="preserve"> </w:t>
      </w:r>
      <w:r>
        <w:t xml:space="preserve">to increase the quality of such transparency for investors and their ability to understand and</w:t>
      </w:r>
      <w:r>
        <w:t xml:space="preserve"> </w:t>
      </w:r>
      <w:r>
        <w:t xml:space="preserve">compare ESG characteristics (specific objective 2). As the degree of understandability of such</w:t>
      </w:r>
      <w:r>
        <w:t xml:space="preserve"> </w:t>
      </w:r>
      <w:r>
        <w:t xml:space="preserve">information can only be established once the technical details of the disclosures will be fixed,</w:t>
      </w:r>
      <w:r>
        <w:t xml:space="preserve"> </w:t>
      </w:r>
      <w:r>
        <w:t xml:space="preserve">which will take more time and will be performed at level 2 accompanied by dedicated market and</w:t>
      </w:r>
      <w:r>
        <w:t xml:space="preserve"> </w:t>
      </w:r>
      <w:r>
        <w:t xml:space="preserve">consumer studies that will help to develop the disclosures in a way that is most consumer-friendly,</w:t>
      </w:r>
      <w:r>
        <w:t xml:space="preserve"> </w:t>
      </w:r>
      <w:r>
        <w:t xml:space="preserve">the exact benefit of an increased transparency cannot be measured or quantified at this stage. As</w:t>
      </w:r>
      <w:r>
        <w:t xml:space="preserve"> </w:t>
      </w:r>
      <w:r>
        <w:t xml:space="preserve">such the benefit would result from a higher precision, showing ideally ESG information in a</w:t>
      </w:r>
      <w:r>
        <w:t xml:space="preserve"> </w:t>
      </w:r>
      <w:r>
        <w:t xml:space="preserve">reliable manner (i.e. avoiding greenwashing) and making sure that it is correctly understood and</w:t>
      </w:r>
      <w:r>
        <w:t xml:space="preserve"> </w:t>
      </w:r>
      <w:r>
        <w:t xml:space="preserve">integrated into the investment decision. This will help allocating capital in line with the preferences</w:t>
      </w:r>
      <w:r>
        <w:t xml:space="preserve"> </w:t>
      </w:r>
      <w:r>
        <w:t xml:space="preserve">of investors, instead of allocating it either to companies that pretend to score high on ESG topics</w:t>
      </w:r>
      <w:r>
        <w:t xml:space="preserve"> </w:t>
      </w:r>
      <w:r>
        <w:t xml:space="preserve">(greenwashing) or that are misrepresented to perform well on ESG due to a misinterpretation of</w:t>
      </w:r>
      <w:r>
        <w:t xml:space="preserve"> </w:t>
      </w:r>
      <w:r>
        <w:t xml:space="preserve">unduly complex ESG disclosures.</w:t>
      </w:r>
      <w:r>
        <w:t xml:space="preserve"> </w:t>
      </w:r>
      <w:r>
        <w:t xml:space="preserve">2.3. Real world impacts including the transition</w:t>
      </w:r>
      <w:r>
        <w:t xml:space="preserve"> </w:t>
      </w:r>
      <w:r>
        <w:t xml:space="preserve">The ultimate objective of providing transparency on ESG information for financial investments</w:t>
      </w:r>
      <w:r>
        <w:t xml:space="preserve"> </w:t>
      </w:r>
      <w:r>
        <w:t xml:space="preserve">translates also into a real-world impact that is expected to materialise through additional investment</w:t>
      </w:r>
      <w:r>
        <w:t xml:space="preserve"> </w:t>
      </w:r>
      <w:r>
        <w:t xml:space="preserve">into technology that improves the environmental, social or governance characteristics of</w:t>
      </w:r>
      <w:r>
        <w:t xml:space="preserve"> </w:t>
      </w:r>
      <w:r>
        <w:t xml:space="preserve">companies. While this goes also beyond the scope of this impact assessment, we provide here</w:t>
      </w:r>
      <w:r>
        <w:t xml:space="preserve"> </w:t>
      </w:r>
      <w:r>
        <w:t xml:space="preserve">examples to put the impact assessment into a broader context and to show the big picture evidence</w:t>
      </w:r>
      <w:r>
        <w:t xml:space="preserve"> </w:t>
      </w:r>
      <w:r>
        <w:t xml:space="preserve">from the academic literature on real-world impacts:</w:t>
      </w:r>
    </w:p>
    <w:p>
      <w:pPr>
        <w:pStyle w:val="BodyText"/>
      </w:pPr>
      <w:r>
        <w:t xml:space="preserve">211 Amzallag, A., Brouwer N., Mazzacurati J. and Piazza F. (2025): ESMA TRV Risk Analysis: Fund names: ESG-</w:t>
      </w:r>
      <w:r>
        <w:t xml:space="preserve"> </w:t>
      </w:r>
      <w:r>
        <w:t xml:space="preserve">related changes and their impact on investment flows.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 The</w:t>
      </w:r>
      <w:r>
        <w:t xml:space="preserve"> </w:t>
      </w:r>
      <w:r>
        <w:t xml:space="preserve">“Platform on Sustainable Finance report: Monitoring Capital Flows to Sustainable</w:t>
      </w:r>
      <w:r>
        <w:t xml:space="preserve"> </w:t>
      </w:r>
      <w:r>
        <w:t xml:space="preserve">Investments”</w:t>
      </w:r>
      <w:r>
        <w:t xml:space="preserve"> </w:t>
      </w:r>
      <w:r>
        <w:t xml:space="preserve">aims to provide insights into how capital is being allocated towards</w:t>
      </w:r>
      <w:r>
        <w:t xml:space="preserve"> </w:t>
      </w:r>
      <w:r>
        <w:t xml:space="preserve">sustainable investments within the European Union. The report focuses on tracking and</w:t>
      </w:r>
      <w:r>
        <w:t xml:space="preserve"> </w:t>
      </w:r>
      <w:r>
        <w:t xml:space="preserve">measuring the capital flows directed toward environmentally sustainable economic activities</w:t>
      </w:r>
      <w:r>
        <w:t xml:space="preserve"> </w:t>
      </w:r>
      <w:r>
        <w:t xml:space="preserve">(aligned with the EU Taxonomy). Specifically, Taxonomy-aligned CapEx reported in 2023</w:t>
      </w:r>
      <w:r>
        <w:t xml:space="preserve"> </w:t>
      </w:r>
      <w:r>
        <w:t xml:space="preserve">increased from EUR 186 billion in 2022 to EUR 250 billion in 2023. This represents an</w:t>
      </w:r>
      <w:r>
        <w:t xml:space="preserve"> </w:t>
      </w:r>
      <w:r>
        <w:t xml:space="preserve">additional investment of EUR 64 billion in Taxonomy-aligned activities year-on-year.212</w:t>
      </w:r>
      <w:r>
        <w:t xml:space="preserve"> </w:t>
      </w:r>
      <w:r>
        <w:t xml:space="preserve">There is also evidence that establishes a link between sustainable investments and real-world</w:t>
      </w:r>
      <w:r>
        <w:t xml:space="preserve"> </w:t>
      </w:r>
      <w:r>
        <w:t xml:space="preserve">outcomes beyond the EU, e.g. the reduction of CO2 emissions:</w:t>
      </w:r>
      <w:r>
        <w:br/>
      </w:r>
      <w:r>
        <w:t xml:space="preserve"> In a paper published in 2023 the authors Bakry et al. investigate the relationship between</w:t>
      </w:r>
      <w:r>
        <w:t xml:space="preserve"> </w:t>
      </w:r>
      <w:r>
        <w:t xml:space="preserve">green finance and environmental performance in 76 developing countries from 2010 to</w:t>
      </w:r>
      <w:r>
        <w:t xml:space="preserve"> </w:t>
      </w:r>
      <w:r>
        <w:t xml:space="preserve">2019. The study finds that green finance and renewable energy significantly reduce carbon</w:t>
      </w:r>
      <w:r>
        <w:t xml:space="preserve"> </w:t>
      </w:r>
      <w:r>
        <w:t xml:space="preserve">emissions, emphasizing their importance for environmental sustainability. Additionally, the</w:t>
      </w:r>
      <w:r>
        <w:t xml:space="preserve"> </w:t>
      </w:r>
      <w:r>
        <w:t xml:space="preserve">research confirms the Environmental Kuznets Curve, indicating that CO2 emissions initially</w:t>
      </w:r>
      <w:r>
        <w:t xml:space="preserve"> </w:t>
      </w:r>
      <w:r>
        <w:t xml:space="preserve">increase with economic growth but eventually decline, and it highlights the rise in emissions</w:t>
      </w:r>
      <w:r>
        <w:t xml:space="preserve"> </w:t>
      </w:r>
      <w:r>
        <w:t xml:space="preserve">due to urbanization. The findings suggest policy recommendations to further promote green</w:t>
      </w:r>
      <w:r>
        <w:t xml:space="preserve"> </w:t>
      </w:r>
      <w:r>
        <w:t xml:space="preserve">finance and renewable energy to enhance environmental performance in developing</w:t>
      </w:r>
      <w:r>
        <w:t xml:space="preserve"> </w:t>
      </w:r>
      <w:r>
        <w:t xml:space="preserve">regions213.</w:t>
      </w:r>
      <w:r>
        <w:t xml:space="preserve"> </w:t>
      </w:r>
      <w:r>
        <w:t xml:space="preserve"> The authors Huang et al. explore the impact of green finance on green innovation in China’s</w:t>
      </w:r>
      <w:r>
        <w:t xml:space="preserve"> </w:t>
      </w:r>
      <w:r>
        <w:t xml:space="preserve">provinces from 2009 to 2017 in their 2022 published paper “impacts of green finance on</w:t>
      </w:r>
      <w:r>
        <w:t xml:space="preserve"> </w:t>
      </w:r>
      <w:r>
        <w:t xml:space="preserve">green innovation: A spatial and non-linear perspective”. The study finds a significant</w:t>
      </w:r>
      <w:r>
        <w:t xml:space="preserve"> </w:t>
      </w:r>
      <w:r>
        <w:t xml:space="preserve">positive correlation between green finance and green innovation. Both direct and indirect</w:t>
      </w:r>
      <w:r>
        <w:t xml:space="preserve"> </w:t>
      </w:r>
      <w:r>
        <w:t xml:space="preserve">effects of green finance positively influence green innovation locally and in neighbouring</w:t>
      </w:r>
      <w:r>
        <w:t xml:space="preserve"> </w:t>
      </w:r>
      <w:r>
        <w:t xml:space="preserve">areas. However, the effectiveness of green finance decreases as environmental regulation</w:t>
      </w:r>
      <w:r>
        <w:t xml:space="preserve"> </w:t>
      </w:r>
      <w:r>
        <w:t xml:space="preserve">intensity rises. The study suggests leveraging the broader influence of green finance and</w:t>
      </w:r>
      <w:r>
        <w:t xml:space="preserve"> </w:t>
      </w:r>
      <w:r>
        <w:t xml:space="preserve">green innovation to balance regional sustainable development while maintaining appropriate</w:t>
      </w:r>
      <w:r>
        <w:t xml:space="preserve"> </w:t>
      </w:r>
      <w:r>
        <w:t xml:space="preserve">regulation levels214.</w:t>
      </w:r>
      <w:r>
        <w:t xml:space="preserve"> </w:t>
      </w:r>
      <w:r>
        <w:t xml:space="preserve"> In a paper published in 2023 the authors Udeagha and Muchapondwa examine the role of</w:t>
      </w:r>
      <w:r>
        <w:t xml:space="preserve"> </w:t>
      </w:r>
      <w:r>
        <w:t xml:space="preserve">green finance and financial technology (fintech) in advancing environmental sustainability</w:t>
      </w:r>
      <w:r>
        <w:t xml:space="preserve"> </w:t>
      </w:r>
      <w:r>
        <w:t xml:space="preserve">in the BRICS region from 1990 to 2020, highlighting the challenge of reducing reliance on</w:t>
      </w:r>
      <w:r>
        <w:t xml:space="preserve"> </w:t>
      </w:r>
      <w:r>
        <w:t xml:space="preserve">fossil fuels and the region’s untapped renewable energy potential. It finds that green finance,</w:t>
      </w:r>
      <w:r>
        <w:t xml:space="preserve"> </w:t>
      </w:r>
      <w:r>
        <w:t xml:space="preserve">fintech, and energy innovation support carbon neutrality goals, while natural resources rent</w:t>
      </w:r>
      <w:r>
        <w:t xml:space="preserve"> </w:t>
      </w:r>
      <w:r>
        <w:t xml:space="preserve">and economic growth impair environmental quality, aligning with the Environmental</w:t>
      </w:r>
      <w:r>
        <w:t xml:space="preserve"> </w:t>
      </w:r>
      <w:r>
        <w:t xml:space="preserve">Kuznets Curve hypothesis. The study identifies bidirectional causality between CO2</w:t>
      </w:r>
      <w:r>
        <w:t xml:space="preserve"> </w:t>
      </w:r>
      <w:r>
        <w:t xml:space="preserve">emissions and green finance, fintech, and natural resources rent, with unidirectional</w:t>
      </w:r>
      <w:r>
        <w:t xml:space="preserve"> </w:t>
      </w:r>
      <w:r>
        <w:t xml:space="preserve">causality from GDP and energy innovation to emissions. The paper recommends that</w:t>
      </w:r>
      <w:r>
        <w:t xml:space="preserve"> </w:t>
      </w:r>
      <w:r>
        <w:t xml:space="preserve">BRICS nations enhance green financial products and expand green credit opportunities to</w:t>
      </w:r>
      <w:r>
        <w:t xml:space="preserve"> </w:t>
      </w:r>
      <w:r>
        <w:t xml:space="preserve">promote sustainability215.</w:t>
      </w:r>
      <w:r>
        <w:t xml:space="preserve"> </w:t>
      </w:r>
      <w:r>
        <w:t xml:space="preserve"> In their 2025 published paper “Research on the impact of green finance on regional carbon</w:t>
      </w:r>
      <w:r>
        <w:t xml:space="preserve"> </w:t>
      </w:r>
      <w:r>
        <w:t xml:space="preserve">emission reduction and its role mechanisms” the authors Li et al. examine how green</w:t>
      </w:r>
      <w:r>
        <w:t xml:space="preserve"> </w:t>
      </w:r>
      <w:r>
        <w:t xml:space="preserve">finance policy facilitates the transition to a low-carbon economy in China, analysing 270</w:t>
      </w:r>
    </w:p>
    <w:p>
      <w:pPr>
        <w:pStyle w:val="BodyText"/>
      </w:pPr>
      <w:r>
        <w:t xml:space="preserve">212 Platform on Sustainable Finance (March 2025): Financing a clean and Competitive Transition. Monitoring Capital</w:t>
      </w:r>
      <w:r>
        <w:t xml:space="preserve"> </w:t>
      </w:r>
      <w:r>
        <w:t xml:space="preserve">Flows into Sustainable Investments, Final Report, Table 1, page 21.</w:t>
      </w:r>
      <w:r>
        <w:t xml:space="preserve"> </w:t>
      </w:r>
      <w:r>
        <w:t xml:space="preserve">213 Is green finance really “green”? Examining the long-run relationship between green finance, renewable energy and</w:t>
      </w:r>
      <w:r>
        <w:t xml:space="preserve"> </w:t>
      </w:r>
      <w:r>
        <w:t xml:space="preserve">environmental performance in developing countries - ScienceDirect</w:t>
      </w:r>
      <w:r>
        <w:t xml:space="preserve"> </w:t>
      </w:r>
      <w:r>
        <w:t xml:space="preserve">214 Impacts of green finance on green innovation: A spatial and nonlinear perspective - ScienceDirect</w:t>
      </w:r>
      <w:r>
        <w:t xml:space="preserve"> </w:t>
      </w:r>
      <w:r>
        <w:t xml:space="preserve">215 Green finance, fintech, and environmental sustainability: fresh policy insights from the BRICS nations: International</w:t>
      </w:r>
      <w:r>
        <w:t xml:space="preserve"> </w:t>
      </w:r>
      <w:r>
        <w:t xml:space="preserve">Journal of Sustainable Development &amp; World Ecology: Vol 30, No 6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cities from 2010 to 2021 using the double debiased machine learning model. It finds that</w:t>
      </w:r>
      <w:r>
        <w:t xml:space="preserve"> </w:t>
      </w:r>
      <w:r>
        <w:t xml:space="preserve">green finance significantly reduces regional carbon emissions by supporting green</w:t>
      </w:r>
      <w:r>
        <w:t xml:space="preserve"> </w:t>
      </w:r>
      <w:r>
        <w:t xml:space="preserve">technology innovation and optimizing industrial structures. The effects are more</w:t>
      </w:r>
      <w:r>
        <w:t xml:space="preserve"> </w:t>
      </w:r>
      <w:r>
        <w:t xml:space="preserve">pronounced in the eastern region and non-resource-based cities compared to central and</w:t>
      </w:r>
      <w:r>
        <w:t xml:space="preserve"> </w:t>
      </w:r>
      <w:r>
        <w:t xml:space="preserve">western regions and resource-dependent cities. Additionally, policies like</w:t>
      </w:r>
      <w:r>
        <w:t xml:space="preserve"> </w:t>
      </w:r>
      <w:r>
        <w:t xml:space="preserve">“Broadband</w:t>
      </w:r>
      <w:r>
        <w:t xml:space="preserve"> </w:t>
      </w:r>
      <w:r>
        <w:t xml:space="preserve">China,”</w:t>
      </w:r>
      <w:r>
        <w:t xml:space="preserve"> </w:t>
      </w:r>
      <w:r>
        <w:t xml:space="preserve">information consumption pilots, and big data zones enhance the impact of green</w:t>
      </w:r>
      <w:r>
        <w:t xml:space="preserve"> </w:t>
      </w:r>
      <w:r>
        <w:t xml:space="preserve">finance on emission reductions. The study provides insights and policy support for</w:t>
      </w:r>
      <w:r>
        <w:t xml:space="preserve"> </w:t>
      </w:r>
      <w:r>
        <w:t xml:space="preserve">leveraging green finance to advance sustainable economic development216.</w:t>
      </w:r>
      <w:r>
        <w:t xml:space="preserve"> </w:t>
      </w:r>
      <w:r>
        <w:t xml:space="preserve"> The authors Meo and Karim investigated the relationship between green finance and CO2</w:t>
      </w:r>
      <w:r>
        <w:t xml:space="preserve"> </w:t>
      </w:r>
      <w:r>
        <w:t xml:space="preserve">emissions in the top ten economies supporting green finance in their paper “The role of</w:t>
      </w:r>
      <w:r>
        <w:t xml:space="preserve"> </w:t>
      </w:r>
      <w:r>
        <w:t xml:space="preserve">green finance reducing CO2emissions: An empirical analysis” published in 2022. This</w:t>
      </w:r>
      <w:r>
        <w:t xml:space="preserve"> </w:t>
      </w:r>
      <w:r>
        <w:t xml:space="preserve">research confirms that green finance generally reduces CO2 emissions, though the impact</w:t>
      </w:r>
      <w:r>
        <w:t xml:space="preserve"> </w:t>
      </w:r>
      <w:r>
        <w:t xml:space="preserve">varies based on market conditions and country-specific circumstances. The findings suggest</w:t>
      </w:r>
      <w:r>
        <w:t xml:space="preserve"> </w:t>
      </w:r>
      <w:r>
        <w:t xml:space="preserve">that green finance is an effective financial strategy for decreasing CO2 emissions, with its</w:t>
      </w:r>
      <w:r>
        <w:t xml:space="preserve"> </w:t>
      </w:r>
      <w:r>
        <w:t xml:space="preserve">effects influenced by variations in market conditions and the specific contexts of each</w:t>
      </w:r>
      <w:r>
        <w:t xml:space="preserve"> </w:t>
      </w:r>
      <w:r>
        <w:t xml:space="preserve">country217.</w:t>
      </w:r>
      <w:r>
        <w:t xml:space="preserve"> </w:t>
      </w:r>
      <w:r>
        <w:t xml:space="preserve"> In a 2024 published study Meryem Filiz Bastürk explores the impact of green finance on</w:t>
      </w:r>
      <w:r>
        <w:t xml:space="preserve"> </w:t>
      </w:r>
      <w:r>
        <w:t xml:space="preserve">carbon emissions globally, in light of increased environmental awareness through</w:t>
      </w:r>
      <w:r>
        <w:t xml:space="preserve"> </w:t>
      </w:r>
      <w:r>
        <w:t xml:space="preserve">frameworks like the sustainable development goals and the Paris Agreement. Using the</w:t>
      </w:r>
      <w:r>
        <w:t xml:space="preserve"> </w:t>
      </w:r>
      <w:r>
        <w:t xml:space="preserve">system generalized method of moments, she analyses data from 48 countries between 2017</w:t>
      </w:r>
      <w:r>
        <w:t xml:space="preserve"> </w:t>
      </w:r>
      <w:r>
        <w:t xml:space="preserve">and 2022. The findings demonstrate that green finance, particularly through green bonds,</w:t>
      </w:r>
      <w:r>
        <w:t xml:space="preserve"> </w:t>
      </w:r>
      <w:r>
        <w:t xml:space="preserve">significantly reduces carbon emissions, with a 1% increase in green bonds leading to a</w:t>
      </w:r>
      <w:r>
        <w:t xml:space="preserve"> </w:t>
      </w:r>
      <w:r>
        <w:t xml:space="preserve">0.012% decrease in emissions218.</w:t>
      </w:r>
      <w:r>
        <w:br/>
      </w:r>
      <w:r>
        <w:t xml:space="preserve">3. Description of respondent sample with cost information</w:t>
      </w:r>
      <w:r>
        <w:t xml:space="preserve"> </w:t>
      </w:r>
      <w:r>
        <w:t xml:space="preserve">One of the two specific objectives of the SFDR review is keeping the administrative burden for</w:t>
      </w:r>
      <w:r>
        <w:t xml:space="preserve"> </w:t>
      </w:r>
      <w:r>
        <w:t xml:space="preserve">providers of financial products in check. Hence, it is important to establish first a baseline that</w:t>
      </w:r>
      <w:r>
        <w:t xml:space="preserve"> </w:t>
      </w:r>
      <w:r>
        <w:t xml:space="preserve">shows an estimate of the administrative burden linked to the SFDR in the EU.</w:t>
      </w:r>
      <w:r>
        <w:t xml:space="preserve"> </w:t>
      </w:r>
      <w:r>
        <w:t xml:space="preserve">3.1. Source of information</w:t>
      </w:r>
      <w:r>
        <w:t xml:space="preserve"> </w:t>
      </w:r>
      <w:r>
        <w:t xml:space="preserve">As outlined in Annex 2, the Commission performed a targeted stakeholder consultation on the</w:t>
      </w:r>
      <w:r>
        <w:t xml:space="preserve"> </w:t>
      </w:r>
      <w:r>
        <w:t xml:space="preserve">SFDR in the period 14 September 2023 - 22 December 2023. As part of this consultation,</w:t>
      </w:r>
      <w:r>
        <w:t xml:space="preserve"> </w:t>
      </w:r>
      <w:r>
        <w:t xml:space="preserve">respondents were asked to report their one-off and recurrent costs related to SFDR disclosures.</w:t>
      </w:r>
      <w:r>
        <w:br/>
      </w:r>
      <w:r>
        <w:t xml:space="preserve">3.2. One-off and recurrent costs</w:t>
      </w:r>
      <w:r>
        <w:t xml:space="preserve"> </w:t>
      </w:r>
      <w:r>
        <w:t xml:space="preserve">What is meant by one-off and recurrent costs? One-off costs are costs that are incurred only once</w:t>
      </w:r>
      <w:r>
        <w:t xml:space="preserve"> </w:t>
      </w:r>
      <w:r>
        <w:t xml:space="preserve">by businesses that need to adapt to a new or amended piece of legislation or regulation. In the</w:t>
      </w:r>
      <w:r>
        <w:t xml:space="preserve"> </w:t>
      </w:r>
      <w:r>
        <w:t xml:space="preserve">context of the SFDR they cover internal and external costs of financial market participants and</w:t>
      </w:r>
      <w:r>
        <w:t xml:space="preserve"> </w:t>
      </w:r>
      <w:r>
        <w:t xml:space="preserve">financial advisers (or consolidated groups of such entities) for familiarising themselves with the</w:t>
      </w:r>
      <w:r>
        <w:t xml:space="preserve"> </w:t>
      </w:r>
      <w:r>
        <w:t xml:space="preserve">new regulatory landscape and for updating internal processes and IT-systems accordingly.</w:t>
      </w:r>
      <w:r>
        <w:t xml:space="preserve"> </w:t>
      </w:r>
      <w:r>
        <w:t xml:space="preserve">Recurrent costs occur after the one-off adaptation process is finished and cover annual costs for</w:t>
      </w:r>
      <w:r>
        <w:t xml:space="preserve"> </w:t>
      </w:r>
      <w:r>
        <w:t xml:space="preserve">product and entity level disclosures. While a new product launch involves also certain one-off costs</w:t>
      </w:r>
      <w:r>
        <w:t xml:space="preserve"> </w:t>
      </w:r>
      <w:r>
        <w:t xml:space="preserve">from a product perspective (e.g. registration, development of marketing material, preparation of</w:t>
      </w:r>
    </w:p>
    <w:p>
      <w:pPr>
        <w:pStyle w:val="BodyText"/>
      </w:pPr>
      <w:r>
        <w:t xml:space="preserve">216 Research on the impact of green finance on regional carbon emission reduction and its role mechanisms | Scientific</w:t>
      </w:r>
      <w:r>
        <w:t xml:space="preserve"> </w:t>
      </w:r>
      <w:r>
        <w:t xml:space="preserve">Reports</w:t>
      </w:r>
      <w:r>
        <w:t xml:space="preserve"> </w:t>
      </w:r>
      <w:r>
        <w:t xml:space="preserve">217 The role of green finance in reducing CO2 emissions: An empirical analysis - ScienceDirect</w:t>
      </w:r>
      <w:r>
        <w:t xml:space="preserve"> </w:t>
      </w:r>
      <w:r>
        <w:t xml:space="preserve">218 Does Green Finance Reduce Carbon Emissions? Global Evidence Based on System Generalized Method of</w:t>
      </w:r>
      <w:r>
        <w:t xml:space="preserve"> </w:t>
      </w:r>
      <w:r>
        <w:t xml:space="preserve">Moments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pre-contractual disclosures, etc.), these costs are classified as recurrent from an entity perspective as</w:t>
      </w:r>
      <w:r>
        <w:t xml:space="preserve"> </w:t>
      </w:r>
      <w:r>
        <w:t xml:space="preserve">new products are launched on a recurring basis, e.g. every year.</w:t>
      </w:r>
      <w:r>
        <w:br/>
      </w:r>
      <w:r>
        <w:t xml:space="preserve">3.3. Administrative and substantive compliance costs</w:t>
      </w:r>
      <w:r>
        <w:t xml:space="preserve"> </w:t>
      </w:r>
      <w:r>
        <w:t xml:space="preserve">From a better regulation perspective, the one-off and recurrent costs are classified as administrative</w:t>
      </w:r>
      <w:r>
        <w:t xml:space="preserve"> </w:t>
      </w:r>
      <w:r>
        <w:t xml:space="preserve">costs as the SFDR is a disclosure regime and the costs are linked to information obligations. Hence</w:t>
      </w:r>
      <w:r>
        <w:t xml:space="preserve"> </w:t>
      </w:r>
      <w:r>
        <w:t xml:space="preserve">no additional compliance costs linked to changes in core business functions (beyond reporting and</w:t>
      </w:r>
      <w:r>
        <w:t xml:space="preserve"> </w:t>
      </w:r>
      <w:r>
        <w:t xml:space="preserve">disclosure) apply for the SFDR.</w:t>
      </w:r>
      <w:r>
        <w:t xml:space="preserve"> </w:t>
      </w:r>
      <w:r>
        <w:t xml:space="preserve">3.4 Description of respondent sample</w:t>
      </w:r>
      <w:r>
        <w:t xml:space="preserve"> </w:t>
      </w:r>
      <w:r>
        <w:t xml:space="preserve">In total 17 respondents provided both one-off and recurring costs of SFDR disclosures.</w:t>
      </w:r>
      <w:r>
        <w:br/>
      </w:r>
      <w:r>
        <w:t xml:space="preserve">The costs reported had to be decomposed to entity level and product level disclosures. For each</w:t>
      </w:r>
      <w:r>
        <w:t xml:space="preserve"> </w:t>
      </w:r>
      <w:r>
        <w:t xml:space="preserve">respondent, the total reported costs were split in accordance with the reported entity-product level</w:t>
      </w:r>
      <w:r>
        <w:t xml:space="preserve"> </w:t>
      </w:r>
      <w:r>
        <w:t xml:space="preserve">split. On average respondents reported spending about 74 percent for product level and 26 percent</w:t>
      </w:r>
      <w:r>
        <w:t xml:space="preserve"> </w:t>
      </w:r>
      <w:r>
        <w:t xml:space="preserve">for entity level disclosures.219</w:t>
      </w:r>
      <w:r>
        <w:br/>
      </w:r>
      <w:r>
        <w:t xml:space="preserve">Figure 1: Overview of replies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respondents</w:t>
      </w:r>
      <w:r>
        <w:t xml:space="preserve"> </w:t>
      </w:r>
      <w:r>
        <w:t xml:space="preserve">Size</w:t>
      </w:r>
      <w:r>
        <w:t xml:space="preserve"> </w:t>
      </w:r>
      <w:r>
        <w:t xml:space="preserve">AUM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Sust. AUM</w:t>
      </w:r>
      <w:r>
        <w:t xml:space="preserve"> </w:t>
      </w:r>
      <w:r>
        <w:t xml:space="preserve">million</w:t>
      </w:r>
      <w:r>
        <w:t xml:space="preserve"> </w:t>
      </w:r>
      <w:r>
        <w:t xml:space="preserve">EUR</w:t>
      </w:r>
      <w:r>
        <w:t xml:space="preserve"> </w:t>
      </w:r>
      <w:r>
        <w:t xml:space="preserve">One-off</w:t>
      </w:r>
      <w:r>
        <w:t xml:space="preserve"> </w:t>
      </w:r>
      <w:r>
        <w:t xml:space="preserve">cost EUR</w:t>
      </w:r>
      <w:r>
        <w:t xml:space="preserve"> </w:t>
      </w:r>
      <w:r>
        <w:t xml:space="preserve">Recurring</w:t>
      </w:r>
      <w:r>
        <w:t xml:space="preserve"> </w:t>
      </w:r>
      <w:r>
        <w:t xml:space="preserve">c. EUR</w:t>
      </w:r>
      <w:r>
        <w:t xml:space="preserve"> </w:t>
      </w:r>
      <w:r>
        <w:t xml:space="preserve">product</w:t>
      </w:r>
      <w:r>
        <w:t xml:space="preserve"> </w:t>
      </w:r>
      <w:r>
        <w:t xml:space="preserve">level in %</w:t>
      </w:r>
      <w:r>
        <w:t xml:space="preserve"> </w:t>
      </w:r>
      <w:r>
        <w:t xml:space="preserve">entity</w:t>
      </w:r>
      <w:r>
        <w:t xml:space="preserve"> </w:t>
      </w:r>
      <w:r>
        <w:t xml:space="preserve">level in %</w:t>
      </w:r>
      <w:r>
        <w:t xml:space="preserve"> </w:t>
      </w:r>
      <w:r>
        <w:t xml:space="preserve">N=10</w:t>
      </w:r>
      <w:r>
        <w:t xml:space="preserve"> </w:t>
      </w:r>
      <w:r>
        <w:t xml:space="preserve">Large (&gt;250 FTE</w:t>
      </w:r>
      <w:r>
        <w:t xml:space="preserve"> </w:t>
      </w:r>
      <w:r>
        <w:t xml:space="preserve">1 350 074</w:t>
      </w:r>
      <w:r>
        <w:t xml:space="preserve"> </w:t>
      </w:r>
      <w:r>
        <w:t xml:space="preserve">486 228</w:t>
      </w:r>
      <w:r>
        <w:t xml:space="preserve"> </w:t>
      </w:r>
      <w:r>
        <w:t xml:space="preserve">24 822 903</w:t>
      </w:r>
      <w:r>
        <w:t xml:space="preserve"> </w:t>
      </w:r>
      <w:r>
        <w:t xml:space="preserve">7 904 291</w:t>
      </w:r>
      <w:r>
        <w:t xml:space="preserve"> </w:t>
      </w:r>
      <w:r>
        <w:t xml:space="preserve">73</w:t>
      </w:r>
      <w:r>
        <w:t xml:space="preserve"> </w:t>
      </w:r>
      <w:r>
        <w:t xml:space="preserve">94</w:t>
      </w:r>
      <w:r>
        <w:t xml:space="preserve"> </w:t>
      </w:r>
      <w:r>
        <w:t xml:space="preserve">27</w:t>
      </w:r>
      <w:r>
        <w:t xml:space="preserve"> </w:t>
      </w:r>
      <w:r>
        <w:t xml:space="preserve">6</w:t>
      </w:r>
      <w:r>
        <w:t xml:space="preserve"> </w:t>
      </w:r>
      <w:r>
        <w:t xml:space="preserve">N=7</w:t>
      </w:r>
      <w:r>
        <w:t xml:space="preserve"> </w:t>
      </w:r>
      <w:r>
        <w:t xml:space="preserve">SME</w:t>
      </w:r>
      <w:r>
        <w:t xml:space="preserve"> </w:t>
      </w:r>
      <w:r>
        <w:t xml:space="preserve">(&lt;=250</w:t>
      </w:r>
      <w:r>
        <w:t xml:space="preserve"> </w:t>
      </w:r>
      <w:r>
        <w:t xml:space="preserve">FTE)</w:t>
      </w:r>
      <w:r>
        <w:t xml:space="preserve"> </w:t>
      </w:r>
      <w:r>
        <w:t xml:space="preserve">47 641</w:t>
      </w:r>
      <w:r>
        <w:t xml:space="preserve"> </w:t>
      </w:r>
      <w:r>
        <w:t xml:space="preserve">5 661</w:t>
      </w:r>
      <w:r>
        <w:t xml:space="preserve"> </w:t>
      </w:r>
      <w:r>
        <w:t xml:space="preserve">3 873 870</w:t>
      </w:r>
      <w:r>
        <w:t xml:space="preserve"> </w:t>
      </w:r>
      <w:r>
        <w:t xml:space="preserve">1 986 787</w:t>
      </w:r>
      <w:r>
        <w:t xml:space="preserve"> </w:t>
      </w:r>
      <w:r>
        <w:t xml:space="preserve">TOTAL/ weighted average</w:t>
      </w:r>
      <w:r>
        <w:t xml:space="preserve"> </w:t>
      </w:r>
      <w:r>
        <w:t xml:space="preserve">1 397 715</w:t>
      </w:r>
    </w:p>
    <w:p>
      <w:pPr>
        <w:pStyle w:val="BodyText"/>
      </w:pPr>
      <w:r>
        <w:t xml:space="preserve">28 696 773</w:t>
      </w:r>
      <w:r>
        <w:t xml:space="preserve"> </w:t>
      </w:r>
      <w:r>
        <w:t xml:space="preserve">9 891 078</w:t>
      </w:r>
      <w:r>
        <w:t xml:space="preserve"> </w:t>
      </w:r>
      <w:r>
        <w:t xml:space="preserve">74</w:t>
      </w:r>
      <w:r>
        <w:t xml:space="preserve"> </w:t>
      </w:r>
      <w:r>
        <w:t xml:space="preserve">26</w:t>
      </w:r>
      <w:r>
        <w:t xml:space="preserve"> </w:t>
      </w:r>
      <w:r>
        <w:t xml:space="preserve">Source: Stakeholder consultation</w:t>
      </w:r>
      <w:r>
        <w:t xml:space="preserve"> </w:t>
      </w:r>
      <w:r>
        <w:t xml:space="preserve">The 17 respondents with comprehensive cost information in the sample reported in total about</w:t>
      </w:r>
      <w:r>
        <w:t xml:space="preserve"> </w:t>
      </w:r>
      <w:r>
        <w:t xml:space="preserve">EUR 29 million of one-off implementation costs (0.002% of their AUM) and EUR 10 million of</w:t>
      </w:r>
      <w:r>
        <w:t xml:space="preserve"> </w:t>
      </w:r>
      <w:r>
        <w:t xml:space="preserve">annually recurring costs (0.001% of their AUM).</w:t>
      </w:r>
      <w:r>
        <w:t xml:space="preserve"> </w:t>
      </w:r>
      <w:r>
        <w:t xml:space="preserve">3.5. Representativeness of sample</w:t>
      </w:r>
      <w:r>
        <w:t xml:space="preserve"> </w:t>
      </w:r>
      <w:r>
        <w:t xml:space="preserve">The 17 respondents with comprehensive cost information (i.e. one-off and recurring costs as well as</w:t>
      </w:r>
      <w:r>
        <w:t xml:space="preserve"> </w:t>
      </w:r>
      <w:r>
        <w:t xml:space="preserve">a split between entity- and product level disclosures) for the SFDR are representing about 9% of the</w:t>
      </w:r>
      <w:r>
        <w:t xml:space="preserve"> </w:t>
      </w:r>
      <w:r>
        <w:t xml:space="preserve">market measured by AUM.</w:t>
      </w:r>
    </w:p>
    <w:p>
      <w:pPr>
        <w:pStyle w:val="BodyText"/>
      </w:pPr>
      <w:r>
        <w:t xml:space="preserve">219 There were additional respondents that reported the split of product and entity level disclosures and that were taken</w:t>
      </w:r>
      <w:r>
        <w:t xml:space="preserve"> </w:t>
      </w:r>
      <w:r>
        <w:t xml:space="preserve">into account to calculate the average, while those respondents are not shown in the table as they did not provide all of</w:t>
      </w:r>
      <w:r>
        <w:t xml:space="preserve"> </w:t>
      </w:r>
      <w:r>
        <w:t xml:space="preserve">the information displayed in the columns.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Description of group</w:t>
      </w:r>
      <w:r>
        <w:t xml:space="preserve"> </w:t>
      </w:r>
      <w:r>
        <w:t xml:space="preserve">Popu-</w:t>
      </w:r>
      <w:r>
        <w:t xml:space="preserve"> </w:t>
      </w:r>
      <w:r>
        <w:t xml:space="preserve">lation</w:t>
      </w:r>
      <w:r>
        <w:t xml:space="preserve"> </w:t>
      </w:r>
      <w:r>
        <w:t xml:space="preserve">Sample</w:t>
      </w:r>
      <w:r>
        <w:t xml:space="preserve"> </w:t>
      </w:r>
      <w:r>
        <w:t xml:space="preserve">largest companies (AUM &gt;= EUR 378 billion), representing top 20% AuM</w:t>
      </w:r>
      <w:r>
        <w:t xml:space="preserve"> </w:t>
      </w:r>
      <w:r>
        <w:t xml:space="preserve">3</w:t>
      </w:r>
      <w:r>
        <w:t xml:space="preserve"> </w:t>
      </w:r>
      <w:r>
        <w:t xml:space="preserve">2</w:t>
      </w:r>
      <w:r>
        <w:t xml:space="preserve"> </w:t>
      </w:r>
      <w:r>
        <w:t xml:space="preserve">2nd largest companies (EUR 378 billion &gt; AUM &gt;= EUR 155 billion), repr. 20% AuM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3rd largest companies (EUR 155 billion &gt; AUM &gt;= EUR 72 billion), repr. 20% AuM</w:t>
      </w:r>
      <w:r>
        <w:t xml:space="preserve"> </w:t>
      </w:r>
      <w:r>
        <w:t xml:space="preserve">19</w:t>
      </w:r>
      <w:r>
        <w:t xml:space="preserve"> </w:t>
      </w:r>
      <w:r>
        <w:t xml:space="preserve">2</w:t>
      </w:r>
      <w:r>
        <w:t xml:space="preserve"> </w:t>
      </w:r>
      <w:r>
        <w:t xml:space="preserve">4th largest companies (EUR 72 billion &gt; AUM &gt;= EUR 19 billion), repr. 20% AuM</w:t>
      </w:r>
      <w:r>
        <w:t xml:space="preserve"> </w:t>
      </w:r>
      <w:r>
        <w:t xml:space="preserve">61</w:t>
      </w:r>
      <w:r>
        <w:t xml:space="preserve"> </w:t>
      </w:r>
      <w:r>
        <w:t xml:space="preserve">3</w:t>
      </w:r>
      <w:r>
        <w:t xml:space="preserve"> </w:t>
      </w:r>
      <w:r>
        <w:t xml:space="preserve">5th largest companies (EUR 19 billion &gt; AUM) in the population, ), repr. 20% AuM</w:t>
      </w:r>
      <w:r>
        <w:t xml:space="preserve"> </w:t>
      </w:r>
      <w:r>
        <w:t xml:space="preserve">1 760</w:t>
      </w:r>
      <w:r>
        <w:t xml:space="preserve"> </w:t>
      </w:r>
      <w:r>
        <w:t xml:space="preserve">7</w:t>
      </w:r>
      <w:r>
        <w:t xml:space="preserve"> </w:t>
      </w:r>
      <w:r>
        <w:t xml:space="preserve">Total</w:t>
      </w:r>
      <w:r>
        <w:t xml:space="preserve"> </w:t>
      </w:r>
      <w:r>
        <w:t xml:space="preserve">1 853</w:t>
      </w:r>
      <w:r>
        <w:t xml:space="preserve"> </w:t>
      </w:r>
      <w:r>
        <w:t xml:space="preserve">17</w:t>
      </w:r>
      <w:r>
        <w:t xml:space="preserve"> </w:t>
      </w:r>
      <w:r>
        <w:t xml:space="preserve">Source: Population: Morningstar and sample obtained in open public consultation.</w:t>
      </w:r>
      <w:r>
        <w:t xml:space="preserve"> </w:t>
      </w:r>
      <w:r>
        <w:t xml:space="preserve">The table above shows companies of each size bucket are represented in the sample and also in the</w:t>
      </w:r>
      <w:r>
        <w:t xml:space="preserve"> </w:t>
      </w:r>
      <w:r>
        <w:t xml:space="preserve">Morningstar population.</w:t>
      </w:r>
      <w:r>
        <w:br/>
      </w:r>
      <w:r>
        <w:t xml:space="preserve">Furthermore, a decomposition into the classical categories of large companies and SME shows that</w:t>
      </w:r>
      <w:r>
        <w:t xml:space="preserve"> </w:t>
      </w:r>
      <w:r>
        <w:t xml:space="preserve">both large and SME companies are represented in the sample and in the Morningstar population</w:t>
      </w:r>
      <w:r>
        <w:t xml:space="preserve"> </w:t>
      </w:r>
      <w:r>
        <w:t xml:space="preserve">and data of both groups is hence considered in the cost estimations.</w:t>
      </w:r>
      <w:r>
        <w:t xml:space="preserve"> </w:t>
      </w:r>
      <w:r>
        <w:t xml:space="preserve">Description of group</w:t>
      </w:r>
      <w:r>
        <w:t xml:space="preserve"> </w:t>
      </w:r>
      <w:r>
        <w:t xml:space="preserve">Morningstar</w:t>
      </w:r>
      <w:r>
        <w:t xml:space="preserve"> </w:t>
      </w:r>
      <w:r>
        <w:t xml:space="preserve">population</w:t>
      </w:r>
      <w:r>
        <w:t xml:space="preserve"> </w:t>
      </w:r>
      <w:r>
        <w:t xml:space="preserve">Sample</w:t>
      </w:r>
      <w:r>
        <w:t xml:space="preserve"> </w:t>
      </w:r>
      <w:r>
        <w:t xml:space="preserve">Large companies220 (AUM &gt;= EUR 25 billion), representing about</w:t>
      </w:r>
      <w:r>
        <w:t xml:space="preserve"> </w:t>
      </w:r>
      <w:r>
        <w:t xml:space="preserve">80% of AUM</w:t>
      </w:r>
      <w:r>
        <w:t xml:space="preserve"> </w:t>
      </w:r>
      <w:r>
        <w:t xml:space="preserve">69</w:t>
      </w:r>
      <w:r>
        <w:t xml:space="preserve"> </w:t>
      </w:r>
      <w:r>
        <w:t xml:space="preserve">10</w:t>
      </w:r>
      <w:r>
        <w:t xml:space="preserve"> </w:t>
      </w:r>
      <w:r>
        <w:t xml:space="preserve">SME companies (EUR 25 billion &lt; AUM) in the population,</w:t>
      </w:r>
      <w:r>
        <w:t xml:space="preserve"> </w:t>
      </w:r>
      <w:r>
        <w:t xml:space="preserve">representing 20% of AuM</w:t>
      </w:r>
      <w:r>
        <w:t xml:space="preserve"> </w:t>
      </w:r>
      <w:r>
        <w:t xml:space="preserve">1 784</w:t>
      </w:r>
      <w:r>
        <w:t xml:space="preserve"> </w:t>
      </w:r>
      <w:r>
        <w:t xml:space="preserve">7</w:t>
      </w:r>
      <w:r>
        <w:t xml:space="preserve"> </w:t>
      </w:r>
      <w:r>
        <w:t xml:space="preserve">Total</w:t>
      </w:r>
      <w:r>
        <w:t xml:space="preserve"> </w:t>
      </w:r>
      <w:r>
        <w:t xml:space="preserve">1 853</w:t>
      </w:r>
      <w:r>
        <w:t xml:space="preserve"> </w:t>
      </w:r>
      <w:r>
        <w:t xml:space="preserve">17</w:t>
      </w:r>
      <w:r>
        <w:t xml:space="preserve"> </w:t>
      </w:r>
      <w:r>
        <w:t xml:space="preserve">Source: Sample obtained in open public consultation.</w:t>
      </w:r>
      <w:r>
        <w:t xml:space="preserve"> </w:t>
      </w:r>
      <w:r>
        <w:t xml:space="preserve">3.6. Initial analysis of cost sample</w:t>
      </w:r>
      <w:r>
        <w:t xml:space="preserve"> </w:t>
      </w:r>
      <w:r>
        <w:t xml:space="preserve">An analysis by size has shown that there are strong fixed cost degression effects, meaning that large</w:t>
      </w:r>
      <w:r>
        <w:t xml:space="preserve"> </w:t>
      </w:r>
      <w:r>
        <w:t xml:space="preserve">financial market participants spend significantly lower percentages of their AUM on SFDR</w:t>
      </w:r>
      <w:r>
        <w:t xml:space="preserve"> </w:t>
      </w:r>
      <w:r>
        <w:t xml:space="preserve">disclosures.</w:t>
      </w:r>
      <w:r>
        <w:t xml:space="preserve"> </w:t>
      </w:r>
      <w:r>
        <w:t xml:space="preserve">If both the cost information in % of AuM and the AuM were plotted on a logarithmic scale, an</w:t>
      </w:r>
      <w:r>
        <w:t xml:space="preserve"> </w:t>
      </w:r>
      <w:r>
        <w:t xml:space="preserve">approximately linear relationship could be established. This means, moving for one unit on the x-</w:t>
      </w:r>
      <w:r>
        <w:t xml:space="preserve"> </w:t>
      </w:r>
      <w:r>
        <w:t xml:space="preserve">axis, i.e. increasing the AuM by a factor of 10, led on average to a decrease of the costs expressed</w:t>
      </w:r>
      <w:r>
        <w:t xml:space="preserve"> </w:t>
      </w:r>
      <w:r>
        <w:t xml:space="preserve">as a share of AuM by about 2/3rds or 67%. E.g. if an asset manager with EUR 40 000 million of</w:t>
      </w:r>
      <w:r>
        <w:t xml:space="preserve"> </w:t>
      </w:r>
      <w:r>
        <w:t xml:space="preserve">AUM has costs of 7%, the costs decrease by about 2/3rd to about 2% if the asset manager grows by</w:t>
      </w:r>
      <w:r>
        <w:t xml:space="preserve"> </w:t>
      </w:r>
      <w:r>
        <w:t xml:space="preserve">a factor of 10, i.e. to EUR 400 000 million of AuM.</w:t>
      </w:r>
    </w:p>
    <w:p>
      <w:pPr>
        <w:pStyle w:val="BodyText"/>
      </w:pPr>
      <w:r>
        <w:t xml:space="preserve">220 AUM is the only dimension that we have available for the market sample, whereas the SME definition (that is</w:t>
      </w:r>
      <w:r>
        <w:t xml:space="preserve"> </w:t>
      </w:r>
      <w:r>
        <w:t xml:space="preserve">designed rather for real economy companies and not financial companies) is based on number of employees, turnover</w:t>
      </w:r>
      <w:r>
        <w:t xml:space="preserve"> </w:t>
      </w:r>
      <w:r>
        <w:t xml:space="preserve">and balance sheet total. For the sample obtained in the stakeholder consultation, an SME classification by employees</w:t>
      </w:r>
      <w:r>
        <w:t xml:space="preserve"> </w:t>
      </w:r>
      <w:r>
        <w:t xml:space="preserve">has been requested (with large &gt; =250 employees and SME below that threshold). For that sample companies that are</w:t>
      </w:r>
      <w:r>
        <w:t xml:space="preserve"> </w:t>
      </w:r>
      <w:r>
        <w:t xml:space="preserve">SME (by number of employees) had typically AuM &lt;= 25 000 million (with only one exception in the sample). Hence,</w:t>
      </w:r>
      <w:r>
        <w:t xml:space="preserve"> </w:t>
      </w:r>
      <w:r>
        <w:t xml:space="preserve">this cut-off value has been used to identify SME in the Morningstar population (that did not show an employee-based</w:t>
      </w:r>
      <w:r>
        <w:t xml:space="preserve"> </w:t>
      </w:r>
      <w:r>
        <w:t xml:space="preserve">SME classification for the fund providers covered).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Figure 2: Recurring entity level costs</w:t>
      </w:r>
    </w:p>
    <w:p>
      <w:pPr>
        <w:pStyle w:val="BodyText"/>
      </w:pPr>
      <w:r>
        <w:t xml:space="preserve">a=</w:t>
      </w:r>
      <w:r>
        <w:t xml:space="preserve"> </w:t>
      </w:r>
      <w:r>
        <w:t xml:space="preserve">-2.68050985</w:t>
      </w:r>
      <w:r>
        <w:t xml:space="preserve"> </w:t>
      </w:r>
      <w:r>
        <w:t xml:space="preserve">b=</w:t>
      </w:r>
      <w:r>
        <w:t xml:space="preserve"> </w:t>
      </w:r>
      <w:r>
        <w:t xml:space="preserve">-0.60413691</w:t>
      </w:r>
      <w:r>
        <w:t xml:space="preserve"> </w:t>
      </w:r>
      <w:r>
        <w:t xml:space="preserve">R Square</w:t>
      </w:r>
      <w:r>
        <w:t xml:space="preserve"> </w:t>
      </w:r>
      <w:r>
        <w:t xml:space="preserve">0.846639718</w:t>
      </w:r>
      <w:r>
        <w:t xml:space="preserve"> </w:t>
      </w:r>
      <w:r>
        <w:t xml:space="preserve">Standard</w:t>
      </w:r>
      <w:r>
        <w:t xml:space="preserve"> </w:t>
      </w:r>
      <w:r>
        <w:t xml:space="preserve">Error</w:t>
      </w:r>
      <w:r>
        <w:t xml:space="preserve"> </w:t>
      </w:r>
      <w:r>
        <w:t xml:space="preserve">0.383187686</w:t>
      </w:r>
      <w:r>
        <w:t xml:space="preserve"> </w:t>
      </w:r>
      <w:r>
        <w:t xml:space="preserve">Observations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Figure 3: One-off entity level costs</w:t>
      </w:r>
    </w:p>
    <w:p>
      <w:pPr>
        <w:pStyle w:val="BodyText"/>
      </w:pPr>
      <w:r>
        <w:t xml:space="preserve">a=</w:t>
      </w:r>
      <w:r>
        <w:t xml:space="preserve"> </w:t>
      </w:r>
      <w:r>
        <w:t xml:space="preserve">-3.2145606</w:t>
      </w:r>
      <w:r>
        <w:t xml:space="preserve"> </w:t>
      </w:r>
      <w:r>
        <w:t xml:space="preserve">b=</w:t>
      </w:r>
      <w:r>
        <w:t xml:space="preserve"> </w:t>
      </w:r>
      <w:r>
        <w:t xml:space="preserve">-0.378026</w:t>
      </w:r>
      <w:r>
        <w:t xml:space="preserve"> </w:t>
      </w:r>
      <w:r>
        <w:t xml:space="preserve">R Square</w:t>
      </w:r>
      <w:r>
        <w:t xml:space="preserve"> </w:t>
      </w:r>
      <w:r>
        <w:t xml:space="preserve">0.678516</w:t>
      </w:r>
      <w:r>
        <w:t xml:space="preserve"> </w:t>
      </w:r>
      <w:r>
        <w:t xml:space="preserve">Standard Error</w:t>
      </w:r>
      <w:r>
        <w:t xml:space="preserve"> </w:t>
      </w:r>
      <w:r>
        <w:t xml:space="preserve">0.38652</w:t>
      </w:r>
      <w:r>
        <w:t xml:space="preserve"> </w:t>
      </w:r>
      <w:r>
        <w:t xml:space="preserve">Observations</w:t>
      </w:r>
      <w:r>
        <w:t xml:space="preserve"> </w:t>
      </w:r>
      <w:r>
        <w:t xml:space="preserve">15</w:t>
      </w:r>
    </w:p>
    <w:p>
      <w:pPr>
        <w:pStyle w:val="BodyText"/>
      </w:pPr>
      <w:r>
        <w:t xml:space="preserve">-7</w:t>
      </w:r>
      <w:r>
        <w:t xml:space="preserve"> </w:t>
      </w:r>
      <w:r>
        <w:t xml:space="preserve">-6,5</w:t>
      </w:r>
      <w:r>
        <w:t xml:space="preserve"> </w:t>
      </w:r>
      <w:r>
        <w:t xml:space="preserve">-6</w:t>
      </w:r>
      <w:r>
        <w:t xml:space="preserve"> </w:t>
      </w:r>
      <w:r>
        <w:t xml:space="preserve">-5,5</w:t>
      </w:r>
      <w:r>
        <w:t xml:space="preserve"> </w:t>
      </w:r>
      <w:r>
        <w:t xml:space="preserve">-5</w:t>
      </w:r>
      <w:r>
        <w:t xml:space="preserve"> </w:t>
      </w:r>
      <w:r>
        <w:t xml:space="preserve">-4,5</w:t>
      </w:r>
      <w:r>
        <w:t xml:space="preserve"> </w:t>
      </w:r>
      <w:r>
        <w:t xml:space="preserve">-4</w:t>
      </w:r>
      <w:r>
        <w:t xml:space="preserve"> </w:t>
      </w:r>
      <w:r>
        <w:t xml:space="preserve">-3,5</w:t>
      </w:r>
      <w:r>
        <w:t xml:space="preserve"> </w:t>
      </w:r>
      <w:r>
        <w:t xml:space="preserve">-3</w:t>
      </w:r>
      <w:r>
        <w:t xml:space="preserve"> </w:t>
      </w:r>
      <w:r>
        <w:t xml:space="preserve">-2,5</w:t>
      </w:r>
      <w:r>
        <w:t xml:space="preserve"> </w:t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log10RecEntityCosts</w:t>
      </w:r>
      <w:r>
        <w:t xml:space="preserve"> </w:t>
      </w:r>
      <w:r>
        <w:t xml:space="preserve">-8</w:t>
      </w:r>
      <w:r>
        <w:t xml:space="preserve"> </w:t>
      </w:r>
      <w:r>
        <w:t xml:space="preserve">-7,5</w:t>
      </w:r>
      <w:r>
        <w:t xml:space="preserve"> </w:t>
      </w:r>
      <w:r>
        <w:t xml:space="preserve">-7</w:t>
      </w:r>
      <w:r>
        <w:t xml:space="preserve"> </w:t>
      </w:r>
      <w:r>
        <w:t xml:space="preserve">-6,5</w:t>
      </w:r>
      <w:r>
        <w:t xml:space="preserve"> </w:t>
      </w:r>
      <w:r>
        <w:t xml:space="preserve">-6</w:t>
      </w:r>
      <w:r>
        <w:t xml:space="preserve"> </w:t>
      </w:r>
      <w:r>
        <w:t xml:space="preserve">-5,5</w:t>
      </w:r>
      <w:r>
        <w:t xml:space="preserve"> </w:t>
      </w:r>
      <w:r>
        <w:t xml:space="preserve">-5</w:t>
      </w:r>
      <w:r>
        <w:t xml:space="preserve"> </w:t>
      </w:r>
      <w:r>
        <w:t xml:space="preserve">-4,5</w:t>
      </w:r>
      <w:r>
        <w:t xml:space="preserve"> </w:t>
      </w:r>
      <w:r>
        <w:t xml:space="preserve">-4</w:t>
      </w:r>
      <w:r>
        <w:t xml:space="preserve"> </w:t>
      </w:r>
      <w:r>
        <w:t xml:space="preserve">3,2</w:t>
      </w:r>
      <w:r>
        <w:t xml:space="preserve"> </w:t>
      </w:r>
      <w:r>
        <w:t xml:space="preserve">3,7</w:t>
      </w:r>
      <w:r>
        <w:t xml:space="preserve"> </w:t>
      </w:r>
      <w:r>
        <w:t xml:space="preserve">4,2</w:t>
      </w:r>
      <w:r>
        <w:t xml:space="preserve"> </w:t>
      </w:r>
      <w:r>
        <w:t xml:space="preserve">4,7</w:t>
      </w:r>
      <w:r>
        <w:t xml:space="preserve"> </w:t>
      </w:r>
      <w:r>
        <w:t xml:space="preserve">5,2</w:t>
      </w:r>
      <w:r>
        <w:t xml:space="preserve"> </w:t>
      </w:r>
      <w:r>
        <w:t xml:space="preserve">5,7</w:t>
      </w:r>
      <w:r>
        <w:t xml:space="preserve"> </w:t>
      </w:r>
      <w:r>
        <w:t xml:space="preserve">6,2</w:t>
      </w:r>
      <w:r>
        <w:t xml:space="preserve"> </w:t>
      </w:r>
      <w:r>
        <w:t xml:space="preserve">log10OneoffEntityCosts</w:t>
      </w:r>
      <w:r>
        <w:t xml:space="preserve"> </w:t>
      </w:r>
      <w:r>
        <w:t xml:space="preserve">Outlier</w:t>
      </w:r>
      <w:r>
        <w:t xml:space="preserve"> </w:t>
      </w:r>
      <w:r>
        <w:t xml:space="preserve">log10 𝑐𝑜𝑠𝑡𝑠% = 𝑎+ 𝑏∙log10 𝐴𝑈𝑀</w:t>
      </w:r>
      <w:r>
        <w:t xml:space="preserve"> </w:t>
      </w:r>
      <w:r>
        <w:t xml:space="preserve">log10 𝑐𝑜𝑠𝑡𝑠% = 𝑎+ 𝑏∙log10 𝐴𝑈𝑀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Figure 4: Recurring product level costs</w:t>
      </w:r>
    </w:p>
    <w:p>
      <w:pPr>
        <w:pStyle w:val="BodyText"/>
      </w:pPr>
      <w:r>
        <w:t xml:space="preserve">a=</w:t>
      </w:r>
      <w:r>
        <w:t xml:space="preserve"> </w:t>
      </w:r>
      <w:r>
        <w:t xml:space="preserve">-2.4189734</w:t>
      </w:r>
      <w:r>
        <w:t xml:space="preserve"> </w:t>
      </w:r>
      <w:r>
        <w:t xml:space="preserve">b=</w:t>
      </w:r>
      <w:r>
        <w:t xml:space="preserve"> </w:t>
      </w:r>
      <w:r>
        <w:t xml:space="preserve">-0.4836461</w:t>
      </w:r>
      <w:r>
        <w:t xml:space="preserve"> </w:t>
      </w:r>
      <w:r>
        <w:t xml:space="preserve">R Square</w:t>
      </w:r>
      <w:r>
        <w:t xml:space="preserve"> </w:t>
      </w:r>
      <w:r>
        <w:t xml:space="preserve">0.61516</w:t>
      </w:r>
      <w:r>
        <w:t xml:space="preserve"> </w:t>
      </w:r>
      <w:r>
        <w:t xml:space="preserve">Standard Error</w:t>
      </w:r>
      <w:r>
        <w:t xml:space="preserve"> </w:t>
      </w:r>
      <w:r>
        <w:t xml:space="preserve">0.426611</w:t>
      </w:r>
      <w:r>
        <w:t xml:space="preserve"> </w:t>
      </w:r>
      <w:r>
        <w:t xml:space="preserve">Observations</w:t>
      </w:r>
      <w:r>
        <w:t xml:space="preserve"> </w:t>
      </w:r>
      <w:r>
        <w:t xml:space="preserve">18</w:t>
      </w:r>
    </w:p>
    <w:p>
      <w:pPr>
        <w:pStyle w:val="BodyText"/>
      </w:pPr>
      <w:r>
        <w:t xml:space="preserve">Figure 5: One-off product level costs</w:t>
      </w:r>
    </w:p>
    <w:p>
      <w:pPr>
        <w:pStyle w:val="BodyText"/>
      </w:pPr>
      <w:r>
        <w:t xml:space="preserve">a=</w:t>
      </w:r>
      <w:r>
        <w:t xml:space="preserve"> </w:t>
      </w:r>
      <w:r>
        <w:t xml:space="preserve">-2.60399705</w:t>
      </w:r>
      <w:r>
        <w:t xml:space="preserve"> </w:t>
      </w:r>
      <w:r>
        <w:t xml:space="preserve">b=</w:t>
      </w:r>
      <w:r>
        <w:t xml:space="preserve"> </w:t>
      </w:r>
      <w:r>
        <w:t xml:space="preserve">-0.36264267</w:t>
      </w:r>
      <w:r>
        <w:t xml:space="preserve"> </w:t>
      </w:r>
      <w:r>
        <w:t xml:space="preserve">R Square</w:t>
      </w:r>
      <w:r>
        <w:t xml:space="preserve"> </w:t>
      </w:r>
      <w:r>
        <w:t xml:space="preserve">0.313470364</w:t>
      </w:r>
      <w:r>
        <w:t xml:space="preserve"> </w:t>
      </w:r>
      <w:r>
        <w:t xml:space="preserve">Standard Error</w:t>
      </w:r>
      <w:r>
        <w:t xml:space="preserve"> </w:t>
      </w:r>
      <w:r>
        <w:t xml:space="preserve">0.618120494</w:t>
      </w:r>
      <w:r>
        <w:t xml:space="preserve"> </w:t>
      </w:r>
      <w:r>
        <w:t xml:space="preserve">Observations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Based on the sample cost observations, a regression analysis has been performed to determine a</w:t>
      </w:r>
      <w:r>
        <w:t xml:space="preserve"> </w:t>
      </w:r>
      <w:r>
        <w:t xml:space="preserve">cost function that estimates the relative costs (expressed as a percentage of AUM) as a dependent</w:t>
      </w:r>
      <w:r>
        <w:t xml:space="preserve"> </w:t>
      </w:r>
      <w:r>
        <w:t xml:space="preserve">variable of AUM for entity level disclosures and of sustainable AUM (i.e. SFDR Art. 8 disclosing</w:t>
      </w:r>
      <w:r>
        <w:t xml:space="preserve"> </w:t>
      </w:r>
      <w:r>
        <w:t xml:space="preserve">-6</w:t>
      </w:r>
      <w:r>
        <w:t xml:space="preserve"> </w:t>
      </w:r>
      <w:r>
        <w:t xml:space="preserve">-5,5</w:t>
      </w:r>
      <w:r>
        <w:t xml:space="preserve"> </w:t>
      </w:r>
      <w:r>
        <w:t xml:space="preserve">-5</w:t>
      </w:r>
      <w:r>
        <w:t xml:space="preserve"> </w:t>
      </w:r>
      <w:r>
        <w:t xml:space="preserve">-4,5</w:t>
      </w:r>
      <w:r>
        <w:t xml:space="preserve"> </w:t>
      </w:r>
      <w:r>
        <w:t xml:space="preserve">-4</w:t>
      </w:r>
      <w:r>
        <w:t xml:space="preserve"> </w:t>
      </w:r>
      <w:r>
        <w:t xml:space="preserve">-3,5</w:t>
      </w:r>
      <w:r>
        <w:t xml:space="preserve"> </w:t>
      </w:r>
      <w:r>
        <w:t xml:space="preserve">-3</w:t>
      </w:r>
      <w:r>
        <w:t xml:space="preserve"> </w:t>
      </w:r>
      <w:r>
        <w:t xml:space="preserve">-2,5</w:t>
      </w:r>
      <w:r>
        <w:t xml:space="preserve"> </w:t>
      </w:r>
      <w:r>
        <w:t xml:space="preserve">-2</w:t>
      </w:r>
      <w:r>
        <w:t xml:space="preserve"> </w:t>
      </w:r>
      <w:r>
        <w:t xml:space="preserve">1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3,5</w:t>
      </w:r>
      <w:r>
        <w:t xml:space="preserve"> </w:t>
      </w:r>
      <w:r>
        <w:t xml:space="preserve">4</w:t>
      </w:r>
      <w:r>
        <w:t xml:space="preserve"> </w:t>
      </w:r>
      <w:r>
        <w:t xml:space="preserve">4,5</w:t>
      </w:r>
      <w:r>
        <w:t xml:space="preserve"> </w:t>
      </w:r>
      <w:r>
        <w:t xml:space="preserve">5</w:t>
      </w:r>
      <w:r>
        <w:t xml:space="preserve"> </w:t>
      </w:r>
      <w:r>
        <w:t xml:space="preserve">5,5</w:t>
      </w:r>
      <w:r>
        <w:t xml:space="preserve"> </w:t>
      </w:r>
      <w:r>
        <w:t xml:space="preserve">6</w:t>
      </w:r>
      <w:r>
        <w:t xml:space="preserve"> </w:t>
      </w:r>
      <w:r>
        <w:t xml:space="preserve">log10RecurrProdCosts</w:t>
      </w:r>
      <w:r>
        <w:t xml:space="preserve"> </w:t>
      </w:r>
      <w:r>
        <w:t xml:space="preserve">-5,5</w:t>
      </w:r>
      <w:r>
        <w:t xml:space="preserve"> </w:t>
      </w:r>
      <w:r>
        <w:t xml:space="preserve">-5</w:t>
      </w:r>
      <w:r>
        <w:t xml:space="preserve"> </w:t>
      </w:r>
      <w:r>
        <w:t xml:space="preserve">-4,5</w:t>
      </w:r>
      <w:r>
        <w:t xml:space="preserve"> </w:t>
      </w:r>
      <w:r>
        <w:t xml:space="preserve">-4</w:t>
      </w:r>
      <w:r>
        <w:t xml:space="preserve"> </w:t>
      </w:r>
      <w:r>
        <w:t xml:space="preserve">-3,5</w:t>
      </w:r>
      <w:r>
        <w:t xml:space="preserve"> </w:t>
      </w:r>
      <w:r>
        <w:t xml:space="preserve">-3</w:t>
      </w:r>
      <w:r>
        <w:t xml:space="preserve"> </w:t>
      </w:r>
      <w:r>
        <w:t xml:space="preserve">-2,5</w:t>
      </w:r>
      <w:r>
        <w:t xml:space="preserve"> </w:t>
      </w:r>
      <w:r>
        <w:t xml:space="preserve">-2</w:t>
      </w:r>
      <w:r>
        <w:t xml:space="preserve"> </w:t>
      </w:r>
      <w:r>
        <w:t xml:space="preserve">1</w:t>
      </w:r>
      <w:r>
        <w:t xml:space="preserve"> </w:t>
      </w:r>
      <w:r>
        <w:t xml:space="preserve">1,5</w:t>
      </w:r>
      <w:r>
        <w:t xml:space="preserve"> </w:t>
      </w:r>
      <w:r>
        <w:t xml:space="preserve">2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3,5</w:t>
      </w:r>
      <w:r>
        <w:t xml:space="preserve"> </w:t>
      </w:r>
      <w:r>
        <w:t xml:space="preserve">4</w:t>
      </w:r>
      <w:r>
        <w:t xml:space="preserve"> </w:t>
      </w:r>
      <w:r>
        <w:t xml:space="preserve">4,5</w:t>
      </w:r>
      <w:r>
        <w:t xml:space="preserve"> </w:t>
      </w:r>
      <w:r>
        <w:t xml:space="preserve">5</w:t>
      </w:r>
      <w:r>
        <w:t xml:space="preserve"> </w:t>
      </w:r>
      <w:r>
        <w:t xml:space="preserve">5,5</w:t>
      </w:r>
      <w:r>
        <w:t xml:space="preserve"> </w:t>
      </w:r>
      <w:r>
        <w:t xml:space="preserve">6</w:t>
      </w:r>
      <w:r>
        <w:t xml:space="preserve"> </w:t>
      </w:r>
      <w:r>
        <w:t xml:space="preserve">log10OneoffProdCosts</w:t>
      </w:r>
      <w:r>
        <w:t xml:space="preserve"> </w:t>
      </w:r>
      <w:r>
        <w:t xml:space="preserve">log10 𝑐𝑜𝑠𝑡𝑠% = 𝑎+ 𝑏∙log10 𝑠𝑢𝑠𝑡𝐴𝑈𝑀</w:t>
      </w:r>
      <w:r>
        <w:t xml:space="preserve"> </w:t>
      </w:r>
      <w:r>
        <w:t xml:space="preserve">log10 𝑐𝑜𝑠𝑡𝑠% = 𝑎+ 𝑏∙log10 𝑠𝑢𝑠𝑡𝐴𝑈𝑀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funds plus Art. 9 disclosing funds) for product related disclosures. The methodology varies for</w:t>
      </w:r>
      <w:r>
        <w:t xml:space="preserve"> </w:t>
      </w:r>
      <w:r>
        <w:t xml:space="preserve">entity and product level disclosures as entity level disclosures apply to all financial market</w:t>
      </w:r>
      <w:r>
        <w:t xml:space="preserve"> </w:t>
      </w:r>
      <w:r>
        <w:t xml:space="preserve">participants whereas product level disclosures apply only to financial market participants disclosing</w:t>
      </w:r>
      <w:r>
        <w:t xml:space="preserve"> </w:t>
      </w:r>
      <w:r>
        <w:t xml:space="preserve">either under Art. 8 or Art. 9.</w:t>
      </w:r>
      <w:r>
        <w:br/>
      </w:r>
      <w:r>
        <w:t xml:space="preserve">3.7. Baseline scenario and application of the standard cost model221</w:t>
      </w:r>
      <w:r>
        <w:t xml:space="preserve"> </w:t>
      </w:r>
      <w:r>
        <w:t xml:space="preserve">The standard cost model assumes that an entity has to fill out a form to provide a disclosure and</w:t>
      </w:r>
      <w:r>
        <w:t xml:space="preserve"> </w:t>
      </w:r>
      <w:r>
        <w:t xml:space="preserve">that the effort needed to provide this disclosure is independent from the entity-size and other</w:t>
      </w:r>
      <w:r>
        <w:t xml:space="preserve"> </w:t>
      </w:r>
      <w:r>
        <w:t xml:space="preserve">characteristics of the business. This means that the costs of disclosure are approximately identical</w:t>
      </w:r>
      <w:r>
        <w:t xml:space="preserve"> </w:t>
      </w:r>
      <w:r>
        <w:t xml:space="preserve">for all entities.</w:t>
      </w:r>
      <w:r>
        <w:br/>
      </w:r>
      <w:r>
        <w:t xml:space="preserve">Source: Tool #58 EU Standard Cost Model of the Better Regulation Toolbox July 2023222</w:t>
      </w:r>
      <w:r>
        <w:t xml:space="preserve"> </w:t>
      </w:r>
      <w:r>
        <w:t xml:space="preserve">If this assumption was applicable, it would be possible to pool the cost observations and to take e.g. </w:t>
      </w:r>
      <w:r>
        <w:t xml:space="preserve"> </w:t>
      </w:r>
      <w:r>
        <w:t xml:space="preserve">the average cost and multiply it with the number of entities in the market and the frequency of</w:t>
      </w:r>
      <w:r>
        <w:t xml:space="preserve"> </w:t>
      </w:r>
      <w:r>
        <w:t xml:space="preserve">disclosing information. However, as demonstrated in the previous section this is not the case for the</w:t>
      </w:r>
      <w:r>
        <w:t xml:space="preserve"> </w:t>
      </w:r>
      <w:r>
        <w:t xml:space="preserve">SFDR disclosures and the costs vary by type of entity, in particular with the size of the entity.</w:t>
      </w:r>
      <w:r>
        <w:br/>
      </w:r>
      <w:r>
        <w:t xml:space="preserve">The following methodological approach has therefore been taken to estimate the administrative</w:t>
      </w:r>
      <w:r>
        <w:t xml:space="preserve"> </w:t>
      </w:r>
      <w:r>
        <w:t xml:space="preserve">burdens:</w:t>
      </w:r>
      <w:r>
        <w:br/>
      </w:r>
      <w:r>
        <w:t xml:space="preserve">(1) Estimate of an SFDR related disclosure costs: we have collected a sample of costs (N=17) for</w:t>
      </w:r>
      <w:r>
        <w:t xml:space="preserve"> </w:t>
      </w:r>
      <w:r>
        <w:t xml:space="preserve">product- and entity-related disclosures from the replies received in the stakeholder consultation.</w:t>
      </w:r>
      <w:r>
        <w:t xml:space="preserve"> </w:t>
      </w:r>
      <w:r>
        <w:t xml:space="preserve">The replies covered all essential elements of disclosure preparation including internal costs for</w:t>
      </w:r>
      <w:r>
        <w:t xml:space="preserve"> </w:t>
      </w:r>
      <w:r>
        <w:t xml:space="preserve">personnel and IT as well as external costs for data providers and consulting. From this sample,</w:t>
      </w:r>
      <w:r>
        <w:t xml:space="preserve"> </w:t>
      </w:r>
      <w:r>
        <w:t xml:space="preserve">using a statistical regression model, a cost function has been estimated for the following cost</w:t>
      </w:r>
      <w:r>
        <w:t xml:space="preserve"> </w:t>
      </w:r>
      <w:r>
        <w:t xml:space="preserve">types:</w:t>
      </w:r>
      <w:r>
        <w:br/>
      </w:r>
      <w:r>
        <w:t xml:space="preserve"> One-off costs product level disclosures</w:t>
      </w:r>
      <w:r>
        <w:br/>
      </w:r>
      <w:r>
        <w:t xml:space="preserve"> Recurring costs product level disclosures</w:t>
      </w:r>
      <w:r>
        <w:t xml:space="preserve"> </w:t>
      </w:r>
      <w:r>
        <w:t xml:space="preserve"> One-off costs entity level disclosures</w:t>
      </w:r>
      <w:r>
        <w:br/>
      </w:r>
      <w:r>
        <w:t xml:space="preserve"> Recurring costs entity level disclosures</w:t>
      </w:r>
      <w:r>
        <w:t xml:space="preserve"> </w:t>
      </w:r>
      <w:r>
        <w:t xml:space="preserve">(2) The database Morningstar provides data for assets under management of funds that are obliged</w:t>
      </w:r>
      <w:r>
        <w:t xml:space="preserve"> </w:t>
      </w:r>
      <w:r>
        <w:t xml:space="preserve">to disclose under the SFDR for the whole EU market and allows for a drill-down to the funds</w:t>
      </w:r>
    </w:p>
    <w:p>
      <w:pPr>
        <w:pStyle w:val="BodyText"/>
      </w:pPr>
      <w:r>
        <w:t xml:space="preserve">221 This section expands on Annex 4 ‘Analytical methods’</w:t>
      </w:r>
      <w:r>
        <w:t xml:space="preserve"> </w:t>
      </w:r>
      <w:r>
        <w:t xml:space="preserve">222</w:t>
      </w:r>
      <w:r>
        <w:t xml:space="preserve"> </w:t>
      </w:r>
      <w:r>
        <w:t xml:space="preserve">https://commission.europa.eu/law/law-making-process/planning-and-proposing-law/better-regulation/better-</w:t>
      </w:r>
      <w:r>
        <w:t xml:space="preserve"> </w:t>
      </w:r>
      <w:r>
        <w:t xml:space="preserve">regulation-guidelines-and-toolbox_en</w:t>
      </w:r>
      <w:r>
        <w:t xml:space="preserve"> </w:t>
      </w:r>
      <w:r>
        <w:t xml:space="preserve">223 For the estimation function see section 3.6. above.</w:t>
      </w:r>
      <w:r>
        <w:t xml:space="preserve"> </w:t>
      </w:r>
      <w:r>
        <w:t xml:space="preserve">Number of</w:t>
      </w:r>
      <w:r>
        <w:t xml:space="preserve"> </w:t>
      </w:r>
      <w:r>
        <w:t xml:space="preserve">entities</w:t>
      </w:r>
      <w:r>
        <w:t xml:space="preserve"> </w:t>
      </w:r>
      <w:r>
        <w:t xml:space="preserve">affected</w:t>
      </w:r>
      <w:r>
        <w:t xml:space="preserve"> </w:t>
      </w:r>
      <w:r>
        <w:t xml:space="preserve">x</w:t>
      </w:r>
      <w:r>
        <w:t xml:space="preserve"> </w:t>
      </w:r>
      <w:r>
        <w:t xml:space="preserve">Frequency</w:t>
      </w:r>
      <w:r>
        <w:t xml:space="preserve"> </w:t>
      </w:r>
      <w:r>
        <w:t xml:space="preserve">of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action</w:t>
      </w:r>
      <w:r>
        <w:t xml:space="preserve"> </w:t>
      </w:r>
      <w:r>
        <w:t xml:space="preserve">x</w:t>
      </w:r>
      <w:r>
        <w:t xml:space="preserve"> </w:t>
      </w:r>
      <w:r>
        <w:t xml:space="preserve">Tariff per</w:t>
      </w:r>
      <w:r>
        <w:t xml:space="preserve"> </w:t>
      </w:r>
      <w:r>
        <w:t xml:space="preserve">hour</w:t>
      </w:r>
      <w:r>
        <w:t xml:space="preserve"> </w:t>
      </w:r>
      <w:r>
        <w:t xml:space="preserve">x</w:t>
      </w:r>
      <w:r>
        <w:t xml:space="preserve"> </w:t>
      </w:r>
      <w:r>
        <w:t xml:space="preserve">Time</w:t>
      </w:r>
      <w:r>
        <w:t xml:space="preserve"> </w:t>
      </w:r>
      <w:r>
        <w:t xml:space="preserve">in</w:t>
      </w:r>
      <w:r>
        <w:t xml:space="preserve"> </w:t>
      </w:r>
      <w:r>
        <w:t xml:space="preserve">hours</w:t>
      </w:r>
      <w:r>
        <w:t xml:space="preserve"> </w:t>
      </w:r>
      <w:r>
        <w:t xml:space="preserve">+</w:t>
      </w:r>
      <w:r>
        <w:t xml:space="preserve"> </w:t>
      </w:r>
      <w:r>
        <w:t xml:space="preserve">Out-of</w:t>
      </w:r>
      <w:r>
        <w:t xml:space="preserve"> </w:t>
      </w:r>
      <w:r>
        <w:t xml:space="preserve">pocket</w:t>
      </w:r>
      <w:r>
        <w:t xml:space="preserve"> </w:t>
      </w:r>
      <w:r>
        <w:t xml:space="preserve">expenses</w:t>
      </w:r>
      <w:r>
        <w:t xml:space="preserve"> </w:t>
      </w:r>
      <w:r>
        <w:t xml:space="preserve">Estimate of SFDR related</w:t>
      </w:r>
      <w:r>
        <w:t xml:space="preserve"> </w:t>
      </w:r>
      <w:r>
        <w:t xml:space="preserve">disclosure costs as a</w:t>
      </w:r>
      <w:r>
        <w:t xml:space="preserve"> </w:t>
      </w:r>
      <w:r>
        <w:t xml:space="preserve">function of the assets under</w:t>
      </w:r>
      <w:r>
        <w:t xml:space="preserve"> </w:t>
      </w:r>
      <w:r>
        <w:t xml:space="preserve">management linked to the</w:t>
      </w:r>
      <w:r>
        <w:t xml:space="preserve"> </w:t>
      </w:r>
      <w:r>
        <w:t xml:space="preserve">disclosure223</w:t>
      </w:r>
    </w:p>
    <w:p>
      <w:pPr>
        <w:pStyle w:val="BodyText"/>
      </w:pPr>
      <w:r>
        <w:t xml:space="preserve">Using the estimated cost function</w:t>
      </w:r>
      <w:r>
        <w:t xml:space="preserve"> </w:t>
      </w:r>
      <w:r>
        <w:t xml:space="preserve">for each fund that was part of the</w:t>
      </w:r>
      <w:r>
        <w:t xml:space="preserve"> </w:t>
      </w:r>
      <w:r>
        <w:t xml:space="preserve">EU market according to the</w:t>
      </w:r>
      <w:r>
        <w:t xml:space="preserve"> </w:t>
      </w:r>
      <w:r>
        <w:t xml:space="preserve">Morningstar database, estimate</w:t>
      </w:r>
      <w:r>
        <w:t xml:space="preserve"> </w:t>
      </w:r>
      <w:r>
        <w:t xml:space="preserve">SFDR related disclosure costs</w:t>
      </w:r>
    </w:p>
    <w:p>
      <w:pPr>
        <w:pStyle w:val="BodyText"/>
      </w:pPr>
      <w:r>
        <w:t xml:space="preserve">Aggregation of the costs</w:t>
      </w:r>
      <w:r>
        <w:t xml:space="preserve"> </w:t>
      </w:r>
      <w:r>
        <w:t xml:space="preserve">for all funds to obtain an</w:t>
      </w:r>
      <w:r>
        <w:t xml:space="preserve"> </w:t>
      </w:r>
      <w:r>
        <w:t xml:space="preserve">estimate of the SFDR</w:t>
      </w:r>
      <w:r>
        <w:t xml:space="preserve"> </w:t>
      </w:r>
      <w:r>
        <w:t xml:space="preserve">related costs for the EU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level, i.e. to aggregate the AuM per fund. The four cost functions for the four cost-types</w:t>
      </w:r>
      <w:r>
        <w:t xml:space="preserve"> </w:t>
      </w:r>
      <w:r>
        <w:t xml:space="preserve">mentioned above (Figure 2 to Figure 5) have been used to estimate the one-off and recurring</w:t>
      </w:r>
      <w:r>
        <w:t xml:space="preserve"> </w:t>
      </w:r>
      <w:r>
        <w:t xml:space="preserve">costs for entity and product-level disclosures as a function of AuM for each fund in the EU</w:t>
      </w:r>
      <w:r>
        <w:t xml:space="preserve"> </w:t>
      </w:r>
      <w:r>
        <w:t xml:space="preserve">market.</w:t>
      </w:r>
      <w:r>
        <w:t xml:space="preserve"> </w:t>
      </w:r>
      <w:r>
        <w:t xml:space="preserve">The costs have been aggregated for the EU market by summing the individual estimates over all</w:t>
      </w:r>
      <w:r>
        <w:t xml:space="preserve"> </w:t>
      </w:r>
      <w:r>
        <w:t xml:space="preserve">funds that were recorded by Morningstar.</w:t>
      </w:r>
      <w:r>
        <w:t xml:space="preserve"> </w:t>
      </w:r>
      <w:r>
        <w:t xml:space="preserve">Table 2: Cost estimate one-off and recurring costs for product and entity level disclosures</w:t>
      </w:r>
      <w:r>
        <w:t xml:space="preserve"> </w:t>
      </w:r>
      <w:r>
        <w:t xml:space="preserve">AUM</w:t>
      </w:r>
      <w:r>
        <w:t xml:space="preserve"> </w:t>
      </w:r>
      <w:r>
        <w:t xml:space="preserve">Sustainable</w:t>
      </w:r>
      <w:r>
        <w:t xml:space="preserve"> </w:t>
      </w:r>
      <w:r>
        <w:t xml:space="preserve">AUM</w:t>
      </w:r>
      <w:r>
        <w:t xml:space="preserve"> </w:t>
      </w:r>
      <w:r>
        <w:t xml:space="preserve">(Art. 8 &amp; Art.9)</w:t>
      </w:r>
      <w:r>
        <w:t xml:space="preserve"> </w:t>
      </w:r>
      <w:r>
        <w:t xml:space="preserve">Recurring cost</w:t>
      </w:r>
      <w:r>
        <w:t xml:space="preserve"> </w:t>
      </w:r>
      <w:r>
        <w:t xml:space="preserve">entity level discl.</w:t>
      </w:r>
      <w:r>
        <w:t xml:space="preserve"> </w:t>
      </w:r>
      <w:r>
        <w:t xml:space="preserve">one-off cost</w:t>
      </w:r>
      <w:r>
        <w:t xml:space="preserve"> </w:t>
      </w:r>
      <w:r>
        <w:t xml:space="preserve">entity level discl.</w:t>
      </w:r>
      <w:r>
        <w:t xml:space="preserve"> </w:t>
      </w:r>
      <w:r>
        <w:t xml:space="preserve">Recuring cost</w:t>
      </w:r>
      <w:r>
        <w:t xml:space="preserve"> </w:t>
      </w:r>
      <w:r>
        <w:t xml:space="preserve">product level</w:t>
      </w:r>
      <w:r>
        <w:t xml:space="preserve"> </w:t>
      </w:r>
      <w:r>
        <w:t xml:space="preserve">discl.</w:t>
      </w:r>
      <w:r>
        <w:t xml:space="preserve"> </w:t>
      </w:r>
      <w:r>
        <w:t xml:space="preserve">one-off costs</w:t>
      </w:r>
      <w:r>
        <w:t xml:space="preserve"> </w:t>
      </w:r>
      <w:r>
        <w:t xml:space="preserve">product level</w:t>
      </w:r>
      <w:r>
        <w:t xml:space="preserve"> </w:t>
      </w:r>
      <w:r>
        <w:t xml:space="preserve">discl</w:t>
      </w:r>
      <w:r>
        <w:t xml:space="preserve"> </w:t>
      </w:r>
      <w:r>
        <w:t xml:space="preserve">million EUR</w:t>
      </w:r>
      <w:r>
        <w:t xml:space="preserve"> </w:t>
      </w:r>
      <w:r>
        <w:t xml:space="preserve">million EUR</w:t>
      </w:r>
      <w:r>
        <w:t xml:space="preserve"> </w:t>
      </w:r>
      <w:r>
        <w:t xml:space="preserve">million EUR</w:t>
      </w:r>
      <w:r>
        <w:t xml:space="preserve"> </w:t>
      </w:r>
      <w:r>
        <w:t xml:space="preserve">million EUR</w:t>
      </w:r>
      <w:r>
        <w:t xml:space="preserve"> </w:t>
      </w:r>
      <w:r>
        <w:t xml:space="preserve">million EUR</w:t>
      </w:r>
      <w:r>
        <w:t xml:space="preserve"> </w:t>
      </w:r>
      <w:r>
        <w:t xml:space="preserve">million EUR</w:t>
      </w:r>
      <w:r>
        <w:t xml:space="preserve"> </w:t>
      </w:r>
      <w:r>
        <w:t xml:space="preserve">10 261 600</w:t>
      </w:r>
      <w:r>
        <w:t xml:space="preserve"> </w:t>
      </w:r>
      <w:r>
        <w:t xml:space="preserve">6 110 400</w:t>
      </w:r>
      <w:r>
        <w:t xml:space="preserve"> </w:t>
      </w:r>
      <w:r>
        <w:t xml:space="preserve">56</w:t>
      </w:r>
      <w:r>
        <w:t xml:space="preserve"> </w:t>
      </w:r>
      <w:r>
        <w:t xml:space="preserve">120</w:t>
      </w:r>
      <w:r>
        <w:t xml:space="preserve"> </w:t>
      </w:r>
      <w:r>
        <w:t xml:space="preserve">190</w:t>
      </w:r>
      <w:r>
        <w:t xml:space="preserve"> </w:t>
      </w:r>
      <w:r>
        <w:t xml:space="preserve">380</w:t>
      </w:r>
      <w:r>
        <w:t xml:space="preserve"> </w:t>
      </w:r>
      <w:r>
        <w:t xml:space="preserve">Source: Stakeholder consultation, Morningstar and own calculations</w:t>
      </w:r>
      <w:r>
        <w:t xml:space="preserve"> </w:t>
      </w:r>
      <w:r>
        <w:t xml:space="preserve">The table above summarizes the result for the costs estimated for the European market. We estimate</w:t>
      </w:r>
      <w:r>
        <w:t xml:space="preserve"> </w:t>
      </w:r>
      <w:r>
        <w:t xml:space="preserve">that financial market participants have spent one-off implementation costs amounting to EUR 120</w:t>
      </w:r>
      <w:r>
        <w:t xml:space="preserve"> </w:t>
      </w:r>
      <w:r>
        <w:t xml:space="preserve">million for entity level disclosures and EUR 380 million for product level disclosures under the</w:t>
      </w:r>
      <w:r>
        <w:t xml:space="preserve"> </w:t>
      </w:r>
      <w:r>
        <w:t xml:space="preserve">SFDR. Furthermore, we estimate annual recurring costs of EUR 56 million for entity-level and</w:t>
      </w:r>
      <w:r>
        <w:t xml:space="preserve"> </w:t>
      </w:r>
      <w:r>
        <w:t xml:space="preserve">EUR 190 million for product-level disclosures. The recurring costs are assumed to constitute the</w:t>
      </w:r>
      <w:r>
        <w:t xml:space="preserve"> </w:t>
      </w:r>
      <w:r>
        <w:t xml:space="preserve">costs of the baseline scenario.</w:t>
      </w:r>
      <w:r>
        <w:br/>
      </w:r>
      <w:r>
        <w:t xml:space="preserve">3.8. Role of the omnibus proposal for the baseline scenario</w:t>
      </w:r>
      <w:r>
        <w:t xml:space="preserve"> </w:t>
      </w:r>
      <w:r>
        <w:t xml:space="preserve">Since 2021, the companies that have to disclose information under the SFDR have operated in an</w:t>
      </w:r>
      <w:r>
        <w:t xml:space="preserve"> </w:t>
      </w:r>
      <w:r>
        <w:t xml:space="preserve">environment with data gaps, that have been filled by data providers and ESG rating agencies either</w:t>
      </w:r>
      <w:r>
        <w:t xml:space="preserve"> </w:t>
      </w:r>
      <w:r>
        <w:t xml:space="preserve">with information that has been manually requested from the investee companies via questionnaires</w:t>
      </w:r>
      <w:r>
        <w:t xml:space="preserve"> </w:t>
      </w:r>
      <w:r>
        <w:t xml:space="preserve">or if not available with estimates, e.g. with statistical estimates obtained from companies operating</w:t>
      </w:r>
      <w:r>
        <w:t xml:space="preserve"> </w:t>
      </w:r>
      <w:r>
        <w:t xml:space="preserve">in a similar industry, of similar size, in a specific region, and other comparable characteristics. The</w:t>
      </w:r>
      <w:r>
        <w:t xml:space="preserve"> </w:t>
      </w:r>
      <w:r>
        <w:t xml:space="preserve">data situation has improved over time. An analysis performed by the Joint Committee of the</w:t>
      </w:r>
      <w:r>
        <w:t xml:space="preserve"> </w:t>
      </w:r>
      <w:r>
        <w:t xml:space="preserve">European Supervisory Authorities (ESMA, EBA and EIOPA) in 2024, reproduced in the table</w:t>
      </w:r>
      <w:r>
        <w:t xml:space="preserve"> </w:t>
      </w:r>
      <w:r>
        <w:t xml:space="preserve">below, shows that key mandatory principle adverse indicators that are relevant for the SFDR are</w:t>
      </w:r>
      <w:r>
        <w:t xml:space="preserve"> </w:t>
      </w:r>
      <w:r>
        <w:t xml:space="preserve">increasingly available with (green &gt;80% median coverage; red &lt;=20% low coverage; yellow 20-</w:t>
      </w:r>
      <w:r>
        <w:t xml:space="preserve"> </w:t>
      </w:r>
      <w:r>
        <w:t xml:space="preserve">80% medium coverage)224.</w:t>
      </w:r>
      <w:r>
        <w:br/>
      </w:r>
      <w:r>
        <w:t xml:space="preserve">Mandatory Principal Adverse Indicators (PAI) and their availability</w:t>
      </w:r>
      <w:r>
        <w:t xml:space="preserve"> </w:t>
      </w:r>
      <w:r>
        <w:t xml:space="preserve">Coverage in %</w:t>
      </w:r>
      <w:r>
        <w:t xml:space="preserve"> </w:t>
      </w:r>
      <w:r>
        <w:t xml:space="preserve">Art 8; Art 9</w:t>
      </w:r>
      <w:r>
        <w:br/>
      </w:r>
      <w:r>
        <w:t xml:space="preserve">Climate and other</w:t>
      </w:r>
      <w:r>
        <w:t xml:space="preserve"> </w:t>
      </w:r>
      <w:r>
        <w:t xml:space="preserve">environment indicators</w:t>
      </w:r>
      <w:r>
        <w:t xml:space="preserve"> </w:t>
      </w:r>
      <w:r>
        <w:t xml:space="preserve">Coverage %</w:t>
      </w:r>
      <w:r>
        <w:t xml:space="preserve"> </w:t>
      </w:r>
      <w:r>
        <w:t xml:space="preserve">Art 8; Art 9</w:t>
      </w:r>
      <w:r>
        <w:br/>
      </w:r>
      <w:r>
        <w:t xml:space="preserve">Social and governance</w:t>
      </w:r>
      <w:r>
        <w:t xml:space="preserve"> </w:t>
      </w:r>
      <w:r>
        <w:t xml:space="preserve">indicators</w:t>
      </w:r>
      <w:r>
        <w:t xml:space="preserve"> </w:t>
      </w:r>
      <w:r>
        <w:t xml:space="preserve">88; 94</w:t>
      </w:r>
      <w:r>
        <w:t xml:space="preserve"> </w:t>
      </w:r>
      <w:r>
        <w:t xml:space="preserve">GHG Emissions (Scope 1,2,3</w:t>
      </w:r>
      <w:r>
        <w:t xml:space="preserve"> </w:t>
      </w:r>
      <w:r>
        <w:t xml:space="preserve">&amp; Total)</w:t>
      </w:r>
      <w:r>
        <w:t xml:space="preserve"> </w:t>
      </w:r>
      <w:r>
        <w:t xml:space="preserve">92; 96</w:t>
      </w:r>
      <w:r>
        <w:br/>
      </w:r>
      <w:r>
        <w:t xml:space="preserve">Lack of processes and mechanisms to monitor</w:t>
      </w:r>
      <w:r>
        <w:t xml:space="preserve"> </w:t>
      </w:r>
      <w:r>
        <w:t xml:space="preserve">compliance with UN Global Compact principles and</w:t>
      </w:r>
      <w:r>
        <w:t xml:space="preserve"> </w:t>
      </w:r>
      <w:r>
        <w:t xml:space="preserve">OECD Guidelines</w:t>
      </w:r>
      <w:r>
        <w:t xml:space="preserve"> </w:t>
      </w:r>
      <w:r>
        <w:t xml:space="preserve">89; 94</w:t>
      </w:r>
      <w:r>
        <w:t xml:space="preserve"> </w:t>
      </w:r>
      <w:r>
        <w:t xml:space="preserve">Carbon Footprint</w:t>
      </w:r>
      <w:r>
        <w:t xml:space="preserve"> </w:t>
      </w:r>
      <w:r>
        <w:t xml:space="preserve">88; 94</w:t>
      </w:r>
      <w:r>
        <w:t xml:space="preserve"> </w:t>
      </w:r>
      <w:r>
        <w:t xml:space="preserve">Violations of UN Global Compact principles and</w:t>
      </w:r>
      <w:r>
        <w:t xml:space="preserve"> </w:t>
      </w:r>
      <w:r>
        <w:t xml:space="preserve">OECD Guidelines</w:t>
      </w:r>
      <w:r>
        <w:t xml:space="preserve"> </w:t>
      </w:r>
      <w:r>
        <w:t xml:space="preserve">91; 94</w:t>
      </w:r>
      <w:r>
        <w:t xml:space="preserve"> </w:t>
      </w:r>
      <w:r>
        <w:t xml:space="preserve">GHG Intensity</w:t>
      </w:r>
      <w:r>
        <w:t xml:space="preserve"> </w:t>
      </w:r>
      <w:r>
        <w:t xml:space="preserve">20; 16</w:t>
      </w:r>
      <w:r>
        <w:t xml:space="preserve"> </w:t>
      </w:r>
      <w:r>
        <w:t xml:space="preserve">Gender pay gap</w:t>
      </w:r>
      <w:r>
        <w:t xml:space="preserve"> </w:t>
      </w:r>
      <w:r>
        <w:t xml:space="preserve">90; 95</w:t>
      </w:r>
      <w:r>
        <w:t xml:space="preserve"> </w:t>
      </w:r>
      <w:r>
        <w:t xml:space="preserve">Fossil fuel sector</w:t>
      </w:r>
      <w:r>
        <w:t xml:space="preserve"> </w:t>
      </w:r>
      <w:r>
        <w:t xml:space="preserve">93; 96</w:t>
      </w:r>
      <w:r>
        <w:t xml:space="preserve"> </w:t>
      </w:r>
      <w:r>
        <w:t xml:space="preserve">Exposure to controversial weapons</w:t>
      </w:r>
    </w:p>
    <w:p>
      <w:pPr>
        <w:pStyle w:val="BodyText"/>
      </w:pPr>
      <w:r>
        <w:t xml:space="preserve">224 See also Annex 11, Section 3.1, Box 12 on how this compares with the past, confirming the relatively better</w:t>
      </w:r>
      <w:r>
        <w:t xml:space="preserve"> </w:t>
      </w:r>
      <w:r>
        <w:t xml:space="preserve">availability of e.g. indicators such as exposure to fossil fuels and GHG emissions and the relatively poorer availability</w:t>
      </w:r>
      <w:r>
        <w:t xml:space="preserve"> </w:t>
      </w:r>
      <w:r>
        <w:t xml:space="preserve">of those referring to gender pay gap and emissions to water. Improvement can be seen in some e.g. biodiversity.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64; 65</w:t>
      </w:r>
      <w:r>
        <w:t xml:space="preserve"> </w:t>
      </w:r>
      <w:r>
        <w:t xml:space="preserve">Share of non-renewable</w:t>
      </w:r>
      <w:r>
        <w:t xml:space="preserve"> </w:t>
      </w:r>
      <w:r>
        <w:t xml:space="preserve">energy consumption</w:t>
      </w:r>
      <w:r>
        <w:t xml:space="preserve"> </w:t>
      </w:r>
      <w:r>
        <w:t xml:space="preserve">87; 93</w:t>
      </w:r>
      <w:r>
        <w:t xml:space="preserve"> </w:t>
      </w:r>
      <w:r>
        <w:t xml:space="preserve">Board gender diversity</w:t>
      </w:r>
      <w:r>
        <w:t xml:space="preserve"> </w:t>
      </w:r>
      <w:r>
        <w:t xml:space="preserve">27; 45</w:t>
      </w:r>
      <w:r>
        <w:t xml:space="preserve"> </w:t>
      </w:r>
      <w:r>
        <w:t xml:space="preserve">Share of non-renewable</w:t>
      </w:r>
      <w:r>
        <w:t xml:space="preserve"> </w:t>
      </w:r>
      <w:r>
        <w:t xml:space="preserve">energy production</w:t>
      </w:r>
      <w:r>
        <w:t xml:space="preserve"> </w:t>
      </w:r>
      <w:r>
        <w:t xml:space="preserve">88; 95</w:t>
      </w:r>
      <w:r>
        <w:t xml:space="preserve"> </w:t>
      </w:r>
      <w:r>
        <w:t xml:space="preserve">Activities negatively</w:t>
      </w:r>
      <w:r>
        <w:t xml:space="preserve"> </w:t>
      </w:r>
      <w:r>
        <w:t xml:space="preserve">affecting biodiversity</w:t>
      </w:r>
      <w:r>
        <w:t xml:space="preserve"> </w:t>
      </w:r>
      <w:r>
        <w:t xml:space="preserve">4; 7</w:t>
      </w:r>
      <w:r>
        <w:t xml:space="preserve"> </w:t>
      </w:r>
      <w:r>
        <w:t xml:space="preserve">Emissions to water (tons)</w:t>
      </w:r>
      <w:r>
        <w:t xml:space="preserve"> </w:t>
      </w:r>
      <w:r>
        <w:t xml:space="preserve">42; 45</w:t>
      </w:r>
      <w:r>
        <w:t xml:space="preserve"> </w:t>
      </w:r>
      <w:r>
        <w:t xml:space="preserve">Hazardous waste ratio/</w:t>
      </w:r>
      <w:r>
        <w:t xml:space="preserve"> </w:t>
      </w:r>
      <w:r>
        <w:t xml:space="preserve">radioactive waste ratio</w:t>
      </w:r>
    </w:p>
    <w:p>
      <w:pPr>
        <w:pStyle w:val="BodyText"/>
      </w:pPr>
      <w:r>
        <w:t xml:space="preserve">Source: Joint Committee of the European Supervisory Authorities, JC-2024-69: Principal Adverse</w:t>
      </w:r>
      <w:r>
        <w:t xml:space="preserve"> </w:t>
      </w:r>
      <w:r>
        <w:t xml:space="preserve">Impact disclosures under the Sustainable Finance Disclosure Regulation</w:t>
      </w:r>
      <w:r>
        <w:t xml:space="preserve"> </w:t>
      </w:r>
      <w:r>
        <w:t xml:space="preserve">The CSRD (original and post-omnibus timetables below) in its original (pre-omnibus scope) would</w:t>
      </w:r>
      <w:r>
        <w:t xml:space="preserve"> </w:t>
      </w:r>
      <w:r>
        <w:t xml:space="preserve">have improved the data availability with coverage of European investees covering both listed and</w:t>
      </w:r>
      <w:r>
        <w:t xml:space="preserve"> </w:t>
      </w:r>
      <w:r>
        <w:t xml:space="preserve">unlisted large companies as well as certain SMEs (parents of large groups).</w:t>
      </w:r>
      <w:r>
        <w:br/>
      </w:r>
      <w:r>
        <w:t xml:space="preserve">The timeline below shows that public interest entities (PIEs), i.e. those companies that are the</w:t>
      </w:r>
      <w:r>
        <w:t xml:space="preserve"> </w:t>
      </w:r>
      <w:r>
        <w:t xml:space="preserve">investees, that to a major extent constitute the portfolio population of the funds that are subject to</w:t>
      </w:r>
      <w:r>
        <w:t xml:space="preserve"> </w:t>
      </w:r>
      <w:r>
        <w:t xml:space="preserve">the SFDR would have started to report in Q1 2025, which was not postponed by the Omnibus</w:t>
      </w:r>
      <w:r>
        <w:t xml:space="preserve"> </w:t>
      </w:r>
      <w:r>
        <w:t xml:space="preserve">proposal225.</w:t>
      </w:r>
    </w:p>
    <w:p>
      <w:pPr>
        <w:pStyle w:val="BodyText"/>
      </w:pPr>
      <w:r>
        <w:t xml:space="preserve">Wave 1 - 2024</w:t>
      </w:r>
      <w:r>
        <w:t xml:space="preserve"> </w:t>
      </w:r>
      <w:r>
        <w:t xml:space="preserve">(reporting 2025)</w:t>
      </w:r>
      <w:r>
        <w:t xml:space="preserve"> </w:t>
      </w:r>
      <w:r>
        <w:t xml:space="preserve">Wave 2 - 2025</w:t>
      </w:r>
      <w:r>
        <w:t xml:space="preserve"> </w:t>
      </w:r>
      <w:r>
        <w:t xml:space="preserve">(reporting 2026)</w:t>
      </w:r>
      <w:r>
        <w:t xml:space="preserve"> </w:t>
      </w:r>
      <w:r>
        <w:t xml:space="preserve">Wave 3 - 2026-2028</w:t>
      </w:r>
      <w:r>
        <w:t xml:space="preserve"> </w:t>
      </w:r>
      <w:r>
        <w:t xml:space="preserve">(reporting 2027-29)</w:t>
      </w:r>
    </w:p>
    <w:p>
      <w:pPr>
        <w:pStyle w:val="BodyText"/>
      </w:pPr>
      <w:r>
        <w:t xml:space="preserve">Public interest entities (&gt;500</w:t>
      </w:r>
      <w:r>
        <w:t xml:space="preserve"> </w:t>
      </w:r>
      <w:r>
        <w:t xml:space="preserve">employees)226</w:t>
      </w:r>
      <w:r>
        <w:t xml:space="preserve"> </w:t>
      </w:r>
      <w:r>
        <w:t xml:space="preserve">Large undertakings</w:t>
      </w:r>
      <w:r>
        <w:br/>
      </w:r>
      <w:r>
        <w:t xml:space="preserve">SME undertakings</w:t>
      </w:r>
      <w:r>
        <w:t xml:space="preserve"> </w:t>
      </w:r>
      <w:r>
        <w:t xml:space="preserve">New timeline</w:t>
      </w:r>
      <w:r>
        <w:t xml:space="preserve"> </w:t>
      </w:r>
      <w:r>
        <w:t xml:space="preserve">No stop the clock rule; same timeline</w:t>
      </w:r>
      <w:r>
        <w:t xml:space="preserve"> </w:t>
      </w:r>
      <w:r>
        <w:t xml:space="preserve">Postpone by 2 years</w:t>
      </w:r>
      <w:r>
        <w:t xml:space="preserve"> </w:t>
      </w:r>
      <w:r>
        <w:t xml:space="preserve">New scope</w:t>
      </w:r>
      <w:r>
        <w:t xml:space="preserve"> </w:t>
      </w:r>
      <w:r>
        <w:t xml:space="preserve">Remove large midcaps (with &lt;1000</w:t>
      </w:r>
      <w:r>
        <w:t xml:space="preserve"> </w:t>
      </w:r>
      <w:r>
        <w:t xml:space="preserve">employees)</w:t>
      </w:r>
      <w:r>
        <w:t xml:space="preserve"> </w:t>
      </w:r>
      <w:r>
        <w:t xml:space="preserve">Remove Large midcaps</w:t>
      </w:r>
      <w:r>
        <w:t xml:space="preserve"> </w:t>
      </w:r>
      <w:r>
        <w:t xml:space="preserve">(with &lt;1000 employees)</w:t>
      </w:r>
      <w:r>
        <w:t xml:space="preserve"> </w:t>
      </w:r>
      <w:r>
        <w:t xml:space="preserve">Remove</w:t>
      </w:r>
      <w:r>
        <w:t xml:space="preserve"> </w:t>
      </w:r>
      <w:r>
        <w:t xml:space="preserve">SFDR relevance</w:t>
      </w:r>
      <w:r>
        <w:t xml:space="preserve"> </w:t>
      </w:r>
      <w:r>
        <w:t xml:space="preserve">High, investees of UCITS, Bond and</w:t>
      </w:r>
      <w:r>
        <w:t xml:space="preserve"> </w:t>
      </w:r>
      <w:r>
        <w:t xml:space="preserve">Money Market funds</w:t>
      </w:r>
      <w:r>
        <w:t xml:space="preserve"> </w:t>
      </w:r>
      <w:r>
        <w:t xml:space="preserve">Low, typically bank financed, relevant as investees of</w:t>
      </w:r>
      <w:r>
        <w:t xml:space="preserve"> </w:t>
      </w:r>
      <w:r>
        <w:t xml:space="preserve">certain alternative investment funds, e.g. private equity</w:t>
      </w:r>
      <w:r>
        <w:br/>
      </w:r>
      <w:r>
        <w:t xml:space="preserve">Source: European Commission, SWD (2025) 80, Omnibus proposal.</w:t>
      </w:r>
      <w:r>
        <w:t xml:space="preserve"> </w:t>
      </w:r>
      <w:r>
        <w:t xml:space="preserve">The SFDR data requirements concern mainly listed companies as it regulates disclosures of</w:t>
      </w:r>
      <w:r>
        <w:t xml:space="preserve"> </w:t>
      </w:r>
      <w:r>
        <w:t xml:space="preserve">enterprises offering investment products consisting largely of listed investees with the exception of</w:t>
      </w:r>
      <w:r>
        <w:t xml:space="preserve"> </w:t>
      </w:r>
      <w:r>
        <w:t xml:space="preserve">alternative investment funds and venture capital funds that hold also private non-listed assets.</w:t>
      </w:r>
      <w:r>
        <w:t xml:space="preserve"> </w:t>
      </w:r>
      <w:r>
        <w:t xml:space="preserve">According to ECB data Euro-area Non-Financial Corporations had outstanding listed debt of EUR</w:t>
      </w:r>
      <w:r>
        <w:t xml:space="preserve"> </w:t>
      </w:r>
      <w:r>
        <w:t xml:space="preserve">1.6 trillion227 and listed shares of EUR 7.6 trillion228 by the end of 2023, of which investment funds</w:t>
      </w:r>
      <w:r>
        <w:t xml:space="preserve"> </w:t>
      </w:r>
      <w:r>
        <w:t xml:space="preserve">held 34% and 24% respectively229, a total of EUR 2,4 trillion of listed securities. Expressed as a</w:t>
      </w:r>
      <w:r>
        <w:t xml:space="preserve"> </w:t>
      </w:r>
      <w:r>
        <w:t xml:space="preserve">share of EU assets under management of about EUR 16 trillion, this represents about 15%. These</w:t>
      </w:r>
      <w:r>
        <w:t xml:space="preserve"> </w:t>
      </w:r>
      <w:r>
        <w:t xml:space="preserve">investees are subject to CSRD reporting.</w:t>
      </w:r>
      <w:r>
        <w:t xml:space="preserve"> </w:t>
      </w:r>
      <w:r>
        <w:t xml:space="preserve">CSRD wave 1 companies, i.e. companies that were subject to the NFRD and started reporting under</w:t>
      </w:r>
      <w:r>
        <w:t xml:space="preserve"> </w:t>
      </w:r>
      <w:r>
        <w:t xml:space="preserve">the CSRD/ESRS for fiscal year 2024 (i.e., publication in 2025) are thus key investees for SFDR</w:t>
      </w:r>
    </w:p>
    <w:p>
      <w:pPr>
        <w:pStyle w:val="BodyText"/>
      </w:pPr>
      <w:r>
        <w:t xml:space="preserve">225 European Commission, SWD (2025) 80, Omnibus proposal.</w:t>
      </w:r>
      <w:r>
        <w:t xml:space="preserve"> </w:t>
      </w:r>
      <w:r>
        <w:t xml:space="preserve">226 Public interest entities as defined in Article 2(1) of the Accounting Directive (2013/34/EU) are entities governed by</w:t>
      </w:r>
      <w:r>
        <w:t xml:space="preserve"> </w:t>
      </w:r>
      <w:r>
        <w:t xml:space="preserve">the law of a Member State whose transferable securities are admitted to trading on a regulated market, insurance</w:t>
      </w:r>
      <w:r>
        <w:t xml:space="preserve"> </w:t>
      </w:r>
      <w:r>
        <w:t xml:space="preserve">undertakings and credit institutions as well as national transposition entities, i.e. entities that are added by EU member</w:t>
      </w:r>
      <w:r>
        <w:t xml:space="preserve"> </w:t>
      </w:r>
      <w:r>
        <w:t xml:space="preserve">states due to local definitions of public interest entities.</w:t>
      </w:r>
      <w:r>
        <w:t xml:space="preserve"> </w:t>
      </w:r>
      <w:r>
        <w:t xml:space="preserve">227 CSEC.M.N.I9.W0.S11.S1.N.L.LE.F3.T._Z.EUR._T.M.V.N._T | ECB Data Portal</w:t>
      </w:r>
      <w:r>
        <w:t xml:space="preserve"> </w:t>
      </w:r>
      <w:r>
        <w:t xml:space="preserve">228 CSEC.M.N.I9.W0.S11.S1.N.L.LE.F511._Z._Z.EUR._T.M.V.N._T | ECB Data Portal</w:t>
      </w:r>
      <w:r>
        <w:t xml:space="preserve"> </w:t>
      </w:r>
      <w:r>
        <w:t xml:space="preserve">229 EFAMA Asset Management Report 2024, p. 28.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reporting. These companies will not be affected retroactively by the planned scope reductions</w:t>
      </w:r>
      <w:r>
        <w:t xml:space="preserve"> </w:t>
      </w:r>
      <w:r>
        <w:t xml:space="preserve">(</w:t>
      </w:r>
      <w:r>
        <w:t xml:space="preserve">“stop-the-clock”</w:t>
      </w:r>
      <w:r>
        <w:t xml:space="preserve"> </w:t>
      </w:r>
      <w:r>
        <w:t xml:space="preserve">or omnibus proposals) as these reductions primarily impact companies covered in</w:t>
      </w:r>
      <w:r>
        <w:t xml:space="preserve"> </w:t>
      </w:r>
      <w:r>
        <w:t xml:space="preserve">later CSRD waves. Rather, a replacement can be expected of currently either estimated values or</w:t>
      </w:r>
      <w:r>
        <w:t xml:space="preserve"> </w:t>
      </w:r>
      <w:r>
        <w:t xml:space="preserve">data collected with questionnaires by data from audited sustainability reporting for about 15% of</w:t>
      </w:r>
      <w:r>
        <w:t xml:space="preserve"> </w:t>
      </w:r>
      <w:r>
        <w:t xml:space="preserve">the investee universe. This data collection step would usually be performed by data providers,</w:t>
      </w:r>
      <w:r>
        <w:t xml:space="preserve"> </w:t>
      </w:r>
      <w:r>
        <w:t xml:space="preserve">which do continue providing ESG data to financial market participants with or without the omnibus</w:t>
      </w:r>
      <w:r>
        <w:t xml:space="preserve"> </w:t>
      </w:r>
      <w:r>
        <w:t xml:space="preserve">and we do not expect that this improvement of quality for certain datapoints would have significant</w:t>
      </w:r>
      <w:r>
        <w:t xml:space="preserve"> </w:t>
      </w:r>
      <w:r>
        <w:t xml:space="preserve">impact on the data provider fees charged to financial market participants.</w:t>
      </w:r>
      <w:r>
        <w:br/>
      </w:r>
      <w:r>
        <w:t xml:space="preserve">3.9. Who is bearing the cost of the SFDR implementation?</w:t>
      </w:r>
      <w:r>
        <w:t xml:space="preserve"> </w:t>
      </w:r>
      <w:r>
        <w:t xml:space="preserve">While in absolute terms the amounts reported for one-off and recurring costs in our sample for the</w:t>
      </w:r>
      <w:r>
        <w:t xml:space="preserve"> </w:t>
      </w:r>
      <w:r>
        <w:t xml:space="preserve">SFDR implementation seem high (ranging up to EUR 29 million of one-off investment and up to</w:t>
      </w:r>
      <w:r>
        <w:t xml:space="preserve"> </w:t>
      </w:r>
      <w:r>
        <w:t xml:space="preserve">EUR 10 million of annual recurring costs for one FMP), in relative terms, the costs, e.g. for large</w:t>
      </w:r>
      <w:r>
        <w:t xml:space="preserve"> </w:t>
      </w:r>
      <w:r>
        <w:t xml:space="preserve">FMP (with AuM &gt; EUR 25 billion) that dominate the market in terms of product volume (about</w:t>
      </w:r>
      <w:r>
        <w:t xml:space="preserve"> </w:t>
      </w:r>
      <w:r>
        <w:t xml:space="preserve">75% in the Morningstar funds population), are in a range of 0.002-0.15 basis points (one basis point</w:t>
      </w:r>
      <w:r>
        <w:t xml:space="preserve"> </w:t>
      </w:r>
      <w:r>
        <w:t xml:space="preserve">is only 1/100 one hundredth of one percentage point) for annual recurring costs and 0.01 to 0.46</w:t>
      </w:r>
      <w:r>
        <w:t xml:space="preserve"> </w:t>
      </w:r>
      <w:r>
        <w:t xml:space="preserve">basis points for one-off costs, that are usually written off over several years by businesses. This</w:t>
      </w:r>
      <w:r>
        <w:t xml:space="preserve"> </w:t>
      </w:r>
      <w:r>
        <w:t xml:space="preserve">indicates that even if the fees were 100% passed on to end-investors, they should not face</w:t>
      </w:r>
      <w:r>
        <w:t xml:space="preserve"> </w:t>
      </w:r>
      <w:r>
        <w:t xml:space="preserve">substantial changes in the transaction fees. This is in line with observations of ESMA that has</w:t>
      </w:r>
      <w:r>
        <w:t xml:space="preserve"> </w:t>
      </w:r>
      <w:r>
        <w:t xml:space="preserve">shown, e.g. that the fees of UCITS funds have not significantly changed in the period 2021-2023.230</w:t>
      </w:r>
      <w:r>
        <w:t xml:space="preserve"> </w:t>
      </w:r>
      <w:r>
        <w:t xml:space="preserve">Furthermore ESMA has shown in the same publication that there are no significant differences in</w:t>
      </w:r>
      <w:r>
        <w:t xml:space="preserve"> </w:t>
      </w:r>
      <w:r>
        <w:t xml:space="preserve">the fees charged for ESG UCITS and general UCITS funds.</w:t>
      </w:r>
      <w:r>
        <w:t xml:space="preserve"> </w:t>
      </w:r>
      <w:r>
        <w:t xml:space="preserve">To gauge further the economic significance of these costs as compared to the benefits, if these</w:t>
      </w:r>
      <w:r>
        <w:t xml:space="preserve"> </w:t>
      </w:r>
      <w:r>
        <w:t xml:space="preserve">amounts were instead used to directly reduce CO2-emmissions, taking into account that EEA</w:t>
      </w:r>
      <w:r>
        <w:t xml:space="preserve"> </w:t>
      </w:r>
      <w:r>
        <w:t xml:space="preserve">reports that the EU-27 countries emitted around 2 907 204 kilo tonnes of CO2 in 2020231 and a</w:t>
      </w:r>
      <w:r>
        <w:t xml:space="preserve"> </w:t>
      </w:r>
      <w:r>
        <w:t xml:space="preserve">price of about 96.3 EUR per tonne of CO2232, they would achieve annual savings of 0.1% Co2</w:t>
      </w:r>
      <w:r>
        <w:t xml:space="preserve"> </w:t>
      </w:r>
      <w:r>
        <w:t xml:space="preserve">emissions. In other words, it suffices that SFDR achieves an annual reduction of 0.1% in Co2</w:t>
      </w:r>
      <w:r>
        <w:t xml:space="preserve"> </w:t>
      </w:r>
      <w:r>
        <w:t xml:space="preserve">emissions in order for the associated costs to be justified.</w:t>
      </w:r>
      <w:r>
        <w:t xml:space="preserve"> </w:t>
      </w:r>
      <w:r>
        <w:t xml:space="preserve">3.10. Estimation of cost impacts of the preferred set of options</w:t>
      </w:r>
      <w:r>
        <w:t xml:space="preserve"> </w:t>
      </w:r>
      <w:r>
        <w:t xml:space="preserve">In the following, we estimate the cost impacts of the preferred set of options. For this, we split first</w:t>
      </w:r>
      <w:r>
        <w:t xml:space="preserve"> </w:t>
      </w:r>
      <w:r>
        <w:t xml:space="preserve">the costs obtained in the evaluation for the baseline scenario into costs for SME and Large</w:t>
      </w:r>
      <w:r>
        <w:t xml:space="preserve"> </w:t>
      </w:r>
      <w:r>
        <w:t xml:space="preserve">companies.</w:t>
      </w:r>
    </w:p>
    <w:p>
      <w:pPr>
        <w:pStyle w:val="BodyText"/>
      </w:pPr>
      <w:r>
        <w:t xml:space="preserve">230 ESMA Market Report on Costs and Performance of EU Retail Investment Products 2024 and ESMA Market Report</w:t>
      </w:r>
      <w:r>
        <w:t xml:space="preserve"> </w:t>
      </w:r>
      <w:r>
        <w:t xml:space="preserve">Annexes on Costs and Performance of EU Retail Investment Products 2024.</w:t>
      </w:r>
      <w:r>
        <w:br/>
      </w:r>
      <w:r>
        <w:t xml:space="preserve">231 See EEA greenhouse gases – data viewer: EEA greenhouse gases — data viewer | European Environment Agency’s</w:t>
      </w:r>
      <w:r>
        <w:t xml:space="preserve"> </w:t>
      </w:r>
      <w:r>
        <w:t xml:space="preserve">home page.</w:t>
      </w:r>
      <w:r>
        <w:br/>
      </w:r>
      <w:r>
        <w:t xml:space="preserve">232 Worldbank Carbon Pricing Dashboard: https://carbonpricingdashboard.worldbank.org/compliance/price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Table 3: Administrative costs baseline scenario and cost impact preferred options233</w:t>
      </w:r>
      <w:r>
        <w:t xml:space="preserve"> </w:t>
      </w:r>
      <w:r>
        <w:t xml:space="preserve"></w:t>
      </w:r>
      <w:r>
        <w:br/>
      </w:r>
      <w:r>
        <w:t xml:space="preserve"> One-off costs</w:t>
      </w:r>
      <w:r>
        <w:t xml:space="preserve"> </w:t>
      </w:r>
      <w:r>
        <w:t xml:space="preserve"> Recurrent costs per annum</w:t>
      </w:r>
      <w:r>
        <w:t xml:space="preserve"> </w:t>
      </w:r>
      <w:r>
        <w:t xml:space="preserve"></w:t>
      </w:r>
      <w:r>
        <w:br/>
      </w:r>
      <w:r>
        <w:t xml:space="preserve"> SME</w:t>
      </w:r>
      <w:r>
        <w:t xml:space="preserve"> </w:t>
      </w:r>
      <w:r>
        <w:t xml:space="preserve">(&lt;= €25b AuM)</w:t>
      </w:r>
      <w:r>
        <w:t xml:space="preserve"> </w:t>
      </w:r>
      <w:r>
        <w:t xml:space="preserve"> Large</w:t>
      </w:r>
      <w:r>
        <w:t xml:space="preserve"> </w:t>
      </w:r>
      <w:r>
        <w:t xml:space="preserve">(&gt; €25b</w:t>
      </w:r>
      <w:r>
        <w:t xml:space="preserve"> </w:t>
      </w:r>
      <w:r>
        <w:t xml:space="preserve">AuM)</w:t>
      </w:r>
      <w:r>
        <w:t xml:space="preserve"> </w:t>
      </w:r>
      <w:r>
        <w:t xml:space="preserve"> SME</w:t>
      </w:r>
      <w:r>
        <w:t xml:space="preserve"> </w:t>
      </w:r>
      <w:r>
        <w:t xml:space="preserve">(&lt; =€25b</w:t>
      </w:r>
      <w:r>
        <w:t xml:space="preserve"> </w:t>
      </w:r>
      <w:r>
        <w:t xml:space="preserve">AuM)</w:t>
      </w:r>
      <w:r>
        <w:t xml:space="preserve"> </w:t>
      </w:r>
      <w:r>
        <w:t xml:space="preserve"> Large</w:t>
      </w:r>
      <w:r>
        <w:t xml:space="preserve"> </w:t>
      </w:r>
      <w:r>
        <w:t xml:space="preserve">(&gt; €25b AuM)</w:t>
      </w:r>
      <w:r>
        <w:t xml:space="preserve"> </w:t>
      </w:r>
      <w:r>
        <w:t xml:space="preserve"> Entity level</w:t>
      </w:r>
      <w:r>
        <w:t xml:space="preserve"> </w:t>
      </w:r>
      <w:r>
        <w:t xml:space="preserve">disclosures baseline</w:t>
      </w:r>
      <w:r>
        <w:t xml:space="preserve"> </w:t>
      </w:r>
      <w:r>
        <w:t xml:space="preserve"> €70m</w:t>
      </w:r>
      <w:r>
        <w:br/>
      </w:r>
      <w:r>
        <w:t xml:space="preserve"> €50m</w:t>
      </w:r>
      <w:r>
        <w:t xml:space="preserve"> </w:t>
      </w:r>
      <w:r>
        <w:t xml:space="preserve"> €43m</w:t>
      </w:r>
      <w:r>
        <w:br/>
      </w:r>
      <w:r>
        <w:t xml:space="preserve"> €13m</w:t>
      </w:r>
      <w:r>
        <w:t xml:space="preserve"> </w:t>
      </w:r>
      <w:r>
        <w:t xml:space="preserve"> Change with option</w:t>
      </w:r>
      <w:r>
        <w:t xml:space="preserve"> </w:t>
      </w:r>
      <w:r>
        <w:t xml:space="preserve">1.2 Abolish entity</w:t>
      </w:r>
      <w:r>
        <w:t xml:space="preserve"> </w:t>
      </w:r>
      <w:r>
        <w:t xml:space="preserve">level disclosures</w:t>
      </w:r>
      <w:r>
        <w:t xml:space="preserve"> </w:t>
      </w:r>
      <w:r>
        <w:t xml:space="preserve"> €5m</w:t>
      </w:r>
      <w:r>
        <w:t xml:space="preserve"> </w:t>
      </w:r>
      <w:r>
        <w:t xml:space="preserve"> (+7%; N=1)</w:t>
      </w:r>
      <w:r>
        <w:t xml:space="preserve"> </w:t>
      </w:r>
      <w:r>
        <w:t xml:space="preserve"> €0.5m</w:t>
      </w:r>
      <w:r>
        <w:t xml:space="preserve"> </w:t>
      </w:r>
      <w:r>
        <w:t xml:space="preserve"> (+1%; N=1)</w:t>
      </w:r>
      <w:r>
        <w:t xml:space="preserve"> </w:t>
      </w:r>
      <w:r>
        <w:t xml:space="preserve"> - € 43 m</w:t>
      </w:r>
      <w:r>
        <w:t xml:space="preserve"> </w:t>
      </w:r>
      <w:r>
        <w:t xml:space="preserve"> (-100%; N=1)</w:t>
      </w:r>
      <w:r>
        <w:t xml:space="preserve"> </w:t>
      </w:r>
      <w:r>
        <w:t xml:space="preserve"> - € 13 m</w:t>
      </w:r>
      <w:r>
        <w:t xml:space="preserve"> </w:t>
      </w:r>
      <w:r>
        <w:t xml:space="preserve"> (-100%; N=1)</w:t>
      </w:r>
      <w:r>
        <w:t xml:space="preserve"> </w:t>
      </w:r>
      <w:r>
        <w:t xml:space="preserve"> Product level</w:t>
      </w:r>
      <w:r>
        <w:t xml:space="preserve"> </w:t>
      </w:r>
      <w:r>
        <w:t xml:space="preserve">disclosures baseline</w:t>
      </w:r>
      <w:r>
        <w:t xml:space="preserve"> </w:t>
      </w:r>
      <w:r>
        <w:t xml:space="preserve"> €200m</w:t>
      </w:r>
      <w:r>
        <w:br/>
      </w:r>
      <w:r>
        <w:t xml:space="preserve"> €180m</w:t>
      </w:r>
      <w:r>
        <w:t xml:space="preserve"> </w:t>
      </w:r>
      <w:r>
        <w:t xml:space="preserve"> €120m</w:t>
      </w:r>
      <w:r>
        <w:br/>
      </w:r>
      <w:r>
        <w:t xml:space="preserve"> €70m</w:t>
      </w:r>
      <w:r>
        <w:t xml:space="preserve"> </w:t>
      </w:r>
      <w:r>
        <w:t xml:space="preserve"> Change with option</w:t>
      </w:r>
      <w:r>
        <w:t xml:space="preserve"> </w:t>
      </w:r>
      <w:r>
        <w:t xml:space="preserve">2.2 Significantly</w:t>
      </w:r>
      <w:r>
        <w:t xml:space="preserve"> </w:t>
      </w:r>
      <w:r>
        <w:t xml:space="preserve">reduce product 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 + €336m</w:t>
      </w:r>
      <w:r>
        <w:t xml:space="preserve"> </w:t>
      </w:r>
      <w:r>
        <w:t xml:space="preserve"> (+170%; N=1)</w:t>
      </w:r>
      <w:r>
        <w:t xml:space="preserve"> </w:t>
      </w:r>
      <w:r>
        <w:t xml:space="preserve"> + €14m</w:t>
      </w:r>
      <w:r>
        <w:t xml:space="preserve"> </w:t>
      </w:r>
      <w:r>
        <w:t xml:space="preserve"> (+8%; N=2)</w:t>
      </w:r>
      <w:r>
        <w:t xml:space="preserve"> </w:t>
      </w:r>
      <w:r>
        <w:t xml:space="preserve"> - €35m</w:t>
      </w:r>
      <w:r>
        <w:t xml:space="preserve"> </w:t>
      </w:r>
      <w:r>
        <w:t xml:space="preserve"> (-50%; N=2)234</w:t>
      </w:r>
      <w:r>
        <w:t xml:space="preserve"> </w:t>
      </w:r>
      <w:r>
        <w:t xml:space="preserve"> - €20m</w:t>
      </w:r>
      <w:r>
        <w:t xml:space="preserve"> </w:t>
      </w:r>
      <w:r>
        <w:t xml:space="preserve"> (-50%; N=2)235</w:t>
      </w:r>
      <w:r>
        <w:t xml:space="preserve"> </w:t>
      </w:r>
      <w:r>
        <w:t xml:space="preserve"> Change with option</w:t>
      </w:r>
      <w:r>
        <w:t xml:space="preserve"> </w:t>
      </w:r>
      <w:r>
        <w:t xml:space="preserve">3.1</w:t>
      </w:r>
      <w:r>
        <w:t xml:space="preserve"> </w:t>
      </w:r>
      <w:r>
        <w:t xml:space="preserve">Product</w:t>
      </w:r>
      <w:r>
        <w:t xml:space="preserve"> </w:t>
      </w:r>
      <w:r>
        <w:t xml:space="preserve">Categorisation</w:t>
      </w:r>
      <w:r>
        <w:t xml:space="preserve"> </w:t>
      </w:r>
      <w:r>
        <w:t xml:space="preserve"> + €246m</w:t>
      </w:r>
      <w:r>
        <w:t xml:space="preserve"> </w:t>
      </w:r>
      <w:r>
        <w:t xml:space="preserve"> (+150%, N=2)</w:t>
      </w:r>
      <w:r>
        <w:t xml:space="preserve"> </w:t>
      </w:r>
      <w:r>
        <w:t xml:space="preserve"> +€25m</w:t>
      </w:r>
      <w:r>
        <w:t xml:space="preserve"> </w:t>
      </w:r>
      <w:r>
        <w:t xml:space="preserve">(+14%; N=3)</w:t>
      </w:r>
      <w:r>
        <w:t xml:space="preserve"> </w:t>
      </w:r>
      <w:r>
        <w:t xml:space="preserve"></w:t>
      </w:r>
      <w:r>
        <w:br/>
      </w:r>
      <w:r>
        <w:t xml:space="preserve"> +€ 19m</w:t>
      </w:r>
      <w:r>
        <w:t xml:space="preserve"> </w:t>
      </w:r>
      <w:r>
        <w:t xml:space="preserve"> (+50%; N=2)</w:t>
      </w:r>
      <w:r>
        <w:t xml:space="preserve"> </w:t>
      </w:r>
      <w:r>
        <w:t xml:space="preserve"> +€5m</w:t>
      </w:r>
      <w:r>
        <w:t xml:space="preserve"> </w:t>
      </w:r>
      <w:r>
        <w:t xml:space="preserve"> (+15%; N=3)</w:t>
      </w:r>
      <w:r>
        <w:t xml:space="preserve"> </w:t>
      </w:r>
      <w:r>
        <w:t xml:space="preserve"></w:t>
      </w:r>
      <w:r>
        <w:br/>
      </w:r>
      <w:r>
        <w:t xml:space="preserve"> TOTAL –</w:t>
      </w:r>
      <w:r>
        <w:br/>
      </w:r>
      <w:r>
        <w:t xml:space="preserve"> All options combined</w:t>
      </w:r>
      <w:r>
        <w:t xml:space="preserve"> </w:t>
      </w:r>
      <w:r>
        <w:t xml:space="preserve"> + €590m</w:t>
      </w:r>
      <w:r>
        <w:t xml:space="preserve"> </w:t>
      </w:r>
      <w:r>
        <w:t xml:space="preserve">(rounded)</w:t>
      </w:r>
      <w:r>
        <w:t xml:space="preserve"> </w:t>
      </w:r>
      <w:r>
        <w:t xml:space="preserve"> + €40m</w:t>
      </w:r>
      <w:r>
        <w:t xml:space="preserve"> </w:t>
      </w:r>
      <w:r>
        <w:t xml:space="preserve">(rounded)</w:t>
      </w:r>
      <w:r>
        <w:t xml:space="preserve"> </w:t>
      </w:r>
      <w:r>
        <w:t xml:space="preserve"> - €60m</w:t>
      </w:r>
      <w:r>
        <w:t xml:space="preserve"> </w:t>
      </w:r>
      <w:r>
        <w:t xml:space="preserve">(rounded)</w:t>
      </w:r>
      <w:r>
        <w:t xml:space="preserve"> </w:t>
      </w:r>
      <w:r>
        <w:t xml:space="preserve"> - €30m</w:t>
      </w:r>
      <w:r>
        <w:t xml:space="preserve"> </w:t>
      </w:r>
      <w:r>
        <w:t xml:space="preserve">(rounded)</w:t>
      </w:r>
      <w:r>
        <w:t xml:space="preserve"> </w:t>
      </w:r>
      <w:r>
        <w:t xml:space="preserve"> Annualised</w:t>
      </w:r>
      <w:r>
        <w:t xml:space="preserve"> </w:t>
      </w:r>
      <w:r>
        <w:t xml:space="preserve">one-off</w:t>
      </w:r>
      <w:r>
        <w:t xml:space="preserve"> </w:t>
      </w:r>
      <w:r>
        <w:t xml:space="preserve">costs</w:t>
      </w:r>
      <w:r>
        <w:t xml:space="preserve"> </w:t>
      </w:r>
      <w:r>
        <w:t xml:space="preserve"> €69m</w:t>
      </w:r>
      <w:r>
        <w:t xml:space="preserve"> </w:t>
      </w:r>
      <w:r>
        <w:t xml:space="preserve"> €5m</w:t>
      </w:r>
      <w:r>
        <w:t xml:space="preserve"> </w:t>
      </w:r>
      <w:r>
        <w:t xml:space="preserve"> -€60m</w:t>
      </w:r>
      <w:r>
        <w:t xml:space="preserve"> </w:t>
      </w:r>
      <w:r>
        <w:t xml:space="preserve"> -€30m</w:t>
      </w:r>
      <w:r>
        <w:t xml:space="preserve"> </w:t>
      </w:r>
      <w:r>
        <w:t xml:space="preserve">Source: Stakeholder consultation and own calculations. Results give only indications of potential costs and</w:t>
      </w:r>
      <w:r>
        <w:t xml:space="preserve"> </w:t>
      </w:r>
      <w:r>
        <w:t xml:space="preserve">are to be interpreted with caution as they are based on extremely small samples, in particular for SMEs</w:t>
      </w:r>
      <w:r>
        <w:t xml:space="preserve"> </w:t>
      </w:r>
      <w:r>
        <w:t xml:space="preserve">where the simplification should bring most benefits; the one-off costs might be overestimated as the one/two</w:t>
      </w:r>
      <w:r>
        <w:t xml:space="preserve"> </w:t>
      </w:r>
      <w:r>
        <w:t xml:space="preserve">respondents on which the estimation is based assume a certain minimum fixed amount that needs to be spent</w:t>
      </w:r>
      <w:r>
        <w:t xml:space="preserve"> </w:t>
      </w:r>
      <w:r>
        <w:t xml:space="preserve">to implement the changes that is even higher than the initial one-off costs.</w:t>
      </w:r>
      <w:r>
        <w:br/>
      </w:r>
      <w:r>
        <w:t xml:space="preserve">The cost calculations presented above are only rough indications as most respondents were not able</w:t>
      </w:r>
      <w:r>
        <w:t xml:space="preserve"> </w:t>
      </w:r>
      <w:r>
        <w:t xml:space="preserve">to estimate costs as at the preparatory stage of level 1, including without the technical details to be</w:t>
      </w:r>
      <w:r>
        <w:t xml:space="preserve"> </w:t>
      </w:r>
      <w:r>
        <w:t xml:space="preserve">specified in level 2. Therefore, only anecdotal evidence could be collected that can give a rough</w:t>
      </w:r>
      <w:r>
        <w:t xml:space="preserve"> </w:t>
      </w:r>
      <w:r>
        <w:t xml:space="preserve">indication of the cost impacts of this regulation. The results suggest that SMEs (which would</w:t>
      </w:r>
      <w:r>
        <w:t xml:space="preserve"> </w:t>
      </w:r>
      <w:r>
        <w:t xml:space="preserve">choose to be active in offering ESG products) might expect significant one-off costs that can be</w:t>
      </w:r>
      <w:r>
        <w:t xml:space="preserve"> </w:t>
      </w:r>
      <w:r>
        <w:t xml:space="preserve">offset in the long-term by corresponding cost savings, whereas large businesses have only limited</w:t>
      </w:r>
      <w:r>
        <w:t xml:space="preserve"> </w:t>
      </w:r>
      <w:r>
        <w:t xml:space="preserve">one-off costs and are likely to set these investments off quickly (after about 2 years). As part of the</w:t>
      </w:r>
      <w:r>
        <w:t xml:space="preserve"> </w:t>
      </w:r>
      <w:r>
        <w:t xml:space="preserve">level 2 work, European Supervisory Authorities should verify the plausibility of these estimations</w:t>
      </w:r>
      <w:r>
        <w:t xml:space="preserve"> </w:t>
      </w:r>
      <w:r>
        <w:t xml:space="preserve">once detailed proposals have been worked out, and if respondents indicate that they expect</w:t>
      </w:r>
      <w:r>
        <w:t xml:space="preserve"> </w:t>
      </w:r>
      <w:r>
        <w:t xml:space="preserve">significantly different costs, the cost implications should be taken into account when deciding on</w:t>
      </w:r>
      <w:r>
        <w:t xml:space="preserve"> </w:t>
      </w:r>
      <w:r>
        <w:t xml:space="preserve">the preferred option to make sure that the objective of administrative simplification and burden</w:t>
      </w:r>
      <w:r>
        <w:t xml:space="preserve"> </w:t>
      </w:r>
      <w:r>
        <w:t xml:space="preserve">reduction is met.</w:t>
      </w:r>
    </w:p>
    <w:p>
      <w:pPr>
        <w:pStyle w:val="BodyText"/>
      </w:pPr>
      <w:r>
        <w:t xml:space="preserve">233 Whereas the boxes containing the baseline entity-level and product-level costs are based on a more reliable sample</w:t>
      </w:r>
      <w:r>
        <w:t xml:space="preserve"> </w:t>
      </w:r>
      <w:r>
        <w:t xml:space="preserve">and estimation of costs with the current regime, very little data is currently available to derive cost-estimates associated</w:t>
      </w:r>
      <w:r>
        <w:t xml:space="preserve"> </w:t>
      </w:r>
      <w:r>
        <w:t xml:space="preserve">with the changes, notably regarding the creation of product categories as well as adjusted disclosures.</w:t>
      </w:r>
      <w:r>
        <w:br/>
      </w:r>
      <w:r>
        <w:t xml:space="preserve">234 We have received two replies indicating a full range of 20%-50% of cost savings. Given that the intended</w:t>
      </w:r>
      <w:r>
        <w:t xml:space="preserve"> </w:t>
      </w:r>
      <w:r>
        <w:t xml:space="preserve">simplification under option 2.2 would significantly reduce product disclosures, we assume that a saving at the higher</w:t>
      </w:r>
      <w:r>
        <w:t xml:space="preserve"> </w:t>
      </w:r>
      <w:r>
        <w:t xml:space="preserve">end of the range is justified.</w:t>
      </w:r>
      <w:r>
        <w:t xml:space="preserve"> </w:t>
      </w:r>
      <w:r>
        <w:t xml:space="preserve">235 ibid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3.11 Summary costs, benefits and one-in-one-out calculation</w:t>
      </w:r>
      <w:r>
        <w:t xml:space="preserve"> </w:t>
      </w:r>
      <w:r>
        <w:t xml:space="preserve">Overview of costs and benefits identified in the evaluation</w:t>
      </w:r>
      <w:r>
        <w:t xml:space="preserve"> </w:t>
      </w:r>
      <w:r>
        <w:t xml:space="preserve">Measure</w:t>
      </w:r>
      <w:r>
        <w:t xml:space="preserve"> </w:t>
      </w:r>
      <w:r>
        <w:t xml:space="preserve">Cost</w:t>
      </w:r>
      <w:r>
        <w:t xml:space="preserve"> </w:t>
      </w:r>
      <w:r>
        <w:t xml:space="preserve">Be-</w:t>
      </w:r>
      <w:r>
        <w:t xml:space="preserve"> </w:t>
      </w:r>
      <w:r>
        <w:t xml:space="preserve">nefit Type*</w:t>
      </w:r>
      <w:r>
        <w:t xml:space="preserve"> </w:t>
      </w:r>
      <w:r>
        <w:t xml:space="preserve">Group</w:t>
      </w:r>
      <w:r>
        <w:t xml:space="preserve"> </w:t>
      </w:r>
      <w:r>
        <w:t xml:space="preserve">Affected**</w:t>
      </w:r>
      <w:r>
        <w:t xml:space="preserve"> </w:t>
      </w:r>
      <w:r>
        <w:t xml:space="preserve">Frequency</w:t>
      </w:r>
      <w:r>
        <w:t xml:space="preserve"> </w:t>
      </w:r>
      <w:r>
        <w:t xml:space="preserve">Amount</w:t>
      </w:r>
      <w:r>
        <w:t xml:space="preserve"> </w:t>
      </w:r>
      <w:r>
        <w:t xml:space="preserve">Description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publish</w:t>
      </w:r>
      <w:r>
        <w:t xml:space="preserve"> </w:t>
      </w:r>
      <w:r>
        <w:t xml:space="preserve">entity</w:t>
      </w:r>
      <w:r>
        <w:t xml:space="preserve"> </w:t>
      </w:r>
      <w:r>
        <w:t xml:space="preserve">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Citizens that</w:t>
      </w:r>
      <w:r>
        <w:t xml:space="preserve"> </w:t>
      </w:r>
      <w:r>
        <w:t xml:space="preserve">are retail</w:t>
      </w:r>
      <w:r>
        <w:t xml:space="preserve"> </w:t>
      </w:r>
      <w:r>
        <w:t xml:space="preserve">investors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acting as</w:t>
      </w:r>
      <w:r>
        <w:t xml:space="preserve"> </w:t>
      </w:r>
      <w:r>
        <w:t xml:space="preserve">professional</w:t>
      </w:r>
      <w:r>
        <w:t xml:space="preserve"> </w:t>
      </w:r>
      <w:r>
        <w:t xml:space="preserve">investors</w:t>
      </w:r>
      <w:r>
        <w:t xml:space="preserve"> </w:t>
      </w:r>
      <w:r>
        <w:t xml:space="preserve">Recurrent</w:t>
      </w:r>
      <w:r>
        <w:t xml:space="preserve"> </w:t>
      </w:r>
      <w:r>
        <w:t xml:space="preserve">qualitative</w:t>
      </w:r>
      <w:r>
        <w:t xml:space="preserve"> </w:t>
      </w:r>
      <w:r>
        <w:t xml:space="preserve">Entity-level disclosures of FMPs provide</w:t>
      </w:r>
      <w:r>
        <w:t xml:space="preserve"> </w:t>
      </w:r>
      <w:r>
        <w:t xml:space="preserve">information on their policies on integrating</w:t>
      </w:r>
      <w:r>
        <w:t xml:space="preserve"> </w:t>
      </w:r>
      <w:r>
        <w:t xml:space="preserve">sustainability risks, how they consider</w:t>
      </w:r>
      <w:r>
        <w:t xml:space="preserve"> </w:t>
      </w:r>
      <w:r>
        <w:t xml:space="preserve">principal adverse impacts on sustainability</w:t>
      </w:r>
      <w:r>
        <w:t xml:space="preserve"> </w:t>
      </w:r>
      <w:r>
        <w:t xml:space="preserve">factors, and how their remuneration policies</w:t>
      </w:r>
      <w:r>
        <w:t xml:space="preserve"> </w:t>
      </w:r>
      <w:r>
        <w:t xml:space="preserve">align with sustainability objectives. This</w:t>
      </w:r>
      <w:r>
        <w:t xml:space="preserve"> </w:t>
      </w:r>
      <w:r>
        <w:t xml:space="preserve">can help investors to choose products from</w:t>
      </w:r>
      <w:r>
        <w:t xml:space="preserve"> </w:t>
      </w:r>
      <w:r>
        <w:t xml:space="preserve">those FMPs that align best with their</w:t>
      </w:r>
      <w:r>
        <w:t xml:space="preserve"> </w:t>
      </w:r>
      <w:r>
        <w:t xml:space="preserve">sustainability preferences. Professional</w:t>
      </w:r>
      <w:r>
        <w:t xml:space="preserve"> </w:t>
      </w:r>
      <w:r>
        <w:t xml:space="preserve">investors benefit from the ability to perform</w:t>
      </w:r>
      <w:r>
        <w:t xml:space="preserve"> </w:t>
      </w:r>
      <w:r>
        <w:t xml:space="preserve">due diligence and select partners or</w:t>
      </w:r>
      <w:r>
        <w:t xml:space="preserve"> </w:t>
      </w:r>
      <w:r>
        <w:t xml:space="preserve">products that align with their clients’ ESG</w:t>
      </w:r>
      <w:r>
        <w:t xml:space="preserve"> </w:t>
      </w:r>
      <w:r>
        <w:t xml:space="preserve">mandates or their own institutional policies</w:t>
      </w:r>
      <w:r>
        <w:t xml:space="preserve"> </w:t>
      </w:r>
      <w:r>
        <w:t xml:space="preserve">Direct</w:t>
      </w:r>
      <w:r>
        <w:t xml:space="preserve"> </w:t>
      </w:r>
      <w:r>
        <w:t xml:space="preserve">admini-</w:t>
      </w:r>
      <w:r>
        <w:t xml:space="preserve"> </w:t>
      </w:r>
      <w:r>
        <w:t xml:space="preserve">strative</w:t>
      </w:r>
      <w:r>
        <w:t xml:space="preserve"> </w:t>
      </w:r>
      <w:r>
        <w:t xml:space="preserve">costs</w:t>
      </w:r>
      <w:r>
        <w:br/>
      </w:r>
      <w:r>
        <w:t xml:space="preserve">Small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br/>
      </w:r>
      <w:r>
        <w:t xml:space="preserve">€70m</w:t>
      </w:r>
      <w:r>
        <w:t xml:space="preserve"> </w:t>
      </w:r>
      <w:r>
        <w:t xml:space="preserve">Internal Personnel, IT implementation and</w:t>
      </w:r>
      <w:r>
        <w:t xml:space="preserve"> </w:t>
      </w:r>
      <w:r>
        <w:t xml:space="preserve">external advice to familiarise with and</w:t>
      </w:r>
      <w:r>
        <w:t xml:space="preserve"> </w:t>
      </w:r>
      <w:r>
        <w:t xml:space="preserve">implement entity-level disclosures</w:t>
      </w:r>
      <w:r>
        <w:t xml:space="preserve"> </w:t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br/>
      </w:r>
      <w:r>
        <w:t xml:space="preserve">€50m</w:t>
      </w:r>
      <w:r>
        <w:t xml:space="preserve"> </w:t>
      </w:r>
      <w:r>
        <w:t xml:space="preserve">Internal Personnel, IT implementation and</w:t>
      </w:r>
      <w:r>
        <w:t xml:space="preserve"> </w:t>
      </w:r>
      <w:r>
        <w:t xml:space="preserve">external advice to familiarise with and</w:t>
      </w:r>
      <w:r>
        <w:t xml:space="preserve"> </w:t>
      </w:r>
      <w:r>
        <w:t xml:space="preserve">implement entity-level disclosures</w:t>
      </w:r>
      <w:r>
        <w:t xml:space="preserve"> </w:t>
      </w:r>
      <w:r>
        <w:t xml:space="preserve">Small</w:t>
      </w:r>
      <w:r>
        <w:t xml:space="preserve"> </w:t>
      </w:r>
      <w:r>
        <w:t xml:space="preserve">Businesses</w:t>
      </w:r>
      <w:r>
        <w:t xml:space="preserve"> </w:t>
      </w:r>
      <w:r>
        <w:t xml:space="preserve">Recurrent</w:t>
      </w:r>
      <w:r>
        <w:br/>
      </w:r>
      <w:r>
        <w:t xml:space="preserve">€43m</w:t>
      </w:r>
      <w:r>
        <w:t xml:space="preserve"> </w:t>
      </w:r>
      <w:r>
        <w:t xml:space="preserve">Ongoing annual internal and external cost</w:t>
      </w:r>
      <w:r>
        <w:t xml:space="preserve"> </w:t>
      </w:r>
      <w:r>
        <w:t xml:space="preserve">to maintain entity-level disclosures</w:t>
      </w:r>
      <w:r>
        <w:br/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Recurrent</w:t>
      </w:r>
      <w:r>
        <w:t xml:space="preserve"> </w:t>
      </w:r>
      <w:r>
        <w:t xml:space="preserve">€13m</w:t>
      </w:r>
      <w:r>
        <w:t xml:space="preserve"> </w:t>
      </w:r>
      <w:r>
        <w:t xml:space="preserve">Ongoing annual internal and external cost</w:t>
      </w:r>
      <w:r>
        <w:t xml:space="preserve"> </w:t>
      </w:r>
      <w:r>
        <w:t xml:space="preserve">to maintain entity-level disclosures</w:t>
      </w:r>
      <w:r>
        <w:t xml:space="preserve"> </w:t>
      </w:r>
      <w:r>
        <w:t xml:space="preserve">Requirement</w:t>
      </w:r>
      <w:r>
        <w:t xml:space="preserve"> </w:t>
      </w:r>
      <w:r>
        <w:t xml:space="preserve">to</w:t>
      </w:r>
      <w:r>
        <w:t xml:space="preserve"> </w:t>
      </w:r>
      <w:r>
        <w:t xml:space="preserve">publish</w:t>
      </w:r>
      <w:r>
        <w:t xml:space="preserve"> </w:t>
      </w:r>
      <w:r>
        <w:t xml:space="preserve">product 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Citizens that</w:t>
      </w:r>
      <w:r>
        <w:t xml:space="preserve"> </w:t>
      </w:r>
      <w:r>
        <w:t xml:space="preserve">are</w:t>
      </w:r>
      <w:r>
        <w:t xml:space="preserve"> </w:t>
      </w:r>
      <w:r>
        <w:t xml:space="preserve">retail</w:t>
      </w:r>
      <w:r>
        <w:t xml:space="preserve"> </w:t>
      </w:r>
      <w:r>
        <w:t xml:space="preserve">investors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acting</w:t>
      </w:r>
      <w:r>
        <w:t xml:space="preserve"> </w:t>
      </w:r>
      <w:r>
        <w:t xml:space="preserve">as</w:t>
      </w:r>
      <w:r>
        <w:t xml:space="preserve"> </w:t>
      </w:r>
      <w:r>
        <w:t xml:space="preserve">professional</w:t>
      </w:r>
      <w:r>
        <w:t xml:space="preserve"> </w:t>
      </w:r>
      <w:r>
        <w:t xml:space="preserve">investors</w:t>
      </w:r>
      <w:r>
        <w:t xml:space="preserve"> </w:t>
      </w:r>
      <w:r>
        <w:t xml:space="preserve">Recurrent</w:t>
      </w:r>
      <w:r>
        <w:t xml:space="preserve"> </w:t>
      </w:r>
      <w:r>
        <w:t xml:space="preserve">Amount</w:t>
      </w:r>
      <w:r>
        <w:t xml:space="preserve"> </w:t>
      </w:r>
      <w:r>
        <w:t xml:space="preserve">Product-level disclosures provide detailed,</w:t>
      </w:r>
      <w:r>
        <w:t xml:space="preserve"> </w:t>
      </w:r>
      <w:r>
        <w:t xml:space="preserve">information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common</w:t>
      </w:r>
      <w:r>
        <w:t xml:space="preserve"> </w:t>
      </w:r>
      <w:r>
        <w:t xml:space="preserve">parameters on how each financial product</w:t>
      </w:r>
      <w:r>
        <w:t xml:space="preserve"> </w:t>
      </w:r>
      <w:r>
        <w:t xml:space="preserve">integrates sustainability risks, considers</w:t>
      </w:r>
      <w:r>
        <w:t xml:space="preserve"> </w:t>
      </w:r>
      <w:r>
        <w:t xml:space="preserve">adverse sustainability impacts, and aligns</w:t>
      </w:r>
      <w:r>
        <w:t xml:space="preserve"> </w:t>
      </w:r>
      <w:r>
        <w:t xml:space="preserve">with environmental or social objectives.</w:t>
      </w:r>
      <w:r>
        <w:t xml:space="preserve"> </w:t>
      </w:r>
      <w:r>
        <w:t xml:space="preserve">Retail investors can use product-level</w:t>
      </w:r>
      <w:r>
        <w:t xml:space="preserve"> </w:t>
      </w:r>
      <w:r>
        <w:t xml:space="preserve">disclosures to match investments with their</w:t>
      </w:r>
      <w:r>
        <w:t xml:space="preserve"> </w:t>
      </w:r>
      <w:r>
        <w:t xml:space="preserve">personal sustainability goals, focusing on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ESG</w:t>
      </w:r>
      <w:r>
        <w:t xml:space="preserve"> </w:t>
      </w:r>
      <w:r>
        <w:t xml:space="preserve">characteristics</w:t>
      </w:r>
      <w:r>
        <w:t xml:space="preserve"> </w:t>
      </w:r>
      <w:r>
        <w:t xml:space="preserve">or</w:t>
      </w:r>
      <w:r>
        <w:t xml:space="preserve"> </w:t>
      </w:r>
      <w:r>
        <w:t xml:space="preserve">objectives of each product. Professional</w:t>
      </w:r>
      <w:r>
        <w:t xml:space="preserve"> </w:t>
      </w:r>
      <w:r>
        <w:t xml:space="preserve">investors benefit from the granularity of</w:t>
      </w:r>
      <w:r>
        <w:t xml:space="preserve"> </w:t>
      </w:r>
      <w:r>
        <w:t xml:space="preserve">data to conduct due diligence, tailor</w:t>
      </w:r>
      <w:r>
        <w:t xml:space="preserve"> </w:t>
      </w:r>
      <w:r>
        <w:t xml:space="preserve">investment strategies, and meet client</w:t>
      </w:r>
      <w:r>
        <w:t xml:space="preserve"> </w:t>
      </w:r>
      <w:r>
        <w:t xml:space="preserve">mandates. Product-level disclosures provide</w:t>
      </w:r>
      <w:r>
        <w:t xml:space="preserve"> </w:t>
      </w:r>
      <w:r>
        <w:t xml:space="preserve">the</w:t>
      </w:r>
      <w:r>
        <w:t xml:space="preserve"> </w:t>
      </w:r>
      <w:r>
        <w:t xml:space="preserve">most</w:t>
      </w:r>
      <w:r>
        <w:t xml:space="preserve"> </w:t>
      </w:r>
      <w:r>
        <w:t xml:space="preserve">relevant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investment decisions, as retail investors</w:t>
      </w:r>
      <w:r>
        <w:t xml:space="preserve"> </w:t>
      </w:r>
      <w:r>
        <w:t xml:space="preserve">typically invest in individual products</w:t>
      </w:r>
      <w:r>
        <w:t xml:space="preserve"> </w:t>
      </w:r>
      <w:r>
        <w:t xml:space="preserve">rather than at the entity level. The</w:t>
      </w:r>
      <w:r>
        <w:t xml:space="preserve"> </w:t>
      </w:r>
      <w:r>
        <w:t xml:space="preserve">disclosures include pre-contractual and</w:t>
      </w:r>
      <w:r>
        <w:t xml:space="preserve"> </w:t>
      </w:r>
      <w:r>
        <w:t xml:space="preserve">periodic information, helping investors</w:t>
      </w:r>
      <w:r>
        <w:t xml:space="preserve"> </w:t>
      </w:r>
      <w:r>
        <w:t xml:space="preserve">monitor investments over time.</w:t>
      </w:r>
      <w:r>
        <w:t xml:space="preserve"> </w:t>
      </w:r>
      <w:r>
        <w:t xml:space="preserve">Direct</w:t>
      </w:r>
      <w:r>
        <w:t xml:space="preserve"> </w:t>
      </w:r>
      <w:r>
        <w:t xml:space="preserve">admini-</w:t>
      </w:r>
      <w:r>
        <w:t xml:space="preserve"> </w:t>
      </w:r>
      <w:r>
        <w:t xml:space="preserve">strative</w:t>
      </w:r>
      <w:r>
        <w:t xml:space="preserve"> </w:t>
      </w:r>
      <w:r>
        <w:t xml:space="preserve">costs</w:t>
      </w:r>
      <w:r>
        <w:br/>
      </w:r>
      <w:r>
        <w:t xml:space="preserve">Small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br/>
      </w:r>
      <w:r>
        <w:t xml:space="preserve">€200m</w:t>
      </w:r>
      <w:r>
        <w:t xml:space="preserve"> </w:t>
      </w:r>
      <w:r>
        <w:t xml:space="preserve">Internal Personnel, IT implementation and</w:t>
      </w:r>
      <w:r>
        <w:t xml:space="preserve"> </w:t>
      </w:r>
      <w:r>
        <w:t xml:space="preserve">external advice to familiarise with and</w:t>
      </w:r>
      <w:r>
        <w:t xml:space="preserve"> </w:t>
      </w:r>
      <w:r>
        <w:t xml:space="preserve">implement entity-level disclosures</w:t>
      </w:r>
      <w:r>
        <w:t xml:space="preserve"> </w:t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One-off</w:t>
      </w:r>
      <w:r>
        <w:br/>
      </w:r>
      <w:r>
        <w:t xml:space="preserve">€180m</w:t>
      </w:r>
      <w:r>
        <w:t xml:space="preserve"> </w:t>
      </w:r>
      <w:r>
        <w:t xml:space="preserve">Internal Personnel, IT implementation and</w:t>
      </w:r>
      <w:r>
        <w:t xml:space="preserve"> </w:t>
      </w:r>
      <w:r>
        <w:t xml:space="preserve">external advice to familiarise with and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Overview of costs and benefits identified in the evaluation</w:t>
      </w:r>
      <w:r>
        <w:t xml:space="preserve"> </w:t>
      </w:r>
      <w:r>
        <w:t xml:space="preserve">Measure</w:t>
      </w:r>
      <w:r>
        <w:t xml:space="preserve"> </w:t>
      </w:r>
      <w:r>
        <w:t xml:space="preserve">Cost</w:t>
      </w:r>
      <w:r>
        <w:t xml:space="preserve"> </w:t>
      </w:r>
      <w:r>
        <w:t xml:space="preserve">Be-</w:t>
      </w:r>
      <w:r>
        <w:t xml:space="preserve"> </w:t>
      </w:r>
      <w:r>
        <w:t xml:space="preserve">nefit Type*</w:t>
      </w:r>
      <w:r>
        <w:t xml:space="preserve"> </w:t>
      </w:r>
      <w:r>
        <w:t xml:space="preserve">Group</w:t>
      </w:r>
      <w:r>
        <w:t xml:space="preserve"> </w:t>
      </w:r>
      <w:r>
        <w:t xml:space="preserve">Affected**</w:t>
      </w:r>
      <w:r>
        <w:t xml:space="preserve"> </w:t>
      </w:r>
      <w:r>
        <w:t xml:space="preserve">Frequency</w:t>
      </w:r>
      <w:r>
        <w:t xml:space="preserve"> </w:t>
      </w:r>
      <w:r>
        <w:t xml:space="preserve">Amount</w:t>
      </w:r>
      <w:r>
        <w:t xml:space="preserve"> </w:t>
      </w:r>
      <w:r>
        <w:t xml:space="preserve">Description</w:t>
      </w:r>
      <w:r>
        <w:t xml:space="preserve"> </w:t>
      </w:r>
      <w:r>
        <w:t xml:space="preserve">implement entity-level disclosures</w:t>
      </w:r>
      <w:r>
        <w:t xml:space="preserve"> </w:t>
      </w:r>
      <w:r>
        <w:t xml:space="preserve">Small</w:t>
      </w:r>
      <w:r>
        <w:t xml:space="preserve"> </w:t>
      </w:r>
      <w:r>
        <w:t xml:space="preserve">Businesses</w:t>
      </w:r>
      <w:r>
        <w:t xml:space="preserve"> </w:t>
      </w:r>
      <w:r>
        <w:t xml:space="preserve">Recurrent</w:t>
      </w:r>
      <w:r>
        <w:br/>
      </w:r>
      <w:r>
        <w:t xml:space="preserve">€120m</w:t>
      </w:r>
      <w:r>
        <w:t xml:space="preserve"> </w:t>
      </w:r>
      <w:r>
        <w:t xml:space="preserve">Ongoing annual internal and external cost</w:t>
      </w:r>
      <w:r>
        <w:t xml:space="preserve"> </w:t>
      </w:r>
      <w:r>
        <w:t xml:space="preserve">to maintain product-level disclosures</w:t>
      </w:r>
      <w:r>
        <w:br/>
      </w:r>
      <w:r>
        <w:t xml:space="preserve">Large</w:t>
      </w:r>
      <w:r>
        <w:t xml:space="preserve"> </w:t>
      </w:r>
      <w:r>
        <w:t xml:space="preserve">Businesses</w:t>
      </w:r>
      <w:r>
        <w:t xml:space="preserve"> </w:t>
      </w:r>
      <w:r>
        <w:t xml:space="preserve">Recurrent</w:t>
      </w:r>
      <w:r>
        <w:t xml:space="preserve"> </w:t>
      </w:r>
      <w:r>
        <w:t xml:space="preserve">€70m</w:t>
      </w:r>
      <w:r>
        <w:t xml:space="preserve"> </w:t>
      </w:r>
      <w:r>
        <w:t xml:space="preserve">Ongoing annual internal and external cost</w:t>
      </w:r>
      <w:r>
        <w:t xml:space="preserve"> </w:t>
      </w:r>
      <w:r>
        <w:t xml:space="preserve">to maintain product-level disclosures</w:t>
      </w:r>
      <w:r>
        <w:t xml:space="preserve"> </w:t>
      </w:r>
      <w:r>
        <w:t xml:space="preserve">Supervise</w:t>
      </w:r>
      <w:r>
        <w:t xml:space="preserve"> </w:t>
      </w:r>
      <w:r>
        <w:t xml:space="preserve">entity</w:t>
      </w:r>
      <w:r>
        <w:t xml:space="preserve"> </w:t>
      </w:r>
      <w:r>
        <w:t xml:space="preserve">and</w:t>
      </w:r>
      <w:r>
        <w:t xml:space="preserve"> </w:t>
      </w:r>
      <w:r>
        <w:t xml:space="preserve">product level</w:t>
      </w:r>
      <w:r>
        <w:t xml:space="preserve"> </w:t>
      </w:r>
      <w:r>
        <w:t xml:space="preserve">disclosures</w:t>
      </w:r>
      <w:r>
        <w:t xml:space="preserve"> </w:t>
      </w:r>
      <w:r>
        <w:t xml:space="preserve">Direct</w:t>
      </w:r>
      <w:r>
        <w:t xml:space="preserve"> </w:t>
      </w:r>
      <w:r>
        <w:t xml:space="preserve">benefit</w:t>
      </w:r>
      <w:r>
        <w:t xml:space="preserve"> </w:t>
      </w:r>
      <w:r>
        <w:t xml:space="preserve">Citizens</w:t>
      </w:r>
      <w:r>
        <w:t xml:space="preserve"> </w:t>
      </w:r>
      <w:r>
        <w:t xml:space="preserve">-</w:t>
      </w:r>
      <w:r>
        <w:br/>
      </w:r>
      <w:r>
        <w:t xml:space="preserve">retail</w:t>
      </w:r>
      <w:r>
        <w:t xml:space="preserve"> </w:t>
      </w:r>
      <w:r>
        <w:t xml:space="preserve">investors and</w:t>
      </w:r>
      <w:r>
        <w:t xml:space="preserve"> </w:t>
      </w:r>
      <w:r>
        <w:t xml:space="preserve">Businesses -</w:t>
      </w:r>
      <w:r>
        <w:t xml:space="preserve"> </w:t>
      </w:r>
      <w:r>
        <w:t xml:space="preserve">professional</w:t>
      </w:r>
      <w:r>
        <w:t xml:space="preserve"> </w:t>
      </w:r>
      <w:r>
        <w:t xml:space="preserve">investors</w:t>
      </w:r>
      <w:r>
        <w:t xml:space="preserve"> </w:t>
      </w:r>
      <w:r>
        <w:t xml:space="preserve">Recurrent</w:t>
      </w:r>
      <w:r>
        <w:t xml:space="preserve"> </w:t>
      </w:r>
      <w:r>
        <w:t xml:space="preserve">Not quanti-</w:t>
      </w:r>
      <w:r>
        <w:t xml:space="preserve"> </w:t>
      </w:r>
      <w:r>
        <w:t xml:space="preserve">fied</w:t>
      </w:r>
      <w:r>
        <w:t xml:space="preserve"> </w:t>
      </w:r>
      <w:r>
        <w:t xml:space="preserve">Supervision ensures that FMPs comply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SFDR,</w:t>
      </w:r>
      <w:r>
        <w:t xml:space="preserve"> </w:t>
      </w:r>
      <w:r>
        <w:t xml:space="preserve">which</w:t>
      </w:r>
      <w:r>
        <w:t xml:space="preserve"> </w:t>
      </w:r>
      <w:r>
        <w:t xml:space="preserve">strengthens</w:t>
      </w:r>
      <w:r>
        <w:t xml:space="preserve"> </w:t>
      </w:r>
      <w:r>
        <w:t xml:space="preserve">accountability for the claims made about</w:t>
      </w:r>
      <w:r>
        <w:t xml:space="preserve"> </w:t>
      </w:r>
      <w:r>
        <w:t xml:space="preserve">sustainability. Effective supervision makes</w:t>
      </w:r>
      <w:r>
        <w:t xml:space="preserve"> </w:t>
      </w:r>
      <w:r>
        <w:t xml:space="preserve">it</w:t>
      </w:r>
      <w:r>
        <w:t xml:space="preserve"> </w:t>
      </w:r>
      <w:r>
        <w:t xml:space="preserve">harder</w:t>
      </w:r>
      <w:r>
        <w:t xml:space="preserve"> </w:t>
      </w:r>
      <w:r>
        <w:t xml:space="preserve">for</w:t>
      </w:r>
      <w:r>
        <w:t xml:space="preserve"> </w:t>
      </w:r>
      <w:r>
        <w:t xml:space="preserve">firms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greenwashing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Admini-</w:t>
      </w:r>
      <w:r>
        <w:t xml:space="preserve"> </w:t>
      </w:r>
      <w:r>
        <w:t xml:space="preserve">strations</w:t>
      </w:r>
      <w:r>
        <w:t xml:space="preserve"> </w:t>
      </w:r>
      <w:r>
        <w:t xml:space="preserve">One-off</w:t>
      </w:r>
      <w:r>
        <w:br/>
      </w:r>
      <w:r>
        <w:t xml:space="preserve">Not quanti-</w:t>
      </w:r>
      <w:r>
        <w:t xml:space="preserve"> </w:t>
      </w:r>
      <w:r>
        <w:t xml:space="preserve">fied</w:t>
      </w:r>
      <w:r>
        <w:t xml:space="preserve"> </w:t>
      </w:r>
      <w:r>
        <w:t xml:space="preserve">Costs for supervisors and NCAs to</w:t>
      </w:r>
      <w:r>
        <w:t xml:space="preserve"> </w:t>
      </w:r>
      <w:r>
        <w:t xml:space="preserve">familiarise themselves with the new rules</w:t>
      </w:r>
      <w:r>
        <w:t xml:space="preserve"> </w:t>
      </w:r>
      <w:r>
        <w:t xml:space="preserve">and implement new procedures (e.g. </w:t>
      </w:r>
      <w:r>
        <w:t xml:space="preserve"> </w:t>
      </w:r>
      <w:r>
        <w:t xml:space="preserve">processes, IT-systems, databases)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Admini-</w:t>
      </w:r>
      <w:r>
        <w:t xml:space="preserve"> </w:t>
      </w:r>
      <w:r>
        <w:t xml:space="preserve">strations</w:t>
      </w:r>
      <w:r>
        <w:t xml:space="preserve"> </w:t>
      </w:r>
      <w:r>
        <w:t xml:space="preserve">Recurrent</w:t>
      </w:r>
      <w:r>
        <w:br/>
      </w:r>
      <w:r>
        <w:t xml:space="preserve">Not quanti-</w:t>
      </w:r>
      <w:r>
        <w:t xml:space="preserve"> </w:t>
      </w:r>
      <w:r>
        <w:t xml:space="preserve">fied</w:t>
      </w:r>
      <w:r>
        <w:t xml:space="preserve"> </w:t>
      </w:r>
      <w:r>
        <w:t xml:space="preserve">Costs</w:t>
      </w:r>
      <w:r>
        <w:t xml:space="preserve"> </w:t>
      </w:r>
      <w:r>
        <w:t xml:space="preserve">for</w:t>
      </w:r>
      <w:r>
        <w:t xml:space="preserve"> </w:t>
      </w:r>
      <w:r>
        <w:t xml:space="preserve">ongoing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procedures linked to the supervision of the</w:t>
      </w:r>
      <w:r>
        <w:t xml:space="preserve"> </w:t>
      </w:r>
      <w:r>
        <w:t xml:space="preserve">SFDR. According to the most recent</w:t>
      </w:r>
      <w:r>
        <w:t xml:space="preserve"> </w:t>
      </w:r>
      <w:r>
        <w:t xml:space="preserve">Greenwashing reports of ESMA, about 80</w:t>
      </w:r>
      <w:r>
        <w:t xml:space="preserve"> </w:t>
      </w:r>
      <w:r>
        <w:t xml:space="preserve">FTEs are allocated to sustainability matters</w:t>
      </w:r>
      <w:r>
        <w:t xml:space="preserve"> </w:t>
      </w:r>
      <w:r>
        <w:t xml:space="preserve">in NCAs that deal with market supervision</w:t>
      </w:r>
      <w:r>
        <w:t xml:space="preserve"> </w:t>
      </w:r>
      <w:r>
        <w:t xml:space="preserve">of issuers and about 92 FTEs to</w:t>
      </w:r>
      <w:r>
        <w:t xml:space="preserve"> </w:t>
      </w:r>
      <w:r>
        <w:t xml:space="preserve">supervisory and regulatory activities linked</w:t>
      </w:r>
      <w:r>
        <w:t xml:space="preserve"> </w:t>
      </w:r>
      <w:r>
        <w:t xml:space="preserve">to</w:t>
      </w:r>
      <w:r>
        <w:t xml:space="preserve"> </w:t>
      </w:r>
      <w:r>
        <w:t xml:space="preserve">investment</w:t>
      </w:r>
      <w:r>
        <w:t xml:space="preserve"> </w:t>
      </w:r>
      <w:r>
        <w:t xml:space="preserve">management236.</w:t>
      </w:r>
      <w:r>
        <w:t xml:space="preserve"> </w:t>
      </w:r>
      <w:r>
        <w:t xml:space="preserve">EBA</w:t>
      </w:r>
      <w:r>
        <w:t xml:space="preserve"> </w:t>
      </w:r>
      <w:r>
        <w:t xml:space="preserve">determined that the competent authorities</w:t>
      </w:r>
      <w:r>
        <w:t xml:space="preserve"> </w:t>
      </w:r>
      <w:r>
        <w:t xml:space="preserve">(CA) in banking allocated only limited</w:t>
      </w:r>
      <w:r>
        <w:t xml:space="preserve"> </w:t>
      </w:r>
      <w:r>
        <w:t xml:space="preserve">resources to sustainability issues with 9</w:t>
      </w:r>
      <w:r>
        <w:t xml:space="preserve"> </w:t>
      </w:r>
      <w:r>
        <w:t xml:space="preserve">CAs out of 30 with 3 or more FTE; 13 two</w:t>
      </w:r>
      <w:r>
        <w:t xml:space="preserve"> </w:t>
      </w:r>
      <w:r>
        <w:t xml:space="preserve">or less; and 9 with no resources or no</w:t>
      </w:r>
      <w:r>
        <w:t xml:space="preserve"> </w:t>
      </w:r>
      <w:r>
        <w:t xml:space="preserve">information237. EIOPA reports about 30</w:t>
      </w:r>
      <w:r>
        <w:t xml:space="preserve"> </w:t>
      </w:r>
      <w:r>
        <w:t xml:space="preserve">FTEs</w:t>
      </w:r>
      <w:r>
        <w:t xml:space="preserve"> </w:t>
      </w:r>
      <w:r>
        <w:t xml:space="preserve">in</w:t>
      </w:r>
      <w:r>
        <w:t xml:space="preserve"> </w:t>
      </w:r>
      <w:r>
        <w:t xml:space="preserve">total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performing</w:t>
      </w:r>
      <w:r>
        <w:t xml:space="preserve"> </w:t>
      </w:r>
      <w:r>
        <w:t xml:space="preserve">sustainability-related tasks.238</w:t>
      </w:r>
    </w:p>
    <w:p>
      <w:pPr>
        <w:pStyle w:val="BodyText"/>
      </w:pPr>
      <w:r>
        <w:t xml:space="preserve">236 ESMA (June 2024): Final Report on Greenwashing: ESMA36-287652198-2699</w:t>
      </w:r>
      <w:r>
        <w:t xml:space="preserve"> </w:t>
      </w:r>
      <w:r>
        <w:t xml:space="preserve">237 EBA (September 2024): Report on greenwashing monitoring and supervision.pdf and EBA (May 2023): progress</w:t>
      </w:r>
      <w:r>
        <w:t xml:space="preserve"> </w:t>
      </w:r>
      <w:r>
        <w:t xml:space="preserve">report on greewnwashing.pdf.</w:t>
      </w:r>
      <w:r>
        <w:t xml:space="preserve"> </w:t>
      </w:r>
      <w:r>
        <w:t xml:space="preserve">238 EIOPA(June 2024): Advice to the European Commission on greenwashing risks and the supervision of sustainable</w:t>
      </w:r>
      <w:r>
        <w:t xml:space="preserve"> </w:t>
      </w:r>
      <w:r>
        <w:t xml:space="preserve">finance policies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– I. Overview of Benefits (total for all provisions) – Preferred Option</w:t>
      </w:r>
      <w:r>
        <w:t xml:space="preserve"> </w:t>
      </w:r>
      <w:r>
        <w:t xml:space="preserve">– Measure</w:t>
      </w:r>
      <w:r>
        <w:t xml:space="preserve"> </w:t>
      </w:r>
      <w:r>
        <w:t xml:space="preserve">– Group</w:t>
      </w:r>
      <w:r>
        <w:t xml:space="preserve"> </w:t>
      </w:r>
      <w:r>
        <w:t xml:space="preserve">affected</w:t>
      </w:r>
      <w:r>
        <w:t xml:space="preserve"> </w:t>
      </w:r>
      <w:r>
        <w:t xml:space="preserve">– Frequency</w:t>
      </w:r>
      <w:r>
        <w:t xml:space="preserve"> </w:t>
      </w:r>
      <w:r>
        <w:t xml:space="preserve">– Amount</w:t>
      </w:r>
      <w:r>
        <w:t xml:space="preserve"> </w:t>
      </w:r>
      <w:r>
        <w:t xml:space="preserve">– Comments</w:t>
      </w:r>
      <w:r>
        <w:t xml:space="preserve"> </w:t>
      </w:r>
      <w:r>
        <w:t xml:space="preserve">– Direct benefits</w:t>
      </w:r>
      <w:r>
        <w:t xml:space="preserve"> </w:t>
      </w:r>
      <w:r>
        <w:t xml:space="preserve">– Combination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– Small</w:t>
      </w:r>
      <w:r>
        <w:t xml:space="preserve"> </w:t>
      </w:r>
      <w:r>
        <w:t xml:space="preserve">Business</w:t>
      </w:r>
      <w:r>
        <w:t xml:space="preserve"> </w:t>
      </w:r>
      <w:r>
        <w:t xml:space="preserve">es</w:t>
      </w:r>
      <w:r>
        <w:t xml:space="preserve"> </w:t>
      </w:r>
      <w:r>
        <w:t xml:space="preserve">– Recurrent</w:t>
      </w:r>
      <w:r>
        <w:br/>
      </w:r>
      <w:r>
        <w:t xml:space="preserve">– -€60m</w:t>
      </w:r>
      <w:r>
        <w:t xml:space="preserve"> </w:t>
      </w:r>
      <w:r>
        <w:t xml:space="preserve">– Details</w:t>
      </w:r>
      <w:r>
        <w:t xml:space="preserve"> </w:t>
      </w:r>
      <w:r>
        <w:t xml:space="preserve">see</w:t>
      </w:r>
      <w:r>
        <w:t xml:space="preserve"> </w:t>
      </w:r>
      <w:r>
        <w:t xml:space="preserve">section 3.10.</w:t>
      </w:r>
      <w:r>
        <w:t xml:space="preserve"> </w:t>
      </w:r>
      <w:r>
        <w:t xml:space="preserve">– Combination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</w:t>
      </w:r>
      <w:r>
        <w:t xml:space="preserve"> </w:t>
      </w:r>
      <w:r>
        <w:t xml:space="preserve">– Large</w:t>
      </w:r>
      <w:r>
        <w:t xml:space="preserve"> </w:t>
      </w:r>
      <w:r>
        <w:t xml:space="preserve">Business</w:t>
      </w:r>
      <w:r>
        <w:t xml:space="preserve"> </w:t>
      </w:r>
      <w:r>
        <w:t xml:space="preserve">es</w:t>
      </w:r>
      <w:r>
        <w:t xml:space="preserve"> </w:t>
      </w:r>
      <w:r>
        <w:t xml:space="preserve">– Recurrent</w:t>
      </w:r>
      <w:r>
        <w:t xml:space="preserve"> </w:t>
      </w:r>
      <w:r>
        <w:t xml:space="preserve">– -€30m</w:t>
      </w:r>
      <w:r>
        <w:t xml:space="preserve"> </w:t>
      </w:r>
      <w:r>
        <w:t xml:space="preserve">– Details</w:t>
      </w:r>
      <w:r>
        <w:t xml:space="preserve"> </w:t>
      </w:r>
      <w:r>
        <w:t xml:space="preserve">see</w:t>
      </w:r>
      <w:r>
        <w:t xml:space="preserve"> </w:t>
      </w:r>
      <w:r>
        <w:t xml:space="preserve">section 3.10.</w:t>
      </w:r>
      <w:r>
        <w:t xml:space="preserve"> </w:t>
      </w:r>
      <w:r>
        <w:t xml:space="preserve">– Indirect benefits</w:t>
      </w:r>
      <w:r>
        <w:t xml:space="preserve"> </w:t>
      </w:r>
      <w:r>
        <w:t xml:space="preserve">– Combination</w:t>
      </w:r>
      <w:r>
        <w:t xml:space="preserve"> </w:t>
      </w:r>
      <w:r>
        <w:t xml:space="preserve">of</w:t>
      </w:r>
      <w:r>
        <w:t xml:space="preserve"> </w:t>
      </w:r>
      <w:r>
        <w:t xml:space="preserve">preferred</w:t>
      </w:r>
      <w:r>
        <w:t xml:space="preserve"> </w:t>
      </w:r>
      <w:r>
        <w:t xml:space="preserve">options:</w:t>
      </w:r>
      <w:r>
        <w:br/>
      </w:r>
      <w:r>
        <w:t xml:space="preserve">4) Abolish entity level</w:t>
      </w:r>
      <w:r>
        <w:t xml:space="preserve"> </w:t>
      </w:r>
      <w:r>
        <w:t xml:space="preserve">disclosures</w:t>
      </w:r>
      <w:r>
        <w:br/>
      </w:r>
      <w:r>
        <w:t xml:space="preserve">5) Significantly</w:t>
      </w:r>
      <w:r>
        <w:t xml:space="preserve"> </w:t>
      </w:r>
      <w:r>
        <w:t xml:space="preserve">reduce</w:t>
      </w:r>
      <w:r>
        <w:t xml:space="preserve"> </w:t>
      </w:r>
      <w:r>
        <w:t xml:space="preserve">Product</w:t>
      </w:r>
      <w:r>
        <w:t xml:space="preserve"> </w:t>
      </w:r>
      <w:r>
        <w:t xml:space="preserve">level disclosures</w:t>
      </w:r>
      <w:r>
        <w:t xml:space="preserve"> </w:t>
      </w:r>
      <w:r>
        <w:t xml:space="preserve">6) Introduce</w:t>
      </w:r>
      <w:r>
        <w:t xml:space="preserve"> </w:t>
      </w:r>
      <w:r>
        <w:t xml:space="preserve">categorisation</w:t>
      </w:r>
      <w:r>
        <w:t xml:space="preserve"> </w:t>
      </w:r>
      <w:r>
        <w:t xml:space="preserve">system</w:t>
      </w:r>
      <w:r>
        <w:t xml:space="preserve"> </w:t>
      </w:r>
      <w:r>
        <w:t xml:space="preserve">with</w:t>
      </w:r>
      <w:r>
        <w:t xml:space="preserve"> </w:t>
      </w:r>
      <w:r>
        <w:t xml:space="preserve">3</w:t>
      </w:r>
      <w:r>
        <w:t xml:space="preserve"> </w:t>
      </w:r>
      <w:r>
        <w:t xml:space="preserve">categories</w:t>
      </w:r>
      <w:r>
        <w:t xml:space="preserve"> </w:t>
      </w:r>
      <w:r>
        <w:t xml:space="preserve">–</w:t>
      </w:r>
      <w:r>
        <w:br/>
      </w:r>
      <w:r>
        <w:t xml:space="preserve">–</w:t>
      </w:r>
      <w:r>
        <w:br/>
      </w:r>
      <w:r>
        <w:t xml:space="preserve">– qualitative</w:t>
      </w:r>
      <w:r>
        <w:t xml:space="preserve"> </w:t>
      </w:r>
      <w:r>
        <w:t xml:space="preserve">–</w:t>
      </w:r>
      <w:r>
        <w:br/>
      </w:r>
      <w:r>
        <w:t xml:space="preserve">– FMP</w:t>
      </w:r>
      <w:r>
        <w:t xml:space="preserve"> </w:t>
      </w:r>
      <w:r>
        <w:t xml:space="preserve">(preparer</w:t>
      </w:r>
      <w:r>
        <w:t xml:space="preserve"> </w:t>
      </w:r>
      <w:r>
        <w:t xml:space="preserve">perspective)</w:t>
      </w:r>
      <w:r>
        <w:t xml:space="preserve"> </w:t>
      </w:r>
      <w:r>
        <w:t xml:space="preserve">:</w:t>
      </w:r>
      <w:r>
        <w:br/>
      </w:r>
      <w:r>
        <w:t xml:space="preserve">– Reduce</w:t>
      </w:r>
      <w:r>
        <w:t xml:space="preserve"> </w:t>
      </w:r>
      <w:r>
        <w:t xml:space="preserve">the</w:t>
      </w:r>
      <w:r>
        <w:t xml:space="preserve"> </w:t>
      </w:r>
      <w:r>
        <w:t xml:space="preserve">sustainability-</w:t>
      </w:r>
      <w:r>
        <w:t xml:space="preserve"> </w:t>
      </w:r>
      <w:r>
        <w:t xml:space="preserve">related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requirements</w:t>
      </w:r>
      <w:r>
        <w:t xml:space="preserve"> </w:t>
      </w:r>
      <w:r>
        <w:t xml:space="preserve">and</w:t>
      </w:r>
      <w:r>
        <w:t xml:space="preserve"> </w:t>
      </w:r>
      <w:r>
        <w:t xml:space="preserve">complexity</w:t>
      </w:r>
      <w:r>
        <w:t xml:space="preserve"> </w:t>
      </w:r>
      <w:r>
        <w:t xml:space="preserve">– Boost</w:t>
      </w:r>
      <w:r>
        <w:t xml:space="preserve"> </w:t>
      </w:r>
      <w:r>
        <w:t xml:space="preserve">the</w:t>
      </w:r>
      <w:r>
        <w:t xml:space="preserve"> </w:t>
      </w:r>
      <w:r>
        <w:t xml:space="preserve">competitiveness of</w:t>
      </w:r>
      <w:r>
        <w:t xml:space="preserve"> </w:t>
      </w:r>
      <w:r>
        <w:t xml:space="preserve">Europe’s</w:t>
      </w:r>
      <w:r>
        <w:t xml:space="preserve"> </w:t>
      </w:r>
      <w:r>
        <w:t xml:space="preserve">financial</w:t>
      </w:r>
      <w:r>
        <w:t xml:space="preserve"> </w:t>
      </w:r>
      <w:r>
        <w:t xml:space="preserve">sector by ensuring</w:t>
      </w:r>
      <w:r>
        <w:t xml:space="preserve"> </w:t>
      </w:r>
      <w:r>
        <w:t xml:space="preserve">conditions</w:t>
      </w:r>
      <w:r>
        <w:t xml:space="preserve"> </w:t>
      </w:r>
      <w:r>
        <w:t xml:space="preserve">which</w:t>
      </w:r>
      <w:r>
        <w:t xml:space="preserve"> </w:t>
      </w:r>
      <w:r>
        <w:t xml:space="preserve">make</w:t>
      </w:r>
      <w:r>
        <w:t xml:space="preserve"> </w:t>
      </w:r>
      <w:r>
        <w:t xml:space="preserve">business</w:t>
      </w:r>
      <w:r>
        <w:t xml:space="preserve"> </w:t>
      </w:r>
      <w:r>
        <w:t xml:space="preserve">easier and help to</w:t>
      </w:r>
      <w:r>
        <w:t xml:space="preserve"> </w:t>
      </w:r>
      <w:r>
        <w:t xml:space="preserve">deepen our single</w:t>
      </w:r>
      <w:r>
        <w:t xml:space="preserve"> </w:t>
      </w:r>
      <w:r>
        <w:t xml:space="preserve">market</w:t>
      </w:r>
      <w:r>
        <w:t xml:space="preserve"> </w:t>
      </w:r>
      <w:r>
        <w:t xml:space="preserve">for</w:t>
      </w:r>
      <w:r>
        <w:t xml:space="preserve"> </w:t>
      </w:r>
      <w:r>
        <w:t xml:space="preserve">sustainability-linked</w:t>
      </w:r>
      <w:r>
        <w:t xml:space="preserve"> </w:t>
      </w:r>
      <w:r>
        <w:t xml:space="preserve">financial products</w:t>
      </w:r>
      <w:r>
        <w:t xml:space="preserve"> </w:t>
      </w:r>
      <w:r>
        <w:t xml:space="preserve">– End-</w:t>
      </w:r>
      <w:r>
        <w:t xml:space="preserve"> </w:t>
      </w:r>
      <w:r>
        <w:t xml:space="preserve">investor</w:t>
      </w:r>
      <w:r>
        <w:t xml:space="preserve"> </w:t>
      </w:r>
      <w:r>
        <w:t xml:space="preserve">and</w:t>
      </w:r>
      <w:r>
        <w:t xml:space="preserve"> </w:t>
      </w:r>
      <w:r>
        <w:t xml:space="preserve">distributor</w:t>
      </w:r>
      <w:r>
        <w:t xml:space="preserve"> </w:t>
      </w:r>
      <w:r>
        <w:t xml:space="preserve">(user</w:t>
      </w:r>
      <w:r>
        <w:t xml:space="preserve"> </w:t>
      </w:r>
      <w:r>
        <w:t xml:space="preserve">perspective):</w:t>
      </w:r>
      <w:r>
        <w:t xml:space="preserve"> </w:t>
      </w:r>
      <w:r>
        <w:t xml:space="preserve">– Improve</w:t>
      </w:r>
      <w:r>
        <w:t xml:space="preserve"> </w:t>
      </w:r>
      <w:r>
        <w:t xml:space="preserve">end-</w:t>
      </w:r>
      <w:r>
        <w:t xml:space="preserve"> </w:t>
      </w:r>
      <w:r>
        <w:t xml:space="preserve">investors’ ability to</w:t>
      </w:r>
      <w:r>
        <w:t xml:space="preserve"> </w:t>
      </w:r>
      <w:r>
        <w:t xml:space="preserve">understand</w:t>
      </w:r>
      <w:r>
        <w:t xml:space="preserve"> </w:t>
      </w:r>
      <w:r>
        <w:t xml:space="preserve">and</w:t>
      </w:r>
      <w:r>
        <w:t xml:space="preserve"> </w:t>
      </w:r>
      <w:r>
        <w:t xml:space="preserve">compare</w:t>
      </w:r>
      <w:r>
        <w:t xml:space="preserve"> </w:t>
      </w:r>
      <w:r>
        <w:t xml:space="preserve">sustainability-linked</w:t>
      </w:r>
      <w:r>
        <w:t xml:space="preserve"> </w:t>
      </w:r>
      <w:r>
        <w:t xml:space="preserve">financial products</w:t>
      </w:r>
      <w:r>
        <w:t xml:space="preserve"> </w:t>
      </w:r>
      <w:r>
        <w:t xml:space="preserve">– Facilitate</w:t>
      </w:r>
      <w:r>
        <w:t xml:space="preserve"> </w:t>
      </w:r>
      <w:r>
        <w:t xml:space="preserve">distribution</w:t>
      </w:r>
      <w:r>
        <w:t xml:space="preserve"> </w:t>
      </w:r>
      <w:r>
        <w:t xml:space="preserve">along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chain</w:t>
      </w:r>
      <w:r>
        <w:t xml:space="preserve"> </w:t>
      </w:r>
      <w:r>
        <w:t xml:space="preserve">– Increase consumers’</w:t>
      </w:r>
      <w:r>
        <w:t xml:space="preserve"> </w:t>
      </w:r>
      <w:r>
        <w:t xml:space="preserve">confidence</w:t>
      </w:r>
      <w:r>
        <w:t xml:space="preserve"> </w:t>
      </w:r>
      <w:r>
        <w:t xml:space="preserve">in</w:t>
      </w:r>
      <w:r>
        <w:t xml:space="preserve"> </w:t>
      </w:r>
      <w:r>
        <w:t xml:space="preserve">financial</w:t>
      </w:r>
      <w:r>
        <w:t xml:space="preserve"> </w:t>
      </w:r>
      <w:r>
        <w:t xml:space="preserve">products</w:t>
      </w:r>
      <w:r>
        <w:t xml:space="preserve"> </w:t>
      </w:r>
      <w:r>
        <w:t xml:space="preserve">with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claims by setting</w:t>
      </w:r>
      <w:r>
        <w:t xml:space="preserve"> </w:t>
      </w:r>
      <w:r>
        <w:t xml:space="preserve">minimum standards</w:t>
      </w:r>
      <w:r>
        <w:t xml:space="preserve"> </w:t>
      </w:r>
      <w:r>
        <w:t xml:space="preserve">(in line with the</w:t>
      </w:r>
      <w:r>
        <w:t xml:space="preserve"> </w:t>
      </w:r>
      <w:r>
        <w:t xml:space="preserve">applicable</w:t>
      </w:r>
      <w:r>
        <w:t xml:space="preserve"> </w:t>
      </w:r>
      <w:r>
        <w:t xml:space="preserve">ESMA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guidelines on funds</w:t>
      </w:r>
      <w:r>
        <w:t xml:space="preserve"> </w:t>
      </w:r>
      <w:r>
        <w:t xml:space="preserve">names)</w:t>
      </w:r>
      <w:r>
        <w:t xml:space="preserve"> </w:t>
      </w:r>
      <w:r>
        <w:t xml:space="preserve">Estimates are gross values relative to the baseline for the preferred option as a whole (i.e. the impact of individual</w:t>
      </w:r>
      <w:r>
        <w:t xml:space="preserve"> </w:t>
      </w:r>
      <w:r>
        <w:t xml:space="preserve">actions/obligations of the preferred option are aggregated together);</w:t>
      </w:r>
    </w:p>
    <w:p>
      <w:pPr>
        <w:pStyle w:val="BodyText"/>
      </w:pPr>
      <w:r>
        <w:t xml:space="preserve"> II. Overview of costs – Preferred option</w:t>
      </w:r>
      <w:r>
        <w:t xml:space="preserve"> </w:t>
      </w:r>
      <w:r>
        <w:t xml:space="preserve"></w:t>
      </w:r>
      <w:r>
        <w:br/>
      </w:r>
      <w:r>
        <w:t xml:space="preserve"> Citizens/Consumers</w:t>
      </w:r>
      <w:r>
        <w:t xml:space="preserve"> </w:t>
      </w:r>
      <w:r>
        <w:t xml:space="preserve"> Businesses</w:t>
      </w:r>
      <w:r>
        <w:t xml:space="preserve"> </w:t>
      </w:r>
      <w:r>
        <w:t xml:space="preserve"> Administrations</w:t>
      </w:r>
      <w:r>
        <w:t xml:space="preserve"> </w:t>
      </w:r>
      <w:r>
        <w:t xml:space="preserve"> One-off  Recurre</w:t>
      </w:r>
      <w:r>
        <w:t xml:space="preserve"> </w:t>
      </w:r>
      <w:r>
        <w:t xml:space="preserve">nt</w:t>
      </w:r>
      <w:r>
        <w:t xml:space="preserve"> </w:t>
      </w:r>
      <w:r>
        <w:t xml:space="preserve"> One-off</w:t>
      </w:r>
      <w:r>
        <w:t xml:space="preserve"> </w:t>
      </w:r>
      <w:r>
        <w:t xml:space="preserve"> Recurrent  One-off  Recurre</w:t>
      </w:r>
      <w:r>
        <w:t xml:space="preserve"> </w:t>
      </w:r>
      <w:r>
        <w:t xml:space="preserve">nt</w:t>
      </w:r>
      <w:r>
        <w:br/>
      </w:r>
      <w:r>
        <w:t xml:space="preserve"> Actio</w:t>
      </w:r>
      <w:r>
        <w:t xml:space="preserve"> </w:t>
      </w:r>
      <w:r>
        <w:t xml:space="preserve">n (a)</w:t>
      </w:r>
      <w:r>
        <w:br/>
      </w:r>
      <w:r>
        <w:t xml:space="preserve"> 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Effort</w:t>
      </w:r>
      <w:r>
        <w:t xml:space="preserve"> </w:t>
      </w:r>
      <w:r>
        <w:t xml:space="preserve">linked</w:t>
      </w:r>
      <w:r>
        <w:t xml:space="preserve"> </w:t>
      </w:r>
      <w:r>
        <w:t xml:space="preserve">to</w:t>
      </w:r>
      <w:r>
        <w:t xml:space="preserve"> </w:t>
      </w:r>
      <w:r>
        <w:t xml:space="preserve">familiar</w:t>
      </w:r>
      <w:r>
        <w:t xml:space="preserve"> </w:t>
      </w:r>
      <w:r>
        <w:t xml:space="preserve">isation</w:t>
      </w:r>
      <w:r>
        <w:t xml:space="preserve"> </w:t>
      </w:r>
      <w:r>
        <w:t xml:space="preserve">239</w:t>
      </w:r>
      <w:r>
        <w:t xml:space="preserve"> </w:t>
      </w:r>
      <w:r>
        <w:t xml:space="preserve"> mixed240</w:t>
      </w:r>
      <w:r>
        <w:t xml:space="preserve"> </w:t>
      </w:r>
      <w:r>
        <w:t xml:space="preserve"> Direct</w:t>
      </w:r>
      <w:r>
        <w:t xml:space="preserve"> </w:t>
      </w:r>
      <w:r>
        <w:t xml:space="preserve">administrativ</w:t>
      </w:r>
      <w:r>
        <w:t xml:space="preserve"> </w:t>
      </w:r>
      <w:r>
        <w:t xml:space="preserve">e costs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€74m*</w:t>
      </w:r>
      <w:r>
        <w:t xml:space="preserve"> </w:t>
      </w:r>
      <w:r>
        <w:t xml:space="preserve"> -€90m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Direct</w:t>
      </w:r>
      <w:r>
        <w:t xml:space="preserve"> </w:t>
      </w:r>
      <w:r>
        <w:t xml:space="preserve">regulatory</w:t>
      </w:r>
      <w:r>
        <w:t xml:space="preserve"> </w:t>
      </w:r>
      <w:r>
        <w:t xml:space="preserve">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Direct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Indirect costs 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 none</w:t>
      </w:r>
      <w:r>
        <w:t xml:space="preserve"> </w:t>
      </w:r>
      <w:r>
        <w:t xml:space="preserve">* The EUR 74 million is the annualised value of one-off costs amounting in total to EUR 630 million (subject to the</w:t>
      </w:r>
      <w:r>
        <w:t xml:space="preserve"> </w:t>
      </w:r>
      <w:r>
        <w:t xml:space="preserve">caveats in Table 3 of section 3.10), assuming that a loan has been issued to finance the one-off burden over a period of</w:t>
      </w:r>
      <w:r>
        <w:t xml:space="preserve"> </w:t>
      </w:r>
      <w:r>
        <w:t xml:space="preserve">10 years and an interest rate of 3%</w:t>
      </w:r>
    </w:p>
    <w:p>
      <w:pPr>
        <w:pStyle w:val="BodyText"/>
      </w:pPr>
      <w:r>
        <w:t xml:space="preserve">239 Public administrations surveyed expect for the abolishment of entity-level disclosures no or limited additional effort</w:t>
      </w:r>
      <w:r>
        <w:t xml:space="preserve"> </w:t>
      </w:r>
      <w:r>
        <w:t xml:space="preserve">(mainly to understand the new requirement), for the simplification of product level disclosures about 0.1-2 additional</w:t>
      </w:r>
      <w:r>
        <w:t xml:space="preserve"> </w:t>
      </w:r>
      <w:r>
        <w:t xml:space="preserve">FTE in the first year and about the same additional FTE for the introduction of a product categories in year 1 to</w:t>
      </w:r>
      <w:r>
        <w:t xml:space="preserve"> </w:t>
      </w:r>
      <w:r>
        <w:t xml:space="preserve">familiarise themselves with the new regulation and perform the required adaptation.</w:t>
      </w:r>
      <w:r>
        <w:br/>
      </w:r>
      <w:r>
        <w:t xml:space="preserve">240 The replies of authorities were mixed, many authorities could not assess the long-term consequences without seeing</w:t>
      </w:r>
      <w:r>
        <w:t xml:space="preserve"> </w:t>
      </w:r>
      <w:r>
        <w:t xml:space="preserve">the final proposal, some authorities saw a long-term potential of saving effort up to 30% provided that the legal clarity,</w:t>
      </w:r>
      <w:r>
        <w:t xml:space="preserve"> </w:t>
      </w:r>
      <w:r>
        <w:t xml:space="preserve">simplicity and objectivity will increase and ambiguity decrease; some authorities expected additional effort, e.g. due to</w:t>
      </w:r>
      <w:r>
        <w:t xml:space="preserve"> </w:t>
      </w:r>
      <w:r>
        <w:t xml:space="preserve">the approval process of funds under the new regime.</w:t>
      </w:r>
    </w:p>
    <w:p>
      <w:pPr>
        <w:pStyle w:val="BodyText"/>
      </w:pPr>
      <w:r>
        <w:t xml:space="preserve">109</w:t>
      </w:r>
    </w:p>
    <w:p>
      <w:pPr>
        <w:pStyle w:val="Compact"/>
        <w:numPr>
          <w:ilvl w:val="0"/>
          <w:numId w:val="1016"/>
        </w:numPr>
      </w:pPr>
      <w:r>
        <w:t xml:space="preserve">Application of the ‘one in, one out’ approach – Preferred option(s)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 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FirstParagraph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€74m</w:t>
      </w:r>
      <w:r>
        <w:t xml:space="preserve"> </w:t>
      </w:r>
      <w:r>
        <w:t xml:space="preserve">€24m</w:t>
      </w:r>
      <w:r>
        <w:t xml:space="preserve"> </w:t>
      </w:r>
      <w:r>
        <w:t xml:space="preserve">€98m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€0m</w:t>
      </w:r>
      <w:r>
        <w:t xml:space="preserve"> </w:t>
      </w:r>
      <w:r>
        <w:t xml:space="preserve">-€110m</w:t>
      </w:r>
      <w:r>
        <w:t xml:space="preserve"> </w:t>
      </w:r>
      <w:r>
        <w:t xml:space="preserve">-€110m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€74m</w:t>
      </w:r>
      <w:r>
        <w:t xml:space="preserve"> </w:t>
      </w:r>
      <w:r>
        <w:t xml:space="preserve">-€86m</w:t>
      </w:r>
      <w:r>
        <w:t xml:space="preserve"> </w:t>
      </w:r>
      <w:r>
        <w:t xml:space="preserve">-€12m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Removed administrative</w:t>
      </w:r>
      <w:r>
        <w:t xml:space="preserve"> </w:t>
      </w:r>
      <w:r>
        <w:t xml:space="preserve">burdens (OUTs)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burdens*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  <w:r>
        <w:t xml:space="preserve"> </w:t>
      </w:r>
      <w:r>
        <w:t xml:space="preserve">Adjustment costs**</w:t>
      </w:r>
      <w:r>
        <w:t xml:space="preserve"> </w:t>
      </w:r>
      <w:r>
        <w:t xml:space="preserve">€0m</w:t>
      </w:r>
      <w:r>
        <w:t xml:space="preserve"> </w:t>
      </w:r>
      <w:r>
        <w:t xml:space="preserve">€0m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burdens***</w:t>
      </w:r>
    </w:p>
    <w:p>
      <w:pPr>
        <w:pStyle w:val="BodyText"/>
      </w:pPr>
      <w:r>
        <w:t xml:space="preserve">-€12m</w:t>
      </w:r>
      <w:r>
        <w:t xml:space="preserve"> </w:t>
      </w:r>
      <w:r>
        <w:t xml:space="preserve">(</w:t>
      </w:r>
      <w:r>
        <w:rPr>
          <w:i/>
          <w:iCs/>
        </w:rPr>
        <w:t xml:space="preserve">) Net administrative burdens = INs – OUTs;</w:t>
      </w:r>
      <w:r>
        <w:br/>
      </w:r>
      <w:r>
        <w:rPr>
          <w:i/>
          <w:iCs/>
        </w:rPr>
        <w:t xml:space="preserve">(</w:t>
      </w:r>
      <w:r>
        <w:rPr>
          <w:b/>
          <w:bCs/>
          <w:i/>
          <w:iCs/>
        </w:rPr>
        <w:t xml:space="preserve">) Adjustment costs falling under the scope of the OIOO approach are the same as reported in Table 2 above. Non-</w:t>
      </w:r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annualised values;</w:t>
      </w:r>
      <w:r>
        <w:br/>
      </w:r>
      <w:r>
        <w:rPr>
          <w:b/>
          <w:bCs/>
          <w:i/>
          <w:iCs/>
        </w:rPr>
        <w:t xml:space="preserve">(</w:t>
      </w:r>
      <w:r>
        <w:t xml:space="preserve">) Total administrative burdens = Net administrative burdens for businesses + net administrative burdens for citizens.</w:t>
      </w:r>
      <w:r>
        <w:t xml:space="preserve"> </w:t>
      </w:r>
      <w:r>
        <w:t xml:space="preserve">Relevant sustainable development goals</w:t>
      </w:r>
      <w:r>
        <w:t xml:space="preserve"> </w:t>
      </w:r>
      <w:r>
        <w:t xml:space="preserve"> IV. Overview of relevant Sustainable Development Goals – Preferred Option(s)</w:t>
      </w:r>
      <w:r>
        <w:t xml:space="preserve"> </w:t>
      </w:r>
      <w:r>
        <w:t xml:space="preserve"> Relevant SDG</w:t>
      </w:r>
      <w:r>
        <w:t xml:space="preserve"> </w:t>
      </w:r>
      <w:r>
        <w:t xml:space="preserve"> Expected progress towards the Goal</w:t>
      </w:r>
      <w:r>
        <w:t xml:space="preserve"> </w:t>
      </w:r>
      <w:r>
        <w:t xml:space="preserve"> Comments</w:t>
      </w:r>
      <w:r>
        <w:t xml:space="preserve"> </w:t>
      </w:r>
      <w:r>
        <w:t xml:space="preserve"> SDG</w:t>
      </w:r>
      <w:r>
        <w:t xml:space="preserve"> </w:t>
      </w:r>
      <w:r>
        <w:t xml:space="preserve">13</w:t>
      </w:r>
      <w:r>
        <w:t xml:space="preserve"> </w:t>
      </w:r>
      <w:r>
        <w:t xml:space="preserve">“Climate</w:t>
      </w:r>
      <w:r>
        <w:t xml:space="preserve"> </w:t>
      </w:r>
      <w:r>
        <w:t xml:space="preserve">Action”</w:t>
      </w:r>
      <w:r>
        <w:t xml:space="preserve"> </w:t>
      </w:r>
      <w:r>
        <w:t xml:space="preserve"> SDG 6 “Clean Water and</w:t>
      </w:r>
      <w:r>
        <w:t xml:space="preserve"> </w:t>
      </w:r>
      <w:r>
        <w:t xml:space="preserve">Sanitation”</w:t>
      </w:r>
      <w:r>
        <w:t xml:space="preserve"> </w:t>
      </w:r>
      <w:r>
        <w:t xml:space="preserve"> SDG 7 “Affordable and</w:t>
      </w:r>
      <w:r>
        <w:t xml:space="preserve"> </w:t>
      </w:r>
      <w:r>
        <w:t xml:space="preserve">Clean Energy”</w:t>
      </w:r>
      <w:r>
        <w:t xml:space="preserve"> </w:t>
      </w:r>
      <w:r>
        <w:t xml:space="preserve"> SDG</w:t>
      </w:r>
      <w:r>
        <w:t xml:space="preserve"> </w:t>
      </w:r>
      <w:r>
        <w:t xml:space="preserve">9</w:t>
      </w:r>
      <w:r>
        <w:t xml:space="preserve"> </w:t>
      </w:r>
      <w:r>
        <w:t xml:space="preserve">“Industry,</w:t>
      </w:r>
      <w:r>
        <w:t xml:space="preserve"> </w:t>
      </w:r>
      <w:r>
        <w:t xml:space="preserve">Innovation</w:t>
      </w:r>
      <w:r>
        <w:t xml:space="preserve"> </w:t>
      </w:r>
      <w:r>
        <w:t xml:space="preserve">and</w:t>
      </w:r>
      <w:r>
        <w:t xml:space="preserve"> </w:t>
      </w:r>
      <w:r>
        <w:t xml:space="preserve">Infrastructure”</w:t>
      </w:r>
      <w:r>
        <w:br/>
      </w:r>
      <w:r>
        <w:t xml:space="preserve"> SDG3 “Good Health and</w:t>
      </w:r>
      <w:r>
        <w:t xml:space="preserve"> </w:t>
      </w:r>
      <w:r>
        <w:t xml:space="preserve">Well-being”</w:t>
      </w:r>
      <w:r>
        <w:t xml:space="preserve"> </w:t>
      </w:r>
      <w:r>
        <w:t xml:space="preserve"> SDG</w:t>
      </w:r>
      <w:r>
        <w:t xml:space="preserve"> </w:t>
      </w:r>
      <w:r>
        <w:t xml:space="preserve">5</w:t>
      </w:r>
      <w:r>
        <w:t xml:space="preserve"> </w:t>
      </w:r>
      <w:r>
        <w:t xml:space="preserve">“Gender</w:t>
      </w:r>
      <w:r>
        <w:t xml:space="preserve"> </w:t>
      </w:r>
      <w:r>
        <w:t xml:space="preserve">Equality”</w:t>
      </w:r>
      <w:r>
        <w:t xml:space="preserve"> </w:t>
      </w:r>
      <w:r>
        <w:t xml:space="preserve"> Initiative</w:t>
      </w:r>
      <w:r>
        <w:t xml:space="preserve"> </w:t>
      </w:r>
      <w:r>
        <w:t xml:space="preserve">expected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encourage</w:t>
      </w:r>
      <w:r>
        <w:t xml:space="preserve"> </w:t>
      </w:r>
      <w:r>
        <w:t xml:space="preserve">investment flows contributing positively</w:t>
      </w:r>
      <w:r>
        <w:t xml:space="preserve"> </w:t>
      </w:r>
      <w:r>
        <w:t xml:space="preserve">toward the identified SDGs</w:t>
      </w:r>
      <w:r>
        <w:t xml:space="preserve"> </w:t>
      </w:r>
      <w:r>
        <w:t xml:space="preserve">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Estimation of Administrative Costs and Burdens</w:t>
      </w:r>
      <w:r>
        <w:t xml:space="preserve"> </w:t>
      </w:r>
      <w:r>
        <w:t xml:space="preserve">For the estimate of the SFDR related costs for businesses that are classified as administrative costs</w:t>
      </w:r>
      <w:r>
        <w:t xml:space="preserve"> </w:t>
      </w:r>
      <w:r>
        <w:t xml:space="preserve">in the Better Regulation terminology, the standard cost model (see Tool #58 EU Standard Cost</w:t>
      </w:r>
      <w:r>
        <w:t xml:space="preserve"> </w:t>
      </w:r>
      <w:r>
        <w:t xml:space="preserve">Model of the Better Regulation Toolbox July 2023) has been used.241 The data to perform the cost</w:t>
      </w:r>
      <w:r>
        <w:t xml:space="preserve"> </w:t>
      </w:r>
      <w:r>
        <w:t xml:space="preserve">estimations has been taken from the stakeholder consultation and has been scaled-up for the whole</w:t>
      </w:r>
      <w:r>
        <w:t xml:space="preserve"> </w:t>
      </w:r>
      <w:r>
        <w:t xml:space="preserve">European market. Please refer to section 3.7 in Annex 3 for a description of the details.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https://commission.europa.eu/law/law-making-process/planning-and-proposing-law/better-regulation/better-</w:t>
      </w:r>
      <w:r>
        <w:t xml:space="preserve"> </w:t>
      </w:r>
      <w:r>
        <w:t xml:space="preserve">regulation-guidelines-and-toolbox_en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</w:t>
      </w:r>
      <w:r>
        <w:t xml:space="preserve"> </w:t>
      </w:r>
      <w:r>
        <w:t xml:space="preserve">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 main</w:t>
      </w:r>
      <w:r>
        <w:t xml:space="preserve"> </w:t>
      </w:r>
      <w:r>
        <w:t xml:space="preserve">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++</w:t>
      </w:r>
      <w:r>
        <w:t xml:space="preserve"> </w:t>
      </w:r>
      <w:r>
        <w:t xml:space="preserve">Sections 6, 7; Annex 3</w:t>
      </w:r>
      <w:r>
        <w:t xml:space="preserve"> </w:t>
      </w:r>
      <w:r>
        <w:t xml:space="preserve">International competitiveness</w:t>
      </w:r>
      <w:r>
        <w:br/>
      </w:r>
      <w:r>
        <w:t xml:space="preserve">+</w:t>
      </w:r>
      <w:r>
        <w:t xml:space="preserve"> </w:t>
      </w:r>
      <w:r>
        <w:t xml:space="preserve">Sections 6, 7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Sections 6, 7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+</w:t>
      </w:r>
      <w:r>
        <w:t xml:space="preserve"> </w:t>
      </w:r>
      <w:r>
        <w:t xml:space="preserve">Annex 12</w:t>
      </w:r>
    </w:p>
    <w:p>
      <w:pPr>
        <w:pStyle w:val="Compact"/>
        <w:numPr>
          <w:ilvl w:val="0"/>
          <w:numId w:val="1017"/>
        </w:numPr>
      </w:pPr>
      <w:r>
        <w:t xml:space="preserve">Synthetic assessment</w:t>
      </w:r>
      <w:r>
        <w:br/>
      </w:r>
      <w:r>
        <w:t xml:space="preserve">The combination of the preferred options presented in Section 8 have a positive impact</w:t>
      </w:r>
      <w:r>
        <w:t xml:space="preserve"> </w:t>
      </w:r>
      <w:r>
        <w:t xml:space="preserve">across all the dimensions of competitiveness above.</w:t>
      </w:r>
      <w:r>
        <w:br/>
      </w:r>
      <w:r>
        <w:t xml:space="preserve">On cost and price competitiveness, the options are expected to reduce compliance costs</w:t>
      </w:r>
      <w:r>
        <w:t xml:space="preserve"> </w:t>
      </w:r>
      <w:r>
        <w:t xml:space="preserve">to a significant extent, as detailed in Annex 3. The options are set to help EU FMPs</w:t>
      </w:r>
      <w:r>
        <w:t xml:space="preserve"> </w:t>
      </w:r>
      <w:r>
        <w:t xml:space="preserve">improve their cost competitiveness by addressing many of the identified undue burdens</w:t>
      </w:r>
      <w:r>
        <w:t xml:space="preserve"> </w:t>
      </w:r>
      <w:r>
        <w:t xml:space="preserve">and excessive compliance costs associated with the status quo. The preferred option to</w:t>
      </w:r>
      <w:r>
        <w:t xml:space="preserve"> </w:t>
      </w:r>
      <w:r>
        <w:t xml:space="preserve">alleviate burdens and costs of reporting will remove duplications and inconsistencies,</w:t>
      </w:r>
      <w:r>
        <w:t xml:space="preserve"> </w:t>
      </w:r>
      <w:r>
        <w:t xml:space="preserve">facilitating market entry. The preferred option to set up a clear and coherent</w:t>
      </w:r>
      <w:r>
        <w:t xml:space="preserve"> </w:t>
      </w:r>
      <w:r>
        <w:t xml:space="preserve">categorisation system for sustainability-linked financial products reflects current market</w:t>
      </w:r>
      <w:r>
        <w:t xml:space="preserve"> </w:t>
      </w:r>
      <w:r>
        <w:t xml:space="preserve">practices to a large extent, entailing minimal adjustment costs compared to the</w:t>
      </w:r>
      <w:r>
        <w:t xml:space="preserve"> </w:t>
      </w:r>
      <w:r>
        <w:t xml:space="preserve">alternatives. These costs are expected to be outweighed by the economic benefits of</w:t>
      </w:r>
      <w:r>
        <w:t xml:space="preserve"> </w:t>
      </w:r>
      <w:r>
        <w:t xml:space="preserve">continued investment flows according to a simpler, clearer and more intuitive</w:t>
      </w:r>
      <w:r>
        <w:t xml:space="preserve"> </w:t>
      </w:r>
      <w:r>
        <w:t xml:space="preserve">categorisation of products.</w:t>
      </w:r>
      <w:r>
        <w:br/>
      </w:r>
      <w:r>
        <w:t xml:space="preserve">Given the EU’s overwhelming market share for sustainable financial products globally, a</w:t>
      </w:r>
      <w:r>
        <w:t xml:space="preserve"> </w:t>
      </w:r>
      <w:r>
        <w:t xml:space="preserve">positive impact is also to be expected on international competitiveness. The competitive</w:t>
      </w:r>
      <w:r>
        <w:t xml:space="preserve"> </w:t>
      </w:r>
      <w:r>
        <w:t xml:space="preserve">position of EU FMPs and funds in launching and providing services in relation to</w:t>
      </w:r>
      <w:r>
        <w:t xml:space="preserve"> </w:t>
      </w:r>
      <w:r>
        <w:t xml:space="preserve">sustainability-linked financial products would be further bolstered. Through lower costs</w:t>
      </w:r>
      <w:r>
        <w:t xml:space="preserve"> </w:t>
      </w:r>
      <w:r>
        <w:t xml:space="preserve">arising from the removal of undue burdens and a simpler categorisation regime for</w:t>
      </w:r>
      <w:r>
        <w:t xml:space="preserve"> </w:t>
      </w:r>
      <w:r>
        <w:t xml:space="preserve">products, the EU market for sustainable products can also be expected to grow, to help</w:t>
      </w:r>
      <w:r>
        <w:t xml:space="preserve"> </w:t>
      </w:r>
      <w:r>
        <w:t xml:space="preserve">scale up the flow of private savings and investments into the real economy and its</w:t>
      </w:r>
      <w:r>
        <w:t xml:space="preserve"> </w:t>
      </w:r>
      <w:r>
        <w:t xml:space="preserve">transition towards more sustainable economic practices. Given the dominant size of the</w:t>
      </w:r>
      <w:r>
        <w:t xml:space="preserve"> </w:t>
      </w:r>
      <w:r>
        <w:t xml:space="preserve">EU market in this area, the categorisation regime can be expected to become a de facto</w:t>
      </w:r>
      <w:r>
        <w:t xml:space="preserve"> </w:t>
      </w:r>
      <w:r>
        <w:t xml:space="preserve">global standard and contribute to attracting inward investment flows into the EU.</w:t>
      </w:r>
      <w:r>
        <w:br/>
      </w:r>
      <w:r>
        <w:t xml:space="preserve">The market’s capacity to innovate is also positively supported by reduced reporting</w:t>
      </w:r>
      <w:r>
        <w:t xml:space="preserve"> </w:t>
      </w:r>
      <w:r>
        <w:t xml:space="preserve">burdens and clear product categories. Lower compliance costs can help free up FMPs’</w:t>
      </w:r>
      <w:r>
        <w:t xml:space="preserve"> </w:t>
      </w:r>
      <w:r>
        <w:t xml:space="preserve">resources for product innovation. The criteria underpinning the categories leave room for</w:t>
      </w:r>
      <w:r>
        <w:t xml:space="preserve"> </w:t>
      </w:r>
      <w:r>
        <w:t xml:space="preserve">flexibility allowing FMPs to design products according to diverse parameters, while</w:t>
      </w:r>
      <w:r>
        <w:t xml:space="preserve"> </w:t>
      </w:r>
      <w:r>
        <w:t xml:space="preserve">providing the essential reassurance to retail investors about what their products can and</w:t>
      </w:r>
      <w:r>
        <w:t xml:space="preserve"> </w:t>
      </w:r>
      <w:r>
        <w:t xml:space="preserve">cannot invest in. The criteria would be future-proof and allow to continue designing and</w:t>
      </w:r>
      <w:r>
        <w:t xml:space="preserve"> </w:t>
      </w:r>
      <w:r>
        <w:t xml:space="preserve">innovating products according to emerging technological trends and evolutions in science</w:t>
      </w:r>
      <w:r>
        <w:t xml:space="preserve"> </w:t>
      </w:r>
      <w:r>
        <w:t xml:space="preserve">and environmental policy. Overall, provided FMPs seize opportunities to design products</w:t>
      </w:r>
      <w:r>
        <w:t xml:space="preserve"> </w:t>
      </w:r>
      <w:r>
        <w:t xml:space="preserve">in accordance with a simple categorisation system, increased funds toward private</w:t>
      </w:r>
    </w:p>
    <w:p>
      <w:pPr>
        <w:pStyle w:val="FirstParagraph"/>
      </w:pPr>
      <w:r>
        <w:t xml:space="preserve">112</w:t>
      </w:r>
    </w:p>
    <w:p>
      <w:pPr>
        <w:pStyle w:val="BodyText"/>
      </w:pPr>
      <w:r>
        <w:t xml:space="preserve">sustainability-oriented innovations in the real economy can be expected to ensue,</w:t>
      </w:r>
      <w:r>
        <w:t xml:space="preserve"> </w:t>
      </w:r>
      <w:r>
        <w:t xml:space="preserve">supporting the flow of additional private risk capital toward the twin green and digital</w:t>
      </w:r>
      <w:r>
        <w:t xml:space="preserve"> </w:t>
      </w:r>
      <w:r>
        <w:t xml:space="preserve">transitions to finance the EU’s long-term climate and competitiveness goals.</w:t>
      </w:r>
      <w:r>
        <w:br/>
      </w:r>
      <w:r>
        <w:t xml:space="preserve">In terms of sectors which are most likely to be impacted, some negative effects could</w:t>
      </w:r>
      <w:r>
        <w:t xml:space="preserve"> </w:t>
      </w:r>
      <w:r>
        <w:t xml:space="preserve">arise for those targeted by the PAB/CTB exclusions, namely tobacco, controversial</w:t>
      </w:r>
      <w:r>
        <w:t xml:space="preserve"> </w:t>
      </w:r>
      <w:r>
        <w:t xml:space="preserve">weapons, and companies involved in human rights violations or heavily in fossil fuels.</w:t>
      </w:r>
      <w:r>
        <w:t xml:space="preserve"> </w:t>
      </w:r>
      <w:r>
        <w:t xml:space="preserve">However, this would continue their treatment under PAB/CTB benchmarks, and would</w:t>
      </w:r>
      <w:r>
        <w:t xml:space="preserve"> </w:t>
      </w:r>
      <w:r>
        <w:t xml:space="preserve">not apply beyond ESG-focused financial products. Non-ESG focused products could still</w:t>
      </w:r>
      <w:r>
        <w:t xml:space="preserve"> </w:t>
      </w:r>
      <w:r>
        <w:t xml:space="preserve">fully include these companies at FMPs’ and investors’ discretion. Conversely, the</w:t>
      </w:r>
      <w:r>
        <w:t xml:space="preserve"> </w:t>
      </w:r>
      <w:r>
        <w:t xml:space="preserve">creation of categories could support positive impacts notably in sectors associated with</w:t>
      </w:r>
      <w:r>
        <w:t xml:space="preserve"> </w:t>
      </w:r>
      <w:r>
        <w:t xml:space="preserve">high levels of environmental and social progress (sustainable category), those</w:t>
      </w:r>
      <w:r>
        <w:t xml:space="preserve"> </w:t>
      </w:r>
      <w:r>
        <w:t xml:space="preserve">undertaking meaningful improvement toward less harmful environmental or social</w:t>
      </w:r>
      <w:r>
        <w:t xml:space="preserve"> </w:t>
      </w:r>
      <w:r>
        <w:t xml:space="preserve">practices (transition category), and those which can be accommodated in various other</w:t>
      </w:r>
      <w:r>
        <w:t xml:space="preserve"> </w:t>
      </w:r>
      <w:r>
        <w:t xml:space="preserve">diverse ESG strategies (other ESG category). For instance, the sustainable category could</w:t>
      </w:r>
      <w:r>
        <w:t xml:space="preserve"> </w:t>
      </w:r>
      <w:r>
        <w:t xml:space="preserve">further help boost investment in EU companies with Taxonomy-aligned activities, in key</w:t>
      </w:r>
      <w:r>
        <w:t xml:space="preserve"> </w:t>
      </w:r>
      <w:r>
        <w:t xml:space="preserve">Taxonomy-eligible sectors such as renewable energies, transport, manufacturing and real</w:t>
      </w:r>
      <w:r>
        <w:t xml:space="preserve"> </w:t>
      </w:r>
      <w:r>
        <w:t xml:space="preserve">estate242. For its part, the transition category could help facilitate investment toward a</w:t>
      </w:r>
      <w:r>
        <w:t xml:space="preserve"> </w:t>
      </w:r>
      <w:r>
        <w:t xml:space="preserve">wide range of sectors for which meaningful transition-trajectories are most advanced or</w:t>
      </w:r>
      <w:r>
        <w:t xml:space="preserve"> </w:t>
      </w:r>
      <w:r>
        <w:t xml:space="preserve">under development. For example, a key metric in this context would be the market-led</w:t>
      </w:r>
      <w:r>
        <w:t xml:space="preserve"> </w:t>
      </w:r>
      <w:r>
        <w:t xml:space="preserve">Science-Based Targets initiative, which has gathered commitments from over 10000</w:t>
      </w:r>
      <w:r>
        <w:t xml:space="preserve"> </w:t>
      </w:r>
      <w:r>
        <w:t xml:space="preserve">companies across the world (53% from Europe), with the highest number in the services</w:t>
      </w:r>
      <w:r>
        <w:t xml:space="preserve"> </w:t>
      </w:r>
      <w:r>
        <w:t xml:space="preserve">and manufacturing sectors243. Finally, the third category could encompass a variety of</w:t>
      </w:r>
      <w:r>
        <w:t xml:space="preserve"> </w:t>
      </w:r>
      <w:r>
        <w:t xml:space="preserve">sectors pursuing diverse ESG strategies, and appeal notably to investors interested in a</w:t>
      </w:r>
      <w:r>
        <w:t xml:space="preserve"> </w:t>
      </w:r>
      <w:r>
        <w:t xml:space="preserve">diversified product with clear ESG-based exclusions244.</w:t>
      </w:r>
      <w:r>
        <w:br/>
      </w:r>
      <w:r>
        <w:t xml:space="preserve">Finally, the initiative is also expected to have a positive impact on SME competitiveness.</w:t>
      </w:r>
      <w:r>
        <w:t xml:space="preserve"> </w:t>
      </w:r>
      <w:r>
        <w:t xml:space="preserve">Together with the provisions of the Omnibus (i.e. removal of listed SMEs from the</w:t>
      </w:r>
      <w:r>
        <w:t xml:space="preserve"> </w:t>
      </w:r>
      <w:r>
        <w:t xml:space="preserve">scope, value chain cap applicable to companies outside the CSRD to limit trickle-down</w:t>
      </w:r>
      <w:r>
        <w:t xml:space="preserve"> </w:t>
      </w:r>
      <w:r>
        <w:t xml:space="preserve">effects, single voluntary standard for companies outside the CSRD), SMEs can benefit</w:t>
      </w:r>
      <w:r>
        <w:t xml:space="preserve"> </w:t>
      </w:r>
      <w:r>
        <w:t xml:space="preserve">from the flow of funds and be included in products under a simple categorisation system,</w:t>
      </w:r>
      <w:r>
        <w:t xml:space="preserve"> </w:t>
      </w:r>
      <w:r>
        <w:t xml:space="preserve">as well as from lower reporting and compliance costs incumbent on FMPs. While SMEs</w:t>
      </w:r>
      <w:r>
        <w:t xml:space="preserve"> </w:t>
      </w:r>
      <w:r>
        <w:t xml:space="preserve">may typically not constitute a large share of the portfolios of investees within mainstream</w:t>
      </w:r>
      <w:r>
        <w:t xml:space="preserve"> </w:t>
      </w:r>
      <w:r>
        <w:t xml:space="preserve">(UCITS) financial products, the simplification of disclosures and clear criteria</w:t>
      </w:r>
      <w:r>
        <w:t xml:space="preserve"> </w:t>
      </w:r>
      <w:r>
        <w:t xml:space="preserve">underpinning categories could support some reallocation of portfolios toward greater</w:t>
      </w:r>
      <w:r>
        <w:t xml:space="preserve"> </w:t>
      </w:r>
      <w:r>
        <w:t xml:space="preserve">inclusion of SMEs, including through greater clarity on the use of estimates and proxies.</w:t>
      </w:r>
      <w:r>
        <w:t xml:space="preserve"> </w:t>
      </w:r>
      <w:r>
        <w:t xml:space="preserve">This could stem from addressing any bias in favour of larger listed companies from</w:t>
      </w:r>
      <w:r>
        <w:t xml:space="preserve"> </w:t>
      </w:r>
      <w:r>
        <w:t xml:space="preserve">whom granular data is more available.</w:t>
      </w:r>
    </w:p>
    <w:p>
      <w:pPr>
        <w:pStyle w:val="BodyText"/>
      </w:pPr>
      <w:r>
        <w:t xml:space="preserve">242 Together with other recent steps to boost competitiveness taken to facilitate Taxonomy-reporting by</w:t>
      </w:r>
      <w:r>
        <w:t xml:space="preserve"> </w:t>
      </w:r>
      <w:r>
        <w:t xml:space="preserve">companies under the Omnibus: “Commission to cut EU taxonomy red tape for companies - European</w:t>
      </w:r>
      <w:r>
        <w:t xml:space="preserve"> </w:t>
      </w:r>
      <w:r>
        <w:t xml:space="preserve">Commission”</w:t>
      </w:r>
      <w:r>
        <w:t xml:space="preserve"> </w:t>
      </w:r>
      <w:r>
        <w:t xml:space="preserve">243 https://sciencebasedtargets.org/ For example, a 2022 SBTi analysis of 205 companies which had made</w:t>
      </w:r>
      <w:r>
        <w:t xml:space="preserve"> </w:t>
      </w:r>
      <w:r>
        <w:t xml:space="preserve">commitments demonstrated that these were reducing scope 1 and 2 emission at a faster rate than required:</w:t>
      </w:r>
      <w:r>
        <w:t xml:space="preserve"> </w:t>
      </w:r>
      <w:r>
        <w:t xml:space="preserve">linear annual rate of 5.9% between target setting year and 2021, compared to minimum annual reduction of</w:t>
      </w:r>
      <w:r>
        <w:t xml:space="preserve"> </w:t>
      </w:r>
      <w:r>
        <w:t xml:space="preserve">4.2% required for meeting 1.5°C (Source: materials shared for 10 July 2025 ESMA transition finance</w:t>
      </w:r>
      <w:r>
        <w:t xml:space="preserve"> </w:t>
      </w:r>
      <w:r>
        <w:t xml:space="preserve">workshop by a SBTi founding member organisation)</w:t>
      </w:r>
      <w:r>
        <w:br/>
      </w:r>
      <w:r>
        <w:t xml:space="preserve">244 More information on possible sectoral/company level impacts on funds’ portfolios is also provided in</w:t>
      </w:r>
      <w:r>
        <w:t xml:space="preserve"> </w:t>
      </w:r>
      <w:r>
        <w:t xml:space="preserve">Annex 8.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ANNEX 6: INTERACTIONS BETWEEN THE SFDR AND THE</w:t>
      </w:r>
      <w:r>
        <w:t xml:space="preserve"> </w:t>
      </w:r>
      <w:r>
        <w:t xml:space="preserve">SUSTAINABLE FINANCE AND BROADER CORPORATE</w:t>
      </w:r>
      <w:r>
        <w:t xml:space="preserve"> </w:t>
      </w:r>
      <w:r>
        <w:t xml:space="preserve">SUSTAINABILITY FRAMEWORK</w:t>
      </w:r>
      <w:r>
        <w:br/>
      </w:r>
      <w:r>
        <w:t xml:space="preserve">This annex aims at explaining the interactions between the SFDR and the rest of the</w:t>
      </w:r>
      <w:r>
        <w:t xml:space="preserve"> </w:t>
      </w:r>
      <w:r>
        <w:t xml:space="preserve">sustainable finance and broader corporate sustainability framework. It also highlights the</w:t>
      </w:r>
      <w:r>
        <w:t xml:space="preserve"> </w:t>
      </w:r>
      <w:r>
        <w:t xml:space="preserve">specific considerations that need to be taken into account for the review regarding the</w:t>
      </w:r>
      <w:r>
        <w:t xml:space="preserve"> </w:t>
      </w:r>
      <w:r>
        <w:t xml:space="preserve">links and necessary alignments between the SFDR and the CSRD, the EU Taxonomy</w:t>
      </w:r>
      <w:r>
        <w:t xml:space="preserve"> </w:t>
      </w:r>
      <w:r>
        <w:t xml:space="preserve">Regulation, the Benchmark Regulation, CSDDD and the MiFID/IDD sustainability</w:t>
      </w:r>
      <w:r>
        <w:t xml:space="preserve"> </w:t>
      </w:r>
      <w:r>
        <w:t xml:space="preserve">delegated act.</w:t>
      </w:r>
      <w:r>
        <w:br/>
      </w:r>
      <w:r>
        <w:t xml:space="preserve">1. The EU sustainability disclosure regimes and tools that feed into the SFDR</w:t>
      </w:r>
      <w:r>
        <w:br/>
      </w:r>
      <w:r>
        <w:t xml:space="preserve">Box 5: The flow of information: from companies to the financial sector to end investors</w:t>
      </w:r>
    </w:p>
    <w:p>
      <w:pPr>
        <w:pStyle w:val="BodyText"/>
      </w:pPr>
      <w:r>
        <w:t xml:space="preserve">Corporate Reporting Disclosure Directive (CSRD)</w:t>
      </w:r>
      <w:r>
        <w:t xml:space="preserve"> </w:t>
      </w:r>
      <w:r>
        <w:t xml:space="preserve">What is the CSRD</w:t>
      </w:r>
      <w:r>
        <w:br/>
      </w:r>
      <w:r>
        <w:t xml:space="preserve">The Corporate Sustainability Reporting Directive (CSRD) modernised and strengthened</w:t>
      </w:r>
      <w:r>
        <w:t xml:space="preserve"> </w:t>
      </w:r>
      <w:r>
        <w:t xml:space="preserve">the rules concerning the disclosure of sustainability information by undertakings in</w:t>
      </w:r>
      <w:r>
        <w:t xml:space="preserve"> </w:t>
      </w:r>
      <w:r>
        <w:t xml:space="preserve">response to the increased demand for corporate sustainability information and</w:t>
      </w:r>
      <w:r>
        <w:t xml:space="preserve"> </w:t>
      </w:r>
      <w:r>
        <w:t xml:space="preserve">transparency. The existing CSRD requires that large undertakings and listed SMEs</w:t>
      </w:r>
      <w:r>
        <w:t xml:space="preserve"> </w:t>
      </w:r>
      <w:r>
        <w:t xml:space="preserve">disclose information necessary to understand the undertaking’s impacts on sustainability</w:t>
      </w:r>
      <w:r>
        <w:t xml:space="preserve"> </w:t>
      </w:r>
      <w:r>
        <w:t xml:space="preserve">(ESG) matters, and information necessary to understand how sustainability matters affect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the undertaking’s development, performance and position. The CSRD phases in the</w:t>
      </w:r>
      <w:r>
        <w:t xml:space="preserve"> </w:t>
      </w:r>
      <w:r>
        <w:t xml:space="preserve">reporting requirements for different categories of undertakings.</w:t>
      </w:r>
      <w:r>
        <w:br/>
      </w:r>
      <w:r>
        <w:t xml:space="preserve">The reporting requirements are specified in European Sustainability Reporting Standards</w:t>
      </w:r>
      <w:r>
        <w:t xml:space="preserve"> </w:t>
      </w:r>
      <w:r>
        <w:t xml:space="preserve">(ESRS), which were developed in draft form by EFRAG and adopted by the Commission</w:t>
      </w:r>
      <w:r>
        <w:t xml:space="preserve"> </w:t>
      </w:r>
      <w:r>
        <w:t xml:space="preserve">via Delegated Regulation 2023/2772.</w:t>
      </w:r>
      <w:r>
        <w:br/>
      </w:r>
      <w:r>
        <w:t xml:space="preserve">How does it interact with the SFDR</w:t>
      </w:r>
      <w:r>
        <w:br/>
      </w:r>
      <w:r>
        <w:t xml:space="preserve">FMPs rely on ESG information disclosed by investee companies under the CSRD (the</w:t>
      </w:r>
      <w:r>
        <w:t xml:space="preserve"> </w:t>
      </w:r>
      <w:r>
        <w:t xml:space="preserve">‘European Sustainability Reporting Standards’, or ESRS) to assess the principal adverse</w:t>
      </w:r>
      <w:r>
        <w:t xml:space="preserve"> </w:t>
      </w:r>
      <w:r>
        <w:t xml:space="preserve">impacts (PAIs) of their investments. To this end, the ESRS mirrors the PAIs to ensure</w:t>
      </w:r>
      <w:r>
        <w:t xml:space="preserve"> </w:t>
      </w:r>
      <w:r>
        <w:t xml:space="preserve">FMPs get the information needed.</w:t>
      </w:r>
      <w:r>
        <w:br/>
      </w:r>
      <w:r>
        <w:t xml:space="preserve">However, the CSRD does not cover all entities/assets that FMPs invest in. For example,</w:t>
      </w:r>
      <w:r>
        <w:t xml:space="preserve"> </w:t>
      </w:r>
      <w:r>
        <w:t xml:space="preserve">the CSRD does not apply to most third-country companies. In the EU, the CSRD</w:t>
      </w:r>
      <w:r>
        <w:t xml:space="preserve"> </w:t>
      </w:r>
      <w:r>
        <w:t xml:space="preserve">currently applies to all large companies and all listed companies (including listed SMEs</w:t>
      </w:r>
      <w:r>
        <w:t xml:space="preserve"> </w:t>
      </w:r>
      <w:r>
        <w:t xml:space="preserve">and non-EU companies listed in EU). It also applies to non-EU companies that generate</w:t>
      </w:r>
      <w:r>
        <w:t xml:space="preserve"> </w:t>
      </w:r>
      <w:r>
        <w:t xml:space="preserve">more than EUR 150 million in the EU and have either an EU branch with turnover above</w:t>
      </w:r>
      <w:r>
        <w:t xml:space="preserve"> </w:t>
      </w:r>
      <w:r>
        <w:t xml:space="preserve">40 million or an EU subsidiary that is itself in CSRD scope. This scope represents on</w:t>
      </w:r>
      <w:r>
        <w:t xml:space="preserve"> </w:t>
      </w:r>
      <w:r>
        <w:t xml:space="preserve">average 30% of EU portfolios. To bridge the data gaps, FMPs are using estimates.</w:t>
      </w:r>
      <w:r>
        <w:br/>
      </w:r>
      <w:r>
        <w:t xml:space="preserve">In addition, the recent omnibus Commission proposal reduces the CSRD scope.</w:t>
      </w:r>
      <w:r>
        <w:t xml:space="preserve"> </w:t>
      </w:r>
      <w:r>
        <w:t xml:space="preserve">Reporting obligations would apply only to large companies with more than 1000</w:t>
      </w:r>
      <w:r>
        <w:t xml:space="preserve"> </w:t>
      </w:r>
      <w:r>
        <w:t xml:space="preserve">employees (i.e. companies with more than 1000 employees and either turnover above</w:t>
      </w:r>
      <w:r>
        <w:t xml:space="preserve"> </w:t>
      </w:r>
      <w:r>
        <w:t xml:space="preserve">EUR 50 million or balance sheet above EUR 25 million). Non-EU companies in scope</w:t>
      </w:r>
      <w:r>
        <w:t xml:space="preserve"> </w:t>
      </w:r>
      <w:r>
        <w:t xml:space="preserve">would be reduced to the ones generating a turnover above EUR 450 million, with an EU</w:t>
      </w:r>
      <w:r>
        <w:t xml:space="preserve"> </w:t>
      </w:r>
      <w:r>
        <w:t xml:space="preserve">branch threshold set at EUR 50 million and EU subsidiary threshold set at “large’. The</w:t>
      </w:r>
      <w:r>
        <w:t xml:space="preserve"> </w:t>
      </w:r>
      <w:r>
        <w:t xml:space="preserve">ESRS are also expected to be streamlined.</w:t>
      </w:r>
      <w:r>
        <w:br/>
      </w:r>
      <w:r>
        <w:t xml:space="preserve">Special considerations for the review: the disclosures and criteria need to take account of</w:t>
      </w:r>
      <w:r>
        <w:t xml:space="preserve"> </w:t>
      </w:r>
      <w:r>
        <w:t xml:space="preserve">the upcoming loss of publicly available data from CSRD companies. The need to</w:t>
      </w:r>
      <w:r>
        <w:t xml:space="preserve"> </w:t>
      </w:r>
      <w:r>
        <w:t xml:space="preserve">generate/buy estimates is expected to grow.</w:t>
      </w:r>
      <w:r>
        <w:br/>
      </w:r>
      <w:r>
        <w:t xml:space="preserve">EU Taxonomy Regulation</w:t>
      </w:r>
      <w:r>
        <w:br/>
      </w:r>
      <w:r>
        <w:t xml:space="preserve">What is the EU taxonomy</w:t>
      </w:r>
      <w:r>
        <w:br/>
      </w:r>
      <w:r>
        <w:t xml:space="preserve">The EU Taxonomy provides a classification system of environmentally sustainable</w:t>
      </w:r>
      <w:r>
        <w:t xml:space="preserve"> </w:t>
      </w:r>
      <w:r>
        <w:t xml:space="preserve">economic activities. It helps address the risk of greenwashing and supports investors in</w:t>
      </w:r>
      <w:r>
        <w:t xml:space="preserve"> </w:t>
      </w:r>
      <w:r>
        <w:t xml:space="preserve">directing their capital towards the activities needed for the green transition. The EU</w:t>
      </w:r>
      <w:r>
        <w:t xml:space="preserve"> </w:t>
      </w:r>
      <w:r>
        <w:t xml:space="preserve">Taxonomy can also serve as a tool for financial and non-financial undertakings to plan</w:t>
      </w:r>
      <w:r>
        <w:t xml:space="preserve"> </w:t>
      </w:r>
      <w:r>
        <w:t xml:space="preserve">and communicate on their business strategies, transition planning, as well as their</w:t>
      </w:r>
      <w:r>
        <w:t xml:space="preserve"> </w:t>
      </w:r>
      <w:r>
        <w:t xml:space="preserve">investing and lending activities for the transition to a low-carbon, sustainable economy.</w:t>
      </w:r>
      <w:r>
        <w:br/>
      </w:r>
      <w:r>
        <w:t xml:space="preserve">How does it interact with the SFDR</w:t>
      </w:r>
      <w:r>
        <w:t xml:space="preserve"> </w:t>
      </w:r>
      <w:r>
        <w:t xml:space="preserve">Financial products promoting environmental characteristics or having an environmental</w:t>
      </w:r>
      <w:r>
        <w:t xml:space="preserve"> </w:t>
      </w:r>
      <w:r>
        <w:t xml:space="preserve">objective are required to regularly disclose their alignment with the EU Taxonomy.</w:t>
      </w:r>
      <w:r>
        <w:br/>
      </w:r>
      <w:r>
        <w:t xml:space="preserve">The recent Commission proposals pursuant to the Omnibus simplify the reporting</w:t>
      </w:r>
      <w:r>
        <w:t xml:space="preserve"> </w:t>
      </w:r>
      <w:r>
        <w:t xml:space="preserve">templates, leading to a reduction of data points by 64-89% depending on the type of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company, introduces a materiality threshold to make disclosure of alignment for</w:t>
      </w:r>
      <w:r>
        <w:t xml:space="preserve"> </w:t>
      </w:r>
      <w:r>
        <w:t xml:space="preserve">companies with less 10% eligible activities not mandatory, introduces the option of</w:t>
      </w:r>
      <w:r>
        <w:t xml:space="preserve"> </w:t>
      </w:r>
      <w:r>
        <w:t xml:space="preserve">reporting partial alignment to foster transition finance, reduces the scope for mandatory</w:t>
      </w:r>
      <w:r>
        <w:t xml:space="preserve"> </w:t>
      </w:r>
      <w:r>
        <w:t xml:space="preserve">reporting on operational expenditure and simplifies certain criteria245.</w:t>
      </w:r>
      <w:r>
        <w:t xml:space="preserve"> </w:t>
      </w:r>
      <w:r>
        <w:t xml:space="preserve">Special considerations for the review: same as for the CSRD</w:t>
      </w:r>
      <w:r>
        <w:br/>
      </w:r>
      <w:r>
        <w:t xml:space="preserve">Benchmark Regulation</w:t>
      </w:r>
      <w:r>
        <w:br/>
      </w:r>
      <w:r>
        <w:t xml:space="preserve">What ESG disclosures does the Benchmark Regulation provide</w:t>
      </w:r>
      <w:r>
        <w:br/>
      </w:r>
      <w:r>
        <w:t xml:space="preserve">The Benchmark Regulation (BMR) introduced disclosure requirements for all EU</w:t>
      </w:r>
      <w:r>
        <w:t xml:space="preserve"> </w:t>
      </w:r>
      <w:r>
        <w:t xml:space="preserve">benchmarks with ESG factors, mandating administrators to disclose whether they</w:t>
      </w:r>
      <w:r>
        <w:t xml:space="preserve"> </w:t>
      </w:r>
      <w:r>
        <w:t xml:space="preserve">integrate ESG in their benchmark design, and if so how. BMR also requires benchmark</w:t>
      </w:r>
      <w:r>
        <w:t xml:space="preserve"> </w:t>
      </w:r>
      <w:r>
        <w:t xml:space="preserve">administrators of EU Climate Benchmarks, i.e. Paris-Aligned Benchmark (PAB) and</w:t>
      </w:r>
      <w:r>
        <w:t xml:space="preserve"> </w:t>
      </w:r>
      <w:r>
        <w:t xml:space="preserve">Climate Transition Benchmark (CTB) to regularly report on the performance of their</w:t>
      </w:r>
      <w:r>
        <w:t xml:space="preserve"> </w:t>
      </w:r>
      <w:r>
        <w:t xml:space="preserve">benchmarks against a set of sustainability-related Key Performance Indicators (KPIs).</w:t>
      </w:r>
      <w:r>
        <w:t xml:space="preserve"> </w:t>
      </w:r>
      <w:r>
        <w:t xml:space="preserve">Their</w:t>
      </w:r>
      <w:r>
        <w:t xml:space="preserve"> </w:t>
      </w:r>
      <w:r>
        <w:t xml:space="preserve">methodologies</w:t>
      </w:r>
      <w:r>
        <w:t xml:space="preserve"> </w:t>
      </w:r>
      <w:r>
        <w:t xml:space="preserve">rely</w:t>
      </w:r>
      <w:r>
        <w:t xml:space="preserve"> </w:t>
      </w:r>
      <w:r>
        <w:t xml:space="preserve">on</w:t>
      </w:r>
      <w:r>
        <w:t xml:space="preserve"> </w:t>
      </w:r>
      <w:r>
        <w:t xml:space="preserve">minimum</w:t>
      </w:r>
      <w:r>
        <w:t xml:space="preserve"> </w:t>
      </w:r>
      <w:r>
        <w:t xml:space="preserve">technical</w:t>
      </w:r>
      <w:r>
        <w:t xml:space="preserve"> </w:t>
      </w:r>
      <w:r>
        <w:t xml:space="preserve">requirements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decarbonisation trajectory and activity exclusions. Exclusions encompass companies that</w:t>
      </w:r>
      <w:r>
        <w:t xml:space="preserve"> </w:t>
      </w:r>
      <w:r>
        <w:t xml:space="preserve">significantly harm one or more environmental objectives set out in the Taxonomy</w:t>
      </w:r>
      <w:r>
        <w:t xml:space="preserve"> </w:t>
      </w:r>
      <w:r>
        <w:t xml:space="preserve">Regulation. PABs and CTBs are designed to reorient investment towards ESG</w:t>
      </w:r>
      <w:r>
        <w:t xml:space="preserve"> </w:t>
      </w:r>
      <w:r>
        <w:t xml:space="preserve">opportunities rather than focusing on simple risk reduction, in line with the objectives of</w:t>
      </w:r>
      <w:r>
        <w:t xml:space="preserve"> </w:t>
      </w:r>
      <w:r>
        <w:t xml:space="preserve">a transition to a climate-resilient economy.</w:t>
      </w:r>
      <w:r>
        <w:t xml:space="preserve"> </w:t>
      </w:r>
      <w:r>
        <w:t xml:space="preserve">How does it interact with the SFDR</w:t>
      </w:r>
      <w:r>
        <w:t xml:space="preserve"> </w:t>
      </w:r>
      <w:r>
        <w:t xml:space="preserve">ESG disclosures from benchmark administrators are indispensable for FMPs relying on</w:t>
      </w:r>
      <w:r>
        <w:t xml:space="preserve"> </w:t>
      </w:r>
      <w:r>
        <w:t xml:space="preserve">benchmarks for their ESG features of their portfolio. In addition, SFDR Art.9(3)</w:t>
      </w:r>
      <w:r>
        <w:t xml:space="preserve"> </w:t>
      </w:r>
      <w:r>
        <w:t xml:space="preserve">recognises EU climate benchmarks as a robust investment strategy for funds having as</w:t>
      </w:r>
      <w:r>
        <w:t xml:space="preserve"> </w:t>
      </w:r>
      <w:r>
        <w:t xml:space="preserve">their objective a reduction in carbon emissions. They are widely used as reliable labels</w:t>
      </w:r>
      <w:r>
        <w:t xml:space="preserve"> </w:t>
      </w:r>
      <w:r>
        <w:t xml:space="preserve">for investment products pursuing a sustainable investment objective.</w:t>
      </w:r>
      <w:r>
        <w:br/>
      </w:r>
      <w:r>
        <w:t xml:space="preserve">Special considerations for the review: the future SFDR criteria must ensure alignment</w:t>
      </w:r>
      <w:r>
        <w:t xml:space="preserve"> </w:t>
      </w:r>
      <w:r>
        <w:t xml:space="preserve">with the criteria of the EU Climate Benchmarks to ensure these can be recognised as a</w:t>
      </w:r>
      <w:r>
        <w:t xml:space="preserve"> </w:t>
      </w:r>
      <w:r>
        <w:t xml:space="preserve">robust way to comply with the categories. Products following such benchmarks should</w:t>
      </w:r>
      <w:r>
        <w:t xml:space="preserve"> </w:t>
      </w:r>
      <w:r>
        <w:t xml:space="preserve">automatically be recognised under the relevant category. In addition, the future SFDR</w:t>
      </w:r>
      <w:r>
        <w:t xml:space="preserve"> </w:t>
      </w:r>
      <w:r>
        <w:t xml:space="preserve">disclosures should take the benchmark disclosures into account to avoid situations in</w:t>
      </w:r>
      <w:r>
        <w:t xml:space="preserve"> </w:t>
      </w:r>
      <w:r>
        <w:t xml:space="preserve">which FMPs cannot get necessary data on the indices they use (to the extent possible.</w:t>
      </w:r>
      <w:r>
        <w:br/>
      </w:r>
      <w:r>
        <w:t xml:space="preserve">European Green Bonds standard</w:t>
      </w:r>
      <w:r>
        <w:br/>
      </w:r>
      <w:r>
        <w:t xml:space="preserve">EUGBS is a voluntary standard to help scale up and raise the environmental ambitions of</w:t>
      </w:r>
      <w:r>
        <w:t xml:space="preserve"> </w:t>
      </w:r>
      <w:r>
        <w:t xml:space="preserve">the green bond market. It sets a gold standard for how companies and public authorities</w:t>
      </w:r>
      <w:r>
        <w:t xml:space="preserve"> </w:t>
      </w:r>
      <w:r>
        <w:t xml:space="preserve">can use green bonds to raise funds on capital markets to finance ambitious large-scale</w:t>
      </w:r>
      <w:r>
        <w:t xml:space="preserve"> </w:t>
      </w:r>
      <w:r>
        <w:t xml:space="preserve">green investments, while meeting high sustainability requirements and protecting</w:t>
      </w:r>
      <w:r>
        <w:t xml:space="preserve"> </w:t>
      </w:r>
      <w:r>
        <w:t xml:space="preserve">investors. The use of proceeds must be 100% aligned with the EU Taxonomy Regulation,</w:t>
      </w:r>
      <w:r>
        <w:t xml:space="preserve"> </w:t>
      </w:r>
      <w:r>
        <w:t xml:space="preserve">with the exception of the so-called flexibility pocket up to 15%, ensuring that financed</w:t>
      </w:r>
      <w:r>
        <w:t xml:space="preserve"> </w:t>
      </w:r>
      <w:r>
        <w:t xml:space="preserve">projects contribute substantially to at least one of the six environmental objectives, do no</w:t>
      </w:r>
      <w:r>
        <w:t xml:space="preserve"> </w:t>
      </w:r>
      <w:r>
        <w:t xml:space="preserve">significant harm to others, and meet minimum social safeguards. Both EU-based and</w:t>
      </w:r>
    </w:p>
    <w:p>
      <w:pPr>
        <w:pStyle w:val="BodyText"/>
      </w:pPr>
      <w:r>
        <w:t xml:space="preserve">245 Commission to cut EU taxonomy red tape for companies - European Commission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international private or public issuers can adopt the standard, making it a potential global</w:t>
      </w:r>
      <w:r>
        <w:t xml:space="preserve"> </w:t>
      </w:r>
      <w:r>
        <w:t xml:space="preserve">benchmark.</w:t>
      </w:r>
      <w:r>
        <w:t xml:space="preserve"> </w:t>
      </w:r>
      <w:r>
        <w:t xml:space="preserve">How can this tool be used under the SFDR</w:t>
      </w:r>
      <w:r>
        <w:t xml:space="preserve"> </w:t>
      </w:r>
      <w:r>
        <w:t xml:space="preserve">It can help investors to easily assess, compare and verify that their investments are</w:t>
      </w:r>
      <w:r>
        <w:t xml:space="preserve"> </w:t>
      </w:r>
      <w:r>
        <w:t xml:space="preserve">sustainable and ensure that funds are allocated to taxonomy-aligned economic activities,</w:t>
      </w:r>
      <w:r>
        <w:t xml:space="preserve"> </w:t>
      </w:r>
      <w:r>
        <w:t xml:space="preserve">thereby reducing greenwashing risks.</w:t>
      </w:r>
      <w:r>
        <w:t xml:space="preserve"> </w:t>
      </w:r>
      <w:r>
        <w:t xml:space="preserve">2. SFDR information feeds into the sustainability preferences and target</w:t>
      </w:r>
      <w:r>
        <w:t xml:space="preserve"> </w:t>
      </w:r>
      <w:r>
        <w:t xml:space="preserve">market under MiFID and IDD delegated acts</w:t>
      </w:r>
      <w:r>
        <w:br/>
      </w:r>
      <w:r>
        <w:t xml:space="preserve">These rules introduced the notion retail investors’ sustainability preferences as part of the</w:t>
      </w:r>
      <w:r>
        <w:t xml:space="preserve"> </w:t>
      </w:r>
      <w:r>
        <w:t xml:space="preserve">suitability test in investment and insurance advice. Investors are given the opportunity to</w:t>
      </w:r>
      <w:r>
        <w:t xml:space="preserve"> </w:t>
      </w:r>
      <w:r>
        <w:t xml:space="preserve">set minimum sustainability requirements for their investments which can be expressed in</w:t>
      </w:r>
      <w:r>
        <w:t xml:space="preserve"> </w:t>
      </w:r>
      <w:r>
        <w:t xml:space="preserve">relation to SFDR disclosures (proportion of taxonomy-aligned investment, proportion of</w:t>
      </w:r>
      <w:r>
        <w:t xml:space="preserve"> </w:t>
      </w:r>
      <w:r>
        <w:t xml:space="preserve">sustainable investment, consideration of principal adverse impact). Distributors therefore</w:t>
      </w:r>
      <w:r>
        <w:t xml:space="preserve"> </w:t>
      </w:r>
      <w:r>
        <w:t xml:space="preserve">rely on products’ information made available under the SFDR to match retail investors’</w:t>
      </w:r>
      <w:r>
        <w:t xml:space="preserve"> </w:t>
      </w:r>
      <w:r>
        <w:t xml:space="preserve">preferences.</w:t>
      </w:r>
      <w:r>
        <w:br/>
      </w:r>
      <w:r>
        <w:t xml:space="preserve">Consideration for the review: The future SFDR categories should be designed in a way</w:t>
      </w:r>
      <w:r>
        <w:t xml:space="preserve"> </w:t>
      </w:r>
      <w:r>
        <w:t xml:space="preserve">that is easily understandable for retail investors to ease the implementation of the</w:t>
      </w:r>
      <w:r>
        <w:t xml:space="preserve"> </w:t>
      </w:r>
      <w:r>
        <w:t xml:space="preserve">suitability test. In addition, the scope of financial products that can be distributed under</w:t>
      </w:r>
      <w:r>
        <w:t xml:space="preserve"> </w:t>
      </w:r>
      <w:r>
        <w:t xml:space="preserve">MiFID and IDD is broader than the SFDR scope (e.g. shares, bonds, derivatives,</w:t>
      </w:r>
      <w:r>
        <w:t xml:space="preserve"> </w:t>
      </w:r>
      <w:r>
        <w:t xml:space="preserve">structured notes…). The review should explore whether some of these products</w:t>
      </w:r>
      <w:r>
        <w:t xml:space="preserve"> </w:t>
      </w:r>
      <w:r>
        <w:t xml:space="preserve">(especially structured notes) should be scoped in the SFDR to avoid greenwashing and</w:t>
      </w:r>
      <w:r>
        <w:t xml:space="preserve"> </w:t>
      </w:r>
      <w:r>
        <w:t xml:space="preserve">ease as much as possible the implementation of the rules by distributors.</w:t>
      </w:r>
      <w:r>
        <w:t xml:space="preserve"> </w:t>
      </w:r>
      <w:r>
        <w:t xml:space="preserve">3. Further considerations regarding other specific parts of the EU acquis</w:t>
      </w:r>
      <w:r>
        <w:t xml:space="preserve"> </w:t>
      </w:r>
      <w:r>
        <w:t xml:space="preserve">Corporate Sustainability Due Diligence Directive (CSDDD)</w:t>
      </w:r>
      <w:r>
        <w:br/>
      </w:r>
      <w:r>
        <w:t xml:space="preserve">The CSDDD requires very large companies and ultimate parent companies of groups</w:t>
      </w:r>
      <w:r>
        <w:t xml:space="preserve"> </w:t>
      </w:r>
      <w:r>
        <w:t xml:space="preserve">domiciled or active in the EU to conduct due diligence to identify and address adverse</w:t>
      </w:r>
      <w:r>
        <w:t xml:space="preserve"> </w:t>
      </w:r>
      <w:r>
        <w:t xml:space="preserve">human rights and environmental impacts in their own operations, their subsidiaries and</w:t>
      </w:r>
      <w:r>
        <w:t xml:space="preserve"> </w:t>
      </w:r>
      <w:r>
        <w:t xml:space="preserve">their value chains. It also requires them to adopt a transition plan for climate change</w:t>
      </w:r>
      <w:r>
        <w:t xml:space="preserve"> </w:t>
      </w:r>
      <w:r>
        <w:t xml:space="preserve">mitigation.</w:t>
      </w:r>
      <w:r>
        <w:br/>
      </w:r>
      <w:r>
        <w:t xml:space="preserve">How does it interact with the SFDR</w:t>
      </w:r>
      <w:r>
        <w:t xml:space="preserve"> </w:t>
      </w:r>
      <w:r>
        <w:t xml:space="preserve">Compliance with the CSDDD entails that companies under the scope will be either</w:t>
      </w:r>
      <w:r>
        <w:t xml:space="preserve"> </w:t>
      </w:r>
      <w:r>
        <w:t xml:space="preserve">sustainable or on a credible path to sustainability with respect to human rights impacts</w:t>
      </w:r>
      <w:r>
        <w:t xml:space="preserve"> </w:t>
      </w:r>
      <w:r>
        <w:t xml:space="preserve">and those environmental impacts that are regulated by the international conventions listed</w:t>
      </w:r>
      <w:r>
        <w:t xml:space="preserve"> </w:t>
      </w:r>
      <w:r>
        <w:t xml:space="preserve">in the Annex of the Directive, and will have adopted relevant good governance and</w:t>
      </w:r>
      <w:r>
        <w:t xml:space="preserve"> </w:t>
      </w:r>
      <w:r>
        <w:t xml:space="preserve">management practices. These due diligence efforts and compliance with the CSDDD can</w:t>
      </w:r>
      <w:r>
        <w:t xml:space="preserve"> </w:t>
      </w:r>
      <w:r>
        <w:t xml:space="preserve">influence investment decisions under the SFDR. In turn, the SFDR has the potential to</w:t>
      </w:r>
      <w:r>
        <w:t xml:space="preserve"> </w:t>
      </w:r>
      <w:r>
        <w:t xml:space="preserve">help companies under the CSDDD finance their sustainability transition.</w:t>
      </w:r>
      <w:r>
        <w:t xml:space="preserve"> </w:t>
      </w:r>
      <w:r>
        <w:t xml:space="preserve">Shareholder rights Directive, Green Claims Directive, EU Ecolabel, Unfair</w:t>
      </w:r>
      <w:r>
        <w:t xml:space="preserve"> </w:t>
      </w:r>
      <w:r>
        <w:t xml:space="preserve">Commercial Practices Directive</w:t>
      </w:r>
    </w:p>
    <w:p>
      <w:pPr>
        <w:pStyle w:val="BodyText"/>
      </w:pPr>
      <w:r>
        <w:t xml:space="preserve">117</w:t>
      </w:r>
    </w:p>
    <w:p>
      <w:pPr>
        <w:pStyle w:val="Compact"/>
        <w:numPr>
          <w:ilvl w:val="0"/>
          <w:numId w:val="1018"/>
        </w:numPr>
      </w:pPr>
      <w:r>
        <w:t xml:space="preserve">The Shareholder Rights Directive (SRD), as amended in 2017, sets out “comply</w:t>
      </w:r>
      <w:r>
        <w:t xml:space="preserve"> </w:t>
      </w:r>
      <w:r>
        <w:t xml:space="preserve">or explain” rules for institutional investors and asset managers with respect to</w:t>
      </w:r>
      <w:r>
        <w:t xml:space="preserve"> </w:t>
      </w:r>
      <w:r>
        <w:t xml:space="preserve">their engagement and investment policies. Its Chapter Ib entered into application</w:t>
      </w:r>
      <w:r>
        <w:t xml:space="preserve"> </w:t>
      </w:r>
      <w:r>
        <w:t xml:space="preserve">in June 2019 and requires institutional investors and asset managers to be more</w:t>
      </w:r>
      <w:r>
        <w:t xml:space="preserve"> </w:t>
      </w:r>
      <w:r>
        <w:t xml:space="preserve">transparent about their investment strategies, their engagement policies and the</w:t>
      </w:r>
      <w:r>
        <w:t xml:space="preserve"> </w:t>
      </w:r>
      <w:r>
        <w:t xml:space="preserve">implementation thereof. These “entity-level” rules help investors and ultimate</w:t>
      </w:r>
      <w:r>
        <w:t xml:space="preserve"> </w:t>
      </w:r>
      <w:r>
        <w:t xml:space="preserve">beneficiaries such as future pensioners, life insurance policy holders and</w:t>
      </w:r>
      <w:r>
        <w:t xml:space="preserve"> </w:t>
      </w:r>
      <w:r>
        <w:t xml:space="preserve">investment fund unit holders to optimise their investment decisions, also taking</w:t>
      </w:r>
      <w:r>
        <w:t xml:space="preserve"> </w:t>
      </w:r>
      <w:r>
        <w:t xml:space="preserve">into account their preferences, including with respect to the long-term non-</w:t>
      </w:r>
      <w:r>
        <w:t xml:space="preserve"> </w:t>
      </w:r>
      <w:r>
        <w:t xml:space="preserve">financial performance of the investee companies. As regards the (proposed)</w:t>
      </w:r>
      <w:r>
        <w:t xml:space="preserve"> </w:t>
      </w:r>
      <w:r>
        <w:t xml:space="preserve">Green Claims Directive, SFDR disclosures are distinct as the directive does not</w:t>
      </w:r>
      <w:r>
        <w:t xml:space="preserve"> </w:t>
      </w:r>
      <w:r>
        <w:t xml:space="preserve">apply to mandatory or voluntary sustainability information required under EU</w:t>
      </w:r>
      <w:r>
        <w:t xml:space="preserve"> </w:t>
      </w:r>
      <w:r>
        <w:t xml:space="preserve">financial services rules including in the areas governed by the SFDR. The SFDR</w:t>
      </w:r>
      <w:r>
        <w:t xml:space="preserve"> </w:t>
      </w:r>
      <w:r>
        <w:t xml:space="preserve">is also distinct from the mooted project to create an EU ecolabel for financial</w:t>
      </w:r>
      <w:r>
        <w:t xml:space="preserve"> </w:t>
      </w:r>
      <w:r>
        <w:t xml:space="preserve">products, which could have led to a system of granting an EU-level sustainability</w:t>
      </w:r>
      <w:r>
        <w:t xml:space="preserve"> </w:t>
      </w:r>
      <w:r>
        <w:t xml:space="preserve">label to certain funds based on defined conditions, but which is currently on</w:t>
      </w:r>
      <w:r>
        <w:t xml:space="preserve"> </w:t>
      </w:r>
      <w:r>
        <w:t xml:space="preserve">hold246. Finally, the Unfair Commercial Practices Directive247 and its subsequent</w:t>
      </w:r>
      <w:r>
        <w:t xml:space="preserve"> </w:t>
      </w:r>
      <w:r>
        <w:t xml:space="preserve">Commission guidance on unfair business-to-consumer commercial practices248</w:t>
      </w:r>
      <w:r>
        <w:t xml:space="preserve"> </w:t>
      </w:r>
      <w:r>
        <w:t xml:space="preserve">provides examples of what constitute misleading environmental claims or green</w:t>
      </w:r>
      <w:r>
        <w:t xml:space="preserve"> </w:t>
      </w:r>
      <w:r>
        <w:t xml:space="preserve">claims, which apply horizontally to all commercial products and are meant to</w:t>
      </w:r>
      <w:r>
        <w:t xml:space="preserve"> </w:t>
      </w:r>
      <w:r>
        <w:t xml:space="preserve">complement existing rules that take into account the specific features of financial</w:t>
      </w:r>
      <w:r>
        <w:t xml:space="preserve"> </w:t>
      </w:r>
      <w:r>
        <w:t xml:space="preserve">products. Claims under the revised SFDR could fall within the definition of</w:t>
      </w:r>
      <w:r>
        <w:t xml:space="preserve"> </w:t>
      </w:r>
      <w:r>
        <w:t xml:space="preserve">‘environmental claims’ under Article 2(1)(o) of the Directive, the requirements of</w:t>
      </w:r>
      <w:r>
        <w:t xml:space="preserve"> </w:t>
      </w:r>
      <w:r>
        <w:t xml:space="preserve">which would be met by application of the requirements under the SFDR</w:t>
      </w:r>
      <w:r>
        <w:t xml:space="preserve"> </w:t>
      </w:r>
      <w:r>
        <w:t xml:space="preserve">(consistent with Article 3(4) and (9) of that Directive). ESMA guidelines on</w:t>
      </w:r>
      <w:r>
        <w:t xml:space="preserve"> </w:t>
      </w:r>
      <w:r>
        <w:t xml:space="preserve">fund names</w:t>
      </w:r>
      <w:r>
        <w:t xml:space="preserve"> </w:t>
      </w:r>
      <w:r>
        <w:t xml:space="preserve">In May 2024, ESMA issued its final guidelines249 for funds marketed in the EU that use</w:t>
      </w:r>
      <w:r>
        <w:t xml:space="preserve"> </w:t>
      </w:r>
      <w:r>
        <w:t xml:space="preserve">ESG- or sustainability-related terms in their names. The guidelines, which aim at</w:t>
      </w:r>
      <w:r>
        <w:t xml:space="preserve"> </w:t>
      </w:r>
      <w:r>
        <w:t xml:space="preserve">protecting investors against greenwashing risk, set minimum requirements. Fund</w:t>
      </w:r>
      <w:r>
        <w:t xml:space="preserve"> </w:t>
      </w:r>
      <w:r>
        <w:t xml:space="preserve">managers had until May 21, 2025, to either align with the requirements or change fund</w:t>
      </w:r>
      <w:r>
        <w:t xml:space="preserve"> </w:t>
      </w:r>
      <w:r>
        <w:t xml:space="preserve">names to ensure compliance. Consistent with the personal scope of the Sustainable</w:t>
      </w:r>
      <w:r>
        <w:t xml:space="preserve"> </w:t>
      </w:r>
      <w:r>
        <w:t xml:space="preserve">Finance Disclosure Regulation, the guidelines are directed at fund managers250 marketing</w:t>
      </w:r>
      <w:r>
        <w:t xml:space="preserve"> </w:t>
      </w:r>
      <w:r>
        <w:t xml:space="preserve">funds in the EU.</w:t>
      </w:r>
      <w:r>
        <w:t xml:space="preserve"> </w:t>
      </w:r>
      <w:r>
        <w:t xml:space="preserve">Fund category</w:t>
      </w:r>
      <w:r>
        <w:t xml:space="preserve"> </w:t>
      </w:r>
      <w:r>
        <w:t xml:space="preserve">Requirements</w:t>
      </w:r>
      <w:r>
        <w:t xml:space="preserve"> </w:t>
      </w:r>
      <w:r>
        <w:t xml:space="preserve">No ESG word in</w:t>
      </w:r>
      <w:r>
        <w:t xml:space="preserve"> </w:t>
      </w:r>
      <w:r>
        <w:t xml:space="preserve">name</w:t>
      </w:r>
      <w:r>
        <w:t xml:space="preserve"> </w:t>
      </w:r>
      <w:r>
        <w:t xml:space="preserve">No additional requirement</w:t>
      </w:r>
      <w:r>
        <w:t xml:space="preserve"> </w:t>
      </w:r>
      <w:r>
        <w:t xml:space="preserve">Social/governance or</w:t>
      </w:r>
    </w:p>
    <w:p>
      <w:pPr>
        <w:pStyle w:val="Compact"/>
        <w:numPr>
          <w:ilvl w:val="0"/>
          <w:numId w:val="1019"/>
        </w:numPr>
      </w:pPr>
      <w:r>
        <w:t xml:space="preserve">Minimum of 80% of investments used to meet environmental or social</w:t>
      </w:r>
    </w:p>
    <w:p>
      <w:pPr>
        <w:pStyle w:val="FirstParagraph"/>
      </w:pPr>
      <w:r>
        <w:t xml:space="preserve">246 Project plan | Product Bureau</w:t>
      </w:r>
      <w:r>
        <w:t xml:space="preserve"> </w:t>
      </w:r>
      <w:r>
        <w:t xml:space="preserve">247 Directive 2005/29/EC of the European Parliament and of the Council of 11 May 2005 concerning unfair</w:t>
      </w:r>
      <w:r>
        <w:t xml:space="preserve"> </w:t>
      </w:r>
      <w:r>
        <w:t xml:space="preserve">business-to-consumer commercial practices in the internal market</w:t>
      </w:r>
      <w:r>
        <w:t xml:space="preserve"> </w:t>
      </w:r>
      <w:r>
        <w:t xml:space="preserve">248 Guidance on the Unfair Commercial Practices Directive</w:t>
      </w:r>
      <w:r>
        <w:t xml:space="preserve"> </w:t>
      </w:r>
      <w:r>
        <w:t xml:space="preserve">249 ESMA34-472-440 Final Report on the Guidelines on funds names</w:t>
      </w:r>
      <w:r>
        <w:t xml:space="preserve"> </w:t>
      </w:r>
      <w:r>
        <w:t xml:space="preserve">250 The guidelines apply to fund managers who promote UCITS and alternative investment funds that use</w:t>
      </w:r>
      <w:r>
        <w:t xml:space="preserve"> </w:t>
      </w:r>
      <w:r>
        <w:t xml:space="preserve">ESG- or sustainability-related terms in their names.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transition related</w:t>
      </w:r>
      <w:r>
        <w:t xml:space="preserve"> </w:t>
      </w:r>
      <w:r>
        <w:t xml:space="preserve">term or “transition”</w:t>
      </w:r>
      <w:r>
        <w:t xml:space="preserve"> </w:t>
      </w:r>
      <w:r>
        <w:t xml:space="preserve">in name</w:t>
      </w:r>
      <w:r>
        <w:t xml:space="preserve"> </w:t>
      </w:r>
      <w:r>
        <w:t xml:space="preserve">characteristics/sustainable investment objectives.</w:t>
      </w:r>
      <w:r>
        <w:t xml:space="preserve"> </w:t>
      </w:r>
      <w:r>
        <w:t xml:space="preserve">-</w:t>
      </w:r>
      <w:r>
        <w:t xml:space="preserve"> </w:t>
      </w:r>
      <w:r>
        <w:t xml:space="preserve">CTB exclusions251: exclusions of companies involved in (1) any</w:t>
      </w:r>
      <w:r>
        <w:t xml:space="preserve"> </w:t>
      </w:r>
      <w:r>
        <w:t xml:space="preserve">activities related to controversial weapons; (2) the cultivation and</w:t>
      </w:r>
      <w:r>
        <w:t xml:space="preserve"> </w:t>
      </w:r>
      <w:r>
        <w:t xml:space="preserve">production of tobacco; (3) in violations of the UN Global Compact (UN</w:t>
      </w:r>
      <w:r>
        <w:t xml:space="preserve"> </w:t>
      </w:r>
      <w:r>
        <w:t xml:space="preserve">GC) principles or the OECD Guidelines for Multinational Enterprises.</w:t>
      </w:r>
      <w:r>
        <w:br/>
      </w:r>
      <w:r>
        <w:t xml:space="preserve">-</w:t>
      </w:r>
      <w:r>
        <w:t xml:space="preserve"> </w:t>
      </w:r>
      <w:r>
        <w:t xml:space="preserve">If ‘transition’: investments contained in the 80% thresholds must be on a</w:t>
      </w:r>
      <w:r>
        <w:t xml:space="preserve"> </w:t>
      </w:r>
      <w:r>
        <w:t xml:space="preserve">clear and measurable path to social or environmental transition</w:t>
      </w:r>
      <w:r>
        <w:t xml:space="preserve"> </w:t>
      </w:r>
      <w:r>
        <w:t xml:space="preserve">Environment-related</w:t>
      </w:r>
      <w:r>
        <w:t xml:space="preserve"> </w:t>
      </w:r>
      <w:r>
        <w:t xml:space="preserve">or impact related</w:t>
      </w:r>
      <w:r>
        <w:t xml:space="preserve"> </w:t>
      </w:r>
      <w:r>
        <w:t xml:space="preserve">terms in name</w:t>
      </w:r>
      <w:r>
        <w:t xml:space="preserve"> </w:t>
      </w:r>
      <w:r>
        <w:t xml:space="preserve">-</w:t>
      </w:r>
      <w:r>
        <w:t xml:space="preserve"> </w:t>
      </w:r>
      <w:r>
        <w:t xml:space="preserve">Minimum of 80% of investments used to meet environmental or social</w:t>
      </w:r>
      <w:r>
        <w:t xml:space="preserve"> </w:t>
      </w:r>
      <w:r>
        <w:t xml:space="preserve">characteristics/sustainable investment objectives.</w:t>
      </w:r>
      <w:r>
        <w:t xml:space="preserve"> </w:t>
      </w:r>
      <w:r>
        <w:t xml:space="preserve">-</w:t>
      </w:r>
      <w:r>
        <w:t xml:space="preserve"> </w:t>
      </w:r>
      <w:r>
        <w:t xml:space="preserve">PAB exclusions: CTB exclusions + exclusions of companies that</w:t>
      </w:r>
      <w:r>
        <w:t xml:space="preserve"> </w:t>
      </w:r>
      <w:r>
        <w:t xml:space="preserve">derive : (4) 1 % or more of their revenues from exploration, mining,</w:t>
      </w:r>
      <w:r>
        <w:t xml:space="preserve"> </w:t>
      </w:r>
      <w:r>
        <w:t xml:space="preserve">extraction, distribution or refining of hard coal and lignite; (5) 10 % or</w:t>
      </w:r>
      <w:r>
        <w:t xml:space="preserve"> </w:t>
      </w:r>
      <w:r>
        <w:t xml:space="preserve">more of their revenues from the exploration, extraction, distribution or</w:t>
      </w:r>
      <w:r>
        <w:t xml:space="preserve"> </w:t>
      </w:r>
      <w:r>
        <w:t xml:space="preserve">refining of oil fuels; (6) 50 % or more of their revenues from the</w:t>
      </w:r>
      <w:r>
        <w:t xml:space="preserve"> </w:t>
      </w:r>
      <w:r>
        <w:t xml:space="preserve">exploration, extraction, manufacturing or distribution of gaseous fuels;</w:t>
      </w:r>
      <w:r>
        <w:t xml:space="preserve"> </w:t>
      </w:r>
      <w:r>
        <w:t xml:space="preserve">(7) 50 % or more of their revenues from electricity generation with a</w:t>
      </w:r>
      <w:r>
        <w:t xml:space="preserve"> </w:t>
      </w:r>
      <w:r>
        <w:t xml:space="preserve">GHG intensity of more than 100 g CO2 e/kWh.</w:t>
      </w:r>
      <w:r>
        <w:t xml:space="preserve"> </w:t>
      </w:r>
      <w:r>
        <w:t xml:space="preserve">-</w:t>
      </w:r>
      <w:r>
        <w:t xml:space="preserve"> </w:t>
      </w:r>
      <w:r>
        <w:t xml:space="preserve">If ‘impact’: investments contained in the 80% thresholds must be made</w:t>
      </w:r>
      <w:r>
        <w:t xml:space="preserve"> </w:t>
      </w:r>
      <w:r>
        <w:t xml:space="preserve">with the objective to generate a positive and measurable social or</w:t>
      </w:r>
      <w:r>
        <w:t xml:space="preserve"> </w:t>
      </w:r>
      <w:r>
        <w:t xml:space="preserve">environmental impact alongside a financial return.</w:t>
      </w:r>
      <w:r>
        <w:br/>
      </w:r>
      <w:r>
        <w:t xml:space="preserve">Sustainable related</w:t>
      </w:r>
      <w:r>
        <w:t xml:space="preserve"> </w:t>
      </w:r>
      <w:r>
        <w:t xml:space="preserve">terms in name</w:t>
      </w:r>
      <w:r>
        <w:t xml:space="preserve"> </w:t>
      </w:r>
      <w:r>
        <w:t xml:space="preserve">-</w:t>
      </w:r>
      <w:r>
        <w:t xml:space="preserve"> </w:t>
      </w:r>
      <w:r>
        <w:t xml:space="preserve">Minimum of 80% of investments used to meet environmental or social</w:t>
      </w:r>
      <w:r>
        <w:t xml:space="preserve"> </w:t>
      </w:r>
      <w:r>
        <w:t xml:space="preserve">characteristics/sustainable investment objectives.</w:t>
      </w:r>
      <w:r>
        <w:t xml:space="preserve"> </w:t>
      </w:r>
      <w:r>
        <w:t xml:space="preserve">-</w:t>
      </w:r>
      <w:r>
        <w:t xml:space="preserve"> </w:t>
      </w:r>
      <w:r>
        <w:t xml:space="preserve">PAB exclusions: CTB exclusions + exclusions of companies that</w:t>
      </w:r>
      <w:r>
        <w:t xml:space="preserve"> </w:t>
      </w:r>
      <w:r>
        <w:t xml:space="preserve">derive : (4) 1 % or more of their revenues from exploration, mining,</w:t>
      </w:r>
      <w:r>
        <w:t xml:space="preserve"> </w:t>
      </w:r>
      <w:r>
        <w:t xml:space="preserve">extraction, distribution or refining of hard coal and lignite; (5) 10 % or</w:t>
      </w:r>
      <w:r>
        <w:t xml:space="preserve"> </w:t>
      </w:r>
      <w:r>
        <w:t xml:space="preserve">more of their revenues from the exploration, extraction, distribution or</w:t>
      </w:r>
      <w:r>
        <w:t xml:space="preserve"> </w:t>
      </w:r>
      <w:r>
        <w:t xml:space="preserve">refining of oil fuels; (6) 50 % or more of their revenues from the</w:t>
      </w:r>
      <w:r>
        <w:t xml:space="preserve"> </w:t>
      </w:r>
      <w:r>
        <w:t xml:space="preserve">exploration, extraction, manufacturing or distribution of gaseous fuels;</w:t>
      </w:r>
      <w:r>
        <w:t xml:space="preserve"> </w:t>
      </w:r>
      <w:r>
        <w:t xml:space="preserve">(7) 50 % or more of their revenues from electricity generation with a</w:t>
      </w:r>
      <w:r>
        <w:t xml:space="preserve"> </w:t>
      </w:r>
      <w:r>
        <w:t xml:space="preserve">GHG intensity of more than 100 g CO2 e/kWh</w:t>
      </w:r>
      <w:r>
        <w:t xml:space="preserve"> </w:t>
      </w:r>
      <w:r>
        <w:t xml:space="preserve">-</w:t>
      </w:r>
      <w:r>
        <w:t xml:space="preserve"> </w:t>
      </w:r>
      <w:r>
        <w:t xml:space="preserve">Invest meaningfully in sustainable investment (minimum of 50%)</w:t>
      </w:r>
    </w:p>
    <w:p>
      <w:pPr>
        <w:pStyle w:val="Compact"/>
        <w:numPr>
          <w:ilvl w:val="0"/>
          <w:numId w:val="1020"/>
        </w:numPr>
      </w:pPr>
      <w:r>
        <w:t xml:space="preserve">How the Omnibus interacts with the SFDR review</w:t>
      </w:r>
      <w:r>
        <w:br/>
      </w:r>
      <w:r>
        <w:t xml:space="preserve">The SFDR was not included as part of the announcement by the Commission President in</w:t>
      </w:r>
      <w:r>
        <w:t xml:space="preserve"> </w:t>
      </w:r>
      <w:r>
        <w:t xml:space="preserve">November 2024 setting the stage for the February 2025 Omnibus252. This focused rather</w:t>
      </w:r>
      <w:r>
        <w:t xml:space="preserve"> </w:t>
      </w:r>
      <w:r>
        <w:t xml:space="preserve">on simplifications to sustainability information under CSRD, the EU Taxonomy and the</w:t>
      </w:r>
      <w:r>
        <w:t xml:space="preserve"> </w:t>
      </w:r>
      <w:r>
        <w:t xml:space="preserve">Corporate Sustainability Due Diligence Directive. The review of the SFDR was already</w:t>
      </w:r>
      <w:r>
        <w:t xml:space="preserve"> </w:t>
      </w:r>
      <w:r>
        <w:t xml:space="preserve">well underway by this time, with the consultations carried out already having clearly</w:t>
      </w:r>
      <w:r>
        <w:t xml:space="preserve"> </w:t>
      </w:r>
      <w:r>
        <w:t xml:space="preserve">signalled the preferred directions how to simplify the framework. In other words, the</w:t>
      </w:r>
      <w:r>
        <w:t xml:space="preserve"> </w:t>
      </w:r>
      <w:r>
        <w:t xml:space="preserve">priority objective of simplification underpinning the Omnibus was already well-</w:t>
      </w:r>
    </w:p>
    <w:p>
      <w:pPr>
        <w:pStyle w:val="FirstParagraph"/>
      </w:pPr>
      <w:r>
        <w:t xml:space="preserve">251 As defined in Article 12(1)(a)-(c) of Commission Delegated Regulation (EU) 2010/1818</w:t>
      </w:r>
      <w:r>
        <w:t xml:space="preserve"> </w:t>
      </w:r>
      <w:r>
        <w:t xml:space="preserve">252 Remarks after the Informal meeting of Heads of State and Government regarding the Budapest</w:t>
      </w:r>
      <w:r>
        <w:t xml:space="preserve"> </w:t>
      </w:r>
      <w:r>
        <w:t xml:space="preserve">Declaration on the New European Competitiveness Deal, https://audiovisual.ec.europa.eu/en/video/I-</w:t>
      </w:r>
      <w:r>
        <w:t xml:space="preserve"> </w:t>
      </w:r>
      <w:r>
        <w:t xml:space="preserve">263708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established for the review of the SFDR at that time, and signalled accordingly under a</w:t>
      </w:r>
      <w:r>
        <w:t xml:space="preserve"> </w:t>
      </w:r>
      <w:r>
        <w:t xml:space="preserve">“simplification” policy objective in the Commission 2025 Work Programme253.</w:t>
      </w:r>
      <w:r>
        <w:br/>
      </w:r>
      <w:r>
        <w:t xml:space="preserve">It is also appropriate to carry out the review of the SFDR in a successive step and to</w:t>
      </w:r>
      <w:r>
        <w:t xml:space="preserve"> </w:t>
      </w:r>
      <w:r>
        <w:t xml:space="preserve">reflect, in its revised design, the new scope and range of sustainability information from</w:t>
      </w:r>
      <w:r>
        <w:t xml:space="preserve"> </w:t>
      </w:r>
      <w:r>
        <w:t xml:space="preserve">corporates to be delivered under the Omnibus. This helps avoid a situation like in 2021</w:t>
      </w:r>
      <w:r>
        <w:t xml:space="preserve"> </w:t>
      </w:r>
      <w:r>
        <w:t xml:space="preserve">where</w:t>
      </w:r>
      <w:r>
        <w:t xml:space="preserve"> </w:t>
      </w:r>
      <w:r>
        <w:t xml:space="preserve">FMPs’</w:t>
      </w:r>
      <w:r>
        <w:t xml:space="preserve"> </w:t>
      </w:r>
      <w:r>
        <w:t xml:space="preserve">disclosure</w:t>
      </w:r>
      <w:r>
        <w:t xml:space="preserve"> </w:t>
      </w:r>
      <w:r>
        <w:t xml:space="preserve">obligations</w:t>
      </w:r>
      <w:r>
        <w:t xml:space="preserve"> </w:t>
      </w:r>
      <w:r>
        <w:t xml:space="preserve">were</w:t>
      </w:r>
      <w:r>
        <w:t xml:space="preserve"> </w:t>
      </w:r>
      <w:r>
        <w:t xml:space="preserve">defined</w:t>
      </w:r>
      <w:r>
        <w:t xml:space="preserve"> </w:t>
      </w:r>
      <w:r>
        <w:t xml:space="preserve">before</w:t>
      </w:r>
      <w:r>
        <w:t xml:space="preserve"> </w:t>
      </w:r>
      <w:r>
        <w:t xml:space="preserve">those</w:t>
      </w:r>
      <w:r>
        <w:t xml:space="preserve"> </w:t>
      </w:r>
      <w:r>
        <w:t xml:space="preserve">of</w:t>
      </w:r>
      <w:r>
        <w:t xml:space="preserve"> </w:t>
      </w:r>
      <w:r>
        <w:t xml:space="preserve">EU</w:t>
      </w:r>
      <w:r>
        <w:t xml:space="preserve"> </w:t>
      </w:r>
      <w:r>
        <w:t xml:space="preserve">corporates/investees were clear254. At the same time, it is not advisable to delay adopting</w:t>
      </w:r>
      <w:r>
        <w:t xml:space="preserve"> </w:t>
      </w:r>
      <w:r>
        <w:t xml:space="preserve">the reviewed SFDR until all changes under the Omnibus are complete, including the</w:t>
      </w:r>
      <w:r>
        <w:t xml:space="preserve"> </w:t>
      </w:r>
      <w:r>
        <w:t xml:space="preserve">finalisation of simplification changes to the European Sustainability Reporting Standards</w:t>
      </w:r>
      <w:r>
        <w:t xml:space="preserve"> </w:t>
      </w:r>
      <w:r>
        <w:t xml:space="preserve">(ESRS). This is to avoid prolonging FMPs having disclosure obligations under SFDR</w:t>
      </w:r>
      <w:r>
        <w:t xml:space="preserve"> </w:t>
      </w:r>
      <w:r>
        <w:t xml:space="preserve">which are no longer catered for (with specific datapoints255) under a revised ESRS, which</w:t>
      </w:r>
      <w:r>
        <w:t xml:space="preserve"> </w:t>
      </w:r>
      <w:r>
        <w:t xml:space="preserve">could also complicate the effort to simplify ESRS the longer this persists.</w:t>
      </w:r>
      <w:r>
        <w:t xml:space="preserve"> </w:t>
      </w:r>
      <w:r>
        <w:t xml:space="preserve">Reviewing the SFDR is also necessary and coherent subsequent to the Omnibus, given its</w:t>
      </w:r>
      <w:r>
        <w:t xml:space="preserve"> </w:t>
      </w:r>
      <w:r>
        <w:t xml:space="preserve">focus on paring back excessive requirements notably in the CSRD and the EU</w:t>
      </w:r>
      <w:r>
        <w:t xml:space="preserve"> </w:t>
      </w:r>
      <w:r>
        <w:t xml:space="preserve">Taxonomy. In this regard however, while publicly available corporate sustainability</w:t>
      </w:r>
      <w:r>
        <w:t xml:space="preserve"> </w:t>
      </w:r>
      <w:r>
        <w:t xml:space="preserve">information from larger EU corporates/investees under these frameworks will continue to</w:t>
      </w:r>
      <w:r>
        <w:t xml:space="preserve"> </w:t>
      </w:r>
      <w:r>
        <w:t xml:space="preserve">be important under SFDR, the investable universe for financial products always extended</w:t>
      </w:r>
      <w:r>
        <w:t xml:space="preserve"> </w:t>
      </w:r>
      <w:r>
        <w:t xml:space="preserve">far beyond listed and larger EU companies under the CSRD scope. Besides the strong</w:t>
      </w:r>
      <w:r>
        <w:t xml:space="preserve"> </w:t>
      </w:r>
      <w:r>
        <w:t xml:space="preserve">support from investors for information on the sustainability features of financial</w:t>
      </w:r>
      <w:r>
        <w:t xml:space="preserve"> </w:t>
      </w:r>
      <w:r>
        <w:t xml:space="preserve">products, reviewing the SFDR in a commensurate way is nonetheless necessary to</w:t>
      </w:r>
      <w:r>
        <w:t xml:space="preserve"> </w:t>
      </w:r>
      <w:r>
        <w:t xml:space="preserve">sustain the specific use-case for sustainability information required under the CSRD and</w:t>
      </w:r>
      <w:r>
        <w:t xml:space="preserve"> </w:t>
      </w:r>
      <w:r>
        <w:t xml:space="preserve">Taxonomy to inform the composition and disclosures for financial products. Otherwise,</w:t>
      </w:r>
      <w:r>
        <w:t xml:space="preserve"> </w:t>
      </w:r>
      <w:r>
        <w:t xml:space="preserve">the continued purpose of the CSRD and Taxonomy would be partially undermined.</w:t>
      </w:r>
    </w:p>
    <w:p>
      <w:pPr>
        <w:pStyle w:val="BodyText"/>
      </w:pPr>
      <w:r>
        <w:t xml:space="preserve">253 Commission work programme 2025 - European Commission</w:t>
      </w:r>
      <w:r>
        <w:t xml:space="preserve"> </w:t>
      </w:r>
      <w:r>
        <w:t xml:space="preserve">254 See Section 4 ‘Conclusions and lessons learned’, Annex 11</w:t>
      </w:r>
      <w:r>
        <w:t xml:space="preserve"> </w:t>
      </w:r>
      <w:r>
        <w:t xml:space="preserve">255 The current ESRS includes over 50 datapoints to support the corresponding information provisions of</w:t>
      </w:r>
      <w:r>
        <w:t xml:space="preserve"> </w:t>
      </w:r>
      <w:r>
        <w:t xml:space="preserve">financial market participants related to principal adverse impacts set out in the SFDR Level 2 (Commission</w:t>
      </w:r>
      <w:r>
        <w:t xml:space="preserve"> </w:t>
      </w:r>
      <w:r>
        <w:t xml:space="preserve">Delegated Regulation (EU) 2022/1288)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ANNEX 7: ADDITIONAL BACKGROUND ON SPECIFIC SECTORS OR</w:t>
      </w:r>
      <w:r>
        <w:t xml:space="preserve"> </w:t>
      </w:r>
      <w:r>
        <w:t xml:space="preserve">INVESTMENTS</w:t>
      </w:r>
      <w:r>
        <w:t xml:space="preserve"> </w:t>
      </w:r>
      <w:r>
        <w:t xml:space="preserve">Special considerations for insurance and pension products</w:t>
      </w:r>
      <w:r>
        <w:br/>
      </w:r>
      <w:r>
        <w:t xml:space="preserve">Manufacturers of pension schemes and funds and insurance-based products have faced</w:t>
      </w:r>
      <w:r>
        <w:t xml:space="preserve"> </w:t>
      </w:r>
      <w:r>
        <w:t xml:space="preserve">challenges in the first years of the SFDR implementation. They have flagged that they</w:t>
      </w:r>
      <w:r>
        <w:t xml:space="preserve"> </w:t>
      </w:r>
      <w:r>
        <w:t xml:space="preserve">manage complex portfolios, with a broader range of listed and unlisted assets, than most</w:t>
      </w:r>
      <w:r>
        <w:t xml:space="preserve"> </w:t>
      </w:r>
      <w:r>
        <w:t xml:space="preserve">retail investment products, and that some of their main assets cannot be assessed against</w:t>
      </w:r>
      <w:r>
        <w:t xml:space="preserve"> </w:t>
      </w:r>
      <w:r>
        <w:t xml:space="preserve">the ESG framework, in particular for sovereign bonds. These points are not specific to</w:t>
      </w:r>
      <w:r>
        <w:t xml:space="preserve"> </w:t>
      </w:r>
      <w:r>
        <w:t xml:space="preserve">pension and insurance products, however, as many UCITS and AIFs face the same</w:t>
      </w:r>
      <w:r>
        <w:t xml:space="preserve"> </w:t>
      </w:r>
      <w:r>
        <w:t xml:space="preserve">challenges. However, this coupled with regulatory constraints and data availability</w:t>
      </w:r>
      <w:r>
        <w:t xml:space="preserve"> </w:t>
      </w:r>
      <w:r>
        <w:t xml:space="preserve">issues, has led to lower portfolio ratios for pensions and insurance providers that can be</w:t>
      </w:r>
      <w:r>
        <w:t xml:space="preserve"> </w:t>
      </w:r>
      <w:r>
        <w:t xml:space="preserve">aligned with the concepts for sustainable investments given in the SFDR (i.e. Taxonomy-</w:t>
      </w:r>
      <w:r>
        <w:t xml:space="preserve"> </w:t>
      </w:r>
      <w:r>
        <w:t xml:space="preserve">alignment or definition of sustainable investment).</w:t>
      </w:r>
      <w:r>
        <w:t xml:space="preserve"> </w:t>
      </w:r>
      <w:r>
        <w:t xml:space="preserve">The pension funds industry has shown a nuanced support for a categorisation system and</w:t>
      </w:r>
      <w:r>
        <w:t xml:space="preserve"> </w:t>
      </w:r>
      <w:r>
        <w:t xml:space="preserve">raised two issues linked to the specificities of the sector:</w:t>
      </w:r>
      <w:r>
        <w:t xml:space="preserve"> </w:t>
      </w:r>
      <w:r>
        <w:t xml:space="preserve">(1) Concerns that the criteria would not fit their portfolio: FMPs have flagged</w:t>
      </w:r>
      <w:r>
        <w:t xml:space="preserve"> </w:t>
      </w:r>
      <w:r>
        <w:t xml:space="preserve">that the current SFDR disclosures (i.e. PAIs, good governance and taxonomy</w:t>
      </w:r>
      <w:r>
        <w:t xml:space="preserve"> </w:t>
      </w:r>
      <w:r>
        <w:t xml:space="preserve">KPIs) are applicable mainly to listed equity but not the other assets in which</w:t>
      </w:r>
      <w:r>
        <w:t xml:space="preserve"> </w:t>
      </w:r>
      <w:r>
        <w:t xml:space="preserve">pension funds/IORPs invest. These data points are either very difficult (PAIs) or</w:t>
      </w:r>
      <w:r>
        <w:t xml:space="preserve"> </w:t>
      </w:r>
      <w:r>
        <w:t xml:space="preserve">impossible to generate (Taxonomy) for assets such as sovereign bonds.</w:t>
      </w:r>
      <w:r>
        <w:t xml:space="preserve"> </w:t>
      </w:r>
      <w:r>
        <w:t xml:space="preserve">According to feedback received, the two sets of criteria outlined in Section 5</w:t>
      </w:r>
      <w:r>
        <w:t xml:space="preserve"> </w:t>
      </w:r>
      <w:r>
        <w:t xml:space="preserve">could make sense, but they would need to reflect the nature of the assets held</w:t>
      </w:r>
      <w:r>
        <w:t xml:space="preserve"> </w:t>
      </w:r>
      <w:r>
        <w:t xml:space="preserve">by such products. The pension funds industry for instance points out that various</w:t>
      </w:r>
      <w:r>
        <w:t xml:space="preserve"> </w:t>
      </w:r>
      <w:r>
        <w:t xml:space="preserve">long-term products (characterised by diversification, low risk) might never reach</w:t>
      </w:r>
      <w:r>
        <w:t xml:space="preserve"> </w:t>
      </w:r>
      <w:r>
        <w:t xml:space="preserve">the “sustainable” category. FMPs have also flagged that portfolio level PAB</w:t>
      </w:r>
      <w:r>
        <w:t xml:space="preserve"> </w:t>
      </w:r>
      <w:r>
        <w:t xml:space="preserve">exclusions would not be applicable to 100% of pension funds/IORPs due to their</w:t>
      </w:r>
      <w:r>
        <w:t xml:space="preserve"> </w:t>
      </w:r>
      <w:r>
        <w:t xml:space="preserve">investments in certain assets.</w:t>
      </w:r>
      <w:r>
        <w:br/>
      </w:r>
      <w:r>
        <w:t xml:space="preserve">(2) Concerns that the potential role for the categories in the distribution and</w:t>
      </w:r>
      <w:r>
        <w:t xml:space="preserve"> </w:t>
      </w:r>
      <w:r>
        <w:t xml:space="preserve">marketing rules would not fit their sectoral rules. Some pension funds</w:t>
      </w:r>
      <w:r>
        <w:t xml:space="preserve"> </w:t>
      </w:r>
      <w:r>
        <w:t xml:space="preserve">participants have a fundamentally different customer journey than retail investors.</w:t>
      </w:r>
      <w:r>
        <w:t xml:space="preserve"> </w:t>
      </w:r>
      <w:r>
        <w:t xml:space="preserve">Members of IORPs and certain pension products are automatically enrolled, while</w:t>
      </w:r>
      <w:r>
        <w:t xml:space="preserve"> </w:t>
      </w:r>
      <w:r>
        <w:t xml:space="preserve">some pension products are commercialised and compete with other financial</w:t>
      </w:r>
      <w:r>
        <w:t xml:space="preserve"> </w:t>
      </w:r>
      <w:r>
        <w:t xml:space="preserve">products. Moreover, for auto-enrolment products, FMPs argued that products</w:t>
      </w:r>
      <w:r>
        <w:t xml:space="preserve"> </w:t>
      </w:r>
      <w:r>
        <w:t xml:space="preserve">would not have any incentive to mislead consumers through greenwashing,</w:t>
      </w:r>
      <w:r>
        <w:t xml:space="preserve"> </w:t>
      </w:r>
      <w:r>
        <w:t xml:space="preserve">questioning the need to reinforce their marketing rules.</w:t>
      </w:r>
      <w:r>
        <w:t xml:space="preserve"> </w:t>
      </w:r>
      <w:r>
        <w:t xml:space="preserve">The insurance industry has similar concerns. The majority of FMPs consider that</w:t>
      </w:r>
      <w:r>
        <w:t xml:space="preserve"> </w:t>
      </w:r>
      <w:r>
        <w:t xml:space="preserve">criteria should be suitable for broadly diversified portfolios, e.g. in respect of the</w:t>
      </w:r>
      <w:r>
        <w:t xml:space="preserve"> </w:t>
      </w:r>
      <w:r>
        <w:t xml:space="preserve">prudent person principle in Solvency II, and the diversified range of products they cover.</w:t>
      </w:r>
      <w:r>
        <w:t xml:space="preserve"> </w:t>
      </w:r>
      <w:r>
        <w:t xml:space="preserve">Stakeholders have also asked that categories should guarantee that all investment</w:t>
      </w:r>
      <w:r>
        <w:t xml:space="preserve"> </w:t>
      </w:r>
      <w:r>
        <w:t xml:space="preserve">instruments (e.g. government bonds) of portfolios are covered by the metrics of the</w:t>
      </w:r>
      <w:r>
        <w:t xml:space="preserve"> </w:t>
      </w:r>
      <w:r>
        <w:t xml:space="preserve">system.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FMPs have also argued that criteria will also need to reflect the characteristics of</w:t>
      </w:r>
      <w:r>
        <w:t xml:space="preserve"> </w:t>
      </w:r>
      <w:r>
        <w:t xml:space="preserve">insurance products. Stakeholders have identified some technical elements that should be</w:t>
      </w:r>
      <w:r>
        <w:t xml:space="preserve"> </w:t>
      </w:r>
      <w:r>
        <w:t xml:space="preserve">addressed (e.g. the definition of ‘all investments’ encompasses many assets that have</w:t>
      </w:r>
      <w:r>
        <w:t xml:space="preserve"> </w:t>
      </w:r>
      <w:r>
        <w:t xml:space="preserve">nothing to do with investments, like deposit to cedants or cash equivalents).</w:t>
      </w:r>
      <w:r>
        <w:br/>
      </w:r>
      <w:r>
        <w:t xml:space="preserve">Treatment of sovereign256 bonds Given the specific nature of general purpose sovereign</w:t>
      </w:r>
      <w:r>
        <w:t xml:space="preserve"> </w:t>
      </w:r>
      <w:r>
        <w:t xml:space="preserve">bonds which can fund a variety of public sector expenditures such as hospitals, schools</w:t>
      </w:r>
      <w:r>
        <w:t xml:space="preserve"> </w:t>
      </w:r>
      <w:r>
        <w:t xml:space="preserve">etc. or investments such as transport networks and other infrastructures, and which can</w:t>
      </w:r>
      <w:r>
        <w:t xml:space="preserve"> </w:t>
      </w:r>
      <w:r>
        <w:t xml:space="preserve">thus be difficult to assess against sustainability metrics, specific solutions are required on</w:t>
      </w:r>
      <w:r>
        <w:t xml:space="preserve"> </w:t>
      </w:r>
      <w:r>
        <w:t xml:space="preserve">how to integrate them in any calculations for the positive contribution criterion linked to</w:t>
      </w:r>
      <w:r>
        <w:t xml:space="preserve"> </w:t>
      </w:r>
      <w:r>
        <w:t xml:space="preserve">product categories257. The solution should apply beyond insurance and pension products.</w:t>
      </w:r>
      <w:r>
        <w:br/>
      </w:r>
      <w:r>
        <w:t xml:space="preserve">An option is to continue including them and signal relevant metrics against which they</w:t>
      </w:r>
      <w:r>
        <w:t xml:space="preserve"> </w:t>
      </w:r>
      <w:r>
        <w:t xml:space="preserve">can be assessed (provided e.g. by the World Bank258, some NGOs or other entities/trade</w:t>
      </w:r>
      <w:r>
        <w:t xml:space="preserve"> </w:t>
      </w:r>
      <w:r>
        <w:t xml:space="preserve">bodies259), but these may not cover the same ground as would be possible for corporate</w:t>
      </w:r>
      <w:r>
        <w:t xml:space="preserve"> </w:t>
      </w:r>
      <w:r>
        <w:t xml:space="preserve">bonds, across all relevant ESG metrics. Another would be to include them only for the</w:t>
      </w:r>
      <w:r>
        <w:t xml:space="preserve"> </w:t>
      </w:r>
      <w:r>
        <w:t xml:space="preserve">parts of products which are screened using similar metrics, e.g. associated with social and</w:t>
      </w:r>
      <w:r>
        <w:t xml:space="preserve"> </w:t>
      </w:r>
      <w:r>
        <w:t xml:space="preserve">governance metrics such as human rights and corruption. This would mean FMPs having</w:t>
      </w:r>
      <w:r>
        <w:t xml:space="preserve"> </w:t>
      </w:r>
      <w:r>
        <w:t xml:space="preserve">to provide more detailed explanations distinguishing between parts of products where</w:t>
      </w:r>
      <w:r>
        <w:t xml:space="preserve"> </w:t>
      </w:r>
      <w:r>
        <w:t xml:space="preserve">comparable data between sovereign and corporate issuers is possible and where it is not.</w:t>
      </w:r>
      <w:r>
        <w:br/>
      </w:r>
      <w:r>
        <w:t xml:space="preserve">Alternatively, they could be included based solely on a screening of available metrics</w:t>
      </w:r>
      <w:r>
        <w:t xml:space="preserve"> </w:t>
      </w:r>
      <w:r>
        <w:t xml:space="preserve">(and spared from having to be assessed against unavailable ones). This could mean quasi-</w:t>
      </w:r>
      <w:r>
        <w:t xml:space="preserve"> </w:t>
      </w:r>
      <w:r>
        <w:t xml:space="preserve">automatic qualification for some issuers which fare well in relation to human rights and</w:t>
      </w:r>
      <w:r>
        <w:t xml:space="preserve"> </w:t>
      </w:r>
      <w:r>
        <w:t xml:space="preserve">other governance indicators or climate change and other environmental commitments,</w:t>
      </w:r>
      <w:r>
        <w:t xml:space="preserve"> </w:t>
      </w:r>
      <w:r>
        <w:t xml:space="preserve">and outright exclusion of those that don’t (e.g. favouring EU sovereign issuers as</w:t>
      </w:r>
      <w:r>
        <w:t xml:space="preserve"> </w:t>
      </w:r>
      <w:r>
        <w:t xml:space="preserve">opposed to those blacklisted under various instruments e.g. sanctions, money laundering</w:t>
      </w:r>
      <w:r>
        <w:t xml:space="preserve"> </w:t>
      </w:r>
      <w:r>
        <w:t xml:space="preserve">or tax avoidance lists etc).</w:t>
      </w:r>
      <w:r>
        <w:br/>
      </w:r>
      <w:r>
        <w:t xml:space="preserve">Yet another option could be for FMPs to have the option of excluding them and</w:t>
      </w:r>
      <w:r>
        <w:t xml:space="preserve"> </w:t>
      </w:r>
      <w:r>
        <w:t xml:space="preserve">providing explanations in their disclosures of the part of products that this relates to.</w:t>
      </w:r>
      <w:r>
        <w:t xml:space="preserve"> </w:t>
      </w:r>
      <w:r>
        <w:t xml:space="preserve">However, this could have drawbacks in terms of overall comparability. Finally, sovereign</w:t>
      </w:r>
      <w:r>
        <w:t xml:space="preserve"> </w:t>
      </w:r>
      <w:r>
        <w:t xml:space="preserve">bonds could be excluded altogether, subject to a review clause on their inclusion,</w:t>
      </w:r>
      <w:r>
        <w:t xml:space="preserve"> </w:t>
      </w:r>
      <w:r>
        <w:t xml:space="preserve">subsequent to the development of guidance or further methodologies for how to assess</w:t>
      </w:r>
      <w:r>
        <w:t xml:space="preserve"> </w:t>
      </w:r>
      <w:r>
        <w:t xml:space="preserve">them more comprehensively against sustainability metrics.</w:t>
      </w:r>
      <w:r>
        <w:br/>
      </w:r>
      <w:r>
        <w:t xml:space="preserve">Stakeholder feedback on the issue is also mixed and inconclusive. There is seemingly</w:t>
      </w:r>
      <w:r>
        <w:t xml:space="preserve"> </w:t>
      </w:r>
      <w:r>
        <w:t xml:space="preserve">little support for either outright inclusion or exclusion. The intermediate options of</w:t>
      </w:r>
      <w:r>
        <w:t xml:space="preserve"> </w:t>
      </w:r>
      <w:r>
        <w:t xml:space="preserve">partial/optional inclusion may thus be preferred, subject to additional disclosures. Given</w:t>
      </w:r>
      <w:r>
        <w:t xml:space="preserve"> </w:t>
      </w:r>
      <w:r>
        <w:t xml:space="preserve">the primarily political nature of the decision, however, these options are not subject to</w:t>
      </w:r>
      <w:r>
        <w:t xml:space="preserve"> </w:t>
      </w:r>
      <w:r>
        <w:t xml:space="preserve">further consideration of their relative impacts in this impact assessment.</w:t>
      </w:r>
      <w:r>
        <w:br/>
      </w:r>
      <w:r>
        <w:t xml:space="preserve">Multi-option products (“MOPs”) which allow consumers to choose between different</w:t>
      </w:r>
      <w:r>
        <w:t xml:space="preserve"> </w:t>
      </w:r>
      <w:r>
        <w:t xml:space="preserve">underlying funds for investing, should be able to demonstrate that they fulfil the criteria</w:t>
      </w:r>
      <w:r>
        <w:t xml:space="preserve"> </w:t>
      </w:r>
      <w:r>
        <w:t xml:space="preserve">of the categories and be classified accordingly. This is a challenge due to, inter alia,</w:t>
      </w:r>
    </w:p>
    <w:p>
      <w:pPr>
        <w:pStyle w:val="BodyText"/>
      </w:pPr>
      <w:r>
        <w:t xml:space="preserve">256 Reference here also covers sub-sovereign and supranational debt</w:t>
      </w:r>
      <w:r>
        <w:t xml:space="preserve"> </w:t>
      </w:r>
      <w:r>
        <w:t xml:space="preserve">257 At present, sovereign bonds account for c.10-20% of Article 8 and 9 funds (see: SFDR Article 8 and</w:t>
      </w:r>
      <w:r>
        <w:t xml:space="preserve"> </w:t>
      </w:r>
      <w:r>
        <w:t xml:space="preserve">Article 9 Funds: Q2 2025 in Review | Morningstar)</w:t>
      </w:r>
      <w:r>
        <w:t xml:space="preserve"> </w:t>
      </w:r>
      <w:r>
        <w:t xml:space="preserve">258 Home | Worldwide Governance Indicators</w:t>
      </w:r>
      <w:r>
        <w:t xml:space="preserve"> </w:t>
      </w:r>
      <w:r>
        <w:t xml:space="preserve">259 E.g. Freedom House | Expanding and Defending Freedom Worldwide; 2024-state-of-transition-in-</w:t>
      </w:r>
      <w:r>
        <w:t xml:space="preserve"> </w:t>
      </w:r>
      <w:r>
        <w:t xml:space="preserve">sovereigns-2024-tracking-national-climate-action-for-investors-report.pdf; Sovereign Bonds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investment options that are not financial products sold as part of IBIPs (and pension</w:t>
      </w:r>
      <w:r>
        <w:t xml:space="preserve"> </w:t>
      </w:r>
      <w:r>
        <w:t xml:space="preserve">schemes) in many Member States, or the variety of underlying investments, which often</w:t>
      </w:r>
      <w:r>
        <w:t xml:space="preserve"> </w:t>
      </w:r>
      <w:r>
        <w:t xml:space="preserve">can be determined by the client at the point of sale.</w:t>
      </w:r>
      <w:r>
        <w:t xml:space="preserve"> </w:t>
      </w:r>
      <w:r>
        <w:t xml:space="preserve">Special considerations for impact investing</w:t>
      </w:r>
      <w:r>
        <w:br/>
      </w:r>
      <w:r>
        <w:t xml:space="preserve">Impact investing refers to the small but growing market practice of managing and</w:t>
      </w:r>
      <w:r>
        <w:t xml:space="preserve"> </w:t>
      </w:r>
      <w:r>
        <w:t xml:space="preserve">channelling investments that target measurable change in specific environmental or</w:t>
      </w:r>
      <w:r>
        <w:t xml:space="preserve"> </w:t>
      </w:r>
      <w:r>
        <w:t xml:space="preserve">social areas. The practice involves investment funds set up with a pre-defined intention</w:t>
      </w:r>
      <w:r>
        <w:t xml:space="preserve"> </w:t>
      </w:r>
      <w:r>
        <w:t xml:space="preserve">with regard to addressing an environmental or social need, investing in specialised</w:t>
      </w:r>
      <w:r>
        <w:t xml:space="preserve"> </w:t>
      </w:r>
      <w:r>
        <w:t xml:space="preserve">companies or projects delivering targeted solutions in these areas, and measuring and</w:t>
      </w:r>
      <w:r>
        <w:t xml:space="preserve"> </w:t>
      </w:r>
      <w:r>
        <w:t xml:space="preserve">managing the desired impact while earning a financial return for investors. The funds</w:t>
      </w:r>
      <w:r>
        <w:t xml:space="preserve"> </w:t>
      </w:r>
      <w:r>
        <w:t xml:space="preserve">typically define an upfront strategy (‘theory of change’) to underpin investments and</w:t>
      </w:r>
      <w:r>
        <w:t xml:space="preserve"> </w:t>
      </w:r>
      <w:r>
        <w:t xml:space="preserve">seek to ensure, and measure, impacts in terms of outcomes which would not have</w:t>
      </w:r>
      <w:r>
        <w:t xml:space="preserve"> </w:t>
      </w:r>
      <w:r>
        <w:t xml:space="preserve">happened without the investments. The funds can invest, for instance, in start-ups</w:t>
      </w:r>
      <w:r>
        <w:t xml:space="preserve"> </w:t>
      </w:r>
      <w:r>
        <w:t xml:space="preserve">pursuing environmental solutions or products and other initiatives and ventures targeting</w:t>
      </w:r>
      <w:r>
        <w:t xml:space="preserve"> </w:t>
      </w:r>
      <w:r>
        <w:t xml:space="preserve">specified social or health outcomes.</w:t>
      </w:r>
      <w:r>
        <w:br/>
      </w:r>
      <w:r>
        <w:t xml:space="preserve">According to Impact Europe, a trade association representing the industry, in 2024 the</w:t>
      </w:r>
      <w:r>
        <w:t xml:space="preserve"> </w:t>
      </w:r>
      <w:r>
        <w:t xml:space="preserve">European impact investing market managed EUR190 billion in assets under</w:t>
      </w:r>
      <w:r>
        <w:t xml:space="preserve"> </w:t>
      </w:r>
      <w:r>
        <w:t xml:space="preserve">management, up from around EUR 80 billion in 2022. Data from ESMA and</w:t>
      </w:r>
      <w:r>
        <w:t xml:space="preserve"> </w:t>
      </w:r>
      <w:r>
        <w:t xml:space="preserve">Morningstar shows a fourfold increase in the use of the term “impact” in funds’ names</w:t>
      </w:r>
      <w:r>
        <w:t xml:space="preserve"> </w:t>
      </w:r>
      <w:r>
        <w:t xml:space="preserve">between 2019 and mid-2024, with roughly 450 European UCITS and AIFs using the</w:t>
      </w:r>
      <w:r>
        <w:t xml:space="preserve"> </w:t>
      </w:r>
      <w:r>
        <w:t xml:space="preserve">term (compared to over 7500 using general ESG terms), representing 0.57% of total</w:t>
      </w:r>
      <w:r>
        <w:t xml:space="preserve"> </w:t>
      </w:r>
      <w:r>
        <w:t xml:space="preserve">UCITS and 0.51% total AIFs. Growth seems to have levelled off since 2023. The broad</w:t>
      </w:r>
      <w:r>
        <w:t xml:space="preserve"> </w:t>
      </w:r>
      <w:r>
        <w:t xml:space="preserve">concept is recognised as one of the four distinct labels under the UK FCA’s</w:t>
      </w:r>
      <w:r>
        <w:t xml:space="preserve"> </w:t>
      </w:r>
      <w:r>
        <w:t xml:space="preserve">Sustainability Disclosure Requirements, and the use of the term is also subject to</w:t>
      </w:r>
      <w:r>
        <w:t xml:space="preserve"> </w:t>
      </w:r>
      <w:r>
        <w:t xml:space="preserve">ESMA’s guidelines on fund names using ESG terms. ESMA is also developing a</w:t>
      </w:r>
      <w:r>
        <w:t xml:space="preserve"> </w:t>
      </w:r>
      <w:r>
        <w:t xml:space="preserve">supervisory tool to promote convergence in oversight by NCAs of the practice.</w:t>
      </w:r>
      <w:r>
        <w:t xml:space="preserve"> </w:t>
      </w:r>
      <w:r>
        <w:t xml:space="preserve">Some stakeholders, notably from the impact industry itself, have favoured creating a</w:t>
      </w:r>
      <w:r>
        <w:t xml:space="preserve"> </w:t>
      </w:r>
      <w:r>
        <w:t xml:space="preserve">dedicated category for impact investing in the SFDR, saying this would give added</w:t>
      </w:r>
      <w:r>
        <w:t xml:space="preserve"> </w:t>
      </w:r>
      <w:r>
        <w:t xml:space="preserve">clarity and visibility to the practice, and help mobilise funds in pursuit of various</w:t>
      </w:r>
      <w:r>
        <w:t xml:space="preserve"> </w:t>
      </w:r>
      <w:r>
        <w:t xml:space="preserve">(possibly underserved) EU objectives. Some stakeholders also suggest that a dedicated</w:t>
      </w:r>
      <w:r>
        <w:t xml:space="preserve"> </w:t>
      </w:r>
      <w:r>
        <w:t xml:space="preserve">category would be needed to serve the 50% of European investors who are found to want</w:t>
      </w:r>
      <w:r>
        <w:t xml:space="preserve"> </w:t>
      </w:r>
      <w:r>
        <w:t xml:space="preserve">to make a real-world impact with their savings, and channel funds towards start ups and</w:t>
      </w:r>
      <w:r>
        <w:t xml:space="preserve"> </w:t>
      </w:r>
      <w:r>
        <w:t xml:space="preserve">scale ups working on innovative green and social solutions260..However, given the</w:t>
      </w:r>
      <w:r>
        <w:t xml:space="preserve"> </w:t>
      </w:r>
      <w:r>
        <w:t xml:space="preserve">relatively small scale and recent character of the activity in the overall context of ESG</w:t>
      </w:r>
      <w:r>
        <w:t xml:space="preserve"> </w:t>
      </w:r>
      <w:r>
        <w:t xml:space="preserve">investing, the nascent and developing supervisory experiences, as well as balance of</w:t>
      </w:r>
      <w:r>
        <w:t xml:space="preserve"> </w:t>
      </w:r>
      <w:r>
        <w:t xml:space="preserve">stakeholder views, the case for a distinct category in a revised SFDR does not appear</w:t>
      </w:r>
      <w:r>
        <w:t xml:space="preserve"> </w:t>
      </w:r>
      <w:r>
        <w:t xml:space="preserve">crucial. Rather, it is assessed that the activity can be accommodated in the broader more</w:t>
      </w:r>
      <w:r>
        <w:t xml:space="preserve"> </w:t>
      </w:r>
      <w:r>
        <w:t xml:space="preserve">encompassing categorisation, e.g. within the principles and criteria for sustainable or</w:t>
      </w:r>
      <w:r>
        <w:t xml:space="preserve"> </w:t>
      </w:r>
      <w:r>
        <w:t xml:space="preserve">transition products. Specific disclosures can apply to funds claiming impact in their</w:t>
      </w:r>
      <w:r>
        <w:t xml:space="preserve"> </w:t>
      </w:r>
      <w:r>
        <w:t xml:space="preserve">names or in their disclosures, based on a common definition of the practice (e.g. theory</w:t>
      </w:r>
      <w:r>
        <w:t xml:space="preserve"> </w:t>
      </w:r>
      <w:r>
        <w:t xml:space="preserve">of change, monitoring of the impact etc).</w:t>
      </w:r>
      <w:r>
        <w:t xml:space="preserve"> </w:t>
      </w:r>
      <w:r>
        <w:t xml:space="preserve">Special considerations regarding the defence sector</w:t>
      </w:r>
      <w:r>
        <w:br/>
      </w:r>
      <w:r>
        <w:t xml:space="preserve">Amid some concerns raised in the past that ‘ESG factors’ are posing impediments to</w:t>
      </w:r>
      <w:r>
        <w:t xml:space="preserve"> </w:t>
      </w:r>
      <w:r>
        <w:t xml:space="preserve">investments in the defence sector, the Commission has clarified on several occasions that</w:t>
      </w:r>
    </w:p>
    <w:p>
      <w:pPr>
        <w:pStyle w:val="BodyText"/>
      </w:pPr>
      <w:r>
        <w:t xml:space="preserve">260 WWF: Recommendations on the SFDR Review Sustainable Finance | WWF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there are no such restrictions in the SFDR, or in the EU sustainable finance framework</w:t>
      </w:r>
      <w:r>
        <w:t xml:space="preserve"> </w:t>
      </w:r>
      <w:r>
        <w:t xml:space="preserve">more broadly. For example, the March 2024 Communication for a European Defence</w:t>
      </w:r>
      <w:r>
        <w:t xml:space="preserve"> </w:t>
      </w:r>
      <w:r>
        <w:t xml:space="preserve">Industrial Strategy (EDIS)261 sets out that “under the EU sustainable finance framework,</w:t>
      </w:r>
      <w:r>
        <w:t xml:space="preserve"> </w:t>
      </w:r>
      <w:r>
        <w:t xml:space="preserve">no EU rule, or any EU planned rule, impedes private investment in the defence industry”</w:t>
      </w:r>
      <w:r>
        <w:t xml:space="preserve"> </w:t>
      </w:r>
      <w:r>
        <w:t xml:space="preserve">262. This messaging was reaffirmed by the White Paper on European Defence Readiness</w:t>
      </w:r>
      <w:r>
        <w:t xml:space="preserve"> </w:t>
      </w:r>
      <w:r>
        <w:t xml:space="preserve">2030 of March 2025263, stating that the SFDR review will provide additional</w:t>
      </w:r>
      <w:r>
        <w:t xml:space="preserve"> </w:t>
      </w:r>
      <w:r>
        <w:t xml:space="preserve">clarifications “on the relationship of defence with the investment goals of the</w:t>
      </w:r>
      <w:r>
        <w:t xml:space="preserve"> </w:t>
      </w:r>
      <w:r>
        <w:t xml:space="preserve">sustainability framework”.</w:t>
      </w:r>
      <w:r>
        <w:br/>
      </w:r>
      <w:r>
        <w:t xml:space="preserve">Under the SFDR companies active in the defence sector are subject to the same</w:t>
      </w:r>
      <w:r>
        <w:t xml:space="preserve"> </w:t>
      </w:r>
      <w:r>
        <w:t xml:space="preserve">expectations as companies in any other sectors. However, in practice some product</w:t>
      </w:r>
      <w:r>
        <w:t xml:space="preserve"> </w:t>
      </w:r>
      <w:r>
        <w:t xml:space="preserve">providers or supervisors may de-facto consider such investments as incompatible with</w:t>
      </w:r>
      <w:r>
        <w:t xml:space="preserve"> </w:t>
      </w:r>
      <w:r>
        <w:t xml:space="preserve">products making ESG claims, reflecting in part potential long-standing concerns of some</w:t>
      </w:r>
      <w:r>
        <w:t xml:space="preserve"> </w:t>
      </w:r>
      <w:r>
        <w:t xml:space="preserve">investors to invest in the defence sector.</w:t>
      </w:r>
      <w:r>
        <w:br/>
      </w:r>
      <w:r>
        <w:t xml:space="preserve">Against this, the review of the SFDR should reflect relevant unfolding developments</w:t>
      </w:r>
      <w:r>
        <w:t xml:space="preserve"> </w:t>
      </w:r>
      <w:r>
        <w:t xml:space="preserve">regarding the need to continue supporting private investments towards defence264. The</w:t>
      </w:r>
      <w:r>
        <w:t xml:space="preserve"> </w:t>
      </w:r>
      <w:r>
        <w:t xml:space="preserve">SFDR should notably build on the guidance from the Commission regarding the</w:t>
      </w:r>
      <w:r>
        <w:t xml:space="preserve"> </w:t>
      </w:r>
      <w:r>
        <w:t xml:space="preserve">application of the EU sustainable finance framework regarding the defence sector. This</w:t>
      </w:r>
      <w:r>
        <w:t xml:space="preserve"> </w:t>
      </w:r>
      <w:r>
        <w:t xml:space="preserve">guidance, announced in the EDIS Communication, re-confirms that nothing in the</w:t>
      </w:r>
      <w:r>
        <w:t xml:space="preserve"> </w:t>
      </w:r>
      <w:r>
        <w:t xml:space="preserve">framework discriminates against defence265 and that investing in companies in the</w:t>
      </w:r>
      <w:r>
        <w:t xml:space="preserve"> </w:t>
      </w:r>
      <w:r>
        <w:t xml:space="preserve">defence sector can be compatible with a sustainable investment strategy provided that the</w:t>
      </w:r>
      <w:r>
        <w:t xml:space="preserve"> </w:t>
      </w:r>
      <w:r>
        <w:t xml:space="preserve">relevant due diligence checks are performed like for other sectors. The revised SFDR</w:t>
      </w:r>
      <w:r>
        <w:t xml:space="preserve"> </w:t>
      </w:r>
      <w:r>
        <w:t xml:space="preserve">should also duly reflect the actions, announced in the March 2025 White Paper, to further</w:t>
      </w:r>
      <w:r>
        <w:t xml:space="preserve"> </w:t>
      </w:r>
      <w:r>
        <w:t xml:space="preserve">bolster access to finance for the defence sector in the defence readiness omnibus</w:t>
      </w:r>
      <w:r>
        <w:t xml:space="preserve"> </w:t>
      </w:r>
      <w:r>
        <w:t xml:space="preserve">proposals of June 2025266.</w:t>
      </w:r>
      <w:r>
        <w:br/>
      </w:r>
      <w:r>
        <w:t xml:space="preserve">The policy choices for the SFDR review in this area flow from these steps taken by the</w:t>
      </w:r>
      <w:r>
        <w:t xml:space="preserve"> </w:t>
      </w:r>
      <w:r>
        <w:t xml:space="preserve">Commission and are not subject to further consideration in this impact assessment.</w:t>
      </w:r>
    </w:p>
    <w:p>
      <w:pPr>
        <w:pStyle w:val="BodyText"/>
      </w:pPr>
      <w:r>
        <w:t xml:space="preserve">261https://defence-industry-space.ec.europa.eu/document/download/643c4a00-0da9-4768-83cd-</w:t>
      </w:r>
      <w:r>
        <w:t xml:space="preserve"> </w:t>
      </w:r>
      <w:r>
        <w:t xml:space="preserve">a5628f5c3063_en?filename=EDIS%20Joint%20Communication.pdf</w:t>
      </w:r>
      <w:r>
        <w:br/>
      </w:r>
      <w:r>
        <w:t xml:space="preserve">262 With the exception of the specific case of controversial weapons banned by international conventions</w:t>
      </w:r>
      <w:r>
        <w:t xml:space="preserve"> </w:t>
      </w:r>
      <w:r>
        <w:t xml:space="preserve">(biological and chemical weapons, anti-personnel mines, cluster munitions), which are subject to more</w:t>
      </w:r>
      <w:r>
        <w:t xml:space="preserve"> </w:t>
      </w:r>
      <w:r>
        <w:t xml:space="preserve">stringent disclosures in SFDR or exclusions under PAB/CTB.</w:t>
      </w:r>
      <w:r>
        <w:t xml:space="preserve"> </w:t>
      </w:r>
      <w:r>
        <w:t xml:space="preserve">263https://defence-industry-space.ec.europa.eu/document/download/30b50d2c-49aa-4250-9ca6-</w:t>
      </w:r>
      <w:r>
        <w:t xml:space="preserve"> </w:t>
      </w:r>
      <w:r>
        <w:t xml:space="preserve">27a0347cf009_en?filename=White%20Paper.pdf</w:t>
      </w:r>
      <w:r>
        <w:br/>
      </w:r>
      <w:r>
        <w:t xml:space="preserve">264 Recent data shows continuing growth in investments into aerospace and defence notably by Article 6</w:t>
      </w:r>
      <w:r>
        <w:t xml:space="preserve"> </w:t>
      </w:r>
      <w:r>
        <w:t xml:space="preserve">and 8 funds (see: SFDR Article 8 and Article 9 Funds: Q2 2025 in Review | Morningstar)</w:t>
      </w:r>
      <w:r>
        <w:t xml:space="preserve"> </w:t>
      </w:r>
      <w:r>
        <w:t xml:space="preserve">265 For further context, UK authorities have also provided similar clarifications. See FCA position on</w:t>
      </w:r>
      <w:r>
        <w:t xml:space="preserve"> </w:t>
      </w:r>
      <w:r>
        <w:t xml:space="preserve">sustainability regulations and the UK defence, 11/03/2025</w:t>
      </w:r>
      <w:r>
        <w:t xml:space="preserve"> </w:t>
      </w:r>
      <w:r>
        <w:t xml:space="preserve">266 Defence Readiness Omnibus - European Commission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ANNEX 8: ADDITIONAL INFORMATION AND ILLUSTRATIVE</w:t>
      </w:r>
      <w:r>
        <w:t xml:space="preserve"> </w:t>
      </w:r>
      <w:r>
        <w:t xml:space="preserve">EXAMPLES OF POTENTIAL CRITERIA AND DISCLOSURES (OPTION</w:t>
      </w:r>
      <w:r>
        <w:t xml:space="preserve"> </w:t>
      </w:r>
      <w:r>
        <w:t xml:space="preserve">3.1 AND 3.2) AND APPROACH TO ESTIMATION</w:t>
      </w:r>
      <w:r>
        <w:t xml:space="preserve"> </w:t>
      </w:r>
      <w:r>
        <w:t xml:space="preserve">This annex recaps and further explains the suggested criteria presented in section 5.4</w:t>
      </w:r>
      <w:r>
        <w:t xml:space="preserve"> </w:t>
      </w:r>
      <w:r>
        <w:t xml:space="preserve">under option 3.1 and 3.2. It also provides for mock templates for the streamlined</w:t>
      </w:r>
      <w:r>
        <w:t xml:space="preserve"> </w:t>
      </w:r>
      <w:r>
        <w:t xml:space="preserve">disclosures described under option 2.2.</w:t>
      </w:r>
      <w:r>
        <w:br/>
      </w:r>
      <w:r>
        <w:t xml:space="preserve">DISCLAIMER: The content of this annex does not pre-empt the future elaboration of</w:t>
      </w:r>
      <w:r>
        <w:t xml:space="preserve"> </w:t>
      </w:r>
      <w:r>
        <w:t xml:space="preserve">level 2 rules. It aims at providing more information on the type of criteria which could be</w:t>
      </w:r>
      <w:r>
        <w:t xml:space="preserve"> </w:t>
      </w:r>
      <w:r>
        <w:t xml:space="preserve">elaborated on the basis of high-level principles to be set in the regulation. It also aims at</w:t>
      </w:r>
      <w:r>
        <w:t xml:space="preserve"> </w:t>
      </w:r>
      <w:r>
        <w:t xml:space="preserve">helping readers understand how the categories can work in practice and what the</w:t>
      </w:r>
      <w:r>
        <w:t xml:space="preserve"> </w:t>
      </w:r>
      <w:r>
        <w:t xml:space="preserve">suggested disclosures could look like.</w:t>
      </w:r>
    </w:p>
    <w:p>
      <w:pPr>
        <w:pStyle w:val="BodyText"/>
      </w:pPr>
      <w:r>
        <w:t xml:space="preserve">ANNEX 8 - TABLE OF CONTENTS</w:t>
      </w:r>
    </w:p>
    <w:p>
      <w:pPr>
        <w:pStyle w:val="Compact"/>
        <w:numPr>
          <w:ilvl w:val="0"/>
          <w:numId w:val="1021"/>
        </w:numPr>
      </w:pPr>
      <w:r>
        <w:t xml:space="preserve">Section 1: Proposed criteria for the categories proposed in option 3.1 and</w:t>
      </w:r>
      <w:r>
        <w:t xml:space="preserve"> </w:t>
      </w:r>
      <w:r>
        <w:t xml:space="preserve">3.2.</w:t>
      </w:r>
      <w:r>
        <w:br/>
      </w:r>
      <w:r>
        <w:t xml:space="preserve">1.1.The two pillars approach</w:t>
      </w:r>
      <w:r>
        <w:t xml:space="preserve"> </w:t>
      </w:r>
      <w:r>
        <w:t xml:space="preserve">1.2.Concrete criteria per category</w:t>
      </w:r>
      <w:r>
        <w:br/>
      </w:r>
      <w:r>
        <w:t xml:space="preserve">1.3.Illustrative example of how the criteria could be implemented</w:t>
      </w:r>
      <w:r>
        <w:br/>
      </w:r>
      <w:r>
        <w:t xml:space="preserve">1.4.Evidence of the usability and feasibility of the criteria</w:t>
      </w:r>
    </w:p>
    <w:p>
      <w:pPr>
        <w:pStyle w:val="Compact"/>
        <w:numPr>
          <w:ilvl w:val="0"/>
          <w:numId w:val="1021"/>
        </w:numPr>
      </w:pPr>
      <w:r>
        <w:t xml:space="preserve">Section 2: Proposed product disclosures under option 2.2.</w:t>
      </w:r>
    </w:p>
    <w:p>
      <w:pPr>
        <w:pStyle w:val="Compact"/>
        <w:numPr>
          <w:ilvl w:val="0"/>
          <w:numId w:val="1021"/>
        </w:numPr>
      </w:pPr>
      <w:r>
        <w:t xml:space="preserve">Section 3: Proposed approach to estimation to bridge the ESG data gaps</w:t>
      </w:r>
    </w:p>
    <w:p>
      <w:pPr>
        <w:pStyle w:val="FirstParagraph"/>
      </w:pPr>
      <w:r>
        <w:t xml:space="preserve">125</w:t>
      </w:r>
    </w:p>
    <w:p>
      <w:pPr>
        <w:pStyle w:val="BodyText"/>
      </w:pPr>
      <w:r>
        <w:t xml:space="preserve">SECTION 1: UNDERLYING CRITERIA FOR THE CATEGORIES PROPOSED</w:t>
      </w:r>
      <w:r>
        <w:br/>
      </w:r>
      <w:r>
        <w:t xml:space="preserve">UNDER OPTION 3.1 AND 3.2</w:t>
      </w:r>
      <w:r>
        <w:t xml:space="preserve"> </w:t>
      </w:r>
      <w:r>
        <w:t xml:space="preserve">This section describes the set of criteria suggested for the categories and provides for</w:t>
      </w:r>
      <w:r>
        <w:t xml:space="preserve"> </w:t>
      </w:r>
      <w:r>
        <w:t xml:space="preserve">illustrative examples of what the concrete and detailed criteria (to be further developed</w:t>
      </w:r>
      <w:r>
        <w:t xml:space="preserve"> </w:t>
      </w:r>
      <w:r>
        <w:t xml:space="preserve">at level 2) could look like. It also provides illustrative examples of how these criteria</w:t>
      </w:r>
      <w:r>
        <w:t xml:space="preserve"> </w:t>
      </w:r>
      <w:r>
        <w:t xml:space="preserve">could be applied in practice and provides evidence of the feasibility of the suggested</w:t>
      </w:r>
      <w:r>
        <w:t xml:space="preserve"> </w:t>
      </w:r>
      <w:r>
        <w:t xml:space="preserve">criteria as well as evidence of their likely impact.</w:t>
      </w:r>
      <w:r>
        <w:br/>
      </w:r>
      <w:r>
        <w:t xml:space="preserve">SUMMARY OF THE MAIN FINDINGS:</w:t>
      </w:r>
      <w:r>
        <w:t xml:space="preserve"> </w:t>
      </w:r>
      <w:r>
        <w:t xml:space="preserve">The current SFDR definition of ‘sustainable investment’ builds on three principles:</w:t>
      </w:r>
      <w:r>
        <w:t xml:space="preserve"> </w:t>
      </w:r>
      <w:r>
        <w:t xml:space="preserve">investment having an environmental or social objective, causing no significant harm (as</w:t>
      </w:r>
      <w:r>
        <w:t xml:space="preserve"> </w:t>
      </w:r>
      <w:r>
        <w:t xml:space="preserve">per the ‘do no significant harm’ [DNSH] principle through the consideration of the</w:t>
      </w:r>
      <w:r>
        <w:t xml:space="preserve"> </w:t>
      </w:r>
      <w:r>
        <w:t xml:space="preserve">principal adverse impact indicators) and investing in companies with good governance</w:t>
      </w:r>
      <w:r>
        <w:t xml:space="preserve"> </w:t>
      </w:r>
      <w:r>
        <w:t xml:space="preserve">practices.</w:t>
      </w:r>
      <w:r>
        <w:br/>
      </w:r>
      <w:r>
        <w:t xml:space="preserve">As set out in Sections 5.4 and 6.3 in the main report, the revised criteria build on these</w:t>
      </w:r>
      <w:r>
        <w:t xml:space="preserve"> </w:t>
      </w:r>
      <w:r>
        <w:t xml:space="preserve">core principles and underpin them with a set of clear minimum criteria to prevent</w:t>
      </w:r>
      <w:r>
        <w:t xml:space="preserve"> </w:t>
      </w:r>
      <w:r>
        <w:t xml:space="preserve">greenwashing and the excessive fragmentation of FMPs’ approaches. This would bring</w:t>
      </w:r>
      <w:r>
        <w:t xml:space="preserve"> </w:t>
      </w:r>
      <w:r>
        <w:t xml:space="preserve">clarity to FMPs in the application of the criteria, help systematize the categorisation</w:t>
      </w:r>
      <w:r>
        <w:t xml:space="preserve"> </w:t>
      </w:r>
      <w:r>
        <w:t xml:space="preserve">process and enhance the comparability of products. The cost of implementation of these</w:t>
      </w:r>
      <w:r>
        <w:t xml:space="preserve"> </w:t>
      </w:r>
      <w:r>
        <w:t xml:space="preserve">criteria will be limited by ensuring continuity with robust market practices and existing</w:t>
      </w:r>
      <w:r>
        <w:t xml:space="preserve"> </w:t>
      </w:r>
      <w:r>
        <w:t xml:space="preserve">rules, namely the ESMA guidelines on funds’ names.</w:t>
      </w:r>
      <w:r>
        <w:t xml:space="preserve"> </w:t>
      </w:r>
      <w:r>
        <w:t xml:space="preserve">How will the proposed criteria enhance comparability and help fight greenwashing?</w:t>
      </w:r>
      <w:r>
        <w:br/>
      </w:r>
      <w:r>
        <w:t xml:space="preserve">The evaluation (annex 11) has identified that the lack of clarity linked to the concept of</w:t>
      </w:r>
      <w:r>
        <w:t xml:space="preserve"> </w:t>
      </w:r>
      <w:r>
        <w:t xml:space="preserve">‘sustainable investment’ has led to widely different interpretations and implementation</w:t>
      </w:r>
      <w:r>
        <w:t xml:space="preserve"> </w:t>
      </w:r>
      <w:r>
        <w:t xml:space="preserve">approaches amongst FMPs. As shown in box 10 of annex 1, the exposure to sustainable</w:t>
      </w:r>
      <w:r>
        <w:t xml:space="preserve"> </w:t>
      </w:r>
      <w:r>
        <w:t xml:space="preserve">investments of products tracking a similar benchmark can range from 1% to 80%.</w:t>
      </w:r>
      <w:r>
        <w:br/>
      </w:r>
      <w:r>
        <w:t xml:space="preserve">The evaluation also finds that the ‘DNSH test’, which is done through the high-level</w:t>
      </w:r>
      <w:r>
        <w:t xml:space="preserve"> </w:t>
      </w:r>
      <w:r>
        <w:t xml:space="preserve">principle of ‘consideration of principal adverse impacts’, has not led to harmonised</w:t>
      </w:r>
      <w:r>
        <w:t xml:space="preserve"> </w:t>
      </w:r>
      <w:r>
        <w:t xml:space="preserve">implementation practices and has not prevented harmful investments. This is mainly</w:t>
      </w:r>
      <w:r>
        <w:t xml:space="preserve"> </w:t>
      </w:r>
      <w:r>
        <w:t xml:space="preserve">because the current SFDR leaves considerable discretion to FMPs in choosing how they</w:t>
      </w:r>
      <w:r>
        <w:t xml:space="preserve"> </w:t>
      </w:r>
      <w:r>
        <w:t xml:space="preserve">consider these impacts.</w:t>
      </w:r>
      <w:r>
        <w:br/>
      </w:r>
      <w:r>
        <w:t xml:space="preserve">To remedy this, two main measures are suggested to enhance the comparability and help</w:t>
      </w:r>
      <w:r>
        <w:t xml:space="preserve"> </w:t>
      </w:r>
      <w:r>
        <w:t xml:space="preserve">fight greenwashing:</w:t>
      </w:r>
      <w:r>
        <w:br/>
      </w:r>
      <w:r>
        <w:t xml:space="preserve"> Positive contribution: Setting a minimum portion of investment to contribute</w:t>
      </w:r>
      <w:r>
        <w:t xml:space="preserve"> </w:t>
      </w:r>
      <w:r>
        <w:t xml:space="preserve">to the sustainability objective (70/80% of the product)</w:t>
      </w:r>
      <w:r>
        <w:br/>
      </w:r>
      <w:r>
        <w:t xml:space="preserve"> Exclusions: Setting clear exclusions of harmful industries and activities in</w:t>
      </w:r>
      <w:r>
        <w:t xml:space="preserve"> </w:t>
      </w:r>
      <w:r>
        <w:t xml:space="preserve">which products cannot invest in – these exclusions would be aligned with the</w:t>
      </w:r>
      <w:r>
        <w:t xml:space="preserve"> </w:t>
      </w:r>
      <w:r>
        <w:t xml:space="preserve">ones of the EU Climate Benchmarks, as introduced by the ESMA guidelines on</w:t>
      </w:r>
      <w:r>
        <w:t xml:space="preserve"> </w:t>
      </w:r>
      <w:r>
        <w:t xml:space="preserve">funds’ names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What is the evidence that reliable and comparable sustainable information is</w:t>
      </w:r>
      <w:r>
        <w:t xml:space="preserve"> </w:t>
      </w:r>
      <w:r>
        <w:t xml:space="preserve">available for the proposed criteria? How to ensure that the costs of implementation</w:t>
      </w:r>
      <w:r>
        <w:t xml:space="preserve"> </w:t>
      </w:r>
      <w:r>
        <w:t xml:space="preserve">and market disruptions will be limited (to the extent possible)?</w:t>
      </w:r>
      <w:r>
        <w:br/>
      </w:r>
      <w:r>
        <w:t xml:space="preserve">Section 1.4 presents further evidence on the feasibility of the proposed criteria based on</w:t>
      </w:r>
      <w:r>
        <w:t xml:space="preserve"> </w:t>
      </w:r>
      <w:r>
        <w:t xml:space="preserve">market analysis of current financial products.</w:t>
      </w:r>
      <w:r>
        <w:br/>
      </w:r>
      <w:r>
        <w:t xml:space="preserve">First, the bulk of the suggested criteria replicate what has already been introduced</w:t>
      </w:r>
      <w:r>
        <w:t xml:space="preserve"> </w:t>
      </w:r>
      <w:r>
        <w:t xml:space="preserve">under the ESMA guidelines for ESG funds names. The guidelines, which started</w:t>
      </w:r>
      <w:r>
        <w:t xml:space="preserve"> </w:t>
      </w:r>
      <w:r>
        <w:t xml:space="preserve">applying in May 2025, require investment funds with ESG-related terms in their names</w:t>
      </w:r>
      <w:r>
        <w:t xml:space="preserve"> </w:t>
      </w:r>
      <w:r>
        <w:t xml:space="preserve">to (1) ensure that at least 80% of the investments align with their ESG</w:t>
      </w:r>
      <w:r>
        <w:t xml:space="preserve"> </w:t>
      </w:r>
      <w:r>
        <w:t xml:space="preserve">objectives/characteristics; (2) apply the exclusions of the EU Climate Benchmarks. The</w:t>
      </w:r>
      <w:r>
        <w:t xml:space="preserve"> </w:t>
      </w:r>
      <w:r>
        <w:t xml:space="preserve">number of investment funds currently applying these requirements has been</w:t>
      </w:r>
      <w:r>
        <w:t xml:space="preserve"> </w:t>
      </w:r>
      <w:r>
        <w:t xml:space="preserve">estimated at 4.570267. The same study also estimates that the universe of funds using</w:t>
      </w:r>
      <w:r>
        <w:t xml:space="preserve"> </w:t>
      </w:r>
      <w:r>
        <w:t xml:space="preserve">ESG-related terms only decreased by 8% since the entry into application of these</w:t>
      </w:r>
      <w:r>
        <w:t xml:space="preserve"> </w:t>
      </w:r>
      <w:r>
        <w:t xml:space="preserve">requirements, showing that most funds in scope managed to implement the ESMA</w:t>
      </w:r>
      <w:r>
        <w:t xml:space="preserve"> </w:t>
      </w:r>
      <w:r>
        <w:t xml:space="preserve">criteria. Since the criteria for the categories largely build on these guidelines, most of</w:t>
      </w:r>
      <w:r>
        <w:t xml:space="preserve"> </w:t>
      </w:r>
      <w:r>
        <w:t xml:space="preserve">the one-off implementation costs would have already been borne by funds in scope</w:t>
      </w:r>
      <w:r>
        <w:t xml:space="preserve"> </w:t>
      </w:r>
      <w:r>
        <w:t xml:space="preserve">of the guidelines. In addition, market analysis described in section 1.4 shows that the</w:t>
      </w:r>
      <w:r>
        <w:t xml:space="preserve"> </w:t>
      </w:r>
      <w:r>
        <w:t xml:space="preserve">implementation of sectoral exclusions are the key elements of comparability</w:t>
      </w:r>
      <w:r>
        <w:t xml:space="preserve"> </w:t>
      </w:r>
      <w:r>
        <w:t xml:space="preserve">identified in funds with ESG characteristics or objectives, demonstrating the well-</w:t>
      </w:r>
      <w:r>
        <w:t xml:space="preserve"> </w:t>
      </w:r>
      <w:r>
        <w:t xml:space="preserve">established market practices around exclusions268.</w:t>
      </w:r>
      <w:r>
        <w:br/>
      </w:r>
      <w:r>
        <w:t xml:space="preserve">Second, the criteria refer to sustainability topics for which the information is either</w:t>
      </w:r>
      <w:r>
        <w:t xml:space="preserve"> </w:t>
      </w:r>
      <w:r>
        <w:t xml:space="preserve">available from investee companies or possible to estimate by FMPs/external providers</w:t>
      </w:r>
      <w:r>
        <w:t xml:space="preserve"> </w:t>
      </w:r>
      <w:r>
        <w:t xml:space="preserve">when the information is missing (more information on the approach to estimation below</w:t>
      </w:r>
      <w:r>
        <w:t xml:space="preserve"> </w:t>
      </w:r>
      <w:r>
        <w:t xml:space="preserve">in section 3). The proposed exclusions build on findings from market analysis on which</w:t>
      </w:r>
      <w:r>
        <w:t xml:space="preserve"> </w:t>
      </w:r>
      <w:r>
        <w:t xml:space="preserve">indicators are most frequently disclosed by companies269270 and rely on common and</w:t>
      </w:r>
      <w:r>
        <w:t xml:space="preserve"> </w:t>
      </w:r>
      <w:r>
        <w:t xml:space="preserve">clear metrics which are possible to estimate in a harmonised way.</w:t>
      </w:r>
      <w:r>
        <w:br/>
      </w:r>
      <w:r>
        <w:t xml:space="preserve">Practical limitations to reach perfect comparability First, there are certain practical</w:t>
      </w:r>
      <w:r>
        <w:t xml:space="preserve"> </w:t>
      </w:r>
      <w:r>
        <w:t xml:space="preserve">limitations to the levels of comparability which can be reached/required from products.</w:t>
      </w:r>
      <w:r>
        <w:t xml:space="preserve"> </w:t>
      </w:r>
      <w:r>
        <w:t xml:space="preserve">Findings from the evaluation271 show that there is no ‘one size fits all’ on how to</w:t>
      </w:r>
      <w:r>
        <w:t xml:space="preserve"> </w:t>
      </w:r>
      <w:r>
        <w:t xml:space="preserve">granularly define what a positive contribution to a sustainability objective should be.</w:t>
      </w:r>
    </w:p>
    <w:p>
      <w:pPr>
        <w:pStyle w:val="BodyText"/>
      </w:pPr>
      <w:r>
        <w:t xml:space="preserve">267 ‘ESMA Guidelines on ESG Funds’ Names, early insights into rebranding activity and portfolio impact’</w:t>
      </w:r>
      <w:r>
        <w:t xml:space="preserve"> </w:t>
      </w:r>
      <w:r>
        <w:t xml:space="preserve">by Morningstar/Sustainalytics, 20 May 2025.</w:t>
      </w:r>
      <w:r>
        <w:t xml:space="preserve"> </w:t>
      </w:r>
      <w:r>
        <w:t xml:space="preserve">268 Frank Bold, SFDR review: analysis of current practices and future directions for investors, December</w:t>
      </w:r>
      <w:r>
        <w:t xml:space="preserve"> </w:t>
      </w:r>
      <w:r>
        <w:t xml:space="preserve">2024 and Morningstar, SFDR Article 8 and Article 9, 2022</w:t>
      </w:r>
      <w:r>
        <w:t xml:space="preserve"> </w:t>
      </w:r>
      <w:r>
        <w:t xml:space="preserve">269 For example, the PSF report highlights which sustainability indicators lack publicly available or</w:t>
      </w:r>
      <w:r>
        <w:t xml:space="preserve"> </w:t>
      </w:r>
      <w:r>
        <w:t xml:space="preserve">estimated data, such as biodiversity and water. The ESAs annual report mentioned above also gives a</w:t>
      </w:r>
      <w:r>
        <w:t xml:space="preserve"> </w:t>
      </w:r>
      <w:r>
        <w:t xml:space="preserve">useful state of play of the reporting based on FY 2023. In addition, box 12 of annex 11 shows that ESG</w:t>
      </w:r>
      <w:r>
        <w:t xml:space="preserve"> </w:t>
      </w:r>
      <w:r>
        <w:t xml:space="preserve">data is widely available on topics such as GHG emissions, exposure to fossil fuel sectors and exposure to</w:t>
      </w:r>
      <w:r>
        <w:t xml:space="preserve"> </w:t>
      </w:r>
      <w:r>
        <w:t xml:space="preserve">controversial weapons.</w:t>
      </w:r>
      <w:r>
        <w:br/>
      </w:r>
      <w:r>
        <w:t xml:space="preserve">270 For example, for the transition category, in 2024, 37% of polled investors in a Robeco study (300</w:t>
      </w:r>
      <w:r>
        <w:t xml:space="preserve"> </w:t>
      </w:r>
      <w:r>
        <w:t xml:space="preserve">FMPs) said they already invest in companies with high emissions if they have credible transition plans, and</w:t>
      </w:r>
      <w:r>
        <w:t xml:space="preserve"> </w:t>
      </w:r>
      <w:r>
        <w:t xml:space="preserve">an extra 26% are planning to do so in following 1-2 years. Similar figures are reflected in a 2024 Morgan</w:t>
      </w:r>
      <w:r>
        <w:t xml:space="preserve"> </w:t>
      </w:r>
      <w:r>
        <w:t xml:space="preserve">Stanley survey showing that globally, of the asset owners and asset managers surveyed that have a net-zero</w:t>
      </w:r>
      <w:r>
        <w:t xml:space="preserve"> </w:t>
      </w:r>
      <w:r>
        <w:t xml:space="preserve">target, 32% and 25% respectively are expecting to meet their target by mostly shifting capital toward high</w:t>
      </w:r>
      <w:r>
        <w:t xml:space="preserve"> </w:t>
      </w:r>
      <w:r>
        <w:t xml:space="preserve">emitters that are decarbonising and a further 28% of both groups is expecting to do so by a combination of</w:t>
      </w:r>
      <w:r>
        <w:t xml:space="preserve"> </w:t>
      </w:r>
      <w:r>
        <w:t xml:space="preserve">this and tilting toward low emitters. Lastly, a 2025 survey commissioned by E3G in the UK found that</w:t>
      </w:r>
      <w:r>
        <w:t xml:space="preserve"> </w:t>
      </w:r>
      <w:r>
        <w:t xml:space="preserve">86% of investors surveyed consider transition plans as a valuable tool to inform their investment decisions.</w:t>
      </w:r>
      <w:r>
        <w:t xml:space="preserve"> </w:t>
      </w:r>
      <w:r>
        <w:t xml:space="preserve">271 For example, the different approaches to contribution described in Frank Bold, SFDR review : analysis</w:t>
      </w:r>
      <w:r>
        <w:t xml:space="preserve"> </w:t>
      </w:r>
      <w:r>
        <w:t xml:space="preserve">of current practices and future directions for investors, December 2024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This is mainly due to the wide variety of assets, strategies, sustainability objectives that</w:t>
      </w:r>
      <w:r>
        <w:t xml:space="preserve"> </w:t>
      </w:r>
      <w:r>
        <w:t xml:space="preserve">exist in the current market. If a very granular and common (mandatory) approach to</w:t>
      </w:r>
      <w:r>
        <w:t xml:space="preserve"> </w:t>
      </w:r>
      <w:r>
        <w:t xml:space="preserve">contribution was to be applied to all products regardless of their sustainability objective</w:t>
      </w:r>
      <w:r>
        <w:t xml:space="preserve"> </w:t>
      </w:r>
      <w:r>
        <w:t xml:space="preserve">(e.g. minimum alignment with the EU Taxonomy), the investment universe would be too</w:t>
      </w:r>
      <w:r>
        <w:t xml:space="preserve"> </w:t>
      </w:r>
      <w:r>
        <w:t xml:space="preserve">restricted, and the categories would not be usable (i.e. only a handful of products could</w:t>
      </w:r>
      <w:r>
        <w:t xml:space="preserve"> </w:t>
      </w:r>
      <w:r>
        <w:t xml:space="preserve">be categorised). In other words, it would be counterproductive to micro-engineer what</w:t>
      </w:r>
      <w:r>
        <w:t xml:space="preserve"> </w:t>
      </w:r>
      <w:r>
        <w:t xml:space="preserve">characteristics ESG products could have to this extent, both for product innovation and</w:t>
      </w:r>
      <w:r>
        <w:t xml:space="preserve"> </w:t>
      </w:r>
      <w:r>
        <w:t xml:space="preserve">for ensuring a future-proof regulatory framework, for encouraging the offer of ESG</w:t>
      </w:r>
      <w:r>
        <w:t xml:space="preserve"> </w:t>
      </w:r>
      <w:r>
        <w:t xml:space="preserve">products on the market, and ultimately for both the specific and general objectives of this</w:t>
      </w:r>
      <w:r>
        <w:t xml:space="preserve"> </w:t>
      </w:r>
      <w:r>
        <w:t xml:space="preserve">initiative272. In fact, the potential of categories to simplify the framework for FMPs and</w:t>
      </w:r>
      <w:r>
        <w:t xml:space="preserve"> </w:t>
      </w:r>
      <w:r>
        <w:t xml:space="preserve">to enhance the comparability of products and fight greenwashing would be significantly</w:t>
      </w:r>
      <w:r>
        <w:t xml:space="preserve"> </w:t>
      </w:r>
      <w:r>
        <w:t xml:space="preserve">lowered if only a handful of EU products are categorised.</w:t>
      </w:r>
      <w:r>
        <w:br/>
      </w:r>
      <w:r>
        <w:t xml:space="preserve">Therefore, the suggested criteria focus on ensuring harmonised levels of contribution</w:t>
      </w:r>
      <w:r>
        <w:t xml:space="preserve"> </w:t>
      </w:r>
      <w:r>
        <w:t xml:space="preserve">rather than granularly defining the nature of the contribution for them. This would also</w:t>
      </w:r>
      <w:r>
        <w:t xml:space="preserve"> </w:t>
      </w:r>
      <w:r>
        <w:t xml:space="preserve">ensure continuity with what investment funds had to implement under the ESMA</w:t>
      </w:r>
      <w:r>
        <w:t xml:space="preserve"> </w:t>
      </w:r>
      <w:r>
        <w:t xml:space="preserve">guidelines on funds’ names (in application since May 2025). FMPs would be required to</w:t>
      </w:r>
      <w:r>
        <w:t xml:space="preserve"> </w:t>
      </w:r>
      <w:r>
        <w:t xml:space="preserve">measure and disclose their assessment of performance against the objective that they</w:t>
      </w:r>
      <w:r>
        <w:t xml:space="preserve"> </w:t>
      </w:r>
      <w:r>
        <w:t xml:space="preserve">contribute to. This should be based on credible and where possible science-based</w:t>
      </w:r>
      <w:r>
        <w:t xml:space="preserve"> </w:t>
      </w:r>
      <w:r>
        <w:t xml:space="preserve">indicators273.</w:t>
      </w:r>
      <w:r>
        <w:br/>
      </w:r>
      <w:r>
        <w:t xml:space="preserve">In addition to the measures described above, the Commission could be empowered to</w:t>
      </w:r>
      <w:r>
        <w:t xml:space="preserve"> </w:t>
      </w:r>
      <w:r>
        <w:t xml:space="preserve">define a minimum ESG performance for certain sustainability objectives. In order to set</w:t>
      </w:r>
      <w:r>
        <w:t xml:space="preserve"> </w:t>
      </w:r>
      <w:r>
        <w:t xml:space="preserve">this comparable minimum quantitative criterion on performance, two elements would be</w:t>
      </w:r>
      <w:r>
        <w:t xml:space="preserve"> </w:t>
      </w:r>
      <w:r>
        <w:t xml:space="preserve">needed: (1) widely available data from underlying investments or otherwise estimable</w:t>
      </w:r>
      <w:r>
        <w:t xml:space="preserve"> </w:t>
      </w:r>
      <w:r>
        <w:t xml:space="preserve">datapoints; (2) a politically agreed science-based target (e.g. minimum performance on</w:t>
      </w:r>
      <w:r>
        <w:t xml:space="preserve"> </w:t>
      </w:r>
      <w:r>
        <w:t xml:space="preserve">GHG emissions for climate-related objectives) so that the law can set that minimum</w:t>
      </w:r>
      <w:r>
        <w:t xml:space="preserve"> </w:t>
      </w:r>
      <w:r>
        <w:t xml:space="preserve">threshold unequivocally.</w:t>
      </w:r>
      <w:r>
        <w:br/>
      </w:r>
      <w:r>
        <w:t xml:space="preserve">Practical limitations to ensuring safeguards on certain sustainability topics: Second, the</w:t>
      </w:r>
      <w:r>
        <w:t xml:space="preserve"> </w:t>
      </w:r>
      <w:r>
        <w:t xml:space="preserve">data availability issues described in the problem definition impact the amount of</w:t>
      </w:r>
      <w:r>
        <w:t xml:space="preserve"> </w:t>
      </w:r>
      <w:r>
        <w:t xml:space="preserve">sustainability topics for which robust safeguards against greenwashing can be applied</w:t>
      </w:r>
      <w:r>
        <w:t xml:space="preserve"> </w:t>
      </w:r>
      <w:r>
        <w:t xml:space="preserve">(for now). Even though the current DNSH covers 12 sustainability topics274, data</w:t>
      </w:r>
      <w:r>
        <w:t xml:space="preserve"> </w:t>
      </w:r>
      <w:r>
        <w:t xml:space="preserve">availability issues have impacted the implementation of the current DNSH test and</w:t>
      </w:r>
      <w:r>
        <w:t xml:space="preserve"> </w:t>
      </w:r>
      <w:r>
        <w:t xml:space="preserve">prevented the implementation of safeguards on issues for which no data was available.</w:t>
      </w:r>
      <w:r>
        <w:t xml:space="preserve"> </w:t>
      </w:r>
      <w:r>
        <w:t xml:space="preserve">This has created the false perception that ESG products consider all possible ESG</w:t>
      </w:r>
      <w:r>
        <w:t xml:space="preserve"> </w:t>
      </w:r>
      <w:r>
        <w:t xml:space="preserve">negative impacts despite the lack of requirements linked to the consideration of such</w:t>
      </w:r>
      <w:r>
        <w:t xml:space="preserve"> </w:t>
      </w:r>
      <w:r>
        <w:t xml:space="preserve">impacts and the lack of available data to do so. Many stakeholders reported that they</w:t>
      </w:r>
    </w:p>
    <w:p>
      <w:pPr>
        <w:pStyle w:val="BodyText"/>
      </w:pPr>
      <w:r>
        <w:t xml:space="preserve">272 E.g. to illustrate the point, limiting ESG products to those for which granular publicly available data is</w:t>
      </w:r>
      <w:r>
        <w:t xml:space="preserve"> </w:t>
      </w:r>
      <w:r>
        <w:t xml:space="preserve">available under the (post-omnibus) CSRD, would represent a considerable change and challenge for FMPs</w:t>
      </w:r>
      <w:r>
        <w:t xml:space="preserve"> </w:t>
      </w:r>
      <w:r>
        <w:t xml:space="preserve">in terms of administrative requirements and continuity (vs. specific objective 1), give investors a very</w:t>
      </w:r>
      <w:r>
        <w:t xml:space="preserve"> </w:t>
      </w:r>
      <w:r>
        <w:t xml:space="preserve">narrow ESG product range for any meaningful comparison to serve their demonstrated interest in ESG</w:t>
      </w:r>
      <w:r>
        <w:t xml:space="preserve"> </w:t>
      </w:r>
      <w:r>
        <w:t xml:space="preserve">investing (vs. specific objective 2; Annexes 2 and 10), and would rather diminish the scope of the EU</w:t>
      </w:r>
      <w:r>
        <w:t xml:space="preserve"> </w:t>
      </w:r>
      <w:r>
        <w:t xml:space="preserve">single market for sustainable finance rather than boost its integrity (vs. general objective 1) and potential to</w:t>
      </w:r>
      <w:r>
        <w:t xml:space="preserve"> </w:t>
      </w:r>
      <w:r>
        <w:t xml:space="preserve">efficiently allocate capital for Europe’s competitiveness and sustainable prosperity (vs. general objective</w:t>
      </w:r>
      <w:r>
        <w:t xml:space="preserve"> </w:t>
      </w:r>
      <w:r>
        <w:t xml:space="preserve">2).</w:t>
      </w:r>
      <w:r>
        <w:br/>
      </w:r>
      <w:r>
        <w:t xml:space="preserve">273 The SFDR level 2 could also provide a non-exhaustive list of ESG indicators on certain sustainability</w:t>
      </w:r>
      <w:r>
        <w:t xml:space="preserve"> </w:t>
      </w:r>
      <w:r>
        <w:t xml:space="preserve">topics for FMPs’ use (see further under section 1.2 below)</w:t>
      </w:r>
      <w:r>
        <w:t xml:space="preserve"> </w:t>
      </w:r>
      <w:r>
        <w:t xml:space="preserve">274 These topics are set by Commission Delegated Regulation (EU) 2022/1288, through the principal</w:t>
      </w:r>
      <w:r>
        <w:t xml:space="preserve"> </w:t>
      </w:r>
      <w:r>
        <w:t xml:space="preserve">adverse impacts (PAIs) listed in table 1 of Annex I: GHG emissions, carbon footprint, GHG intensity,</w:t>
      </w:r>
      <w:r>
        <w:t xml:space="preserve"> </w:t>
      </w:r>
      <w:r>
        <w:t xml:space="preserve">exposure to the fossil fuel sector, non-renewable energy consumption and production, energy consumption</w:t>
      </w:r>
      <w:r>
        <w:t xml:space="preserve"> </w:t>
      </w:r>
      <w:r>
        <w:t xml:space="preserve">intensity, biodiversity, water, waste, human right due diligence processes, gender pay gap, gender diversity</w:t>
      </w:r>
      <w:r>
        <w:t xml:space="preserve"> </w:t>
      </w:r>
      <w:r>
        <w:t xml:space="preserve">and controversial weapons.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typically do not select PAIs that have less than 40% coverage (i.e. where they have</w:t>
      </w:r>
      <w:r>
        <w:t xml:space="preserve"> </w:t>
      </w:r>
      <w:r>
        <w:t xml:space="preserve">underlying data for less than 40% of the portfolio). The PAIs for which the coverage is</w:t>
      </w:r>
      <w:r>
        <w:t xml:space="preserve"> </w:t>
      </w:r>
      <w:r>
        <w:t xml:space="preserve">the lowest (as shown in box 12 of Annex 11) include biodiversity, water and waste.</w:t>
      </w:r>
      <w:r>
        <w:t xml:space="preserve"> </w:t>
      </w:r>
      <w:r>
        <w:t xml:space="preserve">Therefore, the suggested safeguards, in the form of exclusions, only focus on</w:t>
      </w:r>
      <w:r>
        <w:t xml:space="preserve"> </w:t>
      </w:r>
      <w:r>
        <w:t xml:space="preserve">sustainability topics for which reliable and comparable information can be derived (based</w:t>
      </w:r>
      <w:r>
        <w:t xml:space="preserve"> </w:t>
      </w:r>
      <w:r>
        <w:t xml:space="preserve">on findings in Annex 11). While this approach would indeed lead to a reduction of</w:t>
      </w:r>
      <w:r>
        <w:t xml:space="preserve"> </w:t>
      </w:r>
      <w:r>
        <w:t xml:space="preserve">mandatory sustainability aspects to be analysed, it is a necessary trade-off to improve the</w:t>
      </w:r>
      <w:r>
        <w:t xml:space="preserve"> </w:t>
      </w:r>
      <w:r>
        <w:t xml:space="preserve">efficiency and effectiveness of the criteria.</w:t>
      </w:r>
      <w:r>
        <w:br/>
      </w:r>
      <w:r>
        <w:t xml:space="preserve">Table 1: Key impacts of the proposed criteria (compared to current situation)</w:t>
      </w:r>
      <w:r>
        <w:br/>
      </w:r>
      <w:r>
        <w:t xml:space="preserve">Current situation</w:t>
      </w:r>
      <w:r>
        <w:t xml:space="preserve"> </w:t>
      </w:r>
      <w:r>
        <w:t xml:space="preserve">Identified legal limitations</w:t>
      </w:r>
      <w:r>
        <w:br/>
      </w:r>
      <w:r>
        <w:t xml:space="preserve">Practical impact</w:t>
      </w:r>
      <w:r>
        <w:br/>
      </w:r>
      <w:r>
        <w:t xml:space="preserve">No minimum expectation regarding the positive</w:t>
      </w:r>
      <w:r>
        <w:t xml:space="preserve"> </w:t>
      </w:r>
      <w:r>
        <w:t xml:space="preserve">contribution of the product.</w:t>
      </w:r>
      <w:r>
        <w:br/>
      </w:r>
      <w:r>
        <w:t xml:space="preserve">The levels of sustainable investment can vary</w:t>
      </w:r>
      <w:r>
        <w:t xml:space="preserve"> </w:t>
      </w:r>
      <w:r>
        <w:t xml:space="preserve">significantly.</w:t>
      </w:r>
      <w:r>
        <w:br/>
      </w:r>
      <w:r>
        <w:t xml:space="preserve">Example shown in Annex 11 (box 10): Products with</w:t>
      </w:r>
      <w:r>
        <w:t xml:space="preserve"> </w:t>
      </w:r>
      <w:r>
        <w:t xml:space="preserve">very similar sustainability objectives report a portion</w:t>
      </w:r>
      <w:r>
        <w:t xml:space="preserve"> </w:t>
      </w:r>
      <w:r>
        <w:t xml:space="preserve">of sustainable investment varying from 1% to 80%.</w:t>
      </w:r>
      <w:r>
        <w:t xml:space="preserve"> </w:t>
      </w:r>
      <w:r>
        <w:t xml:space="preserve">Their levels of contribution are therefore not</w:t>
      </w:r>
      <w:r>
        <w:t xml:space="preserve"> </w:t>
      </w:r>
      <w:r>
        <w:t xml:space="preserve">harmonised.</w:t>
      </w:r>
      <w:r>
        <w:br/>
      </w:r>
      <w:r>
        <w:t xml:space="preserve">No harmonised approach on how to ensure no</w:t>
      </w:r>
      <w:r>
        <w:t xml:space="preserve"> </w:t>
      </w:r>
      <w:r>
        <w:t xml:space="preserve">significant harm. In other words, FMPs are free</w:t>
      </w:r>
      <w:r>
        <w:t xml:space="preserve"> </w:t>
      </w:r>
      <w:r>
        <w:t xml:space="preserve">to choose the way they consider their adverse</w:t>
      </w:r>
      <w:r>
        <w:t xml:space="preserve"> </w:t>
      </w:r>
      <w:r>
        <w:t xml:space="preserve">impacts on the indicators provided in the SFDR</w:t>
      </w:r>
      <w:r>
        <w:t xml:space="preserve"> </w:t>
      </w:r>
      <w:r>
        <w:t xml:space="preserve">delegated acts.</w:t>
      </w:r>
      <w:r>
        <w:br/>
      </w:r>
      <w:r>
        <w:t xml:space="preserve">There is no guarantee that these products will not</w:t>
      </w:r>
      <w:r>
        <w:t xml:space="preserve"> </w:t>
      </w:r>
      <w:r>
        <w:t xml:space="preserve">include harmful investment, despite having applied</w:t>
      </w:r>
      <w:r>
        <w:t xml:space="preserve"> </w:t>
      </w:r>
      <w:r>
        <w:t xml:space="preserve">the ‘do no significant harm’ principle and appearing</w:t>
      </w:r>
      <w:r>
        <w:t xml:space="preserve"> </w:t>
      </w:r>
      <w:r>
        <w:t xml:space="preserve">to be compliant with EU rules.</w:t>
      </w:r>
    </w:p>
    <w:p>
      <w:pPr>
        <w:pStyle w:val="BodyText"/>
      </w:pPr>
      <w:r>
        <w:t xml:space="preserve">New situation under the proposed criteria</w:t>
      </w:r>
      <w:r>
        <w:t xml:space="preserve"> </w:t>
      </w:r>
      <w:r>
        <w:t xml:space="preserve">Proposed criteria</w:t>
      </w:r>
      <w:r>
        <w:br/>
      </w:r>
      <w:r>
        <w:t xml:space="preserve">Practical impact</w:t>
      </w:r>
      <w:r>
        <w:br/>
      </w:r>
      <w:r>
        <w:t xml:space="preserve">Mandatory minimum proportion of the product</w:t>
      </w:r>
      <w:r>
        <w:t xml:space="preserve"> </w:t>
      </w:r>
      <w:r>
        <w:t xml:space="preserve">to contribute to the sustainability objective</w:t>
      </w:r>
      <w:r>
        <w:br/>
      </w:r>
      <w:r>
        <w:t xml:space="preserve">The levels of sustainable investment would be</w:t>
      </w:r>
      <w:r>
        <w:t xml:space="preserve"> </w:t>
      </w:r>
      <w:r>
        <w:t xml:space="preserve">harmonised across all categorised products.</w:t>
      </w:r>
      <w:r>
        <w:br/>
      </w:r>
      <w:r>
        <w:t xml:space="preserve">The specific thresholds are indicated below in</w:t>
      </w:r>
      <w:r>
        <w:t xml:space="preserve"> </w:t>
      </w:r>
      <w:r>
        <w:t xml:space="preserve">section 1.2.</w:t>
      </w:r>
      <w:r>
        <w:br/>
      </w:r>
      <w:r>
        <w:t xml:space="preserve">Mandatory common exclusions of harmful</w:t>
      </w:r>
      <w:r>
        <w:t xml:space="preserve"> </w:t>
      </w:r>
      <w:r>
        <w:t xml:space="preserve">activities</w:t>
      </w:r>
      <w:r>
        <w:br/>
      </w:r>
      <w:r>
        <w:t xml:space="preserve">There would be a list of industries or activities that</w:t>
      </w:r>
      <w:r>
        <w:t xml:space="preserve"> </w:t>
      </w:r>
      <w:r>
        <w:t xml:space="preserve">products cannot invest in. This will guarantee no</w:t>
      </w:r>
      <w:r>
        <w:t xml:space="preserve"> </w:t>
      </w:r>
      <w:r>
        <w:t xml:space="preserve">harmful investments (on topics for which binary</w:t>
      </w:r>
      <w:r>
        <w:t xml:space="preserve"> </w:t>
      </w:r>
      <w:r>
        <w:t xml:space="preserve">exclusions are feasible and implementable).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1.1.CRITERIA</w:t>
      </w:r>
      <w:r>
        <w:t xml:space="preserve"> </w:t>
      </w:r>
      <w:r>
        <w:t xml:space="preserve">BUILT</w:t>
      </w:r>
      <w:r>
        <w:t xml:space="preserve"> </w:t>
      </w:r>
      <w:r>
        <w:t xml:space="preserve">ON</w:t>
      </w:r>
      <w:r>
        <w:t xml:space="preserve"> </w:t>
      </w:r>
      <w:r>
        <w:t xml:space="preserve">TWO</w:t>
      </w:r>
      <w:r>
        <w:t xml:space="preserve"> </w:t>
      </w:r>
      <w:r>
        <w:t xml:space="preserve">PILLARS:</w:t>
      </w:r>
      <w:r>
        <w:t xml:space="preserve"> </w:t>
      </w:r>
      <w:r>
        <w:t xml:space="preserve">POSITIVE</w:t>
      </w:r>
      <w:r>
        <w:t xml:space="preserve"> </w:t>
      </w:r>
      <w:r>
        <w:t xml:space="preserve">CONTRIBUTION/AMBITION AND EXCLUSIONS</w:t>
      </w:r>
    </w:p>
    <w:p>
      <w:pPr>
        <w:pStyle w:val="BodyText"/>
      </w:pPr>
      <w:r>
        <w:t xml:space="preserve">Pillar 1: positive contribution ensuring minimum levels of ESG ambition</w:t>
      </w:r>
      <w:r>
        <w:t xml:space="preserve"> </w:t>
      </w:r>
      <w:r>
        <w:t xml:space="preserve">This criterion relates to the current SFDR concepts of ‘contribution’ and ‘environmental</w:t>
      </w:r>
      <w:r>
        <w:t xml:space="preserve"> </w:t>
      </w:r>
      <w:r>
        <w:t xml:space="preserve">and social characteristics’ - present in Articles 9 and 8 respectively - and aims at</w:t>
      </w:r>
      <w:r>
        <w:t xml:space="preserve"> </w:t>
      </w:r>
      <w:r>
        <w:t xml:space="preserve">addressing the lack of legal clarity and greenwashing risks related to these concepts.</w:t>
      </w:r>
      <w:r>
        <w:br/>
      </w:r>
      <w:r>
        <w:t xml:space="preserve">FMPs would be free to choose their own sustainability objective(s) and how they plan to</w:t>
      </w:r>
      <w:r>
        <w:t xml:space="preserve"> </w:t>
      </w:r>
      <w:r>
        <w:t xml:space="preserve">contribute to it/them, subject to proper transparency. However, a minimum threshold of</w:t>
      </w:r>
      <w:r>
        <w:t xml:space="preserve"> </w:t>
      </w:r>
      <w:r>
        <w:t xml:space="preserve">the product’s portfolio to be covered by the ESG strategy would be required:</w:t>
      </w:r>
      <w:r>
        <w:br/>
      </w:r>
      <w:r>
        <w:t xml:space="preserve">FMPs must clearly disclose their binding sustainability-related objective(s)</w:t>
      </w:r>
      <w:r>
        <w:t xml:space="preserve"> </w:t>
      </w:r>
      <w:r>
        <w:t xml:space="preserve">and the strategy to achieve it/them</w:t>
      </w:r>
      <w:r>
        <w:t xml:space="preserve"> </w:t>
      </w:r>
      <w:r>
        <w:t xml:space="preserve">The binding objective(s) should consist of having a minimum level of</w:t>
      </w:r>
      <w:r>
        <w:t xml:space="preserve"> </w:t>
      </w:r>
      <w:r>
        <w:t xml:space="preserve">investment above a certain threshold (i.e. portion of portfolio covered by the</w:t>
      </w:r>
      <w:r>
        <w:t xml:space="preserve"> </w:t>
      </w:r>
      <w:r>
        <w:t xml:space="preserve">objective strategy)</w:t>
      </w:r>
      <w:r>
        <w:t xml:space="preserve"> </w:t>
      </w:r>
      <w:r>
        <w:t xml:space="preserve">The assessment of performance against this objective should be based on</w:t>
      </w:r>
      <w:r>
        <w:t xml:space="preserve"> </w:t>
      </w:r>
      <w:r>
        <w:t xml:space="preserve">credible and where possible science-based indicators. Such measurement could</w:t>
      </w:r>
      <w:r>
        <w:t xml:space="preserve"> </w:t>
      </w:r>
      <w:r>
        <w:t xml:space="preserve">leverage on existing PAI indicators (subject to improvements), and other ESG</w:t>
      </w:r>
      <w:r>
        <w:t xml:space="preserve"> </w:t>
      </w:r>
      <w:r>
        <w:t xml:space="preserve">performance indicators which could be developed at level 2, and should be clearly</w:t>
      </w:r>
      <w:r>
        <w:t xml:space="preserve"> </w:t>
      </w:r>
      <w:r>
        <w:t xml:space="preserve">disclosed in contractual documentation. .</w:t>
      </w:r>
    </w:p>
    <w:p>
      <w:pPr>
        <w:pStyle w:val="BodyText"/>
      </w:pPr>
      <w:r>
        <w:t xml:space="preserve">Pillar 2: exclusions ensuring minimum safeguards on certain ESG issues</w:t>
      </w:r>
    </w:p>
    <w:p>
      <w:pPr>
        <w:pStyle w:val="BodyText"/>
      </w:pPr>
      <w:r>
        <w:t xml:space="preserve">This criterion relates to the current DNSH and good governance principles of the SFDR.</w:t>
      </w:r>
      <w:r>
        <w:t xml:space="preserve"> </w:t>
      </w:r>
      <w:r>
        <w:t xml:space="preserve">It aims at moving away from the high-level concept of “consideration of principal</w:t>
      </w:r>
      <w:r>
        <w:t xml:space="preserve"> </w:t>
      </w:r>
      <w:r>
        <w:t xml:space="preserve">adverse impact” and setting clear binary exclusion criteria.</w:t>
      </w:r>
      <w:r>
        <w:t xml:space="preserve"> </w:t>
      </w:r>
      <w:r>
        <w:t xml:space="preserve">The negative criterion would take the form of a clear list of industries or activities that</w:t>
      </w:r>
      <w:r>
        <w:t xml:space="preserve"> </w:t>
      </w:r>
      <w:r>
        <w:t xml:space="preserve">products cannot invest in. Such list would build on what is already applied under the</w:t>
      </w:r>
      <w:r>
        <w:t xml:space="preserve"> </w:t>
      </w:r>
      <w:r>
        <w:t xml:space="preserve">ESMA guidelines on funds’ names and would reflect a wide consensus of harmful</w:t>
      </w:r>
      <w:r>
        <w:t xml:space="preserve"> </w:t>
      </w:r>
      <w:r>
        <w:t xml:space="preserve">industries and industries with high carbon footprints.275</w:t>
      </w:r>
      <w:r>
        <w:t xml:space="preserve"> </w:t>
      </w:r>
      <w:r>
        <w:t xml:space="preserve">Such exclusions would make rules more consistent across the EU, harmonise the NCAs’</w:t>
      </w:r>
      <w:r>
        <w:t xml:space="preserve"> </w:t>
      </w:r>
      <w:r>
        <w:t xml:space="preserve">supervisory expectations about what categorised products cannot invest in, and therefore</w:t>
      </w:r>
      <w:r>
        <w:t xml:space="preserve"> </w:t>
      </w:r>
      <w:r>
        <w:t xml:space="preserve">enhance the comparability between such products, in line with investors’ broadly</w:t>
      </w:r>
      <w:r>
        <w:t xml:space="preserve"> </w:t>
      </w:r>
      <w:r>
        <w:t xml:space="preserve">signalled preferences regarding which sectors should be excluded (Annex 10).</w:t>
      </w:r>
    </w:p>
    <w:p>
      <w:pPr>
        <w:pStyle w:val="BodyText"/>
      </w:pPr>
      <w:r>
        <w:t xml:space="preserve">275 The ESMA guidelines require funds to exclude certain companies referred to in the EU climate</w:t>
      </w:r>
      <w:r>
        <w:t xml:space="preserve"> </w:t>
      </w:r>
      <w:r>
        <w:t xml:space="preserve">benchmark exclusions.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Also, by focussing on fewer sustainability topics than the current DNSH, this approach</w:t>
      </w:r>
      <w:r>
        <w:t xml:space="preserve"> </w:t>
      </w:r>
      <w:r>
        <w:t xml:space="preserve">would reduce the amount of data that FMPs need to collect276. The new minimum</w:t>
      </w:r>
      <w:r>
        <w:t xml:space="preserve"> </w:t>
      </w:r>
      <w:r>
        <w:t xml:space="preserve">safeguards would focus on elements where data is available, making it more realistic to</w:t>
      </w:r>
      <w:r>
        <w:t xml:space="preserve"> </w:t>
      </w:r>
      <w:r>
        <w:t xml:space="preserve">apply the principle in practice. Inevitably, the exclusions can and will not cover all the</w:t>
      </w:r>
      <w:r>
        <w:t xml:space="preserve"> </w:t>
      </w:r>
      <w:r>
        <w:t xml:space="preserve">ESG aspects previously covered by the PAIs (e.g. biodiversity and water). FMPs could</w:t>
      </w:r>
      <w:r>
        <w:t xml:space="preserve"> </w:t>
      </w:r>
      <w:r>
        <w:t xml:space="preserve">continue to identify and consider material negative outcomes on these topics on a best-</w:t>
      </w:r>
      <w:r>
        <w:t xml:space="preserve"> </w:t>
      </w:r>
      <w:r>
        <w:t xml:space="preserve">effort basis.</w:t>
      </w:r>
      <w:r>
        <w:br/>
      </w:r>
      <w:r>
        <w:t xml:space="preserve">1.2.SUGGESTED DETAILED CRITERIA FOR EACH CATEGORY</w:t>
      </w:r>
      <w:r>
        <w:br/>
      </w:r>
      <w:r>
        <w:t xml:space="preserve">The below largely builds on the criteria already introduced by the ESMA Guidelines on</w:t>
      </w:r>
      <w:r>
        <w:t xml:space="preserve"> </w:t>
      </w:r>
      <w:r>
        <w:t xml:space="preserve">funds’ names and reflects the current state of the market (see section 1.4 below). The</w:t>
      </w:r>
      <w:r>
        <w:t xml:space="preserve"> </w:t>
      </w:r>
      <w:r>
        <w:t xml:space="preserve">suggested criteria also take account of the findings on data availability in the evaluation</w:t>
      </w:r>
      <w:r>
        <w:t xml:space="preserve"> </w:t>
      </w:r>
      <w:r>
        <w:t xml:space="preserve">annex (more specifically the findings on box 12) and rely, as much as possible, on ESG</w:t>
      </w:r>
      <w:r>
        <w:t xml:space="preserve"> </w:t>
      </w:r>
      <w:r>
        <w:t xml:space="preserve">concepts for which reliable and comparable sustainability information is available.</w:t>
      </w:r>
    </w:p>
    <w:p>
      <w:pPr>
        <w:pStyle w:val="BodyText"/>
      </w:pPr>
      <w:r>
        <w:t xml:space="preserve">Sustainable category</w:t>
      </w:r>
    </w:p>
    <w:p>
      <w:pPr>
        <w:pStyle w:val="BodyText"/>
      </w:pPr>
      <w:r>
        <w:t xml:space="preserve">Positive contribution:</w:t>
      </w:r>
      <w:r>
        <w:br/>
      </w:r>
      <w:r>
        <w:t xml:space="preserve"> FMPs must clearly identify and disclose the sustainability objective(s)</w:t>
      </w:r>
      <w:r>
        <w:t xml:space="preserve"> </w:t>
      </w:r>
      <w:r>
        <w:t xml:space="preserve">(which could be climate, environmental or social related).</w:t>
      </w:r>
      <w:r>
        <w:br/>
      </w:r>
      <w:r>
        <w:t xml:space="preserve"> FMPs must implement a binding investment strategy linked to this objective</w:t>
      </w:r>
      <w:r>
        <w:t xml:space="preserve"> </w:t>
      </w:r>
      <w:r>
        <w:t xml:space="preserve">which needs to cover 70/80% of the product’s portfolio277. FMP remain free to</w:t>
      </w:r>
      <w:r>
        <w:t xml:space="preserve"> </w:t>
      </w:r>
      <w:r>
        <w:t xml:space="preserve">set their own strategy. The strategy would need to be substantiated and monitored</w:t>
      </w:r>
      <w:r>
        <w:t xml:space="preserve"> </w:t>
      </w:r>
      <w:r>
        <w:t xml:space="preserve">by ESG key performance indicators (KPIs) defined by FMPs. The SFDR could</w:t>
      </w:r>
      <w:r>
        <w:t xml:space="preserve"> </w:t>
      </w:r>
      <w:r>
        <w:t xml:space="preserve">provide a non-exhaustive list of ESG indicators (to be defined at level 2) on</w:t>
      </w:r>
      <w:r>
        <w:t xml:space="preserve"> </w:t>
      </w:r>
      <w:r>
        <w:t xml:space="preserve">certain sustainability topics (e.g. GHG emissions, renewable energy, water,</w:t>
      </w:r>
      <w:r>
        <w:t xml:space="preserve"> </w:t>
      </w:r>
      <w:r>
        <w:t xml:space="preserve">waste) which FMPs can use depending on their sustainability objective(s)278 to</w:t>
      </w:r>
      <w:r>
        <w:t xml:space="preserve"> </w:t>
      </w:r>
      <w:r>
        <w:t xml:space="preserve">monitor and disclose their ESG performance linked to their strategy. FMPs will</w:t>
      </w:r>
      <w:r>
        <w:t xml:space="preserve"> </w:t>
      </w:r>
      <w:r>
        <w:t xml:space="preserve">remain free to use other indicators if these do not fit their sustainable objective(s)</w:t>
      </w:r>
      <w:r>
        <w:t xml:space="preserve"> </w:t>
      </w:r>
      <w:r>
        <w:t xml:space="preserve">(e.g. qualitative objective linked to social issues) or their strategy (e.g. impact</w:t>
      </w:r>
      <w:r>
        <w:t xml:space="preserve"> </w:t>
      </w:r>
      <w:r>
        <w:t xml:space="preserve">strategies needing tailored KPIs). A minimum alignment with the EU Taxonomy</w:t>
      </w:r>
      <w:r>
        <w:t xml:space="preserve"> </w:t>
      </w:r>
      <w:r>
        <w:t xml:space="preserve">could for example be one of the ways FMPs can demonstrate their contribution to</w:t>
      </w:r>
      <w:r>
        <w:t xml:space="preserve"> </w:t>
      </w:r>
      <w:r>
        <w:t xml:space="preserve">a climate or environmental objective (safe harbour).</w:t>
      </w:r>
      <w:r>
        <w:br/>
      </w:r>
      <w:r>
        <w:t xml:space="preserve">The assessment of the performance against the chosen sustainability indicator(s) must be</w:t>
      </w:r>
      <w:r>
        <w:t xml:space="preserve"> </w:t>
      </w:r>
      <w:r>
        <w:t xml:space="preserve">clearly disclosed in contractual documentation.</w:t>
      </w:r>
    </w:p>
    <w:p>
      <w:pPr>
        <w:pStyle w:val="BodyText"/>
      </w:pPr>
      <w:r>
        <w:t xml:space="preserve">276 These topics are set by Commission Delegated Regulation (EU) 2022/1288, through the principal</w:t>
      </w:r>
      <w:r>
        <w:t xml:space="preserve"> </w:t>
      </w:r>
      <w:r>
        <w:t xml:space="preserve">adverse impacts (PAIs) listed in table 1 of Annex I: GHG emissions, carbon footprint, GHG intensity,</w:t>
      </w:r>
      <w:r>
        <w:t xml:space="preserve"> </w:t>
      </w:r>
      <w:r>
        <w:t xml:space="preserve">exposure to the fossil fuel sector, non-renewable energy consumption and production, energy consumption</w:t>
      </w:r>
      <w:r>
        <w:t xml:space="preserve"> </w:t>
      </w:r>
      <w:r>
        <w:t xml:space="preserve">intensity, biodiversity, water, waste, human right due diligence processes, gender pay gap, gender diversity</w:t>
      </w:r>
      <w:r>
        <w:t xml:space="preserve"> </w:t>
      </w:r>
      <w:r>
        <w:t xml:space="preserve">and controversial weapons.</w:t>
      </w:r>
      <w:r>
        <w:t xml:space="preserve"> </w:t>
      </w:r>
      <w:r>
        <w:t xml:space="preserve">277 Further analysis to be done ahead of the adoption of the level 2 measures. ESMA guidelines refer to</w:t>
      </w:r>
      <w:r>
        <w:t xml:space="preserve"> </w:t>
      </w:r>
      <w:r>
        <w:t xml:space="preserve">80%, the FCA labelling rules refer to 70%.</w:t>
      </w:r>
      <w:r>
        <w:t xml:space="preserve"> </w:t>
      </w:r>
      <w:r>
        <w:t xml:space="preserve">278 This list would build on the current principal adverse indicators of the annex 1 of the SFDR Delegated</w:t>
      </w:r>
      <w:r>
        <w:t xml:space="preserve"> </w:t>
      </w:r>
      <w:r>
        <w:t xml:space="preserve">Act and would take into account EU corporate reporting rules, market practices and available data.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Exclusions:</w:t>
      </w:r>
      <w:r>
        <w:br/>
      </w:r>
      <w:r>
        <w:t xml:space="preserve">The product must apply exclusions based on those of the EU Paris-Aligned</w:t>
      </w:r>
      <w:r>
        <w:t xml:space="preserve"> </w:t>
      </w:r>
      <w:r>
        <w:t xml:space="preserve">Benchmark (PAB)</w:t>
      </w:r>
      <w:r>
        <w:t xml:space="preserve"> </w:t>
      </w:r>
      <w:r>
        <w:t xml:space="preserve"> Activities related to controversial weapons</w:t>
      </w:r>
      <w:r>
        <w:br/>
      </w:r>
      <w:r>
        <w:t xml:space="preserve"> Activities related to the cultivation and production of tobacco</w:t>
      </w:r>
      <w:r>
        <w:t xml:space="preserve"> </w:t>
      </w:r>
      <w:r>
        <w:t xml:space="preserve"> Companies in violation of the UN Global Compact (UN GC) principles or the</w:t>
      </w:r>
      <w:r>
        <w:t xml:space="preserve"> </w:t>
      </w:r>
      <w:r>
        <w:t xml:space="preserve">OECD Guidelines for Multinational Enterprises (also covering the existing good</w:t>
      </w:r>
      <w:r>
        <w:t xml:space="preserve"> </w:t>
      </w:r>
      <w:r>
        <w:t xml:space="preserve">governance leg)</w:t>
      </w:r>
      <w:r>
        <w:t xml:space="preserve"> </w:t>
      </w:r>
      <w:r>
        <w:t xml:space="preserve"> Companies that derive 1% or more of their revenues from exploration,</w:t>
      </w:r>
      <w:r>
        <w:t xml:space="preserve"> </w:t>
      </w:r>
      <w:r>
        <w:t xml:space="preserve">extraction, distribution or refining of hard coal and lignite</w:t>
      </w:r>
      <w:r>
        <w:t xml:space="preserve"> </w:t>
      </w:r>
      <w:r>
        <w:t xml:space="preserve"> Companies that derive 10 % or more of their revenues from the exploration,</w:t>
      </w:r>
      <w:r>
        <w:t xml:space="preserve"> </w:t>
      </w:r>
      <w:r>
        <w:t xml:space="preserve">extraction, distribution or refining of oil fuels</w:t>
      </w:r>
      <w:r>
        <w:t xml:space="preserve"> </w:t>
      </w:r>
      <w:r>
        <w:t xml:space="preserve"> Companies that derive 50 % or more of their revenues from the exploration,</w:t>
      </w:r>
      <w:r>
        <w:t xml:space="preserve"> </w:t>
      </w:r>
      <w:r>
        <w:t xml:space="preserve">extraction, manufacturing or distribution of gaseous fuels</w:t>
      </w:r>
      <w:r>
        <w:t xml:space="preserve"> </w:t>
      </w:r>
      <w:r>
        <w:t xml:space="preserve"> Companies that derive 50 % or more of their revenues from electricity</w:t>
      </w:r>
      <w:r>
        <w:t xml:space="preserve"> </w:t>
      </w:r>
      <w:r>
        <w:t xml:space="preserve">generation with a GHG intensity of more than 100 g CO2 e/kWh</w:t>
      </w:r>
      <w:r>
        <w:t xml:space="preserve"> </w:t>
      </w:r>
      <w:r>
        <w:t xml:space="preserve">In addition, the exclusions would specify that investees cannot be engaged in activities</w:t>
      </w:r>
      <w:r>
        <w:t xml:space="preserve"> </w:t>
      </w:r>
      <w:r>
        <w:t xml:space="preserve">involving fossil fuel expansion and should, where relevant, have a coal phase out plan.</w:t>
      </w:r>
      <w:r>
        <w:br/>
      </w:r>
      <w:r>
        <w:t xml:space="preserve">FMPs could continue to identify and consider material negative outcomes on other</w:t>
      </w:r>
      <w:r>
        <w:t xml:space="preserve"> </w:t>
      </w:r>
      <w:r>
        <w:t xml:space="preserve">sustainability factors on a best-effort basis.</w:t>
      </w:r>
    </w:p>
    <w:p>
      <w:pPr>
        <w:pStyle w:val="BodyText"/>
      </w:pPr>
      <w:r>
        <w:t xml:space="preserve">Transition category</w:t>
      </w:r>
    </w:p>
    <w:p>
      <w:pPr>
        <w:pStyle w:val="BodyText"/>
      </w:pPr>
      <w:r>
        <w:t xml:space="preserve">Positive contribution:</w:t>
      </w:r>
      <w:r>
        <w:br/>
      </w:r>
      <w:r>
        <w:t xml:space="preserve"> FMPs must clearly identify and disclose the transition objective(s) (which</w:t>
      </w:r>
      <w:r>
        <w:t xml:space="preserve"> </w:t>
      </w:r>
      <w:r>
        <w:t xml:space="preserve">could be climate, environmental or social related).</w:t>
      </w:r>
      <w:r>
        <w:br/>
      </w:r>
      <w:r>
        <w:t xml:space="preserve"> FMP must implement a binding transition strategy linked to this objective</w:t>
      </w:r>
      <w:r>
        <w:t xml:space="preserve"> </w:t>
      </w:r>
      <w:r>
        <w:t xml:space="preserve">which needs to cover 70/80% of the product’s portfolio. FMPs remain free to</w:t>
      </w:r>
      <w:r>
        <w:t xml:space="preserve"> </w:t>
      </w:r>
      <w:r>
        <w:t xml:space="preserve">set their own strategy. For example, 70/80% of the portfolio could be invested in</w:t>
      </w:r>
      <w:r>
        <w:t xml:space="preserve"> </w:t>
      </w:r>
      <w:r>
        <w:t xml:space="preserve">transitioning assets or could be covered by a transition strategy at the level of the</w:t>
      </w:r>
      <w:r>
        <w:t xml:space="preserve"> </w:t>
      </w:r>
      <w:r>
        <w:t xml:space="preserve">portfolio (e.g. GHG emission reduction of the portfolio per year). The strategy</w:t>
      </w:r>
      <w:r>
        <w:t xml:space="preserve"> </w:t>
      </w:r>
      <w:r>
        <w:t xml:space="preserve">would need to be monitored by ESG key performance indicators. The SFDR</w:t>
      </w:r>
      <w:r>
        <w:t xml:space="preserve"> </w:t>
      </w:r>
      <w:r>
        <w:t xml:space="preserve">will provide a non-exhaustive list of indicators which FMPs can use to</w:t>
      </w:r>
      <w:r>
        <w:t xml:space="preserve"> </w:t>
      </w:r>
      <w:r>
        <w:t xml:space="preserve">demonstrate how the strategy pursues this objective. These would build on</w:t>
      </w:r>
      <w:r>
        <w:t xml:space="preserve"> </w:t>
      </w:r>
      <w:r>
        <w:t xml:space="preserve">existing market practices and the existing sustainable finance framework. For</w:t>
      </w:r>
      <w:r>
        <w:t xml:space="preserve"> </w:t>
      </w:r>
      <w:r>
        <w:t xml:space="preserve">Social</w:t>
      </w:r>
      <w:r>
        <w:t xml:space="preserve"> </w:t>
      </w:r>
      <w:r>
        <w:t xml:space="preserve">safe-</w:t>
      </w:r>
      <w:r>
        <w:t xml:space="preserve"> </w:t>
      </w:r>
      <w:r>
        <w:t xml:space="preserve">guards</w:t>
      </w:r>
      <w:r>
        <w:t xml:space="preserve"> </w:t>
      </w:r>
      <w:r>
        <w:t xml:space="preserve">Climate</w:t>
      </w:r>
      <w:r>
        <w:t xml:space="preserve"> </w:t>
      </w:r>
      <w:r>
        <w:t xml:space="preserve">safe-</w:t>
      </w:r>
      <w:r>
        <w:t xml:space="preserve"> </w:t>
      </w:r>
      <w:r>
        <w:t xml:space="preserve">guards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example, possible metrics to meet the transition objective could be: (a) a clear and</w:t>
      </w:r>
      <w:r>
        <w:t xml:space="preserve"> </w:t>
      </w:r>
      <w:r>
        <w:t xml:space="preserve">measurable transition strategy at the level of the portfolio (e.g. a GHG emission</w:t>
      </w:r>
      <w:r>
        <w:t xml:space="preserve"> </w:t>
      </w:r>
      <w:r>
        <w:t xml:space="preserve">reduction of x% per annum for products with climate transition objective); (b)</w:t>
      </w:r>
      <w:r>
        <w:t xml:space="preserve"> </w:t>
      </w:r>
      <w:r>
        <w:t xml:space="preserve">investments in undertakings or economic activities with a credible transition plan,</w:t>
      </w:r>
      <w:r>
        <w:t xml:space="preserve"> </w:t>
      </w:r>
      <w:r>
        <w:t xml:space="preserve">including science-based targets aligned with any sector-specific pathways and</w:t>
      </w:r>
      <w:r>
        <w:t xml:space="preserve"> </w:t>
      </w:r>
      <w:r>
        <w:t xml:space="preserve">supported by other conditions (decarbonisation actions, financing etc.); (c)</w:t>
      </w:r>
      <w:r>
        <w:t xml:space="preserve"> </w:t>
      </w:r>
      <w:r>
        <w:t xml:space="preserve">investments in Taxonomy-eligible activities with CapEx plan or partially aligned</w:t>
      </w:r>
      <w:r>
        <w:t xml:space="preserve"> </w:t>
      </w:r>
      <w:r>
        <w:t xml:space="preserve">with the EU Taxonomy; (d) investment in portfolios tracking EU climate</w:t>
      </w:r>
      <w:r>
        <w:t xml:space="preserve"> </w:t>
      </w:r>
      <w:r>
        <w:t xml:space="preserve">transition benchmarks (PAB/CTB); (e) investments in companies or economic</w:t>
      </w:r>
      <w:r>
        <w:t xml:space="preserve"> </w:t>
      </w:r>
      <w:r>
        <w:t xml:space="preserve">activities without transition plan, provided that the FMP has put in place a</w:t>
      </w:r>
      <w:r>
        <w:t xml:space="preserve"> </w:t>
      </w:r>
      <w:r>
        <w:t xml:space="preserve">credible, active and continued engagement strategy and that the investee</w:t>
      </w:r>
      <w:r>
        <w:t xml:space="preserve"> </w:t>
      </w:r>
      <w:r>
        <w:t xml:space="preserve">companies demonstrate pre-defined credible measurable positive change in</w:t>
      </w:r>
      <w:r>
        <w:t xml:space="preserve"> </w:t>
      </w:r>
      <w:r>
        <w:t xml:space="preserve">relation to the specified KPI.</w:t>
      </w:r>
      <w:r>
        <w:br/>
      </w:r>
      <w:r>
        <w:t xml:space="preserve">Exclusions:</w:t>
      </w:r>
      <w:r>
        <w:br/>
      </w:r>
      <w:r>
        <w:t xml:space="preserve">The product must apply exclusions based on those of the EU Climate Transition</w:t>
      </w:r>
      <w:r>
        <w:t xml:space="preserve"> </w:t>
      </w:r>
      <w:r>
        <w:t xml:space="preserve">Benchmarks (CTB):</w:t>
      </w:r>
      <w:r>
        <w:t xml:space="preserve"> </w:t>
      </w:r>
      <w:r>
        <w:t xml:space="preserve"> Activities related to controversial weapons</w:t>
      </w:r>
      <w:r>
        <w:br/>
      </w:r>
      <w:r>
        <w:t xml:space="preserve"> Activities related to the cultivation and production of tobacco</w:t>
      </w:r>
      <w:r>
        <w:t xml:space="preserve"> </w:t>
      </w:r>
      <w:r>
        <w:t xml:space="preserve"> Companies in violation of the UN Global Compact (UN GC) principles or the</w:t>
      </w:r>
      <w:r>
        <w:t xml:space="preserve"> </w:t>
      </w:r>
      <w:r>
        <w:t xml:space="preserve">OECD Guidelines for Multinational Enterprises (also covering the existing good</w:t>
      </w:r>
      <w:r>
        <w:t xml:space="preserve"> </w:t>
      </w:r>
      <w:r>
        <w:t xml:space="preserve">governance leg)</w:t>
      </w:r>
      <w:r>
        <w:t xml:space="preserve"> </w:t>
      </w:r>
      <w:r>
        <w:t xml:space="preserve">In addition, the exclusions would specify that investees cannot be engaged in activities</w:t>
      </w:r>
      <w:r>
        <w:t xml:space="preserve"> </w:t>
      </w:r>
      <w:r>
        <w:t xml:space="preserve">involving fossil fuel expansion and should, where relevant, have a coal phase out plan.</w:t>
      </w:r>
      <w:r>
        <w:t xml:space="preserve"> </w:t>
      </w:r>
      <w:r>
        <w:t xml:space="preserve">FMPs could continue to identify and consider material negative outcomes on other</w:t>
      </w:r>
      <w:r>
        <w:t xml:space="preserve"> </w:t>
      </w:r>
      <w:r>
        <w:t xml:space="preserve">sustainability factors on a best-effort basis.</w:t>
      </w:r>
    </w:p>
    <w:p>
      <w:pPr>
        <w:pStyle w:val="BodyText"/>
      </w:pPr>
      <w:r>
        <w:t xml:space="preserve">‘Other ESG’ category</w:t>
      </w:r>
      <w:r>
        <w:t xml:space="preserve"> </w:t>
      </w:r>
      <w:r>
        <w:t xml:space="preserve">Positive contribution:</w:t>
      </w:r>
      <w:r>
        <w:br/>
      </w:r>
      <w:r>
        <w:t xml:space="preserve"> FMP must implement a binding investment strategy (e.g. ESG process-based</w:t>
      </w:r>
      <w:r>
        <w:t xml:space="preserve"> </w:t>
      </w:r>
      <w:r>
        <w:t xml:space="preserve">strategy) linked to the ESG claim made which needs to cover 70/80% of the</w:t>
      </w:r>
      <w:r>
        <w:t xml:space="preserve"> </w:t>
      </w:r>
      <w:r>
        <w:t xml:space="preserve">product’s portfolio. If needed, to support FMPs, examples of robust sustainable</w:t>
      </w:r>
      <w:r>
        <w:t xml:space="preserve"> </w:t>
      </w:r>
      <w:r>
        <w:t xml:space="preserve">strategies could be provided via guidance. These examples could be the use of</w:t>
      </w:r>
      <w:r>
        <w:t xml:space="preserve"> </w:t>
      </w:r>
      <w:r>
        <w:t xml:space="preserve">ESG ratings, a best-in-class strategy on a given ESG indicator, or outperforming</w:t>
      </w:r>
      <w:r>
        <w:t xml:space="preserve"> </w:t>
      </w:r>
      <w:r>
        <w:t xml:space="preserve">the investment universe on a specific ESG indicator.</w:t>
      </w:r>
    </w:p>
    <w:p>
      <w:pPr>
        <w:pStyle w:val="BodyText"/>
      </w:pPr>
      <w:r>
        <w:t xml:space="preserve">Social</w:t>
      </w:r>
      <w:r>
        <w:t xml:space="preserve"> </w:t>
      </w:r>
      <w:r>
        <w:t xml:space="preserve">safe-</w:t>
      </w:r>
      <w:r>
        <w:t xml:space="preserve"> </w:t>
      </w:r>
      <w:r>
        <w:t xml:space="preserve">guards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Exclusions:</w:t>
      </w:r>
      <w:r>
        <w:br/>
      </w:r>
      <w:r>
        <w:t xml:space="preserve">The product must apply exclusions based on those of the EU Climate Transition</w:t>
      </w:r>
      <w:r>
        <w:t xml:space="preserve"> </w:t>
      </w:r>
      <w:r>
        <w:t xml:space="preserve">Benchmarks (CTB):</w:t>
      </w:r>
      <w:r>
        <w:t xml:space="preserve"> </w:t>
      </w:r>
      <w:r>
        <w:t xml:space="preserve"> Activities related to controversial weapons</w:t>
      </w:r>
      <w:r>
        <w:br/>
      </w:r>
      <w:r>
        <w:t xml:space="preserve"> Activities related to the cultivation and production of tobacco</w:t>
      </w:r>
      <w:r>
        <w:t xml:space="preserve"> </w:t>
      </w:r>
      <w:r>
        <w:t xml:space="preserve"> Companies in violation of the UN Global Compact (UN GC) principles or the</w:t>
      </w:r>
      <w:r>
        <w:t xml:space="preserve"> </w:t>
      </w:r>
      <w:r>
        <w:t xml:space="preserve">OECD Guidelines for Multinational Enterprises (also covering the existing good</w:t>
      </w:r>
      <w:r>
        <w:t xml:space="preserve"> </w:t>
      </w:r>
      <w:r>
        <w:t xml:space="preserve">governance principle)</w:t>
      </w:r>
      <w:r>
        <w:t xml:space="preserve"> </w:t>
      </w:r>
      <w:r>
        <w:t xml:space="preserve">FMPs could continue to identify and consider material negative outcomes on other</w:t>
      </w:r>
      <w:r>
        <w:t xml:space="preserve"> </w:t>
      </w:r>
      <w:r>
        <w:t xml:space="preserve">sustainability factors on a best-effort basis.</w:t>
      </w:r>
      <w:r>
        <w:br/>
      </w:r>
      <w:r>
        <w:t xml:space="preserve">1.3.EXAMPLES OF HOW THESE CRITERIA COULD BE IMPLEMENTED</w:t>
      </w:r>
      <w:r>
        <w:br/>
      </w:r>
      <w:r>
        <w:t xml:space="preserve">Examples of what products categorised under the sustainable category could look</w:t>
      </w:r>
      <w:r>
        <w:t xml:space="preserve"> </w:t>
      </w:r>
      <w:r>
        <w:t xml:space="preserve">like based on the suggested criteria (for illustrative purposes):</w:t>
      </w:r>
      <w:r>
        <w:br/>
      </w:r>
      <w:r>
        <w:t xml:space="preserve">Example of a financial product with a climate-related objective:</w:t>
      </w:r>
      <w:r>
        <w:br/>
      </w:r>
      <w:r>
        <w:t xml:space="preserve"> Positive contribution on climate by investing in sustainable companies, projects</w:t>
      </w:r>
      <w:r>
        <w:t xml:space="preserve"> </w:t>
      </w:r>
      <w:r>
        <w:t xml:space="preserve">or other assets supporting the development of solutions to tackle climate change</w:t>
      </w:r>
      <w:r>
        <w:t xml:space="preserve"> </w:t>
      </w:r>
      <w:r>
        <w:t xml:space="preserve">issues. The sustainability strategy to ensure the attainment of the objective covers</w:t>
      </w:r>
      <w:r>
        <w:t xml:space="preserve"> </w:t>
      </w:r>
      <w:r>
        <w:t xml:space="preserve">70/80% of the products’ assets.</w:t>
      </w:r>
      <w:r>
        <w:br/>
      </w:r>
      <w:r>
        <w:t xml:space="preserve">o Data needed for the assessment of the positive contribution can be found</w:t>
      </w:r>
      <w:r>
        <w:t xml:space="preserve"> </w:t>
      </w:r>
      <w:r>
        <w:t xml:space="preserve">in the general description of the company (corporate purpose, objective of</w:t>
      </w:r>
      <w:r>
        <w:t xml:space="preserve"> </w:t>
      </w:r>
      <w:r>
        <w:t xml:space="preserve">the company, sector of activity – which are information to be included in</w:t>
      </w:r>
      <w:r>
        <w:t xml:space="preserve"> </w:t>
      </w:r>
      <w:r>
        <w:t xml:space="preserve">the legal statutes). This data is usually collected as part of FMPs’ due</w:t>
      </w:r>
      <w:r>
        <w:t xml:space="preserve"> </w:t>
      </w:r>
      <w:r>
        <w:t xml:space="preserve">diligence assessment.</w:t>
      </w:r>
      <w:r>
        <w:br/>
      </w:r>
      <w:r>
        <w:t xml:space="preserve">o Data needed for the articulation of the KPI chosen and defined by the</w:t>
      </w:r>
      <w:r>
        <w:t xml:space="preserve"> </w:t>
      </w:r>
      <w:r>
        <w:t xml:space="preserve">FMP to substantiate and monitor the strategy (e.g. X% of revenues by</w:t>
      </w:r>
      <w:r>
        <w:t xml:space="preserve"> </w:t>
      </w:r>
      <w:r>
        <w:t xml:space="preserve">portfolio companies to align with strategy and demonstrate progress</w:t>
      </w:r>
      <w:r>
        <w:t xml:space="preserve"> </w:t>
      </w:r>
      <w:r>
        <w:t xml:space="preserve">toward achieving the objective of the product in terms of performance)</w:t>
      </w:r>
      <w:r>
        <w:t xml:space="preserve"> </w:t>
      </w:r>
      <w:r>
        <w:t xml:space="preserve">can be found either: (1) in companies’ disclosures under the CSRD (ESRS</w:t>
      </w:r>
      <w:r>
        <w:t xml:space="preserve"> </w:t>
      </w:r>
      <w:r>
        <w:t xml:space="preserve">E1 – climate change) including disclosures for their Taxonomy-aligned</w:t>
      </w:r>
      <w:r>
        <w:t xml:space="preserve"> </w:t>
      </w:r>
      <w:r>
        <w:t xml:space="preserve">activities (e.g. renewable energies, activities ‘enabling’ climate change</w:t>
      </w:r>
      <w:r>
        <w:t xml:space="preserve"> </w:t>
      </w:r>
      <w:r>
        <w:t xml:space="preserve">mitigation etc)279; (2) in companies’ disclosures under the ISSB (IFRS S2</w:t>
      </w:r>
      <w:r>
        <w:t xml:space="preserve"> </w:t>
      </w:r>
      <w:r>
        <w:t xml:space="preserve">– climate-related disclosures) or other international standards280; (3) can</w:t>
      </w:r>
      <w:r>
        <w:t xml:space="preserve"> </w:t>
      </w:r>
      <w:r>
        <w:t xml:space="preserve">be derived from an external data provider (see section 3 part 1 below); or</w:t>
      </w:r>
      <w:r>
        <w:t xml:space="preserve"> </w:t>
      </w:r>
      <w:r>
        <w:t xml:space="preserve">(4) estimated by the FMP using proprietary or open-source tools,</w:t>
      </w:r>
      <w:r>
        <w:t xml:space="preserve"> </w:t>
      </w:r>
      <w:r>
        <w:t xml:space="preserve">appropriately explained (see section 3 part 2 below).</w:t>
      </w:r>
    </w:p>
    <w:p>
      <w:pPr>
        <w:pStyle w:val="BodyText"/>
      </w:pPr>
      <w:r>
        <w:t xml:space="preserve">279 CSRD public reporting in place since 2025; Taxonomy public reporting since 2022</w:t>
      </w:r>
      <w:r>
        <w:br/>
      </w:r>
      <w:r>
        <w:t xml:space="preserve">280 E.g. the Global Reporting Initiative - GRI - Home</w:t>
      </w:r>
      <w:r>
        <w:t xml:space="preserve"> </w:t>
      </w:r>
      <w:r>
        <w:t xml:space="preserve">Social</w:t>
      </w:r>
      <w:r>
        <w:t xml:space="preserve"> </w:t>
      </w:r>
      <w:r>
        <w:t xml:space="preserve">safe-</w:t>
      </w:r>
      <w:r>
        <w:t xml:space="preserve"> </w:t>
      </w:r>
      <w:r>
        <w:t xml:space="preserve">guards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 The products commit not to invest in companies engaged in activities involving</w:t>
      </w:r>
      <w:r>
        <w:t xml:space="preserve"> </w:t>
      </w:r>
      <w:r>
        <w:t xml:space="preserve">fossil fuel expansion as well as any economic activities/companies in violations</w:t>
      </w:r>
      <w:r>
        <w:t xml:space="preserve"> </w:t>
      </w:r>
      <w:r>
        <w:t xml:space="preserve">of the PAB exclusions (described above).</w:t>
      </w:r>
      <w:r>
        <w:br/>
      </w:r>
      <w:r>
        <w:t xml:space="preserve">o Data needed for the assessment of the exclusions can be found (1) in</w:t>
      </w:r>
      <w:r>
        <w:t xml:space="preserve"> </w:t>
      </w:r>
      <w:r>
        <w:t xml:space="preserve">companies’ disclosures under the CSRD (ESRS mirror the PAB</w:t>
      </w:r>
      <w:r>
        <w:t xml:space="preserve"> </w:t>
      </w:r>
      <w:r>
        <w:t xml:space="preserve">exclusions under ESRS E1-1/E1-6/E1-9; ESRS S1-1/S1-14/S1-16/S1-</w:t>
      </w:r>
      <w:r>
        <w:t xml:space="preserve"> </w:t>
      </w:r>
      <w:r>
        <w:t xml:space="preserve">17/S2-1/S3-1/S4-1. ESRS 2 – SBM 1; ESRS G1-4; (2) some aspects are</w:t>
      </w:r>
      <w:r>
        <w:t xml:space="preserve"> </w:t>
      </w:r>
      <w:r>
        <w:t xml:space="preserve">covered by ISSB disclosures or other international standards; (3) can be</w:t>
      </w:r>
      <w:r>
        <w:t xml:space="preserve"> </w:t>
      </w:r>
      <w:r>
        <w:t xml:space="preserve">derived from an external data provider; or (4) estimated by the FMP. Data</w:t>
      </w:r>
      <w:r>
        <w:t xml:space="preserve"> </w:t>
      </w:r>
      <w:r>
        <w:t xml:space="preserve">for the exclusion of companies engaged in expansion of fossil fuel</w:t>
      </w:r>
      <w:r>
        <w:t xml:space="preserve"> </w:t>
      </w:r>
      <w:r>
        <w:t xml:space="preserve">activities can be found in widely used public databases281.</w:t>
      </w:r>
      <w:r>
        <w:br/>
      </w:r>
      <w:r>
        <w:t xml:space="preserve">Examples of what a product categorised under the transition category could look</w:t>
      </w:r>
      <w:r>
        <w:t xml:space="preserve"> </w:t>
      </w:r>
      <w:r>
        <w:t xml:space="preserve">like based on the suggested criteria:</w:t>
      </w:r>
      <w:r>
        <w:br/>
      </w:r>
      <w:r>
        <w:t xml:space="preserve">Example of a financial product with a climate transition objective:</w:t>
      </w:r>
      <w:r>
        <w:br/>
      </w:r>
      <w:r>
        <w:t xml:space="preserve"> Positive contribution on climate transition by investing in companies developing</w:t>
      </w:r>
      <w:r>
        <w:t xml:space="preserve"> </w:t>
      </w:r>
      <w:r>
        <w:t xml:space="preserve">decarbonisation solutions and/or companies on a credible path to net zero</w:t>
      </w:r>
      <w:r>
        <w:t xml:space="preserve"> </w:t>
      </w:r>
      <w:r>
        <w:t xml:space="preserve">demonstrated by science-based targets, transition plans or Taxonomy partial</w:t>
      </w:r>
      <w:r>
        <w:t xml:space="preserve"> </w:t>
      </w:r>
      <w:r>
        <w:t xml:space="preserve">alignment and capex disclosures.</w:t>
      </w:r>
      <w:r>
        <w:br/>
      </w:r>
      <w:r>
        <w:t xml:space="preserve">o Data needed for the assessment of the positive contribution and</w:t>
      </w:r>
      <w:r>
        <w:t xml:space="preserve"> </w:t>
      </w:r>
      <w:r>
        <w:t xml:space="preserve">articulation of the KPI chosen and defined by the FMP to substantiate and</w:t>
      </w:r>
      <w:r>
        <w:t xml:space="preserve"> </w:t>
      </w:r>
      <w:r>
        <w:t xml:space="preserve">monitor the strategy (e.g. X% of investments or revenues by portfolio</w:t>
      </w:r>
      <w:r>
        <w:t xml:space="preserve"> </w:t>
      </w:r>
      <w:r>
        <w:t xml:space="preserve">companies to align with strategy and demonstrate progress toward</w:t>
      </w:r>
      <w:r>
        <w:t xml:space="preserve"> </w:t>
      </w:r>
      <w:r>
        <w:t xml:space="preserve">achieving the objective of the product in terms of performance) can be</w:t>
      </w:r>
      <w:r>
        <w:t xml:space="preserve"> </w:t>
      </w:r>
      <w:r>
        <w:t xml:space="preserve">found e.g. in (1) the general description of the company (sector of</w:t>
      </w:r>
      <w:r>
        <w:t xml:space="preserve"> </w:t>
      </w:r>
      <w:r>
        <w:t xml:space="preserve">activity) and in specific disclosures such as CSRD ESRS E1-1 (transition</w:t>
      </w:r>
      <w:r>
        <w:t xml:space="preserve"> </w:t>
      </w:r>
      <w:r>
        <w:t xml:space="preserve">plan for climate change mitigation)282; (2) their disclosures of Taxonomy-</w:t>
      </w:r>
      <w:r>
        <w:t xml:space="preserve"> </w:t>
      </w:r>
      <w:r>
        <w:t xml:space="preserve">aligned Capex plans (as per section 1.1.2 of Annex 1 of Commission</w:t>
      </w:r>
      <w:r>
        <w:t xml:space="preserve"> </w:t>
      </w:r>
      <w:r>
        <w:t xml:space="preserve">Delegated Regulation (EU) 2021/2178);(3) those disclosed pursuant to</w:t>
      </w:r>
      <w:r>
        <w:t xml:space="preserve"> </w:t>
      </w:r>
      <w:r>
        <w:t xml:space="preserve">science-based targets283; (4) disclosed pursuant to module B3 of the</w:t>
      </w:r>
      <w:r>
        <w:t xml:space="preserve"> </w:t>
      </w:r>
      <w:r>
        <w:t xml:space="preserve">voluntary standard for SMEs (VSME) developed by EFRAG (Annex 1 of</w:t>
      </w:r>
      <w:r>
        <w:t xml:space="preserve"> </w:t>
      </w:r>
      <w:r>
        <w:t xml:space="preserve">the Commission Recommendation on a voluntary sustainability reporting</w:t>
      </w:r>
      <w:r>
        <w:t xml:space="preserve"> </w:t>
      </w:r>
      <w:r>
        <w:t xml:space="preserve">standard for small and medium-sized undertakings of 20 July 2025)284; (5)</w:t>
      </w:r>
    </w:p>
    <w:p>
      <w:pPr>
        <w:pStyle w:val="BodyText"/>
      </w:pPr>
      <w:r>
        <w:t xml:space="preserve">281 E.g. those published by a network of NGOs, namely GCEL 2024 | Global Coal Exit List; Global Oil</w:t>
      </w:r>
      <w:r>
        <w:t xml:space="preserve"> </w:t>
      </w:r>
      <w:r>
        <w:t xml:space="preserve">and Gas Exit List</w:t>
      </w:r>
      <w:r>
        <w:br/>
      </w:r>
      <w:r>
        <w:t xml:space="preserve">282 EFRAG’s 2025 State of Play study highlighted the 55% of ESRS preparers have already reported on</w:t>
      </w:r>
      <w:r>
        <w:t xml:space="preserve"> </w:t>
      </w:r>
      <w:r>
        <w:t xml:space="preserve">transition plans. Furthermore, the Platform on Sustainable Finance’s report on monitoring of capital flows</w:t>
      </w:r>
      <w:r>
        <w:t xml:space="preserve"> </w:t>
      </w:r>
      <w:r>
        <w:t xml:space="preserve">demonstrates that it is possible to implement criteria for credible transition plans. They analysed 1063</w:t>
      </w:r>
      <w:r>
        <w:t xml:space="preserve"> </w:t>
      </w:r>
      <w:r>
        <w:t xml:space="preserve">companies operating within the European Economic Area, with 764 of them reporting under the NFRD and</w:t>
      </w:r>
      <w:r>
        <w:t xml:space="preserve"> </w:t>
      </w:r>
      <w:r>
        <w:t xml:space="preserve">covering approximately 40% of NFRD universe. 12% of companies in scope fulfilled the minimum</w:t>
      </w:r>
      <w:r>
        <w:t xml:space="preserve"> </w:t>
      </w:r>
      <w:r>
        <w:t xml:space="preserve">characteristics with elements of credible transition plans as defined by the PSF in its report on transition</w:t>
      </w:r>
      <w:r>
        <w:t xml:space="preserve"> </w:t>
      </w:r>
      <w:r>
        <w:t xml:space="preserve">plans.</w:t>
      </w:r>
      <w:r>
        <w:t xml:space="preserve"> </w:t>
      </w:r>
      <w:r>
        <w:t xml:space="preserve">283 As of August 2024, more than 6,000 companies have defined science-based pathways validated by the</w:t>
      </w:r>
      <w:r>
        <w:t xml:space="preserve"> </w:t>
      </w:r>
      <w:r>
        <w:t xml:space="preserve">Science based target initiative (SBTi). The Recommendation on voluntary sustainability reporting for small</w:t>
      </w:r>
      <w:r>
        <w:t xml:space="preserve"> </w:t>
      </w:r>
      <w:r>
        <w:t xml:space="preserve">and medium-sized companies (SMEs) adopted by the Commission in July 2025 also provides a basis for</w:t>
      </w:r>
      <w:r>
        <w:t xml:space="preserve"> </w:t>
      </w:r>
      <w:r>
        <w:t xml:space="preserve">assessing transition (see C3 – GHG reduction targets and climate transition).</w:t>
      </w:r>
      <w:r>
        <w:t xml:space="preserve"> </w:t>
      </w:r>
      <w:r>
        <w:t xml:space="preserve">284 250730-recommendation-vsme-annex-1_en.pdf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derived from an external data provider; or (6) estimated by the FMP using</w:t>
      </w:r>
      <w:r>
        <w:t xml:space="preserve"> </w:t>
      </w:r>
      <w:r>
        <w:t xml:space="preserve">proprietary or open-source tools, appropriately explained.</w:t>
      </w:r>
      <w:r>
        <w:br/>
      </w:r>
      <w:r>
        <w:t xml:space="preserve"> Other possibility: positive contribution to climate transition by setting a</w:t>
      </w:r>
      <w:r>
        <w:t xml:space="preserve"> </w:t>
      </w:r>
      <w:r>
        <w:t xml:space="preserve">decarbonisation trajectory of at least 7% per annum.</w:t>
      </w:r>
      <w:r>
        <w:br/>
      </w:r>
      <w:r>
        <w:t xml:space="preserve">o Investment into portfolios tracking EU climate benchmarks, informed by</w:t>
      </w:r>
      <w:r>
        <w:t xml:space="preserve"> </w:t>
      </w:r>
      <w:r>
        <w:t xml:space="preserve">underlying data from constituent entities regarding their compliance with</w:t>
      </w:r>
      <w:r>
        <w:t xml:space="preserve"> </w:t>
      </w:r>
      <w:r>
        <w:t xml:space="preserve">the trajectory.</w:t>
      </w:r>
      <w:r>
        <w:t xml:space="preserve"> </w:t>
      </w:r>
      <w:r>
        <w:t xml:space="preserve"> The products commit not to invest in economic activities/companies in violations</w:t>
      </w:r>
      <w:r>
        <w:t xml:space="preserve"> </w:t>
      </w:r>
      <w:r>
        <w:t xml:space="preserve">of the CTB exclusions (described above).</w:t>
      </w:r>
      <w:r>
        <w:br/>
      </w:r>
      <w:r>
        <w:t xml:space="preserve">o Data from the same sources as for the example under the ‘sustainable’</w:t>
      </w:r>
      <w:r>
        <w:t xml:space="preserve"> </w:t>
      </w:r>
      <w:r>
        <w:t xml:space="preserve">category above.</w:t>
      </w:r>
      <w:r>
        <w:t xml:space="preserve"> </w:t>
      </w:r>
      <w:r>
        <w:t xml:space="preserve">Examples of what a product categorised under the ‘other ESG’ category could look</w:t>
      </w:r>
      <w:r>
        <w:t xml:space="preserve"> </w:t>
      </w:r>
      <w:r>
        <w:t xml:space="preserve">like based on the suggested criteria:</w:t>
      </w:r>
      <w:r>
        <w:br/>
      </w:r>
      <w:r>
        <w:t xml:space="preserve"> A financial product that provides global exposure based on a global benchmark</w:t>
      </w:r>
      <w:r>
        <w:t xml:space="preserve"> </w:t>
      </w:r>
      <w:r>
        <w:t xml:space="preserve">but with an ESG tilt towards companies with stronger ESG credentials: lowering</w:t>
      </w:r>
      <w:r>
        <w:t xml:space="preserve"> </w:t>
      </w:r>
      <w:r>
        <w:t xml:space="preserve">carbon-equivalent exposure compared to the benchmark.</w:t>
      </w:r>
      <w:r>
        <w:br/>
      </w:r>
      <w:r>
        <w:t xml:space="preserve">o Data needed for the assessment of the positive contribution and</w:t>
      </w:r>
      <w:r>
        <w:t xml:space="preserve"> </w:t>
      </w:r>
      <w:r>
        <w:t xml:space="preserve">articulation of the KPI chosen and defined by the FMP to substantiate and</w:t>
      </w:r>
      <w:r>
        <w:t xml:space="preserve"> </w:t>
      </w:r>
      <w:r>
        <w:t xml:space="preserve">monitor the strategy (e.g. X% of investments or revenues by portfolio</w:t>
      </w:r>
      <w:r>
        <w:t xml:space="preserve"> </w:t>
      </w:r>
      <w:r>
        <w:t xml:space="preserve">companies to align with strategy and demonstrate progress toward</w:t>
      </w:r>
      <w:r>
        <w:t xml:space="preserve"> </w:t>
      </w:r>
      <w:r>
        <w:t xml:space="preserve">achieving the objective of the product in terms of performance) e.g. (1)</w:t>
      </w:r>
      <w:r>
        <w:t xml:space="preserve"> </w:t>
      </w:r>
      <w:r>
        <w:t xml:space="preserve">based on companies’ ESG ratings or other scoring methods285; (2) for</w:t>
      </w:r>
      <w:r>
        <w:t xml:space="preserve"> </w:t>
      </w:r>
      <w:r>
        <w:t xml:space="preserve">gradual higher weighting of better improving assets from e.g. CSRD286 or</w:t>
      </w:r>
      <w:r>
        <w:t xml:space="preserve"> </w:t>
      </w:r>
      <w:r>
        <w:t xml:space="preserve">international reporting frameworks; (3) data vendors; or (5) estimated by</w:t>
      </w:r>
      <w:r>
        <w:t xml:space="preserve"> </w:t>
      </w:r>
      <w:r>
        <w:t xml:space="preserve">the FMP using proprietary or open-source tools, appropriately explained.</w:t>
      </w:r>
      <w:r>
        <w:br/>
      </w:r>
      <w:r>
        <w:t xml:space="preserve"> The products commit not to invest in economic activities/companies in violations</w:t>
      </w:r>
      <w:r>
        <w:t xml:space="preserve"> </w:t>
      </w:r>
      <w:r>
        <w:t xml:space="preserve">of the CTB exclusions (described above).</w:t>
      </w:r>
      <w:r>
        <w:br/>
      </w:r>
      <w:r>
        <w:t xml:space="preserve">o Data from the same sources as for the example under the ‘sustainable’</w:t>
      </w:r>
      <w:r>
        <w:t xml:space="preserve"> </w:t>
      </w:r>
      <w:r>
        <w:t xml:space="preserve">category above.</w:t>
      </w:r>
      <w:r>
        <w:t xml:space="preserve"> </w:t>
      </w:r>
      <w:r>
        <w:t xml:space="preserve">This category would also include products with a sustainability objective but not</w:t>
      </w:r>
      <w:r>
        <w:t xml:space="preserve"> </w:t>
      </w:r>
      <w:r>
        <w:t xml:space="preserve">reaching the 70/80% percentage set under the other two categories.</w:t>
      </w:r>
    </w:p>
    <w:p>
      <w:pPr>
        <w:pStyle w:val="BodyText"/>
      </w:pPr>
      <w:r>
        <w:t xml:space="preserve">285 E.g. CDP: Turning Transparency to Action</w:t>
      </w:r>
      <w:r>
        <w:t xml:space="preserve"> </w:t>
      </w:r>
      <w:r>
        <w:t xml:space="preserve">286 E.g. ESRS 2 SBM-1 Strategy, business model and value chain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1.4.EVIDENCE OF THE USABILITY AND FEASIBILITY OF THE</w:t>
      </w:r>
      <w:r>
        <w:t xml:space="preserve"> </w:t>
      </w:r>
      <w:r>
        <w:t xml:space="preserve">PROPOSED CRITERIA</w:t>
      </w:r>
    </w:p>
    <w:p>
      <w:pPr>
        <w:pStyle w:val="BodyText"/>
      </w:pPr>
      <w:r>
        <w:t xml:space="preserve">FEASIBILITY OF THE CONTRIBUTION CRITERIA</w:t>
      </w:r>
      <w:r>
        <w:br/>
      </w:r>
      <w:r>
        <w:t xml:space="preserve">FMPs are free to set their own objective(s) and indicators to measure their contribution to</w:t>
      </w:r>
      <w:r>
        <w:t xml:space="preserve"> </w:t>
      </w:r>
      <w:r>
        <w:t xml:space="preserve">those objectives. Based on their target market in terms of prospective investors, they can</w:t>
      </w:r>
      <w:r>
        <w:t xml:space="preserve"> </w:t>
      </w:r>
      <w:r>
        <w:t xml:space="preserve">focus on sustainability issues on which companies disclose information or that they can</w:t>
      </w:r>
      <w:r>
        <w:t xml:space="preserve"> </w:t>
      </w:r>
      <w:r>
        <w:t xml:space="preserve">derive or estimate as per above. In addition to the illustrative examples in section 1.3</w:t>
      </w:r>
      <w:r>
        <w:t xml:space="preserve"> </w:t>
      </w:r>
      <w:r>
        <w:t xml:space="preserve">above, for example, an FMP that choses to contribute to biodiversity would invest largely</w:t>
      </w:r>
      <w:r>
        <w:t xml:space="preserve"> </w:t>
      </w:r>
      <w:r>
        <w:t xml:space="preserve">in companies that disclose information regarding their biodiversity performance or in</w:t>
      </w:r>
      <w:r>
        <w:t xml:space="preserve"> </w:t>
      </w:r>
      <w:r>
        <w:t xml:space="preserve">companies that develop solutions to biodiversity issues (this information can be found in</w:t>
      </w:r>
      <w:r>
        <w:t xml:space="preserve"> </w:t>
      </w:r>
      <w:r>
        <w:t xml:space="preserve">the general information and other disclosures of the company).</w:t>
      </w:r>
      <w:r>
        <w:br/>
      </w:r>
      <w:r>
        <w:t xml:space="preserve">FEASIBILITY OF THE EXCLUSION CRITERIA</w:t>
      </w:r>
      <w:r>
        <w:t xml:space="preserve"> </w:t>
      </w:r>
      <w:r>
        <w:t xml:space="preserve">First, market analysis shows that the implementation of sectoral exclusions are the</w:t>
      </w:r>
      <w:r>
        <w:t xml:space="preserve"> </w:t>
      </w:r>
      <w:r>
        <w:t xml:space="preserve">main elements of comparability today in funds with ESG characteristics or</w:t>
      </w:r>
      <w:r>
        <w:t xml:space="preserve"> </w:t>
      </w:r>
      <w:r>
        <w:t xml:space="preserve">objectives.</w:t>
      </w:r>
      <w:r>
        <w:br/>
      </w:r>
      <w:r>
        <w:t xml:space="preserve">According to the Morningstar study, a key common trend among these funds is their low</w:t>
      </w:r>
      <w:r>
        <w:t xml:space="preserve"> </w:t>
      </w:r>
      <w:r>
        <w:t xml:space="preserve">exposure to some controversial activities such as controversial weapons, tobacco,</w:t>
      </w:r>
      <w:r>
        <w:t xml:space="preserve"> </w:t>
      </w:r>
      <w:r>
        <w:t xml:space="preserve">companies with severe controversies and with thermal coal activities (see box 6).</w:t>
      </w:r>
      <w:r>
        <w:t xml:space="preserve"> </w:t>
      </w:r>
      <w:r>
        <w:t xml:space="preserve">Similarly, the Frank Bold study287 shows a high degree of harmonisation in core</w:t>
      </w:r>
      <w:r>
        <w:t xml:space="preserve"> </w:t>
      </w:r>
      <w:r>
        <w:t xml:space="preserve">exclusions (and their related disclosures) linked to controversial weapons, thermal</w:t>
      </w:r>
      <w:r>
        <w:t xml:space="preserve"> </w:t>
      </w:r>
      <w:r>
        <w:t xml:space="preserve">coal, tobacco and violations of UNGP and OECD Guidelines for Multinational</w:t>
      </w:r>
      <w:r>
        <w:t xml:space="preserve"> </w:t>
      </w:r>
      <w:r>
        <w:t xml:space="preserve">Enterprises. Studies show that these also tend to broadly align with investors’</w:t>
      </w:r>
      <w:r>
        <w:t xml:space="preserve"> </w:t>
      </w:r>
      <w:r>
        <w:t xml:space="preserve">declared preferences (Annex 10).</w:t>
      </w:r>
    </w:p>
    <w:p>
      <w:pPr>
        <w:pStyle w:val="BodyText"/>
      </w:pPr>
      <w:r>
        <w:t xml:space="preserve">287 Frank Bold, SFDR review : analysis of current practices and future directions for investors, December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288 SFDR_Article_8_and_Article_9_Funds_Q4_2022.pdf</w:t>
      </w:r>
      <w:r>
        <w:t xml:space="preserve"> </w:t>
      </w:r>
      <w:r>
        <w:t xml:space="preserve">Box 6: popular exclusions implemented by funds disclosing under Art.6, 8 and 9288</w:t>
      </w:r>
      <w:r>
        <w:br/>
      </w:r>
      <w:r>
        <w:t xml:space="preserve">Graph 1: Article 6, 8, and 9 Funds’ Involvement in Controversial Weapons</w:t>
      </w:r>
    </w:p>
    <w:p>
      <w:pPr>
        <w:pStyle w:val="BodyText"/>
      </w:pPr>
      <w:r>
        <w:t xml:space="preserve">Graph 2: Article 6, 8, and 9 funds’ involvement in tobacco</w:t>
      </w:r>
    </w:p>
    <w:p>
      <w:pPr>
        <w:pStyle w:val="BodyText"/>
      </w:pPr>
      <w:r>
        <w:t xml:space="preserve">Graph 3: Article 6, 8, and 9 funds’ involvement in severe controversies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Second, market analysis also shows that the PAB and CTB exclusions are generally</w:t>
      </w:r>
      <w:r>
        <w:t xml:space="preserve"> </w:t>
      </w:r>
      <w:r>
        <w:t xml:space="preserve">reachable by a majority of funds that are likely to aim for a category.</w:t>
      </w:r>
      <w:r>
        <w:br/>
      </w:r>
      <w:r>
        <w:t xml:space="preserve">The PSF report gives a first analysis of the potential impact of applying the PAB/CTB</w:t>
      </w:r>
      <w:r>
        <w:t xml:space="preserve"> </w:t>
      </w:r>
      <w:r>
        <w:t xml:space="preserve">exclusions to funds that would likely aim at being categorised. It is to be noted that this</w:t>
      </w:r>
      <w:r>
        <w:t xml:space="preserve"> </w:t>
      </w:r>
      <w:r>
        <w:t xml:space="preserve">study does not cover all products in scope of the SFDR (e.g. insurance and pension</w:t>
      </w:r>
      <w:r>
        <w:t xml:space="preserve"> </w:t>
      </w:r>
      <w:r>
        <w:t xml:space="preserve">products are not assessed) and that there is some variability when comparing how many</w:t>
      </w:r>
      <w:r>
        <w:t xml:space="preserve"> </w:t>
      </w:r>
      <w:r>
        <w:t xml:space="preserve">Graph 4: Article 6, 8, 9 funds involvement in thermal coal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companies are to be excluded, mainly due to the lack of underlying data from funds and</w:t>
      </w:r>
      <w:r>
        <w:t xml:space="preserve"> </w:t>
      </w:r>
      <w:r>
        <w:t xml:space="preserve">from varying implementation methods among FMPs and data providers.</w:t>
      </w:r>
      <w:r>
        <w:br/>
      </w:r>
      <w:r>
        <w:t xml:space="preserve">The PSF initial findings show that out of 4,300 open-end funds and ETFs with ESG or</w:t>
      </w:r>
      <w:r>
        <w:t xml:space="preserve"> </w:t>
      </w:r>
      <w:r>
        <w:t xml:space="preserve">sustainability-related terms in their names, 1,600 funds might potentially breach the</w:t>
      </w:r>
      <w:r>
        <w:t xml:space="preserve"> </w:t>
      </w:r>
      <w:r>
        <w:t xml:space="preserve">PAB/CTB exclusions. Graph 1 of Box 7 shows the potential breaches of these 1,600</w:t>
      </w:r>
      <w:r>
        <w:t xml:space="preserve"> </w:t>
      </w:r>
      <w:r>
        <w:t xml:space="preserve">funds. It shows that the majority of these funds hold fewer than 5 stocks potentially in</w:t>
      </w:r>
      <w:r>
        <w:t xml:space="preserve"> </w:t>
      </w:r>
      <w:r>
        <w:t xml:space="preserve">breach of the exclusion criteria.</w:t>
      </w:r>
      <w:r>
        <w:br/>
      </w:r>
      <w:r>
        <w:t xml:space="preserve">A similar study from Bloomberg gives an initial view of the average AUM that might be</w:t>
      </w:r>
      <w:r>
        <w:t xml:space="preserve"> </w:t>
      </w:r>
      <w:r>
        <w:t xml:space="preserve">in breach of the PAB/CTB exclusions and indicates the main driver of exclusion. Graph 2</w:t>
      </w:r>
      <w:r>
        <w:t xml:space="preserve"> </w:t>
      </w:r>
      <w:r>
        <w:t xml:space="preserve">and 3 of Box 7 is based on a sample of 9,147 Article-8 and 814 Article-9 funds. It shows</w:t>
      </w:r>
      <w:r>
        <w:t xml:space="preserve"> </w:t>
      </w:r>
      <w:r>
        <w:t xml:space="preserve">that the average AUM that would potentially need to be excluded are around 4% for the</w:t>
      </w:r>
      <w:r>
        <w:t xml:space="preserve"> </w:t>
      </w:r>
      <w:r>
        <w:t xml:space="preserve">PAB exclusions and between 6 and 7% for the CTB exclusions. For the latter, the main</w:t>
      </w:r>
      <w:r>
        <w:t xml:space="preserve"> </w:t>
      </w:r>
      <w:r>
        <w:t xml:space="preserve">driver of exclusions is the UNGC violations (which would be improved in any case to</w:t>
      </w:r>
      <w:r>
        <w:t xml:space="preserve"> </w:t>
      </w:r>
      <w:r>
        <w:t xml:space="preserve">address the implementation challenges identified in the problem definition and evaluation</w:t>
      </w:r>
      <w:r>
        <w:t xml:space="preserve"> </w:t>
      </w:r>
      <w:r>
        <w:t xml:space="preserve">annex).</w:t>
      </w:r>
      <w:r>
        <w:br/>
      </w:r>
      <w:r>
        <w:t xml:space="preserve">Finally, the PSF report analyses the specific impact of the PAB environmental exclusions</w:t>
      </w:r>
      <w:r>
        <w:t xml:space="preserve"> </w:t>
      </w:r>
      <w:r>
        <w:t xml:space="preserve">on companies in certain industries. Box 8 shows that the energy sector would potentially</w:t>
      </w:r>
      <w:r>
        <w:t xml:space="preserve"> </w:t>
      </w:r>
      <w:r>
        <w:t xml:space="preserve">be most affected by stock divestment if PAB exclusions are applied. This is mainly due</w:t>
      </w:r>
      <w:r>
        <w:t xml:space="preserve"> </w:t>
      </w:r>
      <w:r>
        <w:t xml:space="preserve">to the exclusion criteria linked to energy generation above a certain GHG intensity289 (to</w:t>
      </w:r>
      <w:r>
        <w:t xml:space="preserve"> </w:t>
      </w:r>
      <w:r>
        <w:t xml:space="preserve">be noted that the industry would still be able to issue use of proceeds instruments that</w:t>
      </w:r>
      <w:r>
        <w:t xml:space="preserve"> </w:t>
      </w:r>
      <w:r>
        <w:t xml:space="preserve">could be invested in by categorised products – see proposal below).</w:t>
      </w:r>
    </w:p>
    <w:p>
      <w:pPr>
        <w:pStyle w:val="BodyText"/>
      </w:pPr>
      <w:r>
        <w:t xml:space="preserve">289 Commission Delegated Regulation (EU) 2020/1818, Article 12(1) g. “companies that derive 50% or</w:t>
      </w:r>
      <w:r>
        <w:t xml:space="preserve"> </w:t>
      </w:r>
      <w:r>
        <w:t xml:space="preserve">more of their revenues from electricity generation with a GHG intensity of more than 100 g CO2 e/kWh”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Box 7: potential impact of the PAB/CTB exclusions on existing EU funds</w:t>
      </w:r>
      <w:r>
        <w:br/>
      </w:r>
      <w:r>
        <w:t xml:space="preserve">Graph 1: distribution of number of companies to be excluded from around 1,600 funds</w:t>
      </w:r>
      <w:r>
        <w:t xml:space="preserve"> </w:t>
      </w:r>
      <w:r>
        <w:t xml:space="preserve">when applying PAB/CTB exclusion criteria</w:t>
      </w:r>
    </w:p>
    <w:p>
      <w:pPr>
        <w:pStyle w:val="BodyText"/>
      </w:pPr>
      <w:r>
        <w:t xml:space="preserve">Graph 2: Impact of PAB exclusions on funds using sustainability, environmental and</w:t>
      </w:r>
      <w:r>
        <w:t xml:space="preserve"> </w:t>
      </w:r>
      <w:r>
        <w:t xml:space="preserve">impact related terms</w:t>
      </w:r>
      <w:r>
        <w:br/>
      </w:r>
      <w:r>
        <w:t xml:space="preserve">Source: Bloomberg as of November 2024</w:t>
      </w:r>
      <w:r>
        <w:t xml:space="preserve"> </w:t>
      </w:r>
      <w:r>
        <w:t xml:space="preserve">Graph 3: Impact of CTB exclusions on funds using social, transition or governance</w:t>
      </w:r>
      <w:r>
        <w:t xml:space="preserve"> </w:t>
      </w:r>
      <w:r>
        <w:t xml:space="preserve">related terms</w:t>
      </w:r>
      <w:r>
        <w:br/>
      </w:r>
      <w:r>
        <w:t xml:space="preserve">Source: Bloomberg as of November 2024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Box 8: impact of PAB exclusions on different industry</w:t>
      </w:r>
    </w:p>
    <w:p>
      <w:pPr>
        <w:pStyle w:val="BodyText"/>
      </w:pPr>
      <w:r>
        <w:t xml:space="preserve">Source: Morningstar Sustainalytics and Morningstar Direct, data as of May 2024, for</w:t>
      </w:r>
      <w:r>
        <w:t xml:space="preserve"> </w:t>
      </w:r>
      <w:r>
        <w:t xml:space="preserve">industries only the top 10 are shown</w:t>
      </w:r>
    </w:p>
    <w:p>
      <w:pPr>
        <w:pStyle w:val="BodyText"/>
      </w:pPr>
      <w:r>
        <w:t xml:space="preserve">Finally, the PAB and CTB exclusions have already been implemented under the</w:t>
      </w:r>
      <w:r>
        <w:t xml:space="preserve"> </w:t>
      </w:r>
      <w:r>
        <w:t xml:space="preserve">ESMA Guidelines on funds names by all funds using ESG-related terms in their</w:t>
      </w:r>
      <w:r>
        <w:t xml:space="preserve"> </w:t>
      </w:r>
      <w:r>
        <w:t xml:space="preserve">name and the results of the implementation are positive.</w:t>
      </w:r>
      <w:r>
        <w:br/>
      </w:r>
      <w:r>
        <w:t xml:space="preserve">Fund managers had until 21 May 2025 to either align with the requirements or change</w:t>
      </w:r>
      <w:r>
        <w:t xml:space="preserve"> </w:t>
      </w:r>
      <w:r>
        <w:t xml:space="preserve">funds names to ensure compliance.</w:t>
      </w:r>
      <w:r>
        <w:br/>
      </w:r>
      <w:r>
        <w:t xml:space="preserve">The scope of impacted funds varies from the different studies. In 2024, ESMA estimated</w:t>
      </w:r>
      <w:r>
        <w:t xml:space="preserve"> </w:t>
      </w:r>
      <w:r>
        <w:t xml:space="preserve">the number of funds with ESG-related terms in their name at 6,490 while Morningstar</w:t>
      </w:r>
      <w:r>
        <w:t xml:space="preserve"> </w:t>
      </w:r>
      <w:r>
        <w:t xml:space="preserve">estimated 4,570. The below relies on Morningstar findings using data from early May</w:t>
      </w:r>
      <w:r>
        <w:t xml:space="preserve"> </w:t>
      </w:r>
      <w:r>
        <w:t xml:space="preserve">2025 and March 2025290.</w:t>
      </w:r>
      <w:r>
        <w:br/>
      </w:r>
      <w:r>
        <w:t xml:space="preserve">Asset managers have taken various approaches to comply with the guidelines. Some</w:t>
      </w:r>
      <w:r>
        <w:t xml:space="preserve"> </w:t>
      </w:r>
      <w:r>
        <w:t xml:space="preserve">have rebranded funds by replacing or removing ESG-related terms, with or without</w:t>
      </w:r>
      <w:r>
        <w:t xml:space="preserve"> </w:t>
      </w:r>
      <w:r>
        <w:t xml:space="preserve">corresponding portfolio changes. Others have made minor adjustments, such as divesting</w:t>
      </w:r>
      <w:r>
        <w:t xml:space="preserve"> </w:t>
      </w:r>
      <w:r>
        <w:t xml:space="preserve">from companies that don’t meet the requirements.</w:t>
      </w:r>
    </w:p>
    <w:p>
      <w:pPr>
        <w:pStyle w:val="BodyText"/>
      </w:pPr>
      <w:r>
        <w:t xml:space="preserve">290 All figures below are extracted from the research paper ‘ESMA Guidelines on ESG Funds’ Names,</w:t>
      </w:r>
      <w:r>
        <w:t xml:space="preserve"> </w:t>
      </w:r>
      <w:r>
        <w:t xml:space="preserve">early insights into rebranding activity and portfolio impact’ by Morningstar/Sustainalytics, 20 May 2025.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 Impact on the funds’ name</w:t>
      </w:r>
      <w:r>
        <w:t xml:space="preserve"> </w:t>
      </w:r>
      <w:r>
        <w:t xml:space="preserve">A year after the release of the final ESMA fund naming guidelines, the universe of EU</w:t>
      </w:r>
      <w:r>
        <w:t xml:space="preserve"> </w:t>
      </w:r>
      <w:r>
        <w:t xml:space="preserve">open-end funds and ETFs with ESG-related terms in their names has dropped by</w:t>
      </w:r>
      <w:r>
        <w:t xml:space="preserve"> </w:t>
      </w:r>
      <w:r>
        <w:t xml:space="preserve">only about 8% to an estimated 4,220.</w:t>
      </w:r>
      <w:r>
        <w:t xml:space="preserve"> </w:t>
      </w:r>
      <w:r>
        <w:t xml:space="preserve">The paper estimates that at least 880 funds, or 19% of in-scope funds, have rebranded</w:t>
      </w:r>
      <w:r>
        <w:t xml:space="preserve"> </w:t>
      </w:r>
      <w:r>
        <w:t xml:space="preserve">so far, including 508 that have dropped ESG terms, 304 that have replaced one</w:t>
      </w:r>
      <w:r>
        <w:t xml:space="preserve"> </w:t>
      </w:r>
      <w:r>
        <w:t xml:space="preserve">ESG-related term with another, and 68 that have added an ESG term. Passive funds</w:t>
      </w:r>
      <w:r>
        <w:t xml:space="preserve"> </w:t>
      </w:r>
      <w:r>
        <w:t xml:space="preserve">have been disproportionally affected. Among those that dropped ESG-related terms,</w:t>
      </w:r>
      <w:r>
        <w:t xml:space="preserve"> </w:t>
      </w:r>
      <w:r>
        <w:t xml:space="preserve">about 200, or 40%, adopted non-ESG alternatives such as “screened”, “select”, or</w:t>
      </w:r>
      <w:r>
        <w:t xml:space="preserve"> </w:t>
      </w:r>
      <w:r>
        <w:t xml:space="preserve">“committed”, suggesting that managers remain keen to signal ESG characteristics</w:t>
      </w:r>
      <w:r>
        <w:t xml:space="preserve"> </w:t>
      </w:r>
      <w:r>
        <w:t xml:space="preserve">through fund names.</w:t>
      </w:r>
      <w:r>
        <w:br/>
      </w:r>
      <w:r>
        <w:t xml:space="preserve">The most frequently removed terms are “ESG” and “sustainable,” while terms such</w:t>
      </w:r>
      <w:r>
        <w:t xml:space="preserve"> </w:t>
      </w:r>
      <w:r>
        <w:t xml:space="preserve">as “transition,” “climate,” and “screened” have gained in popularity.</w:t>
      </w:r>
    </w:p>
    <w:p>
      <w:pPr>
        <w:pStyle w:val="BodyText"/>
      </w:pPr>
      <w:r>
        <w:t xml:space="preserve"> Impact on the funds’ portfolio</w:t>
      </w:r>
      <w:r>
        <w:t xml:space="preserve"> </w:t>
      </w:r>
      <w:r>
        <w:t xml:space="preserve">Looking at March 2025 portfolios, the impact of the guidelines’ exclusion rules on in-</w:t>
      </w:r>
      <w:r>
        <w:t xml:space="preserve"> </w:t>
      </w:r>
      <w:r>
        <w:t xml:space="preserve">scope funds is already evident. The number of funds holding “contentious” stocks has</w:t>
      </w:r>
      <w:r>
        <w:t xml:space="preserve"> </w:t>
      </w:r>
      <w:r>
        <w:t xml:space="preserve">declined compared with a year ago291.</w:t>
      </w:r>
      <w:r>
        <w:br/>
      </w:r>
      <w:r>
        <w:t xml:space="preserve">The exhibits below highlight 25 of the most commonly held “contentious” companies in</w:t>
      </w:r>
      <w:r>
        <w:t xml:space="preserve"> </w:t>
      </w:r>
      <w:r>
        <w:t xml:space="preserve">the sample’ portfolio in 2024 and in 2025 (see method in footnote), showing the number</w:t>
      </w:r>
    </w:p>
    <w:p>
      <w:pPr>
        <w:pStyle w:val="BodyText"/>
      </w:pPr>
      <w:r>
        <w:t xml:space="preserve">291 Research method from Morningstar/Sustainalytics: First identified the companies that should be</w:t>
      </w:r>
      <w:r>
        <w:t xml:space="preserve"> </w:t>
      </w:r>
      <w:r>
        <w:t xml:space="preserve">excluded under the CTB and PAB exclusion rules, using Morningstar Sustainalytics’ product involvement</w:t>
      </w:r>
      <w:r>
        <w:t xml:space="preserve"> </w:t>
      </w:r>
      <w:r>
        <w:t xml:space="preserve">and controversies research to build the exclusion lists. Then selected a sample of 2320 in-scope funds with</w:t>
      </w:r>
      <w:r>
        <w:t xml:space="preserve"> </w:t>
      </w:r>
      <w:r>
        <w:t xml:space="preserve">complete portfolio equity holdings for both May 2024 and March 2025.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of funds holding each stock, their average portfolio weight, the aggregate holding value</w:t>
      </w:r>
      <w:r>
        <w:t xml:space="preserve"> </w:t>
      </w:r>
      <w:r>
        <w:t xml:space="preserve">and the main reasons for exclusions. Overall, the number of funds holding these stocks</w:t>
      </w:r>
      <w:r>
        <w:t xml:space="preserve"> </w:t>
      </w:r>
      <w:r>
        <w:t xml:space="preserve">declined from May 2024 to March 2025, accompanied in many cases by a decrease in</w:t>
      </w:r>
      <w:r>
        <w:t xml:space="preserve"> </w:t>
      </w:r>
      <w:r>
        <w:t xml:space="preserve">both average portfolio weight and aggregate holding value. It is fair to assume that part</w:t>
      </w:r>
      <w:r>
        <w:t xml:space="preserve"> </w:t>
      </w:r>
      <w:r>
        <w:t xml:space="preserve">of the decline can be attributed to stock divestments made to comply with the ESMA</w:t>
      </w:r>
      <w:r>
        <w:t xml:space="preserve"> </w:t>
      </w:r>
      <w:r>
        <w:t xml:space="preserve">guidelines.</w:t>
      </w:r>
    </w:p>
    <w:p>
      <w:pPr>
        <w:pStyle w:val="BodyText"/>
      </w:pPr>
      <w:r>
        <w:t xml:space="preserve">The paper also conducts the same analysis focussing on funds that have retained ESG-</w:t>
      </w:r>
      <w:r>
        <w:t xml:space="preserve"> </w:t>
      </w:r>
      <w:r>
        <w:t xml:space="preserve">related terms in their names. This reduced universe of approximately 2,590 funds is</w:t>
      </w:r>
      <w:r>
        <w:t xml:space="preserve"> </w:t>
      </w:r>
      <w:r>
        <w:t xml:space="preserve">required to completely divest from stocks in breach of the ESMA guidelines. As</w:t>
      </w:r>
      <w:r>
        <w:t xml:space="preserve"> </w:t>
      </w:r>
      <w:r>
        <w:t xml:space="preserve">expected, there are more divestments (in relative terms). For example, the number of</w:t>
      </w:r>
      <w:r>
        <w:t xml:space="preserve"> </w:t>
      </w:r>
      <w:r>
        <w:t xml:space="preserve">funds holding TotalEnergies shares dropped by 34% between May 2024 and March 2025</w:t>
      </w:r>
      <w:r>
        <w:t xml:space="preserve"> </w:t>
      </w:r>
      <w:r>
        <w:t xml:space="preserve">(to 139 from 210), compared with the 24% decrease seen earlier among the full sample</w:t>
      </w:r>
      <w:r>
        <w:t xml:space="preserve"> </w:t>
      </w:r>
      <w:r>
        <w:t xml:space="preserve">of funds with complete portfolio holdings over the observation period. Similar</w:t>
      </w:r>
      <w:r>
        <w:t xml:space="preserve"> </w:t>
      </w:r>
      <w:r>
        <w:t xml:space="preserve">divestment outcomes were found in other energy stocks including Neste (47% versus</w:t>
      </w:r>
      <w:r>
        <w:t xml:space="preserve"> </w:t>
      </w:r>
      <w:r>
        <w:t xml:space="preserve">41%, previously), Repsol (30% versus 23%), Galp Energia (30% versus 18%), and Eni</w:t>
      </w:r>
      <w:r>
        <w:t xml:space="preserve"> </w:t>
      </w:r>
      <w:r>
        <w:t xml:space="preserve">(45% versus 28%).</w:t>
      </w:r>
      <w:r>
        <w:br/>
      </w:r>
      <w:r>
        <w:t xml:space="preserve">While we can expect some of the stocks listed below to no longer feature in these</w:t>
      </w:r>
      <w:r>
        <w:t xml:space="preserve"> </w:t>
      </w:r>
      <w:r>
        <w:t xml:space="preserve">portfolios going forward, others may remain due to differing interpretations of the rules</w:t>
      </w:r>
      <w:r>
        <w:t xml:space="preserve"> </w:t>
      </w:r>
      <w:r>
        <w:t xml:space="preserve">and variations in data sources.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 Preliminary conclusions</w:t>
      </w:r>
      <w:r>
        <w:br/>
      </w:r>
      <w:r>
        <w:t xml:space="preserve">It can be concluded that the ESMA guidelines on funds names had a significant impact in</w:t>
      </w:r>
      <w:r>
        <w:t xml:space="preserve"> </w:t>
      </w:r>
      <w:r>
        <w:t xml:space="preserve">the claims made by FMPs both in the names and portfolio constructions. The fact that the</w:t>
      </w:r>
      <w:r>
        <w:t xml:space="preserve"> </w:t>
      </w:r>
      <w:r>
        <w:t xml:space="preserve">universe of funds using ESG-related terms only decreased by 8% shows that most of</w:t>
      </w:r>
      <w:r>
        <w:t xml:space="preserve"> </w:t>
      </w:r>
      <w:r>
        <w:t xml:space="preserve">funds in scope managed to implement the ESMA criteria.</w:t>
      </w:r>
      <w:r>
        <w:br/>
      </w:r>
      <w:r>
        <w:t xml:space="preserve">If the criteria for the categories build on the ESMA criteria, most of the one-off</w:t>
      </w:r>
      <w:r>
        <w:t xml:space="preserve"> </w:t>
      </w:r>
      <w:r>
        <w:t xml:space="preserve">implementation cost would have already been borne by funds in scope of the ESMA</w:t>
      </w:r>
      <w:r>
        <w:t xml:space="preserve"> </w:t>
      </w:r>
      <w:r>
        <w:t xml:space="preserve">guidelines.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SECTION 2: UNDERLYING DISCLOSURES FOR THE CATEGORIES</w:t>
      </w:r>
      <w:r>
        <w:t xml:space="preserve"> </w:t>
      </w:r>
      <w:r>
        <w:t xml:space="preserve">PROPOSED UNDER OPTION 2.2</w:t>
      </w:r>
      <w:r>
        <w:br/>
      </w:r>
      <w:r>
        <w:t xml:space="preserve">There is considerable evidence from the consultations that the vast majority of end-</w:t>
      </w:r>
      <w:r>
        <w:t xml:space="preserve"> </w:t>
      </w:r>
      <w:r>
        <w:t xml:space="preserve">investors would be better served by shorter and more focused information. This is also</w:t>
      </w:r>
      <w:r>
        <w:t xml:space="preserve"> </w:t>
      </w:r>
      <w:r>
        <w:t xml:space="preserve">confirmed by the findings of Annex 10.</w:t>
      </w:r>
      <w:r>
        <w:br/>
      </w:r>
      <w:r>
        <w:t xml:space="preserve">Option 2.2 therefore moves away from relying on standardised questions for all ESG</w:t>
      </w:r>
      <w:r>
        <w:t xml:space="preserve"> </w:t>
      </w:r>
      <w:r>
        <w:t xml:space="preserve">financial products and suggests refocussing the templates on fewer indicators and</w:t>
      </w:r>
      <w:r>
        <w:t xml:space="preserve"> </w:t>
      </w:r>
      <w:r>
        <w:t xml:space="preserve">sustainability topics which are relevant for investors’ decision. Consumer-facing</w:t>
      </w:r>
      <w:r>
        <w:t xml:space="preserve"> </w:t>
      </w:r>
      <w:r>
        <w:t xml:space="preserve">disclosures should provide consumers with information on the key sustainability</w:t>
      </w:r>
      <w:r>
        <w:t xml:space="preserve"> </w:t>
      </w:r>
      <w:r>
        <w:t xml:space="preserve">characteristics of products in a simple, accessible, consumer-friendly way. This would</w:t>
      </w:r>
      <w:r>
        <w:t xml:space="preserve"> </w:t>
      </w:r>
      <w:r>
        <w:t xml:space="preserve">also allow for an easier comparability of products with an easy-to-use source of</w:t>
      </w:r>
      <w:r>
        <w:t xml:space="preserve"> </w:t>
      </w:r>
      <w:r>
        <w:t xml:space="preserve">information. Together with the categories, this would help them assess whether products</w:t>
      </w:r>
      <w:r>
        <w:t xml:space="preserve"> </w:t>
      </w:r>
      <w:r>
        <w:t xml:space="preserve">meet their needs and preferences.</w:t>
      </w:r>
      <w:r>
        <w:t xml:space="preserve"> </w:t>
      </w:r>
      <w:r>
        <w:t xml:space="preserve">Option 2.2 is therefore coherent with the creation of categories, with disclosures tailored</w:t>
      </w:r>
      <w:r>
        <w:t xml:space="preserve"> </w:t>
      </w:r>
      <w:r>
        <w:t xml:space="preserve">to the categories under which products fall (i.e. specific disclosures would depend on</w:t>
      </w:r>
      <w:r>
        <w:t xml:space="preserve"> </w:t>
      </w:r>
      <w:r>
        <w:t xml:space="preserve">whether a product is largely composed of sustainable assets, or transitioning assets, or if</w:t>
      </w:r>
      <w:r>
        <w:t xml:space="preserve"> </w:t>
      </w:r>
      <w:r>
        <w:t xml:space="preserve">the product implements other ESG processes). The disclosures would rely on clear,</w:t>
      </w:r>
      <w:r>
        <w:t xml:space="preserve"> </w:t>
      </w:r>
      <w:r>
        <w:t xml:space="preserve">measurable and usable concepts (i.e. the suggested criteria described above) and on</w:t>
      </w:r>
      <w:r>
        <w:t xml:space="preserve"> </w:t>
      </w:r>
      <w:r>
        <w:t xml:space="preserve">ESG concepts for which information is either available from investee companies or</w:t>
      </w:r>
      <w:r>
        <w:t xml:space="preserve"> </w:t>
      </w:r>
      <w:r>
        <w:t xml:space="preserve">possible to estimate.</w:t>
      </w:r>
      <w:r>
        <w:br/>
      </w:r>
      <w:r>
        <w:t xml:space="preserve">The below suggests to focus the specific disclosures on the underlying criteria of each</w:t>
      </w:r>
      <w:r>
        <w:t xml:space="preserve"> </w:t>
      </w:r>
      <w:r>
        <w:t xml:space="preserve">category. This would allow investors to clearly understand (1) the ambition to be</w:t>
      </w:r>
      <w:r>
        <w:t xml:space="preserve"> </w:t>
      </w:r>
      <w:r>
        <w:t xml:space="preserve">expected from categorised products; (2) the specific sustainability objective and its</w:t>
      </w:r>
      <w:r>
        <w:t xml:space="preserve"> </w:t>
      </w:r>
      <w:r>
        <w:t xml:space="preserve">accompanying strategy; (3) what the product does not invest in for sustainability-related</w:t>
      </w:r>
      <w:r>
        <w:t xml:space="preserve"> </w:t>
      </w:r>
      <w:r>
        <w:t xml:space="preserve">reasons. On top of that, a short set of ESG KPIs (e.g. 3 KPIs) would allow consumers to</w:t>
      </w:r>
      <w:r>
        <w:t xml:space="preserve"> </w:t>
      </w:r>
      <w:r>
        <w:t xml:space="preserve">compare products based on topics that are deemed relevant depending on the category.</w:t>
      </w:r>
      <w:r>
        <w:t xml:space="preserve"> </w:t>
      </w:r>
      <w:r>
        <w:t xml:space="preserve">These KPIs would need to rely on sustainability topics for which information is either</w:t>
      </w:r>
      <w:r>
        <w:t xml:space="preserve"> </w:t>
      </w:r>
      <w:r>
        <w:t xml:space="preserve">available from investee companies or possible to reliably estimate by FMPs/data</w:t>
      </w:r>
      <w:r>
        <w:t xml:space="preserve"> </w:t>
      </w:r>
      <w:r>
        <w:t xml:space="preserve">providers when the information is missing.</w:t>
      </w:r>
      <w:r>
        <w:br/>
      </w:r>
      <w:r>
        <w:t xml:space="preserve">The below provides mock templates for illustrative purposes only. The detailed elements</w:t>
      </w:r>
      <w:r>
        <w:t xml:space="preserve"> </w:t>
      </w:r>
      <w:r>
        <w:t xml:space="preserve">and final design of the template should be developed at a later stage at level 2 to allow</w:t>
      </w:r>
      <w:r>
        <w:t xml:space="preserve"> </w:t>
      </w:r>
      <w:r>
        <w:t xml:space="preserve">for additional consumer studies to be conducted.</w:t>
      </w:r>
      <w:r>
        <w:br/>
      </w:r>
      <w:r>
        <w:t xml:space="preserve">Product Name292</w:t>
      </w:r>
      <w:r>
        <w:t xml:space="preserve"> </w:t>
      </w:r>
      <w:r>
        <w:t xml:space="preserve">Sustainable Category</w:t>
      </w:r>
      <w:r>
        <w:br/>
      </w:r>
      <w:r>
        <w:t xml:space="preserve">“To qualify for the sustainable category, a financial product must contribute to a</w:t>
      </w:r>
      <w:r>
        <w:t xml:space="preserve"> </w:t>
      </w:r>
      <w:r>
        <w:t xml:space="preserve">sustainability objective and meet EU minimum standards on climate and social issues.”</w:t>
      </w:r>
      <w:r>
        <w:t xml:space="preserve"> </w:t>
      </w:r>
      <w:r>
        <w:t xml:space="preserve">What is the sustainability objective(s)?</w:t>
      </w:r>
      <w:r>
        <w:t xml:space="preserve"> </w:t>
      </w:r>
      <w:r>
        <w:t xml:space="preserve">Short description. E.g. This product focuses on investing in companies that improve</w:t>
      </w:r>
      <w:r>
        <w:t xml:space="preserve"> </w:t>
      </w:r>
      <w:r>
        <w:t xml:space="preserve">health and wellbeing.</w:t>
      </w:r>
      <w:r>
        <w:br/>
      </w:r>
      <w:r>
        <w:t xml:space="preserve">A short description of the strategy and of the KPI/s used to measure the</w:t>
      </w:r>
    </w:p>
    <w:p>
      <w:pPr>
        <w:pStyle w:val="BodyText"/>
      </w:pPr>
      <w:r>
        <w:t xml:space="preserve">292 And authorisation details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contribution</w:t>
      </w:r>
      <w:r>
        <w:t xml:space="preserve"> </w:t>
      </w:r>
      <w:r>
        <w:t xml:space="preserve">E.g. At least 70/80% of investments are made in innovative companies in the sectors of</w:t>
      </w:r>
      <w:r>
        <w:t xml:space="preserve"> </w:t>
      </w:r>
      <w:r>
        <w:t xml:space="preserve">medicine, diagnostics, healthcare services, medical devices and equipment.</w:t>
      </w:r>
      <w:r>
        <w:br/>
      </w:r>
      <w:r>
        <w:t xml:space="preserve">[KPIs used to measure the contribution] e.g. % of revenues derived from the</w:t>
      </w:r>
      <w:r>
        <w:t xml:space="preserve"> </w:t>
      </w:r>
      <w:r>
        <w:t xml:space="preserve">generation of medicine, diagnostics etc…</w:t>
      </w:r>
      <w:r>
        <w:br/>
      </w:r>
      <w:r>
        <w:t xml:space="preserve">[top 5 investments]</w:t>
      </w:r>
      <w:r>
        <w:t xml:space="preserve"> </w:t>
      </w:r>
      <w:r>
        <w:t xml:space="preserve">[Additional voluntary KPIs]</w:t>
      </w:r>
      <w:r>
        <w:t xml:space="preserve"> </w:t>
      </w:r>
      <w:r>
        <w:t xml:space="preserve">KPI 1 (e.g. related to climate performance)</w:t>
      </w:r>
      <w:r>
        <w:br/>
      </w:r>
      <w:r>
        <w:t xml:space="preserve">KPI 2: (e.g. related to pollution control or animal testing)</w:t>
      </w:r>
      <w:r>
        <w:t xml:space="preserve"> </w:t>
      </w:r>
      <w:r>
        <w:t xml:space="preserve">Exclusions:</w:t>
      </w:r>
      <w:r>
        <w:br/>
      </w:r>
      <w:r>
        <w:t xml:space="preserve">There are no investments made in</w:t>
      </w:r>
      <w:r>
        <w:br/>
      </w:r>
      <w:r>
        <w:t xml:space="preserve">-</w:t>
      </w:r>
      <w:r>
        <w:t xml:space="preserve"> </w:t>
      </w:r>
      <w:r>
        <w:t xml:space="preserve">companies involved in any activities related to controversial weapons;</w:t>
      </w:r>
      <w:r>
        <w:t xml:space="preserve"> </w:t>
      </w:r>
      <w:r>
        <w:t xml:space="preserve">-</w:t>
      </w:r>
      <w:r>
        <w:t xml:space="preserve"> </w:t>
      </w:r>
      <w:r>
        <w:t xml:space="preserve">companies involved in the cultivation and production of tobacco;</w:t>
      </w:r>
      <w:r>
        <w:t xml:space="preserve"> </w:t>
      </w:r>
      <w:r>
        <w:t xml:space="preserve">-</w:t>
      </w:r>
      <w:r>
        <w:t xml:space="preserve"> </w:t>
      </w:r>
      <w:r>
        <w:t xml:space="preserve">companies in violation of the United Nations Global Compact (UNGC)</w:t>
      </w:r>
      <w:r>
        <w:t xml:space="preserve"> </w:t>
      </w:r>
      <w:r>
        <w:t xml:space="preserve">principles or the Organisation for Economic Cooperation and Development</w:t>
      </w:r>
      <w:r>
        <w:t xml:space="preserve"> </w:t>
      </w:r>
      <w:r>
        <w:t xml:space="preserve">(OECD) Guidelines for Multinational Enterprises;</w:t>
      </w:r>
      <w:r>
        <w:t xml:space="preserve"> </w:t>
      </w:r>
      <w:r>
        <w:t xml:space="preserve">-</w:t>
      </w:r>
      <w:r>
        <w:t xml:space="preserve"> </w:t>
      </w:r>
      <w:r>
        <w:t xml:space="preserve">companies that derive 1 % or more of their revenues from exploration, mining,</w:t>
      </w:r>
      <w:r>
        <w:t xml:space="preserve"> </w:t>
      </w:r>
      <w:r>
        <w:t xml:space="preserve">extraction, distribution or refining of hard coal and lignite;</w:t>
      </w:r>
      <w:r>
        <w:t xml:space="preserve"> </w:t>
      </w:r>
      <w:r>
        <w:t xml:space="preserve">-</w:t>
      </w:r>
      <w:r>
        <w:t xml:space="preserve"> </w:t>
      </w:r>
      <w:r>
        <w:t xml:space="preserve">companies that derive 10 % or more of their revenues from the exploration,</w:t>
      </w:r>
      <w:r>
        <w:t xml:space="preserve"> </w:t>
      </w:r>
      <w:r>
        <w:t xml:space="preserve">extraction, distribution or refining of oil fuels;</w:t>
      </w:r>
      <w:r>
        <w:t xml:space="preserve"> </w:t>
      </w:r>
      <w:r>
        <w:t xml:space="preserve">-</w:t>
      </w:r>
      <w:r>
        <w:t xml:space="preserve"> </w:t>
      </w:r>
      <w:r>
        <w:t xml:space="preserve">companies that derive 50 % or more of their revenues from the exploration,</w:t>
      </w:r>
      <w:r>
        <w:t xml:space="preserve"> </w:t>
      </w:r>
      <w:r>
        <w:t xml:space="preserve">extraction, manufacturing or distribution of gaseous fuels;</w:t>
      </w:r>
      <w:r>
        <w:t xml:space="preserve"> </w:t>
      </w:r>
      <w:r>
        <w:t xml:space="preserve">-</w:t>
      </w:r>
      <w:r>
        <w:t xml:space="preserve"> </w:t>
      </w:r>
      <w:r>
        <w:t xml:space="preserve">companies that derive 50 % or more of their revenues from electricity</w:t>
      </w:r>
      <w:r>
        <w:t xml:space="preserve"> </w:t>
      </w:r>
      <w:r>
        <w:t xml:space="preserve">generation with a GHG intensity of more than 100 g CO2 e/kWh.</w:t>
      </w:r>
    </w:p>
    <w:p>
      <w:pPr>
        <w:pStyle w:val="Compact"/>
        <w:numPr>
          <w:ilvl w:val="0"/>
          <w:numId w:val="1022"/>
        </w:numPr>
      </w:pPr>
      <w:r>
        <w:t xml:space="preserve">companies involved in fossil fuel expansion or without coal phase-out plans</w:t>
      </w:r>
    </w:p>
    <w:p>
      <w:pPr>
        <w:pStyle w:val="FirstParagraph"/>
      </w:pPr>
      <w:r>
        <w:t xml:space="preserve">Product Name293</w:t>
      </w:r>
      <w:r>
        <w:t xml:space="preserve"> </w:t>
      </w:r>
      <w:r>
        <w:t xml:space="preserve">Transition Category</w:t>
      </w:r>
      <w:r>
        <w:br/>
      </w:r>
      <w:r>
        <w:t xml:space="preserve">“To qualify for the transition category, a financial product must contribute to a</w:t>
      </w:r>
      <w:r>
        <w:t xml:space="preserve"> </w:t>
      </w:r>
      <w:r>
        <w:t xml:space="preserve">transition objective and meet EU minimum standards on social issues.”</w:t>
      </w:r>
      <w:r>
        <w:t xml:space="preserve"> </w:t>
      </w:r>
      <w:r>
        <w:t xml:space="preserve">What is the transition objective(s)?</w:t>
      </w:r>
      <w:r>
        <w:t xml:space="preserve"> </w:t>
      </w:r>
      <w:r>
        <w:t xml:space="preserve">Short description. E.g. This product invests in companies and projects contributing to</w:t>
      </w:r>
      <w:r>
        <w:t xml:space="preserve"> </w:t>
      </w:r>
      <w:r>
        <w:t xml:space="preserve">global decarbonisation and the climate transition</w:t>
      </w:r>
      <w:r>
        <w:t xml:space="preserve"> </w:t>
      </w:r>
      <w:r>
        <w:t xml:space="preserve">A short description of the strategy and of the KPI/s used to measure the</w:t>
      </w:r>
    </w:p>
    <w:p>
      <w:pPr>
        <w:pStyle w:val="BodyText"/>
      </w:pPr>
      <w:r>
        <w:t xml:space="preserve">293 And authorisation details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contribution</w:t>
      </w:r>
      <w:r>
        <w:t xml:space="preserve"> </w:t>
      </w:r>
      <w:r>
        <w:t xml:space="preserve">E.g. At least 70/80% of investments are made in ‘climate solutions’ – low-carbon</w:t>
      </w:r>
      <w:r>
        <w:t xml:space="preserve"> </w:t>
      </w:r>
      <w:r>
        <w:t xml:space="preserve">technologies, nature-based solutions, and greenhouse gas removal. The product also</w:t>
      </w:r>
      <w:r>
        <w:t xml:space="preserve"> </w:t>
      </w:r>
      <w:r>
        <w:t xml:space="preserve">ensures a reduction of the overall GHG emission of the underlying investee of at least</w:t>
      </w:r>
      <w:r>
        <w:t xml:space="preserve"> </w:t>
      </w:r>
      <w:r>
        <w:t xml:space="preserve">7% per annum.</w:t>
      </w:r>
      <w:r>
        <w:br/>
      </w:r>
      <w:r>
        <w:t xml:space="preserve">[KPIs used to measure the contribution] e.g. % of partial alignment with the EU</w:t>
      </w:r>
      <w:r>
        <w:t xml:space="preserve"> </w:t>
      </w:r>
      <w:r>
        <w:t xml:space="preserve">Taxonomy on relevant climate or environmental objective(s)</w:t>
      </w:r>
      <w:r>
        <w:br/>
      </w:r>
      <w:r>
        <w:t xml:space="preserve">[top 5 investments]</w:t>
      </w:r>
      <w:r>
        <w:t xml:space="preserve"> </w:t>
      </w:r>
      <w:r>
        <w:t xml:space="preserve">[Additional voluntary ESG KPIs]</w:t>
      </w:r>
      <w:r>
        <w:t xml:space="preserve"> </w:t>
      </w:r>
      <w:r>
        <w:t xml:space="preserve">KPI 1 (e.g. portion of investments in companies with a transition plan/science-based</w:t>
      </w:r>
      <w:r>
        <w:t xml:space="preserve"> </w:t>
      </w:r>
      <w:r>
        <w:t xml:space="preserve">targets)</w:t>
      </w:r>
      <w:r>
        <w:br/>
      </w:r>
      <w:r>
        <w:t xml:space="preserve">KPI 2: (e.g. related to water use or circular economy )</w:t>
      </w:r>
      <w:r>
        <w:t xml:space="preserve"> </w:t>
      </w:r>
      <w:r>
        <w:t xml:space="preserve">Exclusions:</w:t>
      </w:r>
      <w:r>
        <w:br/>
      </w:r>
      <w:r>
        <w:t xml:space="preserve">There are no investments made in</w:t>
      </w:r>
      <w:r>
        <w:br/>
      </w:r>
      <w:r>
        <w:t xml:space="preserve">-</w:t>
      </w:r>
      <w:r>
        <w:t xml:space="preserve"> </w:t>
      </w:r>
      <w:r>
        <w:t xml:space="preserve">companies involved in any activities related to controversial weapons;</w:t>
      </w:r>
      <w:r>
        <w:t xml:space="preserve"> </w:t>
      </w:r>
      <w:r>
        <w:t xml:space="preserve">-</w:t>
      </w:r>
      <w:r>
        <w:t xml:space="preserve"> </w:t>
      </w:r>
      <w:r>
        <w:t xml:space="preserve">companies involved in the cultivation and production of tobacco;</w:t>
      </w:r>
      <w:r>
        <w:t xml:space="preserve"> </w:t>
      </w:r>
      <w:r>
        <w:t xml:space="preserve">-</w:t>
      </w:r>
      <w:r>
        <w:t xml:space="preserve"> </w:t>
      </w:r>
      <w:r>
        <w:t xml:space="preserve">companies in violation of the United Nations Global Compact (UNGC)</w:t>
      </w:r>
      <w:r>
        <w:t xml:space="preserve"> </w:t>
      </w:r>
      <w:r>
        <w:t xml:space="preserve">principles or the Organisation for Economic Cooperation and Development</w:t>
      </w:r>
      <w:r>
        <w:t xml:space="preserve"> </w:t>
      </w:r>
      <w:r>
        <w:t xml:space="preserve">(OECD) Guidelines for Multinational Enterprises;</w:t>
      </w:r>
    </w:p>
    <w:p>
      <w:pPr>
        <w:pStyle w:val="Compact"/>
        <w:numPr>
          <w:ilvl w:val="0"/>
          <w:numId w:val="1023"/>
        </w:numPr>
      </w:pPr>
      <w:r>
        <w:t xml:space="preserve">companies involved in fossil fuel expansion or without coal phase-out plans</w:t>
      </w:r>
    </w:p>
    <w:p>
      <w:pPr>
        <w:pStyle w:val="FirstParagraph"/>
      </w:pPr>
      <w:r>
        <w:t xml:space="preserve">148</w:t>
      </w:r>
    </w:p>
    <w:p>
      <w:pPr>
        <w:pStyle w:val="BodyText"/>
      </w:pPr>
      <w:r>
        <w:t xml:space="preserve">Product Name294</w:t>
      </w:r>
      <w:r>
        <w:t xml:space="preserve"> </w:t>
      </w:r>
      <w:r>
        <w:t xml:space="preserve">‘Other ESG’ Category</w:t>
      </w:r>
      <w:r>
        <w:br/>
      </w:r>
      <w:r>
        <w:t xml:space="preserve">“To qualify for the ’Other ESG’ category, a financial product must put in place an</w:t>
      </w:r>
      <w:r>
        <w:t xml:space="preserve"> </w:t>
      </w:r>
      <w:r>
        <w:t xml:space="preserve">ESG strategy and meet EU minimum standards on social issues.”</w:t>
      </w:r>
      <w:r>
        <w:t xml:space="preserve"> </w:t>
      </w:r>
      <w:r>
        <w:t xml:space="preserve">What is the ESG strategy</w:t>
      </w:r>
      <w:r>
        <w:br/>
      </w:r>
      <w:r>
        <w:t xml:space="preserve">Short description. E.g. This product offers global exposures to a global investment</w:t>
      </w:r>
      <w:r>
        <w:t xml:space="preserve"> </w:t>
      </w:r>
      <w:r>
        <w:t xml:space="preserve">benchmark/index while integrating environmental, social and governance screenings</w:t>
      </w:r>
      <w:r>
        <w:t xml:space="preserve"> </w:t>
      </w:r>
      <w:r>
        <w:t xml:space="preserve">(i.e. 70/80% tilt toward companies with stronger ESG scores). To do so, the product</w:t>
      </w:r>
      <w:r>
        <w:t xml:space="preserve"> </w:t>
      </w:r>
      <w:r>
        <w:t xml:space="preserve">only selects companies that are amongst the best 50% ESG performers in their sectors.</w:t>
      </w:r>
      <w:r>
        <w:br/>
      </w:r>
      <w:r>
        <w:t xml:space="preserve">[top 5 investments]</w:t>
      </w:r>
      <w:r>
        <w:t xml:space="preserve"> </w:t>
      </w:r>
      <w:r>
        <w:t xml:space="preserve">[Additional voluntary ESG KPIs]</w:t>
      </w:r>
      <w:r>
        <w:t xml:space="preserve"> </w:t>
      </w:r>
      <w:r>
        <w:t xml:space="preserve">KPI 1 (e.g. GHG emissions)</w:t>
      </w:r>
      <w:r>
        <w:br/>
      </w:r>
      <w:r>
        <w:t xml:space="preserve">KPI 2: (e.g. related to additional human rights screening beyond the exclusion below)</w:t>
      </w:r>
      <w:r>
        <w:t xml:space="preserve"> </w:t>
      </w:r>
      <w:r>
        <w:t xml:space="preserve">Exclusions:</w:t>
      </w:r>
      <w:r>
        <w:br/>
      </w:r>
      <w:r>
        <w:t xml:space="preserve">There are no investments made in</w:t>
      </w:r>
      <w:r>
        <w:br/>
      </w:r>
      <w:r>
        <w:t xml:space="preserve">-</w:t>
      </w:r>
      <w:r>
        <w:t xml:space="preserve"> </w:t>
      </w:r>
      <w:r>
        <w:t xml:space="preserve">companies involved in any activities related to controversial weapons;</w:t>
      </w:r>
      <w:r>
        <w:t xml:space="preserve"> </w:t>
      </w:r>
      <w:r>
        <w:t xml:space="preserve">-</w:t>
      </w:r>
      <w:r>
        <w:t xml:space="preserve"> </w:t>
      </w:r>
      <w:r>
        <w:t xml:space="preserve">companies involved in the cultivation and production of tobacco;</w:t>
      </w:r>
      <w:r>
        <w:t xml:space="preserve"> </w:t>
      </w:r>
      <w:r>
        <w:t xml:space="preserve">-</w:t>
      </w:r>
      <w:r>
        <w:t xml:space="preserve"> </w:t>
      </w:r>
      <w:r>
        <w:t xml:space="preserve">companies in violation of the United Nations Global Compact (UNGC)</w:t>
      </w:r>
      <w:r>
        <w:t xml:space="preserve"> </w:t>
      </w:r>
      <w:r>
        <w:t xml:space="preserve">principles or the Organisation for Economic Cooperation and Development</w:t>
      </w:r>
      <w:r>
        <w:t xml:space="preserve"> </w:t>
      </w:r>
      <w:r>
        <w:t xml:space="preserve">(OECD) Guidelines for Multinational Enterprises;</w:t>
      </w:r>
    </w:p>
    <w:p>
      <w:pPr>
        <w:pStyle w:val="BodyText"/>
      </w:pPr>
      <w:r>
        <w:t xml:space="preserve">294 And authorisation details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SECTION 3: SUGGESTED APPROACH TO ESTIMATION</w:t>
      </w:r>
      <w:r>
        <w:t xml:space="preserve"> </w:t>
      </w:r>
      <w:r>
        <w:t xml:space="preserve">Estimates are often used to refer to data that has been proxied or derived from a third-</w:t>
      </w:r>
      <w:r>
        <w:t xml:space="preserve"> </w:t>
      </w:r>
      <w:r>
        <w:t xml:space="preserve">party source. Due to data shortages the use of estimates will be inevitable and is</w:t>
      </w:r>
      <w:r>
        <w:t xml:space="preserve"> </w:t>
      </w:r>
      <w:r>
        <w:t xml:space="preserve">already part of current market practices 295. In fact, the investable universe for financial</w:t>
      </w:r>
      <w:r>
        <w:t xml:space="preserve"> </w:t>
      </w:r>
      <w:r>
        <w:t xml:space="preserve">products always extended beyond listed and larger EU companies, including non-EU</w:t>
      </w:r>
      <w:r>
        <w:t xml:space="preserve"> </w:t>
      </w:r>
      <w:r>
        <w:t xml:space="preserve">companies and assets that are not covered by EU reporting rules. No EU legislation such</w:t>
      </w:r>
      <w:r>
        <w:t xml:space="preserve"> </w:t>
      </w:r>
      <w:r>
        <w:t xml:space="preserve">as the CSRD would have ever closed this data gap.</w:t>
      </w:r>
    </w:p>
    <w:p>
      <w:pPr>
        <w:pStyle w:val="BodyText"/>
      </w:pPr>
      <w:r>
        <w:t xml:space="preserve">While estimations always carry some levels of greenwashing risks, these risks can be</w:t>
      </w:r>
      <w:r>
        <w:t xml:space="preserve"> </w:t>
      </w:r>
      <w:r>
        <w:t xml:space="preserve">reduced by the following possible measures:</w:t>
      </w:r>
    </w:p>
    <w:p>
      <w:pPr>
        <w:pStyle w:val="Compact"/>
        <w:numPr>
          <w:ilvl w:val="0"/>
          <w:numId w:val="1024"/>
        </w:numPr>
      </w:pPr>
      <w:r>
        <w:t xml:space="preserve">Focussing the criteria and the disclosures on ESG concepts which are</w:t>
      </w:r>
      <w:r>
        <w:t xml:space="preserve"> </w:t>
      </w:r>
      <w:r>
        <w:t xml:space="preserve">possible to estimate.</w:t>
      </w:r>
    </w:p>
    <w:p>
      <w:pPr>
        <w:pStyle w:val="FirstParagraph"/>
      </w:pPr>
      <w:r>
        <w:t xml:space="preserve">A key issue linked with estimations under the current SFDR is the nature of certain</w:t>
      </w:r>
      <w:r>
        <w:t xml:space="preserve"> </w:t>
      </w:r>
      <w:r>
        <w:t xml:space="preserve">datapoints which cannot be estimated when the information is not available. Examples</w:t>
      </w:r>
      <w:r>
        <w:t xml:space="preserve"> </w:t>
      </w:r>
      <w:r>
        <w:t xml:space="preserve">include the principal adverse impact on ‘board gender diversity’, defined as the average</w:t>
      </w:r>
      <w:r>
        <w:t xml:space="preserve"> </w:t>
      </w:r>
      <w:r>
        <w:t xml:space="preserve">ratio of female to male board members in investee companies, expressed as a percentage</w:t>
      </w:r>
      <w:r>
        <w:t xml:space="preserve"> </w:t>
      </w:r>
      <w:r>
        <w:t xml:space="preserve">of all board members. If the company does not disclose/communicate its board</w:t>
      </w:r>
      <w:r>
        <w:t xml:space="preserve"> </w:t>
      </w:r>
      <w:r>
        <w:t xml:space="preserve">composition, FMPs/external providers cannot reasonably estimate such data.</w:t>
      </w:r>
    </w:p>
    <w:p>
      <w:pPr>
        <w:pStyle w:val="BodyText"/>
      </w:pPr>
      <w:r>
        <w:t xml:space="preserve">To lower the risk of incorrect/weak estimation, the SFDR criteria and disclosures should</w:t>
      </w:r>
      <w:r>
        <w:t xml:space="preserve"> </w:t>
      </w:r>
      <w:r>
        <w:t xml:space="preserve">focus on sustainability data points for which estimation is possible (e.g. which are binary</w:t>
      </w:r>
      <w:r>
        <w:t xml:space="preserve"> </w:t>
      </w:r>
      <w:r>
        <w:t xml:space="preserve">or where using sectoral and geographical averages is possible) and where market</w:t>
      </w:r>
      <w:r>
        <w:t xml:space="preserve"> </w:t>
      </w:r>
      <w:r>
        <w:t xml:space="preserve">practices are well established.</w:t>
      </w:r>
    </w:p>
    <w:p>
      <w:pPr>
        <w:pStyle w:val="BodyText"/>
      </w:pPr>
      <w:r>
        <w:t xml:space="preserve">Main findings on the positive state of play of estimations on exclusions:</w:t>
      </w:r>
    </w:p>
    <w:p>
      <w:pPr>
        <w:pStyle w:val="BodyText"/>
      </w:pPr>
      <w:r>
        <w:t xml:space="preserve">The Platform for Sustainable Finance ran a survey296 with data vendors to assess the</w:t>
      </w:r>
      <w:r>
        <w:t xml:space="preserve"> </w:t>
      </w:r>
      <w:r>
        <w:t xml:space="preserve">comparability of data that an institutional investor would receive when retrieving the best</w:t>
      </w:r>
      <w:r>
        <w:t xml:space="preserve"> </w:t>
      </w:r>
      <w:r>
        <w:t xml:space="preserve">available relevant data from a range of vendors to report on a global portfolio. The</w:t>
      </w:r>
      <w:r>
        <w:t xml:space="preserve"> </w:t>
      </w:r>
      <w:r>
        <w:t xml:space="preserve">survey was carried out via an open call to capture the current state of affairs for data</w:t>
      </w:r>
      <w:r>
        <w:t xml:space="preserve"> </w:t>
      </w:r>
      <w:r>
        <w:t xml:space="preserve">availability and quality as offered by different data vendors. A random sample of EU and</w:t>
      </w:r>
      <w:r>
        <w:t xml:space="preserve"> </w:t>
      </w:r>
      <w:r>
        <w:t xml:space="preserve">non-EU securities were chosen that was large enough for statistically relevant analysis</w:t>
      </w:r>
      <w:r>
        <w:t xml:space="preserve"> </w:t>
      </w:r>
      <w:r>
        <w:t xml:space="preserve">(N=300).</w:t>
      </w:r>
    </w:p>
    <w:p>
      <w:pPr>
        <w:pStyle w:val="BodyText"/>
      </w:pPr>
      <w:r>
        <w:t xml:space="preserve">The survey concluded that high levels of consistency were found in the estimations</w:t>
      </w:r>
      <w:r>
        <w:t xml:space="preserve"> </w:t>
      </w:r>
      <w:r>
        <w:t xml:space="preserve">of exclusion across vendors, with 80% of issuers showing 0% divergence in their</w:t>
      </w:r>
      <w:r>
        <w:t xml:space="preserve"> </w:t>
      </w:r>
      <w:r>
        <w:t xml:space="preserve">estimations of PAB exclusions.</w:t>
      </w:r>
    </w:p>
    <w:p>
      <w:pPr>
        <w:pStyle w:val="BodyText"/>
      </w:pPr>
      <w:r>
        <w:t xml:space="preserve">Common market practices on the estimations of the PAB exclusions include the use of</w:t>
      </w:r>
      <w:r>
        <w:t xml:space="preserve"> </w:t>
      </w:r>
      <w:r>
        <w:t xml:space="preserve">sector average, or modelling using business activity and exposure (e.g. looking at the</w:t>
      </w:r>
      <w:r>
        <w:t xml:space="preserve"> </w:t>
      </w:r>
      <w:r>
        <w:t xml:space="preserve">average emissions per revenue or per employee of companies in the same NAICS sector,</w:t>
      </w:r>
    </w:p>
    <w:p>
      <w:pPr>
        <w:pStyle w:val="BodyText"/>
      </w:pPr>
      <w:r>
        <w:t xml:space="preserve">295 Between 30% and 50% of the average holdings of EU asset managers consist of entities not subject to</w:t>
      </w:r>
      <w:r>
        <w:t xml:space="preserve"> </w:t>
      </w:r>
      <w:r>
        <w:t xml:space="preserve">CSRD reporting requirements (and therefore do not publish Taxonomy or CSRD sustainability data). As a</w:t>
      </w:r>
      <w:r>
        <w:t xml:space="preserve"> </w:t>
      </w:r>
      <w:r>
        <w:t xml:space="preserve">result, FMPs are already forced to source the missing data either internally or commercially from third-</w:t>
      </w:r>
      <w:r>
        <w:t xml:space="preserve"> </w:t>
      </w:r>
      <w:r>
        <w:t xml:space="preserve">party providers. See ESMA report on Trends, Risks and Vulnerabilities (TRV), 2023</w:t>
      </w:r>
      <w:r>
        <w:t xml:space="preserve"> </w:t>
      </w:r>
      <w:r>
        <w:t xml:space="preserve">296 EU Platform on Sustainable Finance, Data Vendor Survey 2024, March 2025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similar production size and same energy mix). Most market practices include the</w:t>
      </w:r>
      <w:r>
        <w:t xml:space="preserve"> </w:t>
      </w:r>
      <w:r>
        <w:t xml:space="preserve">implementation of the precautionary principle297, see chart below.</w:t>
      </w:r>
    </w:p>
    <w:p>
      <w:pPr>
        <w:pStyle w:val="Compact"/>
        <w:numPr>
          <w:ilvl w:val="0"/>
          <w:numId w:val="1025"/>
        </w:numPr>
      </w:pPr>
      <w:r>
        <w:t xml:space="preserve">Additional disclosures around estimation practices from FMPs</w:t>
      </w:r>
    </w:p>
    <w:p>
      <w:pPr>
        <w:pStyle w:val="FirstParagraph"/>
      </w:pPr>
      <w:r>
        <w:t xml:space="preserve">When FMPs generate their own estimations, the SFDR could introduce similar</w:t>
      </w:r>
      <w:r>
        <w:t xml:space="preserve"> </w:t>
      </w:r>
      <w:r>
        <w:t xml:space="preserve">obligations to the transparency requirements for estimations under the Benchmark</w:t>
      </w:r>
      <w:r>
        <w:t xml:space="preserve"> </w:t>
      </w:r>
      <w:r>
        <w:t xml:space="preserve">Delegated Regulation 298. These include disclosures on the research and calculation</w:t>
      </w:r>
      <w:r>
        <w:t xml:space="preserve"> </w:t>
      </w:r>
      <w:r>
        <w:t xml:space="preserve">methodology, on assumptions underlying estimates and precautionary principles, on</w:t>
      </w:r>
      <w:r>
        <w:t xml:space="preserve"> </w:t>
      </w:r>
      <w:r>
        <w:t xml:space="preserve">the use of external data providers. The elements to be disclosed by the FMPs would be</w:t>
      </w:r>
      <w:r>
        <w:t xml:space="preserve"> </w:t>
      </w:r>
      <w:r>
        <w:t xml:space="preserve">part of the products’ legal documentations and will therefore be supervised by NCAs (as</w:t>
      </w:r>
      <w:r>
        <w:t xml:space="preserve"> </w:t>
      </w:r>
      <w:r>
        <w:t xml:space="preserve">it is the case for SFDR disclosures today) who, in contrast to today, would thus be</w:t>
      </w:r>
      <w:r>
        <w:t xml:space="preserve"> </w:t>
      </w:r>
      <w:r>
        <w:t xml:space="preserve">provided with clearer information to judge whether the estimates are robust enough.</w:t>
      </w:r>
    </w:p>
    <w:p>
      <w:pPr>
        <w:pStyle w:val="BodyText"/>
      </w:pPr>
      <w:r>
        <w:t xml:space="preserve">For cases when FMPs use an external provider, FMPs could instead be asked to disclose</w:t>
      </w:r>
      <w:r>
        <w:t xml:space="preserve"> </w:t>
      </w:r>
      <w:r>
        <w:t xml:space="preserve">the proportion of information estimated vs information not estimated. This is because</w:t>
      </w:r>
      <w:r>
        <w:t xml:space="preserve"> </w:t>
      </w:r>
      <w:r>
        <w:t xml:space="preserve">estimation methodologies are normally not disclosed by data providers for competition</w:t>
      </w:r>
      <w:r>
        <w:t xml:space="preserve"> </w:t>
      </w:r>
      <w:r>
        <w:t xml:space="preserve">reasons.</w:t>
      </w:r>
    </w:p>
    <w:p>
      <w:pPr>
        <w:pStyle w:val="BodyText"/>
      </w:pPr>
      <w:r>
        <w:t xml:space="preserve">Other possible measures to limit greenwashing risks linked to estimations, such as</w:t>
      </w:r>
      <w:r>
        <w:t xml:space="preserve"> </w:t>
      </w:r>
      <w:r>
        <w:t xml:space="preserve">regulating third-party providers or ESG data products, do not emerge as major</w:t>
      </w:r>
      <w:r>
        <w:t xml:space="preserve"> </w:t>
      </w:r>
      <w:r>
        <w:t xml:space="preserve">shortcomings from the evaluation carried out for the review, would be at odds with the</w:t>
      </w:r>
      <w:r>
        <w:t xml:space="preserve"> </w:t>
      </w:r>
      <w:r>
        <w:t xml:space="preserve">objectives of the targeted review of the SFDR as a simplification initiative by extending</w:t>
      </w:r>
      <w:r>
        <w:t xml:space="preserve"> </w:t>
      </w:r>
      <w:r>
        <w:t xml:space="preserve">its regulatory scope, and were thus deemed as incompatible with the simplification and</w:t>
      </w:r>
      <w:r>
        <w:t xml:space="preserve"> </w:t>
      </w:r>
      <w:r>
        <w:t xml:space="preserve">burden reduction agenda or already discarded in past impact assessment 299. Beyond the</w:t>
      </w:r>
      <w:r>
        <w:t xml:space="preserve"> </w:t>
      </w:r>
      <w:r>
        <w:t xml:space="preserve">steps to formalise the practice of reliance on estimates, and to base this practice on</w:t>
      </w:r>
      <w:r>
        <w:t xml:space="preserve"> </w:t>
      </w:r>
      <w:r>
        <w:t xml:space="preserve">datapoints which are most available and of interest to investors, there is little evidence to</w:t>
      </w:r>
      <w:r>
        <w:t xml:space="preserve"> </w:t>
      </w:r>
      <w:r>
        <w:t xml:space="preserve">suggest that extending the regulatory perimeter of the SFDR to ESG data providers</w:t>
      </w:r>
      <w:r>
        <w:t xml:space="preserve"> </w:t>
      </w:r>
      <w:r>
        <w:t xml:space="preserve">would help bring down costs further. Rather it can be expected that any costs of</w:t>
      </w:r>
      <w:r>
        <w:t xml:space="preserve"> </w:t>
      </w:r>
      <w:r>
        <w:t xml:space="preserve">additional regulatory would be passed on through data users across the investment chain,</w:t>
      </w:r>
      <w:r>
        <w:t xml:space="preserve"> </w:t>
      </w:r>
      <w:r>
        <w:t xml:space="preserve">adding to overall costs of ESG investing. It could thus be ineffective, incoherent and</w:t>
      </w:r>
      <w:r>
        <w:t xml:space="preserve"> </w:t>
      </w:r>
      <w:r>
        <w:t xml:space="preserve">counterproductive to undertake piecemeal regulatory steps to any address issues in data</w:t>
      </w:r>
      <w:r>
        <w:t xml:space="preserve"> </w:t>
      </w:r>
      <w:r>
        <w:t xml:space="preserve">providers’ business models, solely involving their ESG data.</w:t>
      </w:r>
    </w:p>
    <w:p>
      <w:pPr>
        <w:pStyle w:val="BodyText"/>
      </w:pPr>
      <w:r>
        <w:t xml:space="preserve">297 ‘Emissions estimations should embed a precautionary principle’, Andreas G.F. Hoepner and Joeri</w:t>
      </w:r>
      <w:r>
        <w:t xml:space="preserve"> </w:t>
      </w:r>
      <w:r>
        <w:t xml:space="preserve">Rogelk</w:t>
      </w:r>
      <w:r>
        <w:t xml:space="preserve"> </w:t>
      </w:r>
      <w:r>
        <w:t xml:space="preserve">298 Commission Delegated Regulation (EU) 2020/1818, Article 13.</w:t>
      </w:r>
      <w:r>
        <w:br/>
      </w:r>
      <w:r>
        <w:t xml:space="preserve">299</w:t>
      </w:r>
      <w:r>
        <w:t xml:space="preserve"> </w:t>
      </w:r>
      <w:r>
        <w:t xml:space="preserve">The Impact Assessment report SWD (2023)204 accompanying the Commission proposal for an</w:t>
      </w:r>
      <w:r>
        <w:t xml:space="preserve"> </w:t>
      </w:r>
      <w:r>
        <w:t xml:space="preserve">ESG rating regulation has discarded the option of harmonising methodologies and on setting minimum</w:t>
      </w:r>
      <w:r>
        <w:t xml:space="preserve"> </w:t>
      </w:r>
      <w:r>
        <w:t xml:space="preserve">content requirements for ESG ratings. The same logic would apply for ESG data products (i.e. ESG</w:t>
      </w:r>
      <w:r>
        <w:t xml:space="preserve"> </w:t>
      </w:r>
      <w:r>
        <w:t xml:space="preserve">estimates).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Chart on the implementation of the precautionary principle to estimate GHG</w:t>
      </w:r>
      <w:r>
        <w:t xml:space="preserve"> </w:t>
      </w:r>
      <w:r>
        <w:t xml:space="preserve">emissions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ANNEX 9: EXAMPLES OF EXISTING ESG LABELLING REGIMES</w:t>
      </w:r>
      <w:r>
        <w:t xml:space="preserve"> </w:t>
      </w:r>
      <w:r>
        <w:t xml:space="preserve">AND ESG RULES BY NCAS OR LABEL PROVIDERS</w:t>
      </w:r>
      <w:r>
        <w:t xml:space="preserve"> </w:t>
      </w:r>
      <w:r>
        <w:t xml:space="preserve">A. Examples of NCAs practices</w:t>
      </w:r>
      <w:r>
        <w:br/>
      </w:r>
      <w:r>
        <w:t xml:space="preserve">NCA</w:t>
      </w:r>
      <w:r>
        <w:t xml:space="preserve"> </w:t>
      </w:r>
      <w:r>
        <w:t xml:space="preserve">Scope</w:t>
      </w:r>
      <w:r>
        <w:t xml:space="preserve"> </w:t>
      </w:r>
      <w:r>
        <w:t xml:space="preserve">Criteria</w:t>
      </w:r>
      <w:r>
        <w:br/>
      </w:r>
      <w:r>
        <w:t xml:space="preserve">AMF</w:t>
      </w:r>
      <w:r>
        <w:t xml:space="preserve"> </w:t>
      </w:r>
      <w:r>
        <w:t xml:space="preserve">(France)</w:t>
      </w:r>
      <w:r>
        <w:t xml:space="preserve"> </w:t>
      </w:r>
      <w:r>
        <w:t xml:space="preserve">Doctrine300</w:t>
      </w:r>
      <w:r>
        <w:t xml:space="preserve"> </w:t>
      </w:r>
      <w:r>
        <w:t xml:space="preserve">Mandatory for</w:t>
      </w:r>
      <w:r>
        <w:t xml:space="preserve"> </w:t>
      </w:r>
      <w:r>
        <w:t xml:space="preserve">retail funds</w:t>
      </w:r>
      <w:r>
        <w:t xml:space="preserve"> </w:t>
      </w:r>
      <w:r>
        <w:t xml:space="preserve">established in</w:t>
      </w:r>
      <w:r>
        <w:t xml:space="preserve"> </w:t>
      </w:r>
      <w:r>
        <w:t xml:space="preserve">France.</w:t>
      </w:r>
      <w:r>
        <w:t xml:space="preserve"> </w:t>
      </w:r>
      <w:r>
        <w:t xml:space="preserve">Non-French</w:t>
      </w:r>
      <w:r>
        <w:t xml:space="preserve"> </w:t>
      </w:r>
      <w:r>
        <w:t xml:space="preserve">funds have to</w:t>
      </w:r>
      <w:r>
        <w:t xml:space="preserve"> </w:t>
      </w:r>
      <w:r>
        <w:t xml:space="preserve">include a</w:t>
      </w:r>
      <w:r>
        <w:t xml:space="preserve"> </w:t>
      </w:r>
      <w:r>
        <w:t xml:space="preserve">disclaimer in</w:t>
      </w:r>
      <w:r>
        <w:t xml:space="preserve"> </w:t>
      </w:r>
      <w:r>
        <w:t xml:space="preserve">their marketing</w:t>
      </w:r>
      <w:r>
        <w:t xml:space="preserve"> </w:t>
      </w:r>
      <w:r>
        <w:t xml:space="preserve">material if they</w:t>
      </w:r>
      <w:r>
        <w:t xml:space="preserve"> </w:t>
      </w:r>
      <w:r>
        <w:t xml:space="preserve">do not comply</w:t>
      </w:r>
      <w:r>
        <w:t xml:space="preserve"> </w:t>
      </w:r>
      <w:r>
        <w:t xml:space="preserve">Three types of funds, depend on how active</w:t>
      </w:r>
      <w:r>
        <w:t xml:space="preserve"> </w:t>
      </w:r>
      <w:r>
        <w:t xml:space="preserve">product provider can communicate around ESG:</w:t>
      </w:r>
      <w:r>
        <w:br/>
      </w:r>
      <w:r>
        <w:t xml:space="preserve">Type 3: funds which do not take into account (or</w:t>
      </w:r>
      <w:r>
        <w:t xml:space="preserve"> </w:t>
      </w:r>
      <w:r>
        <w:t xml:space="preserve">lightly) non-financial criteria required to limit the</w:t>
      </w:r>
      <w:r>
        <w:t xml:space="preserve"> </w:t>
      </w:r>
      <w:r>
        <w:t xml:space="preserve">communication around extra-financial criteria to</w:t>
      </w:r>
      <w:r>
        <w:t xml:space="preserve"> </w:t>
      </w:r>
      <w:r>
        <w:t xml:space="preserve">their prospectus;</w:t>
      </w:r>
      <w:r>
        <w:br/>
      </w:r>
      <w:r>
        <w:t xml:space="preserve">Type 2: funds which take extra-financial criteria</w:t>
      </w:r>
      <w:r>
        <w:t xml:space="preserve"> </w:t>
      </w:r>
      <w:r>
        <w:t xml:space="preserve">into account without taking a significant</w:t>
      </w:r>
      <w:r>
        <w:t xml:space="preserve"> </w:t>
      </w:r>
      <w:r>
        <w:t xml:space="preserve">commitment require -measurable objectives for</w:t>
      </w:r>
      <w:r>
        <w:t xml:space="preserve"> </w:t>
      </w:r>
      <w:r>
        <w:t xml:space="preserve">consideration</w:t>
      </w:r>
      <w:r>
        <w:t xml:space="preserve"> </w:t>
      </w:r>
      <w:r>
        <w:t xml:space="preserve">of</w:t>
      </w:r>
      <w:r>
        <w:t xml:space="preserve"> </w:t>
      </w:r>
      <w:r>
        <w:t xml:space="preserve">non-financial</w:t>
      </w:r>
      <w:r>
        <w:t xml:space="preserve"> </w:t>
      </w:r>
      <w:r>
        <w:t xml:space="preserve">criteria</w:t>
      </w:r>
      <w:r>
        <w:t xml:space="preserve"> </w:t>
      </w:r>
      <w:r>
        <w:t xml:space="preserve">(a</w:t>
      </w:r>
      <w:r>
        <w:t xml:space="preserve"> </w:t>
      </w:r>
      <w:r>
        <w:t xml:space="preserve">discretionary rate of exclusion for the selectivity</w:t>
      </w:r>
      <w:r>
        <w:t xml:space="preserve"> </w:t>
      </w:r>
      <w:r>
        <w:t xml:space="preserve">approach) - higher rating indicator or extra-</w:t>
      </w:r>
      <w:r>
        <w:t xml:space="preserve"> </w:t>
      </w:r>
      <w:r>
        <w:t xml:space="preserve">financial analysis than investment universe -</w:t>
      </w:r>
      <w:r>
        <w:t xml:space="preserve"> </w:t>
      </w:r>
      <w:r>
        <w:t xml:space="preserve">minimum of 90% of the assets must be provided</w:t>
      </w:r>
      <w:r>
        <w:t xml:space="preserve"> </w:t>
      </w:r>
      <w:r>
        <w:t xml:space="preserve">with extra-financial ratings and analysis or 75%</w:t>
      </w:r>
      <w:r>
        <w:t xml:space="preserve"> </w:t>
      </w:r>
      <w:r>
        <w:t xml:space="preserve">for emerging markets.</w:t>
      </w:r>
      <w:r>
        <w:br/>
      </w:r>
      <w:r>
        <w:t xml:space="preserve">Type 1: funds which significantly commit to take</w:t>
      </w:r>
      <w:r>
        <w:t xml:space="preserve"> </w:t>
      </w:r>
      <w:r>
        <w:t xml:space="preserve">into account extra-financial criteria requires</w:t>
      </w:r>
      <w:r>
        <w:t xml:space="preserve"> </w:t>
      </w:r>
      <w:r>
        <w:t xml:space="preserve">specific binding measurable objectives for</w:t>
      </w:r>
      <w:r>
        <w:t xml:space="preserve"> </w:t>
      </w:r>
      <w:r>
        <w:t xml:space="preserve">consideration of non-financial criteria (20%</w:t>
      </w:r>
      <w:r>
        <w:t xml:space="preserve"> </w:t>
      </w:r>
      <w:r>
        <w:t xml:space="preserve">exclusion of the worst assets for the selectivity</w:t>
      </w:r>
      <w:r>
        <w:t xml:space="preserve"> </w:t>
      </w:r>
      <w:r>
        <w:t xml:space="preserve">approach for instance) and a minimum of 90% of</w:t>
      </w:r>
      <w:r>
        <w:t xml:space="preserve"> </w:t>
      </w:r>
      <w:r>
        <w:t xml:space="preserve">the assets must be provided with extra-financial</w:t>
      </w:r>
      <w:r>
        <w:t xml:space="preserve"> </w:t>
      </w:r>
      <w:r>
        <w:t xml:space="preserve">ratings and analysis.</w:t>
      </w:r>
      <w:r>
        <w:t xml:space="preserve"> </w:t>
      </w:r>
      <w:r>
        <w:t xml:space="preserve">BaFin (Germany)</w:t>
      </w:r>
      <w:r>
        <w:t xml:space="preserve"> </w:t>
      </w:r>
      <w:r>
        <w:t xml:space="preserve">Guidance (no</w:t>
      </w:r>
      <w:r>
        <w:t xml:space="preserve"> </w:t>
      </w:r>
      <w:r>
        <w:t xml:space="preserve">published final</w:t>
      </w:r>
      <w:r>
        <w:t xml:space="preserve"> </w:t>
      </w:r>
      <w:r>
        <w:t xml:space="preserve">version;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practice similar to</w:t>
      </w:r>
      <w:r>
        <w:t xml:space="preserve"> </w:t>
      </w:r>
      <w:r>
        <w:t xml:space="preserve">consultation</w:t>
      </w:r>
      <w:r>
        <w:t xml:space="preserve"> </w:t>
      </w:r>
      <w:r>
        <w:t xml:space="preserve">paper)301</w:t>
      </w:r>
      <w:r>
        <w:t xml:space="preserve"> </w:t>
      </w:r>
      <w:r>
        <w:t xml:space="preserve">German retail</w:t>
      </w:r>
      <w:r>
        <w:t xml:space="preserve"> </w:t>
      </w:r>
      <w:r>
        <w:t xml:space="preserve">funds which</w:t>
      </w:r>
      <w:r>
        <w:t xml:space="preserve"> </w:t>
      </w:r>
      <w:r>
        <w:t xml:space="preserve">use an ESG</w:t>
      </w:r>
      <w:r>
        <w:t xml:space="preserve"> </w:t>
      </w:r>
      <w:r>
        <w:t xml:space="preserve">related term in</w:t>
      </w:r>
      <w:r>
        <w:t xml:space="preserve"> </w:t>
      </w:r>
      <w:r>
        <w:t xml:space="preserve">the name or are</w:t>
      </w:r>
      <w:r>
        <w:t xml:space="preserve"> </w:t>
      </w:r>
      <w:r>
        <w:t xml:space="preserve">marketed</w:t>
      </w:r>
      <w:r>
        <w:t xml:space="preserve"> </w:t>
      </w:r>
      <w:r>
        <w:t xml:space="preserve">explicitly as</w:t>
      </w:r>
      <w:r>
        <w:t xml:space="preserve"> </w:t>
      </w:r>
      <w:r>
        <w:t xml:space="preserve">sustainable</w:t>
      </w:r>
      <w:r>
        <w:t xml:space="preserve"> </w:t>
      </w:r>
      <w:r>
        <w:t xml:space="preserve">Alternative 1</w:t>
      </w:r>
      <w:r>
        <w:t xml:space="preserve"> </w:t>
      </w:r>
      <w:r>
        <w:t xml:space="preserve">1. Compliance with a minimum investment</w:t>
      </w:r>
      <w:r>
        <w:t xml:space="preserve"> </w:t>
      </w:r>
      <w:r>
        <w:t xml:space="preserve">ratio in sustainable assets (75 %)</w:t>
      </w:r>
      <w:r>
        <w:t xml:space="preserve"> </w:t>
      </w:r>
      <w:r>
        <w:t xml:space="preserve">2. DNSH including specified exclusions</w:t>
      </w:r>
      <w:r>
        <w:t xml:space="preserve"> </w:t>
      </w:r>
      <w:r>
        <w:t xml:space="preserve">(e.g. &lt; 10% fossil fuels (ex gas); &lt; 5%</w:t>
      </w:r>
      <w:r>
        <w:t xml:space="preserve"> </w:t>
      </w:r>
      <w:r>
        <w:t xml:space="preserve">coal, oil; 0% oil sand / shale)</w:t>
      </w:r>
      <w:r>
        <w:t xml:space="preserve"> </w:t>
      </w:r>
      <w:r>
        <w:t xml:space="preserve">3. Good governance</w:t>
      </w:r>
      <w:r>
        <w:br/>
      </w:r>
      <w:r>
        <w:t xml:space="preserve">Alternative 2</w:t>
      </w:r>
      <w:r>
        <w:br/>
      </w:r>
      <w:r>
        <w:t xml:space="preserve">1. Adherence to a sustainable investment</w:t>
      </w:r>
    </w:p>
    <w:p>
      <w:pPr>
        <w:pStyle w:val="BodyText"/>
      </w:pPr>
      <w:r>
        <w:t xml:space="preserve">300 Information to be provided by collective investment schemes incorporating non-financial approaches |</w:t>
      </w:r>
      <w:r>
        <w:t xml:space="preserve"> </w:t>
      </w:r>
      <w:r>
        <w:t xml:space="preserve">AMF</w:t>
      </w:r>
      <w:r>
        <w:t xml:space="preserve"> </w:t>
      </w:r>
      <w:r>
        <w:t xml:space="preserve">301 BaFin - Consultations - Consultation 13/2021 - Draft BaFin Guideline for Sustainable Development …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strategy, e.g. best in class (75%)</w:t>
      </w:r>
      <w:r>
        <w:br/>
      </w:r>
      <w:r>
        <w:t xml:space="preserve">2. DNSH including specified exclusions</w:t>
      </w:r>
      <w:r>
        <w:t xml:space="preserve"> </w:t>
      </w:r>
      <w:r>
        <w:t xml:space="preserve">(e.g. &lt; 10% fossil fuels (ex gas); &lt; 5%</w:t>
      </w:r>
      <w:r>
        <w:t xml:space="preserve"> </w:t>
      </w:r>
      <w:r>
        <w:t xml:space="preserve">coal, oil; 0% oil sand / shale)</w:t>
      </w:r>
      <w:r>
        <w:t xml:space="preserve"> </w:t>
      </w:r>
      <w:r>
        <w:t xml:space="preserve">Finansinspektionen</w:t>
      </w:r>
      <w:r>
        <w:t xml:space="preserve"> </w:t>
      </w:r>
      <w:r>
        <w:t xml:space="preserve">(Sweden) and FSA</w:t>
      </w:r>
      <w:r>
        <w:t xml:space="preserve"> </w:t>
      </w:r>
      <w:r>
        <w:t xml:space="preserve">(Denmark)</w:t>
      </w:r>
      <w:r>
        <w:t xml:space="preserve"> </w:t>
      </w:r>
      <w:r>
        <w:t xml:space="preserve">All products</w:t>
      </w:r>
      <w:r>
        <w:t xml:space="preserve"> </w:t>
      </w:r>
      <w:r>
        <w:t xml:space="preserve">within the</w:t>
      </w:r>
      <w:r>
        <w:t xml:space="preserve"> </w:t>
      </w:r>
      <w:r>
        <w:t xml:space="preserve">ESMA</w:t>
      </w:r>
      <w:r>
        <w:t xml:space="preserve"> </w:t>
      </w:r>
      <w:r>
        <w:t xml:space="preserve">guidelines on</w:t>
      </w:r>
      <w:r>
        <w:t xml:space="preserve"> </w:t>
      </w:r>
      <w:r>
        <w:t xml:space="preserve">funds name</w:t>
      </w:r>
      <w:r>
        <w:br/>
      </w:r>
      <w:r>
        <w:t xml:space="preserve">Although the ESMA clarified302 in December</w:t>
      </w:r>
      <w:r>
        <w:t xml:space="preserve"> </w:t>
      </w:r>
      <w:r>
        <w:t xml:space="preserve">2024 that a ‘meaningful’ allocation to sustainable</w:t>
      </w:r>
      <w:r>
        <w:t xml:space="preserve"> </w:t>
      </w:r>
      <w:r>
        <w:t xml:space="preserve">investments should be at least 50%, regulators in</w:t>
      </w:r>
      <w:r>
        <w:t xml:space="preserve"> </w:t>
      </w:r>
      <w:r>
        <w:t xml:space="preserve">in</w:t>
      </w:r>
      <w:r>
        <w:t xml:space="preserve"> </w:t>
      </w:r>
      <w:r>
        <w:t xml:space="preserve">Sweden</w:t>
      </w:r>
      <w:r>
        <w:t xml:space="preserve"> </w:t>
      </w:r>
      <w:r>
        <w:t xml:space="preserve">and</w:t>
      </w:r>
      <w:r>
        <w:t xml:space="preserve"> </w:t>
      </w:r>
      <w:r>
        <w:t xml:space="preserve">Denmark</w:t>
      </w:r>
      <w:r>
        <w:t xml:space="preserve"> </w:t>
      </w:r>
      <w:r>
        <w:t xml:space="preserve">impose</w:t>
      </w:r>
      <w:r>
        <w:t xml:space="preserve"> </w:t>
      </w:r>
      <w:r>
        <w:t xml:space="preserve">higher</w:t>
      </w:r>
      <w:r>
        <w:t xml:space="preserve"> </w:t>
      </w:r>
      <w:r>
        <w:t xml:space="preserve">thresholds of 80% and 85% respectively.</w:t>
      </w:r>
    </w:p>
    <w:p>
      <w:pPr>
        <w:pStyle w:val="BodyText"/>
      </w:pPr>
      <w:r>
        <w:t xml:space="preserve">B. Examples of existing labels in the EU303</w:t>
      </w:r>
      <w:r>
        <w:br/>
      </w:r>
      <w:r>
        <w:t xml:space="preserve">Name and region</w:t>
      </w:r>
      <w:r>
        <w:t xml:space="preserve"> </w:t>
      </w:r>
      <w:r>
        <w:t xml:space="preserve">Products</w:t>
      </w:r>
      <w:r>
        <w:t xml:space="preserve"> </w:t>
      </w:r>
      <w:r>
        <w:t xml:space="preserve">Criteria</w:t>
      </w:r>
      <w:r>
        <w:br/>
      </w:r>
      <w:r>
        <w:t xml:space="preserve">CDP Climatrics304</w:t>
      </w:r>
      <w:r>
        <w:t xml:space="preserve"> </w:t>
      </w:r>
      <w:r>
        <w:t xml:space="preserve">Funds</w:t>
      </w:r>
      <w:r>
        <w:t xml:space="preserve"> </w:t>
      </w:r>
      <w:r>
        <w:t xml:space="preserve">- Rating based on the environmental impact,</w:t>
      </w:r>
      <w:r>
        <w:t xml:space="preserve"> </w:t>
      </w:r>
      <w:r>
        <w:t xml:space="preserve">transparency, and performance of their portfolio</w:t>
      </w:r>
      <w:r>
        <w:t xml:space="preserve"> </w:t>
      </w:r>
      <w:r>
        <w:t xml:space="preserve">companies.</w:t>
      </w:r>
      <w:r>
        <w:br/>
      </w:r>
      <w:r>
        <w:t xml:space="preserve">- Score components relate to climate, water, and</w:t>
      </w:r>
      <w:r>
        <w:t xml:space="preserve"> </w:t>
      </w:r>
      <w:r>
        <w:t xml:space="preserve">forest.</w:t>
      </w:r>
      <w:r>
        <w:br/>
      </w:r>
      <w:r>
        <w:t xml:space="preserve">- A fund’s portfolio score is the portfolio</w:t>
      </w:r>
      <w:r>
        <w:t xml:space="preserve"> </w:t>
      </w:r>
      <w:r>
        <w:t xml:space="preserve">weighted average of the underlying holdings’</w:t>
      </w:r>
      <w:r>
        <w:t xml:space="preserve"> </w:t>
      </w:r>
      <w:r>
        <w:t xml:space="preserve">company scores.</w:t>
      </w:r>
      <w:r>
        <w:t xml:space="preserve"> </w:t>
      </w:r>
      <w:r>
        <w:t xml:space="preserve">Ecolabel UZ 49</w:t>
      </w:r>
      <w:r>
        <w:t xml:space="preserve"> </w:t>
      </w:r>
      <w:r>
        <w:t xml:space="preserve">(Austria)305</w:t>
      </w:r>
      <w:r>
        <w:t xml:space="preserve"> </w:t>
      </w:r>
      <w:r>
        <w:t xml:space="preserve">Funds, IBIPs,</w:t>
      </w:r>
      <w:r>
        <w:t xml:space="preserve"> </w:t>
      </w:r>
      <w:r>
        <w:t xml:space="preserve">Green Bonds,</w:t>
      </w:r>
      <w:r>
        <w:t xml:space="preserve"> </w:t>
      </w:r>
      <w:r>
        <w:t xml:space="preserve">savings</w:t>
      </w:r>
      <w:r>
        <w:t xml:space="preserve"> </w:t>
      </w:r>
      <w:r>
        <w:t xml:space="preserve">products</w:t>
      </w:r>
      <w:r>
        <w:t xml:space="preserve"> </w:t>
      </w:r>
      <w:r>
        <w:t xml:space="preserve">- Exclusion relating to nuclear, armaments, fossil</w:t>
      </w:r>
      <w:r>
        <w:t xml:space="preserve"> </w:t>
      </w:r>
      <w:r>
        <w:t xml:space="preserve">fuels, genetic engineering, human rights</w:t>
      </w:r>
      <w:r>
        <w:t xml:space="preserve"> </w:t>
      </w:r>
      <w:r>
        <w:t xml:space="preserve">violations, lack of minimum commitment to</w:t>
      </w:r>
      <w:r>
        <w:t xml:space="preserve"> </w:t>
      </w:r>
      <w:r>
        <w:t xml:space="preserve">labour standards. Note: separate criteria for public</w:t>
      </w:r>
      <w:r>
        <w:t xml:space="preserve"> </w:t>
      </w:r>
      <w:r>
        <w:t xml:space="preserve">issuers and real estate</w:t>
      </w:r>
      <w:r>
        <w:br/>
      </w:r>
      <w:r>
        <w:t xml:space="preserve">- Investment policy and selection criteria, survey,</w:t>
      </w:r>
      <w:r>
        <w:t xml:space="preserve"> </w:t>
      </w:r>
      <w:r>
        <w:t xml:space="preserve">evaluation, and selection processes of sustainable</w:t>
      </w:r>
      <w:r>
        <w:t xml:space="preserve"> </w:t>
      </w:r>
      <w:r>
        <w:t xml:space="preserve">investment products must be above average or</w:t>
      </w:r>
      <w:r>
        <w:t xml:space="preserve"> </w:t>
      </w:r>
      <w:r>
        <w:t xml:space="preserve">contribute to present/future problem or exclude</w:t>
      </w:r>
      <w:r>
        <w:t xml:space="preserve"> </w:t>
      </w:r>
      <w:r>
        <w:t xml:space="preserve">certain issues on environmental or social aspects.</w:t>
      </w:r>
      <w:r>
        <w:t xml:space="preserve"> </w:t>
      </w:r>
      <w:r>
        <w:t xml:space="preserve">Other criteria apply for Real estate and Bonds.</w:t>
      </w:r>
    </w:p>
    <w:p>
      <w:pPr>
        <w:pStyle w:val="BodyText"/>
      </w:pPr>
      <w:r>
        <w:t xml:space="preserve">302 ESMA Q&amp;A on the application of the Guidelines on funds’ names, 13 December 2024</w:t>
      </w:r>
      <w:r>
        <w:t xml:space="preserve"> </w:t>
      </w:r>
      <w:r>
        <w:t xml:space="preserve">303 Also see for more information: A Comparative Study of European Sustainable Finance Labels by</w:t>
      </w:r>
      <w:r>
        <w:t xml:space="preserve"> </w:t>
      </w:r>
      <w:r>
        <w:t xml:space="preserve">Karina</w:t>
      </w:r>
      <w:r>
        <w:t xml:space="preserve"> </w:t>
      </w:r>
      <w:r>
        <w:t xml:space="preserve">Megaeva,</w:t>
      </w:r>
      <w:r>
        <w:t xml:space="preserve"> </w:t>
      </w:r>
      <w:r>
        <w:t xml:space="preserve">Peter-Jan</w:t>
      </w:r>
      <w:r>
        <w:t xml:space="preserve"> </w:t>
      </w:r>
      <w:r>
        <w:t xml:space="preserve">Engelen,</w:t>
      </w:r>
      <w:r>
        <w:t xml:space="preserve"> </w:t>
      </w:r>
      <w:r>
        <w:t xml:space="preserve">Luc</w:t>
      </w:r>
      <w:r>
        <w:t xml:space="preserve"> </w:t>
      </w:r>
      <w:r>
        <w:t xml:space="preserve">Van</w:t>
      </w:r>
      <w:r>
        <w:t xml:space="preserve"> </w:t>
      </w:r>
      <w:r>
        <w:t xml:space="preserve">Liedekerke,</w:t>
      </w:r>
      <w:r>
        <w:t xml:space="preserve"> </w:t>
      </w:r>
      <w:r>
        <w:t xml:space="preserve">available</w:t>
      </w:r>
      <w:r>
        <w:t xml:space="preserve"> </w:t>
      </w:r>
      <w:r>
        <w:t xml:space="preserve">at:</w:t>
      </w:r>
      <w:r>
        <w:t xml:space="preserve"> </w:t>
      </w:r>
      <w:r>
        <w:t xml:space="preserve">https://papers.ssrn.com/sol3/papers.cfm?abstract_id=3790435, and Sustainable investment fund labelling</w:t>
      </w:r>
      <w:r>
        <w:t xml:space="preserve"> </w:t>
      </w:r>
      <w:r>
        <w:t xml:space="preserve">frameworks: An apples-to-apples comparison available at: https://qontigo.com/sustainable-investment-</w:t>
      </w:r>
      <w:r>
        <w:t xml:space="preserve"> </w:t>
      </w:r>
      <w:r>
        <w:t xml:space="preserve">fund-labeling-frameworks-an-apples-to-apples-comparison/ . Plus de 2 000 fonds labellisés aux promesses</w:t>
      </w:r>
      <w:r>
        <w:t xml:space="preserve"> </w:t>
      </w:r>
      <w:r>
        <w:t xml:space="preserve">confuses</w:t>
      </w:r>
      <w:r>
        <w:t xml:space="preserve"> </w:t>
      </w:r>
      <w:r>
        <w:t xml:space="preserve">(October</w:t>
      </w:r>
      <w:r>
        <w:t xml:space="preserve"> </w:t>
      </w:r>
      <w:r>
        <w:t xml:space="preserve">2023)</w:t>
      </w:r>
      <w:r>
        <w:t xml:space="preserve"> </w:t>
      </w:r>
      <w:r>
        <w:t xml:space="preserve">shows</w:t>
      </w:r>
      <w:r>
        <w:t xml:space="preserve"> </w:t>
      </w:r>
      <w:r>
        <w:t xml:space="preserve">a</w:t>
      </w:r>
      <w:r>
        <w:t xml:space="preserve"> </w:t>
      </w:r>
      <w:r>
        <w:t xml:space="preserve">table</w:t>
      </w:r>
      <w:r>
        <w:t xml:space="preserve"> </w:t>
      </w:r>
      <w:r>
        <w:t xml:space="preserve">with</w:t>
      </w:r>
      <w:r>
        <w:t xml:space="preserve"> </w:t>
      </w:r>
      <w:r>
        <w:t xml:space="preserve">AuMs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labels</w:t>
      </w:r>
      <w:r>
        <w:t xml:space="preserve"> </w:t>
      </w:r>
      <w:r>
        <w:t xml:space="preserve">(https://www.novethic.fr/financedurable/publications/etude/fonds-durables-labellises-en-europe.html ).</w:t>
      </w:r>
      <w:r>
        <w:t xml:space="preserve"> </w:t>
      </w:r>
      <w:r>
        <w:t xml:space="preserve">304 CDP</w:t>
      </w:r>
      <w:r>
        <w:t xml:space="preserve"> </w:t>
      </w:r>
      <w:r>
        <w:t xml:space="preserve">305 Umweltzeichen Richtlinie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FNG-Siegel306</w:t>
      </w:r>
      <w:r>
        <w:t xml:space="preserve"> </w:t>
      </w:r>
      <w:r>
        <w:t xml:space="preserve">(Germany)</w:t>
      </w:r>
      <w:r>
        <w:t xml:space="preserve"> </w:t>
      </w:r>
      <w:r>
        <w:t xml:space="preserve">Funds</w:t>
      </w:r>
      <w:r>
        <w:t xml:space="preserve"> </w:t>
      </w:r>
      <w:r>
        <w:t xml:space="preserve">- Exclusions relating to nuclear, armaments, fossil</w:t>
      </w:r>
      <w:r>
        <w:t xml:space="preserve"> </w:t>
      </w:r>
      <w:r>
        <w:t xml:space="preserve">fuels, fracking and oil sand, tobacco, human</w:t>
      </w:r>
      <w:r>
        <w:t xml:space="preserve"> </w:t>
      </w:r>
      <w:r>
        <w:t xml:space="preserve">rights violations, corruption lack of minimum</w:t>
      </w:r>
      <w:r>
        <w:t xml:space="preserve"> </w:t>
      </w:r>
      <w:r>
        <w:t xml:space="preserve">commitment to labour standards. Note: separate</w:t>
      </w:r>
      <w:r>
        <w:t xml:space="preserve"> </w:t>
      </w:r>
      <w:r>
        <w:t xml:space="preserve">criteria for public issuers - SFDR Art. 8 &amp; 9,</w:t>
      </w:r>
      <w:r>
        <w:t xml:space="preserve"> </w:t>
      </w:r>
      <w:r>
        <w:t xml:space="preserve">analysis of ESG criteria of all holdings - EuroSIF</w:t>
      </w:r>
      <w:r>
        <w:t xml:space="preserve"> </w:t>
      </w:r>
      <w:r>
        <w:t xml:space="preserve">Transparency Codex - Enhancements through</w:t>
      </w:r>
      <w:r>
        <w:t xml:space="preserve"> </w:t>
      </w:r>
      <w:r>
        <w:t xml:space="preserve">additional requirements including investment</w:t>
      </w:r>
      <w:r>
        <w:t xml:space="preserve"> </w:t>
      </w:r>
      <w:r>
        <w:t xml:space="preserve">approaches, credibility of institution and product</w:t>
      </w:r>
      <w:r>
        <w:t xml:space="preserve"> </w:t>
      </w:r>
      <w:r>
        <w:t xml:space="preserve">standards (research, communication)</w:t>
      </w:r>
      <w:r>
        <w:t xml:space="preserve"> </w:t>
      </w:r>
      <w:r>
        <w:t xml:space="preserve">Greenfin</w:t>
      </w:r>
      <w:r>
        <w:t xml:space="preserve"> </w:t>
      </w:r>
      <w:r>
        <w:t xml:space="preserve">(France)307</w:t>
      </w:r>
      <w:r>
        <w:t xml:space="preserve"> </w:t>
      </w:r>
      <w:r>
        <w:t xml:space="preserve">Climate</w:t>
      </w:r>
      <w:r>
        <w:t xml:space="preserve"> </w:t>
      </w:r>
      <w:r>
        <w:t xml:space="preserve">oriented</w:t>
      </w:r>
      <w:r>
        <w:t xml:space="preserve"> </w:t>
      </w:r>
      <w:r>
        <w:t xml:space="preserve">products</w:t>
      </w:r>
      <w:r>
        <w:t xml:space="preserve"> </w:t>
      </w:r>
      <w:r>
        <w:t xml:space="preserve">- Investment in EU issuers, Green bonds or</w:t>
      </w:r>
      <w:r>
        <w:t xml:space="preserve"> </w:t>
      </w:r>
      <w:r>
        <w:t xml:space="preserve">certain other debt securities.</w:t>
      </w:r>
      <w:r>
        <w:br/>
      </w:r>
      <w:r>
        <w:t xml:space="preserve">- Detailed exclusions related to fossil fuel</w:t>
      </w:r>
      <w:r>
        <w:br/>
      </w:r>
      <w:r>
        <w:t xml:space="preserve">- Monitoring mechanism for ESG controversies</w:t>
      </w:r>
      <w:r>
        <w:br/>
      </w:r>
      <w:r>
        <w:t xml:space="preserve">- Measurement of positive impact</w:t>
      </w:r>
      <w:r>
        <w:t xml:space="preserve"> </w:t>
      </w:r>
      <w:r>
        <w:t xml:space="preserve">ISR Label</w:t>
      </w:r>
      <w:r>
        <w:t xml:space="preserve"> </w:t>
      </w:r>
      <w:r>
        <w:t xml:space="preserve">(France)308 (soon</w:t>
      </w:r>
      <w:r>
        <w:t xml:space="preserve"> </w:t>
      </w:r>
      <w:r>
        <w:t xml:space="preserve">to be revised)</w:t>
      </w:r>
      <w:r>
        <w:t xml:space="preserve"> </w:t>
      </w:r>
      <w:r>
        <w:t xml:space="preserve">Financial</w:t>
      </w:r>
      <w:r>
        <w:t xml:space="preserve"> </w:t>
      </w:r>
      <w:r>
        <w:t xml:space="preserve">Products</w:t>
      </w:r>
      <w:r>
        <w:t xml:space="preserve"> </w:t>
      </w:r>
      <w:r>
        <w:t xml:space="preserve">Label does not set per se criteria of what is</w:t>
      </w:r>
      <w:r>
        <w:t xml:space="preserve"> </w:t>
      </w:r>
      <w:r>
        <w:t xml:space="preserve">considered sustainable but is focusing on</w:t>
      </w:r>
      <w:r>
        <w:t xml:space="preserve"> </w:t>
      </w:r>
      <w:r>
        <w:t xml:space="preserve">assessing policy vs. results as follows: -</w:t>
      </w:r>
      <w:r>
        <w:t xml:space="preserve"> </w:t>
      </w:r>
      <w:r>
        <w:t xml:space="preserve">Assessment of the objectives targeted by the</w:t>
      </w:r>
      <w:r>
        <w:t xml:space="preserve"> </w:t>
      </w:r>
      <w:r>
        <w:t xml:space="preserve">fund. - Assessment of the analysis and rating</w:t>
      </w:r>
      <w:r>
        <w:t xml:space="preserve"> </w:t>
      </w:r>
      <w:r>
        <w:t xml:space="preserve">methodology used by the asset manager. -</w:t>
      </w:r>
      <w:r>
        <w:t xml:space="preserve"> </w:t>
      </w:r>
      <w:r>
        <w:t xml:space="preserve">Assessment of inclusion of criteria in the</w:t>
      </w:r>
      <w:r>
        <w:t xml:space="preserve"> </w:t>
      </w:r>
      <w:r>
        <w:t xml:space="preserve">portfolio construction - Engagement policy &amp;</w:t>
      </w:r>
      <w:r>
        <w:t xml:space="preserve"> </w:t>
      </w:r>
      <w:r>
        <w:t xml:space="preserve">Transparency.</w:t>
      </w:r>
      <w:r>
        <w:t xml:space="preserve"> </w:t>
      </w:r>
      <w:r>
        <w:t xml:space="preserve">LuxFLAG309</w:t>
      </w:r>
      <w:r>
        <w:t xml:space="preserve"> </w:t>
      </w:r>
      <w:r>
        <w:t xml:space="preserve">Financial</w:t>
      </w:r>
      <w:r>
        <w:t xml:space="preserve"> </w:t>
      </w:r>
      <w:r>
        <w:t xml:space="preserve">products</w:t>
      </w:r>
      <w:r>
        <w:t xml:space="preserve"> </w:t>
      </w:r>
      <w:r>
        <w:t xml:space="preserve">Diverse range of labels distinguishing between:</w:t>
      </w:r>
      <w:r>
        <w:br/>
      </w:r>
      <w:r>
        <w:t xml:space="preserve">- Impact: Microfinance, Environment, Climate</w:t>
      </w:r>
      <w:r>
        <w:t xml:space="preserve"> </w:t>
      </w:r>
      <w:r>
        <w:t xml:space="preserve">Finance, Green Bond.</w:t>
      </w:r>
      <w:r>
        <w:br/>
      </w:r>
      <w:r>
        <w:t xml:space="preserve">- Sustainability Transition Labels: ESG, ESG</w:t>
      </w:r>
      <w:r>
        <w:t xml:space="preserve"> </w:t>
      </w:r>
      <w:r>
        <w:t xml:space="preserve">Insurance Products, ESG Discretionary Mandate.</w:t>
      </w:r>
      <w:r>
        <w:t xml:space="preserve"> </w:t>
      </w:r>
      <w:r>
        <w:t xml:space="preserve">Nordic Swan</w:t>
      </w:r>
      <w:r>
        <w:t xml:space="preserve"> </w:t>
      </w:r>
      <w:r>
        <w:t xml:space="preserve">Ecolabel310</w:t>
      </w:r>
      <w:r>
        <w:t xml:space="preserve"> </w:t>
      </w:r>
      <w:r>
        <w:t xml:space="preserve">Funds &amp;</w:t>
      </w:r>
      <w:r>
        <w:t xml:space="preserve"> </w:t>
      </w:r>
      <w:r>
        <w:t xml:space="preserve">Investment</w:t>
      </w:r>
      <w:r>
        <w:t xml:space="preserve"> </w:t>
      </w:r>
      <w:r>
        <w:t xml:space="preserve">Products</w:t>
      </w:r>
      <w:r>
        <w:t xml:space="preserve"> </w:t>
      </w:r>
      <w:r>
        <w:t xml:space="preserve">- Exclusion relating to coal, oil, gas, nuclear,</w:t>
      </w:r>
      <w:r>
        <w:t xml:space="preserve"> </w:t>
      </w:r>
      <w:r>
        <w:t xml:space="preserve">tobacco, weapons, and non-compliance with</w:t>
      </w:r>
      <w:r>
        <w:t xml:space="preserve"> </w:t>
      </w:r>
      <w:r>
        <w:t xml:space="preserve">international norms.</w:t>
      </w:r>
      <w:r>
        <w:br/>
      </w:r>
      <w:r>
        <w:t xml:space="preserve">- Assessment of ESG &amp; EU Taxonomy</w:t>
      </w:r>
      <w:r>
        <w:t xml:space="preserve"> </w:t>
      </w:r>
      <w:r>
        <w:t xml:space="preserve">performance on all holdings</w:t>
      </w:r>
      <w:r>
        <w:br/>
      </w:r>
      <w:r>
        <w:t xml:space="preserve">- Investment in companies with high GHG</w:t>
      </w:r>
      <w:r>
        <w:t xml:space="preserve"> </w:t>
      </w:r>
      <w:r>
        <w:t xml:space="preserve">emission only if company meets strict reduction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306 Criteria – FNG Seal</w:t>
      </w:r>
      <w:r>
        <w:t xml:space="preserve"> </w:t>
      </w:r>
      <w:r>
        <w:t xml:space="preserve">307 ecologie.gouv.fr/politiques-publiques/label-greenfin</w:t>
      </w:r>
      <w:r>
        <w:t xml:space="preserve"> </w:t>
      </w:r>
      <w:r>
        <w:t xml:space="preserve">308 Label ISR - Pour des placements durables et responsables</w:t>
      </w:r>
      <w:r>
        <w:t xml:space="preserve"> </w:t>
      </w:r>
      <w:r>
        <w:t xml:space="preserve">309 Investment funds and investment products 101</w:t>
      </w:r>
      <w:r>
        <w:t xml:space="preserve"> </w:t>
      </w:r>
      <w:r>
        <w:t xml:space="preserve">310 Investment funds and investment products 101</w:t>
      </w:r>
    </w:p>
    <w:p>
      <w:pPr>
        <w:pStyle w:val="BodyText"/>
      </w:pPr>
      <w:r>
        <w:t xml:space="preserve">155</w:t>
      </w:r>
    </w:p>
    <w:p>
      <w:pPr>
        <w:pStyle w:val="Compact"/>
        <w:numPr>
          <w:ilvl w:val="0"/>
          <w:numId w:val="1026"/>
        </w:numPr>
      </w:pPr>
      <w:r>
        <w:t xml:space="preserve">Analysing biodiversity performance and</w:t>
      </w:r>
      <w:r>
        <w:t xml:space="preserve"> </w:t>
      </w:r>
      <w:r>
        <w:t xml:space="preserve">engagement with companies performing poorly.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70% in holdings with strong sustainability</w:t>
      </w:r>
      <w:r>
        <w:t xml:space="preserve"> </w:t>
      </w:r>
      <w:r>
        <w:t xml:space="preserve">practices.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Promoting companies with clear environmental</w:t>
      </w:r>
      <w:r>
        <w:t xml:space="preserve"> </w:t>
      </w:r>
      <w:r>
        <w:t xml:space="preserve">objectives.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Active Ownership.</w:t>
      </w:r>
      <w:r>
        <w:t xml:space="preserve"> </w:t>
      </w:r>
      <w:r>
        <w:t xml:space="preserve">Towards</w:t>
      </w:r>
      <w:r>
        <w:t xml:space="preserve"> </w:t>
      </w:r>
      <w:r>
        <w:t xml:space="preserve">Sustainability</w:t>
      </w:r>
      <w:r>
        <w:t xml:space="preserve"> </w:t>
      </w:r>
      <w:r>
        <w:t xml:space="preserve">Initiative</w:t>
      </w:r>
      <w:r>
        <w:t xml:space="preserve"> </w:t>
      </w:r>
      <w:r>
        <w:t xml:space="preserve">(Belgium)311</w:t>
      </w:r>
      <w:r>
        <w:t xml:space="preserve"> </w:t>
      </w:r>
      <w:r>
        <w:t xml:space="preserve">Financial</w:t>
      </w:r>
      <w:r>
        <w:t xml:space="preserve"> </w:t>
      </w:r>
      <w:r>
        <w:t xml:space="preserve">products</w:t>
      </w:r>
    </w:p>
    <w:p>
      <w:pPr>
        <w:pStyle w:val="Compact"/>
        <w:numPr>
          <w:ilvl w:val="0"/>
          <w:numId w:val="1026"/>
        </w:numPr>
      </w:pPr>
      <w:r>
        <w:t xml:space="preserve">Exclusion regarding weapons, tobacco, coal,</w:t>
      </w:r>
      <w:r>
        <w:t xml:space="preserve"> </w:t>
      </w:r>
      <w:r>
        <w:t xml:space="preserve">unconventional oil &amp; gas and laggard oil &amp; gas</w:t>
      </w:r>
      <w:r>
        <w:t xml:space="preserve"> </w:t>
      </w:r>
      <w:r>
        <w:t xml:space="preserve">and electricity utilities, non-violation of</w:t>
      </w:r>
      <w:r>
        <w:t xml:space="preserve"> </w:t>
      </w:r>
      <w:r>
        <w:t xml:space="preserve">international norms and standards.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Investment is screened for potential positive or</w:t>
      </w:r>
      <w:r>
        <w:t xml:space="preserve"> </w:t>
      </w:r>
      <w:r>
        <w:t xml:space="preserve">negative impact on sustainability issues.</w:t>
      </w:r>
      <w:r>
        <w:t xml:space="preserve"> </w:t>
      </w:r>
      <w:r>
        <w:t xml:space="preserve">Additionally, the possible impact of sustainability</w:t>
      </w:r>
      <w:r>
        <w:t xml:space="preserve"> </w:t>
      </w:r>
      <w:r>
        <w:t xml:space="preserve">events like climate change, social unrest or legal</w:t>
      </w:r>
      <w:r>
        <w:t xml:space="preserve"> </w:t>
      </w:r>
      <w:r>
        <w:t xml:space="preserve">controversies is analysed.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Positive impact through additional strategy like</w:t>
      </w:r>
      <w:r>
        <w:t xml:space="preserve"> </w:t>
      </w:r>
      <w:r>
        <w:t xml:space="preserve">best in class, sustainability themed, impact</w:t>
      </w:r>
      <w:r>
        <w:t xml:space="preserve"> </w:t>
      </w:r>
      <w:r>
        <w:t xml:space="preserve">investing, outperforming a benchmark,</w:t>
      </w:r>
      <w:r>
        <w:t xml:space="preserve"> </w:t>
      </w:r>
      <w:r>
        <w:t xml:space="preserve">overweighting and underweighting positions,</w:t>
      </w:r>
      <w:r>
        <w:t xml:space="preserve"> </w:t>
      </w:r>
      <w:r>
        <w:t xml:space="preserve">engagement.</w:t>
      </w:r>
    </w:p>
    <w:p>
      <w:pPr>
        <w:pStyle w:val="FirstParagraph"/>
      </w:pPr>
      <w:r>
        <w:t xml:space="preserve">C. UK sustainability disclosure requirements (SDR) and investment labels</w:t>
      </w:r>
      <w:r>
        <w:t xml:space="preserve"> </w:t>
      </w:r>
      <w:r>
        <w:t xml:space="preserve">The UK introduced new sustainability disclosures requirements (SDR) and investment</w:t>
      </w:r>
      <w:r>
        <w:t xml:space="preserve"> </w:t>
      </w:r>
      <w:r>
        <w:t xml:space="preserve">labels which began applying in 2024312. This covers anti-greenwashing rules for all</w:t>
      </w:r>
      <w:r>
        <w:t xml:space="preserve"> </w:t>
      </w:r>
      <w:r>
        <w:t xml:space="preserve">authorised firms, requirements for sustainability-related claims to be fair, clear and not</w:t>
      </w:r>
      <w:r>
        <w:t xml:space="preserve"> </w:t>
      </w:r>
      <w:r>
        <w:t xml:space="preserve">misleading, naming and marketing rules for investment funds making ESG claims, as</w:t>
      </w:r>
      <w:r>
        <w:t xml:space="preserve"> </w:t>
      </w:r>
      <w:r>
        <w:t xml:space="preserve">well as four labels to help investors navigate the investment product landscape: (i)</w:t>
      </w:r>
      <w:r>
        <w:t xml:space="preserve"> </w:t>
      </w:r>
      <w:r>
        <w:t xml:space="preserve">sustainability focus (products mainly investing in assets that are already sustainable); (ii)</w:t>
      </w:r>
      <w:r>
        <w:t xml:space="preserve"> </w:t>
      </w:r>
      <w:r>
        <w:t xml:space="preserve">sustainability improvers (products mainly investing in transitioning assets); (iii)</w:t>
      </w:r>
      <w:r>
        <w:t xml:space="preserve"> </w:t>
      </w:r>
      <w:r>
        <w:t xml:space="preserve">sustainability impact (products mainly aiming at a very targeted contribution); and (iv) a</w:t>
      </w:r>
      <w:r>
        <w:t xml:space="preserve"> </w:t>
      </w:r>
      <w:r>
        <w:t xml:space="preserve">mixed category.</w:t>
      </w:r>
    </w:p>
    <w:p>
      <w:pPr>
        <w:pStyle w:val="BodyText"/>
      </w:pPr>
      <w:r>
        <w:t xml:space="preserve">Research published by the Investment Association in early 2025313 compared responses</w:t>
      </w:r>
      <w:r>
        <w:t xml:space="preserve"> </w:t>
      </w:r>
      <w:r>
        <w:t xml:space="preserve">from 50 UK firms regarding implementation of the new rules.</w:t>
      </w:r>
      <w:r>
        <w:t xml:space="preserve"> </w:t>
      </w:r>
      <w:r>
        <w:t xml:space="preserve">Key findings:</w:t>
      </w:r>
    </w:p>
    <w:p>
      <w:pPr>
        <w:pStyle w:val="BodyText"/>
      </w:pPr>
      <w:r>
        <w:t xml:space="preserve">311 Towards Sustainability Initiative | Towards Sustainability</w:t>
      </w:r>
      <w:r>
        <w:t xml:space="preserve"> </w:t>
      </w:r>
      <w:r>
        <w:t xml:space="preserve">312 PS23/16: Sustainability Disclosure Requirements (SDR) and investment labels | FCA</w:t>
      </w:r>
      <w:r>
        <w:t xml:space="preserve"> </w:t>
      </w:r>
      <w:r>
        <w:t xml:space="preserve">313 The second annual SDR Implementation Survey (April 2025): Implementation challenges slow SDR</w:t>
      </w:r>
      <w:r>
        <w:t xml:space="preserve"> </w:t>
      </w:r>
      <w:r>
        <w:t xml:space="preserve">label adoption, despite transparency gains | Press Releases | The Investment Association</w:t>
      </w:r>
      <w:r>
        <w:t xml:space="preserve"> </w:t>
      </w:r>
      <w:r>
        <w:t xml:space="preserve">SDR: Investor and adviser awareness, understanding and expectations: SDR investor and adviser</w:t>
      </w:r>
      <w:r>
        <w:t xml:space="preserve"> </w:t>
      </w:r>
      <w:r>
        <w:t xml:space="preserve">awareness, understanding and expectations 2025.pdf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Over a third (39%) of firms have adopted an SDR label for at least one of their</w:t>
      </w:r>
      <w:r>
        <w:t xml:space="preserve"> </w:t>
      </w:r>
      <w:r>
        <w:t xml:space="preserve">funds, although the figure is less than anticipated in a prior survey (106 labelled</w:t>
      </w:r>
      <w:r>
        <w:t xml:space="preserve"> </w:t>
      </w:r>
      <w:r>
        <w:t xml:space="preserve">funds in the market compared to the anticipated 216).</w:t>
      </w:r>
      <w:r>
        <w:br/>
      </w:r>
      <w:r>
        <w:t xml:space="preserve"></w:t>
      </w:r>
      <w:r>
        <w:t xml:space="preserve"> </w:t>
      </w:r>
      <w:r>
        <w:t xml:space="preserve">Sustainability Focus is the most popular label, with 63 funds approved, followed</w:t>
      </w:r>
      <w:r>
        <w:t xml:space="preserve"> </w:t>
      </w:r>
      <w:r>
        <w:t xml:space="preserve">by Sustainability Impact (22), Sustainability Improvers (17) and Sustainability</w:t>
      </w:r>
      <w:r>
        <w:t xml:space="preserve"> </w:t>
      </w:r>
      <w:r>
        <w:t xml:space="preserve">Mixed Goals (4).</w:t>
      </w:r>
      <w:r>
        <w:t xml:space="preserve"> </w:t>
      </w:r>
      <w:r>
        <w:t xml:space="preserve"></w:t>
      </w:r>
      <w:r>
        <w:t xml:space="preserve"> </w:t>
      </w:r>
      <w:r>
        <w:t xml:space="preserve">Fund labelling process has improved transparency. Almost all (91%) surveyed</w:t>
      </w:r>
      <w:r>
        <w:t xml:space="preserve"> </w:t>
      </w:r>
      <w:r>
        <w:t xml:space="preserve">firms adopting an SDR label have updated the labelled fund’s investment policy</w:t>
      </w:r>
      <w:r>
        <w:t xml:space="preserve"> </w:t>
      </w:r>
      <w:r>
        <w:t xml:space="preserve">or strategy to be more transparent on the fund’s sustainability approach, and 83%</w:t>
      </w:r>
      <w:r>
        <w:t xml:space="preserve"> </w:t>
      </w:r>
      <w:r>
        <w:t xml:space="preserve">have added a sustainability investment objective for at least one fund. 39% of</w:t>
      </w:r>
      <w:r>
        <w:t xml:space="preserve"> </w:t>
      </w:r>
      <w:r>
        <w:t xml:space="preserve">firms agree that the SDR regime will make it easier for investors to find and</w:t>
      </w:r>
      <w:r>
        <w:t xml:space="preserve"> </w:t>
      </w:r>
      <w:r>
        <w:t xml:space="preserve">compare non-labelled funds with sustainability characteristics. In addition, 35%</w:t>
      </w:r>
      <w:r>
        <w:t xml:space="preserve"> </w:t>
      </w:r>
      <w:r>
        <w:t xml:space="preserve">of firms agree that the SDR framework gives sufficient flexibility to</w:t>
      </w:r>
      <w:r>
        <w:t xml:space="preserve"> </w:t>
      </w:r>
      <w:r>
        <w:t xml:space="preserve">accommodate different types of sustainable investment approaches. Further</w:t>
      </w:r>
      <w:r>
        <w:t xml:space="preserve"> </w:t>
      </w:r>
      <w:r>
        <w:t xml:space="preserve">research from the Investment Association and The Wisdom Council found that</w:t>
      </w:r>
      <w:r>
        <w:t xml:space="preserve"> </w:t>
      </w:r>
      <w:r>
        <w:t xml:space="preserve">almost all (94%) retail investors with a propensity for sustainable investing</w:t>
      </w:r>
      <w:r>
        <w:t xml:space="preserve"> </w:t>
      </w:r>
      <w:r>
        <w:t xml:space="preserve">agreed that they would find the labelling regime helpful.</w:t>
      </w:r>
      <w:r>
        <w:t xml:space="preserve"> </w:t>
      </w:r>
      <w:r>
        <w:t xml:space="preserve"></w:t>
      </w:r>
      <w:r>
        <w:t xml:space="preserve"> </w:t>
      </w:r>
      <w:r>
        <w:t xml:space="preserve">Some challenges are however also noted. Almost half (49%) of firms have at least</w:t>
      </w:r>
      <w:r>
        <w:t xml:space="preserve"> </w:t>
      </w:r>
      <w:r>
        <w:t xml:space="preserve">one fund that they considered adopting a label for but later decided against it,</w:t>
      </w:r>
      <w:r>
        <w:t xml:space="preserve"> </w:t>
      </w:r>
      <w:r>
        <w:t xml:space="preserve">with a third (32%) making this decision after going through the authorisation</w:t>
      </w:r>
      <w:r>
        <w:t xml:space="preserve"> </w:t>
      </w:r>
      <w:r>
        <w:t xml:space="preserve">process (firms who successfully applied for a label are said to have had to</w:t>
      </w:r>
      <w:r>
        <w:t xml:space="preserve"> </w:t>
      </w:r>
      <w:r>
        <w:t xml:space="preserve">resubmit applications on average three times for their first labelled fund). Firms</w:t>
      </w:r>
      <w:r>
        <w:t xml:space="preserve"> </w:t>
      </w:r>
      <w:r>
        <w:t xml:space="preserve">are also unsure if SDR will lead to more money invested into these products. Just</w:t>
      </w:r>
      <w:r>
        <w:t xml:space="preserve"> </w:t>
      </w:r>
      <w:r>
        <w:t xml:space="preserve">14% of firms agreed that the SDR regime will result in more capital flows into</w:t>
      </w:r>
      <w:r>
        <w:t xml:space="preserve"> </w:t>
      </w:r>
      <w:r>
        <w:t xml:space="preserve">sustainable funds over the next three years.</w:t>
      </w:r>
      <w:r>
        <w:t xml:space="preserve"> </w:t>
      </w:r>
      <w:r>
        <w:t xml:space="preserve"></w:t>
      </w:r>
      <w:r>
        <w:t xml:space="preserve"> </w:t>
      </w:r>
      <w:r>
        <w:t xml:space="preserve">Beyond the labels, naming and marketing rules are said to have had a broader</w:t>
      </w:r>
      <w:r>
        <w:t xml:space="preserve"> </w:t>
      </w:r>
      <w:r>
        <w:t xml:space="preserve">impact, as non-labelled funds with sustainability characteristics cover a larger</w:t>
      </w:r>
      <w:r>
        <w:t xml:space="preserve"> </w:t>
      </w:r>
      <w:r>
        <w:t xml:space="preserve">market share than labelled funds. 80% of survey respondents have non-labelled</w:t>
      </w:r>
      <w:r>
        <w:t xml:space="preserve"> </w:t>
      </w:r>
      <w:r>
        <w:t xml:space="preserve">funds that are subject to additional disclosure requirements under the naming and</w:t>
      </w:r>
      <w:r>
        <w:t xml:space="preserve"> </w:t>
      </w:r>
      <w:r>
        <w:t xml:space="preserve">marketing rules. At least 340 funds fall into this bucket, more than three times as</w:t>
      </w:r>
      <w:r>
        <w:t xml:space="preserve"> </w:t>
      </w:r>
      <w:r>
        <w:t xml:space="preserve">many funds as those which have a label. The most common approaches taken by</w:t>
      </w:r>
      <w:r>
        <w:t xml:space="preserve"> </w:t>
      </w:r>
      <w:r>
        <w:t xml:space="preserve">these funds are negative/exclusionary screening (83%), ESG integration (75%)</w:t>
      </w:r>
      <w:r>
        <w:t xml:space="preserve"> </w:t>
      </w:r>
      <w:r>
        <w:t xml:space="preserve">and positive tilt (55%). Over half (55%) of firms had to make changes to their</w:t>
      </w:r>
      <w:r>
        <w:t xml:space="preserve"> </w:t>
      </w:r>
      <w:r>
        <w:t xml:space="preserve">funds as a result of the naming and marketing rules, with almost a third (28%)</w:t>
      </w:r>
      <w:r>
        <w:t xml:space="preserve"> </w:t>
      </w:r>
      <w:r>
        <w:t xml:space="preserve">replacing a restricted term with a non-restricted term in the fund name, and a</w:t>
      </w:r>
      <w:r>
        <w:t xml:space="preserve"> </w:t>
      </w:r>
      <w:r>
        <w:t xml:space="preserve">quarter (26%) removing a restricted term from a fund name.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ANNEX 10: FINDINGS FROM CONSUMER TESTING STUDIES</w:t>
      </w:r>
      <w:r>
        <w:br/>
      </w:r>
      <w:r>
        <w:t xml:space="preserve">Executive summary</w:t>
      </w:r>
      <w:r>
        <w:br/>
      </w:r>
      <w:r>
        <w:t xml:space="preserve">In the context of the ongoing SFDR assessment, we have analysed existing</w:t>
      </w:r>
      <w:r>
        <w:t xml:space="preserve"> </w:t>
      </w:r>
      <w:r>
        <w:t xml:space="preserve">studies/surveys on retail investors’ sustainability objectives and understanding. This</w:t>
      </w:r>
      <w:r>
        <w:t xml:space="preserve"> </w:t>
      </w:r>
      <w:r>
        <w:t xml:space="preserve">finding should support our impact assessment when considering potential changes to</w:t>
      </w:r>
      <w:r>
        <w:t xml:space="preserve"> </w:t>
      </w:r>
      <w:r>
        <w:t xml:space="preserve">ESG disclosures and the potential set up of sustainability-related categories for financial</w:t>
      </w:r>
      <w:r>
        <w:t xml:space="preserve"> </w:t>
      </w:r>
      <w:r>
        <w:t xml:space="preserve">products. This analysis focuses on high level elements; more granular aspects of retail</w:t>
      </w:r>
      <w:r>
        <w:t xml:space="preserve"> </w:t>
      </w:r>
      <w:r>
        <w:t xml:space="preserve">investors’ preferences should be analysed in preparation of potential level 2 rules which</w:t>
      </w:r>
      <w:r>
        <w:t xml:space="preserve"> </w:t>
      </w:r>
      <w:r>
        <w:t xml:space="preserve">are difficult to predict at this stage.</w:t>
      </w:r>
      <w:r>
        <w:br/>
      </w:r>
      <w:r>
        <w:t xml:space="preserve">Key findings include: (1) strong appetite for sustainable products; (2) main drivers for</w:t>
      </w:r>
      <w:r>
        <w:t xml:space="preserve"> </w:t>
      </w:r>
      <w:r>
        <w:t xml:space="preserve">such appetite are financial returns/economic outlook, personal values and wanting to</w:t>
      </w:r>
      <w:r>
        <w:t xml:space="preserve"> </w:t>
      </w:r>
      <w:r>
        <w:t xml:space="preserve">have a positive impact; (3) there are a wide range of sustainability objectives/themes that</w:t>
      </w:r>
      <w:r>
        <w:t xml:space="preserve"> </w:t>
      </w:r>
      <w:r>
        <w:t xml:space="preserve">retail investors want to see reflected in sustainable products, covering both environmental</w:t>
      </w:r>
      <w:r>
        <w:t xml:space="preserve"> </w:t>
      </w:r>
      <w:r>
        <w:t xml:space="preserve">and social issues; (4) main barriers to ESG investing today are the fear of greenwashing</w:t>
      </w:r>
      <w:r>
        <w:t xml:space="preserve"> </w:t>
      </w:r>
      <w:r>
        <w:t xml:space="preserve">due to inadequate ESG disclosures (length, complexity, technical jargon).</w:t>
      </w:r>
      <w:r>
        <w:br/>
      </w:r>
      <w:r>
        <w:t xml:space="preserve">While the existing studies present some limitations (e.g. global samples rather than EU</w:t>
      </w:r>
      <w:r>
        <w:t xml:space="preserve"> </w:t>
      </w:r>
      <w:r>
        <w:t xml:space="preserve">only, small samples, targeted populations that might not reflect the average retail</w:t>
      </w:r>
      <w:r>
        <w:t xml:space="preserve"> </w:t>
      </w:r>
      <w:r>
        <w:t xml:space="preserve">investors…), they already give us an idea of what EU retail investors might be interested</w:t>
      </w:r>
      <w:r>
        <w:t xml:space="preserve"> </w:t>
      </w:r>
      <w:r>
        <w:t xml:space="preserve">in and their expectations. The below summarises all existing studies that we have found.</w:t>
      </w:r>
      <w:r>
        <w:br/>
      </w:r>
      <w:r>
        <w:t xml:space="preserve">1.</w:t>
      </w:r>
      <w:r>
        <w:t xml:space="preserve"> </w:t>
      </w:r>
      <w:r>
        <w:t xml:space="preserve">Investors’ interest in sustainable investing is high</w:t>
      </w:r>
    </w:p>
    <w:p>
      <w:pPr>
        <w:pStyle w:val="BodyText"/>
      </w:pPr>
      <w:r>
        <w:t xml:space="preserve">Preliminary conclusion: recent data confirms that consumers’ interest in sustainable</w:t>
      </w:r>
      <w:r>
        <w:t xml:space="preserve"> </w:t>
      </w:r>
      <w:r>
        <w:t xml:space="preserve">investment products remains strong.</w:t>
      </w:r>
      <w:r>
        <w:t xml:space="preserve"> </w:t>
      </w:r>
      <w:r>
        <w:t xml:space="preserve">Global/EU statistics:</w:t>
      </w:r>
      <w:r>
        <w:br/>
      </w:r>
      <w:r>
        <w:t xml:space="preserve"></w:t>
      </w:r>
      <w:r>
        <w:t xml:space="preserve"> </w:t>
      </w:r>
      <w:r>
        <w:t xml:space="preserve">Globally, more than three quarters (77%) of global investors are interested</w:t>
      </w:r>
      <w:r>
        <w:t xml:space="preserve"> </w:t>
      </w:r>
      <w:r>
        <w:t xml:space="preserve">in sustainable investing. 57% say their interest increased in the last two</w:t>
      </w:r>
      <w:r>
        <w:t xml:space="preserve"> </w:t>
      </w:r>
      <w:r>
        <w:t xml:space="preserve">years and 54% anticipate increasing their sustainable investments in the next</w:t>
      </w:r>
      <w:r>
        <w:t xml:space="preserve"> </w:t>
      </w:r>
      <w:r>
        <w:t xml:space="preserve">year314.</w:t>
      </w:r>
      <w:r>
        <w:br/>
      </w:r>
      <w:r>
        <w:t xml:space="preserve"></w:t>
      </w:r>
      <w:r>
        <w:t xml:space="preserve"> </w:t>
      </w:r>
      <w:r>
        <w:t xml:space="preserve">In Europe (UK, France, Germany, Switzerland), 85% individual investors</w:t>
      </w:r>
      <w:r>
        <w:t xml:space="preserve"> </w:t>
      </w:r>
      <w:r>
        <w:t xml:space="preserve">declared being interested in sustainable investing315.</w:t>
      </w:r>
      <w:r>
        <w:br/>
      </w:r>
      <w:r>
        <w:t xml:space="preserve"></w:t>
      </w:r>
      <w:r>
        <w:t xml:space="preserve"> </w:t>
      </w:r>
      <w:r>
        <w:t xml:space="preserve">55% of EU investors surveyed are interested in sustainable finance solutions316.</w:t>
      </w:r>
      <w:r>
        <w:t xml:space="preserve"> </w:t>
      </w:r>
      <w:r>
        <w:t xml:space="preserve"></w:t>
      </w:r>
      <w:r>
        <w:t xml:space="preserve"> </w:t>
      </w:r>
      <w:r>
        <w:t xml:space="preserve">More than 60% of Europeans find it important that their savings and investments</w:t>
      </w:r>
      <w:r>
        <w:t xml:space="preserve"> </w:t>
      </w:r>
      <w:r>
        <w:t xml:space="preserve">do not fund economic activities that have a negative impact on the planet.</w:t>
      </w:r>
      <w:r>
        <w:t xml:space="preserve"> </w:t>
      </w:r>
      <w:r>
        <w:t xml:space="preserve">However, only 34% knew whether their private savings and investments were</w:t>
      </w:r>
    </w:p>
    <w:p>
      <w:pPr>
        <w:pStyle w:val="BodyText"/>
      </w:pPr>
      <w:r>
        <w:t xml:space="preserve">314 “Sustainable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global sample (US, Europe – France, Germany,</w:t>
      </w:r>
      <w:r>
        <w:t xml:space="preserve"> </w:t>
      </w:r>
      <w:r>
        <w:t xml:space="preserve">UK, Switzerland - and Japan)</w:t>
      </w:r>
      <w:r>
        <w:t xml:space="preserve"> </w:t>
      </w:r>
      <w:r>
        <w:t xml:space="preserve">315 “Sustainable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European sample. How interested are you in</w:t>
      </w:r>
      <w:r>
        <w:t xml:space="preserve"> </w:t>
      </w:r>
      <w:r>
        <w:t xml:space="preserve">sustainable investing?” Possible answers: Very interested, Somewhat interested, Not too interested, Not at all</w:t>
      </w:r>
      <w:r>
        <w:t xml:space="preserve"> </w:t>
      </w:r>
      <w:r>
        <w:t xml:space="preserve">interested.</w:t>
      </w:r>
      <w:r>
        <w:t xml:space="preserve"> </w:t>
      </w:r>
      <w:r>
        <w:t xml:space="preserve">316 Survey from 2degrees investing (survey question A7r2) “I am Interested in sustainable finance solutions” Possible</w:t>
      </w:r>
      <w:r>
        <w:t xml:space="preserve"> </w:t>
      </w:r>
      <w:r>
        <w:t xml:space="preserve">answers: Strongly agree, agree, neither agree nor disagree, disagree, strongly disagree.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invested into sustainable economic activities, and 29% received information on</w:t>
      </w:r>
      <w:r>
        <w:t xml:space="preserve"> </w:t>
      </w:r>
      <w:r>
        <w:t xml:space="preserve">the sustainability impact of financial products or services317.</w:t>
      </w:r>
      <w:r>
        <w:t xml:space="preserve"> </w:t>
      </w:r>
      <w:r>
        <w:t xml:space="preserve">National statistics</w:t>
      </w:r>
      <w:r>
        <w:br/>
      </w:r>
      <w:r>
        <w:t xml:space="preserve"></w:t>
      </w:r>
      <w:r>
        <w:t xml:space="preserve"> </w:t>
      </w:r>
      <w:r>
        <w:t xml:space="preserve">59% of Belgian investors would include sustainable investments in a mixed</w:t>
      </w:r>
      <w:r>
        <w:t xml:space="preserve"> </w:t>
      </w:r>
      <w:r>
        <w:t xml:space="preserve">portfolio, while 28% would prefer a fully sustainable portfolio. 13% would invest</w:t>
      </w:r>
      <w:r>
        <w:t xml:space="preserve"> </w:t>
      </w:r>
      <w:r>
        <w:t xml:space="preserve">only in traditional/non-sustainable investments.318</w:t>
      </w:r>
      <w:r>
        <w:t xml:space="preserve"> </w:t>
      </w:r>
      <w:r>
        <w:t xml:space="preserve"></w:t>
      </w:r>
      <w:r>
        <w:t xml:space="preserve"> </w:t>
      </w:r>
      <w:r>
        <w:t xml:space="preserve">66% of French investors say that sustainable development issues are</w:t>
      </w:r>
      <w:r>
        <w:t xml:space="preserve"> </w:t>
      </w:r>
      <w:r>
        <w:t xml:space="preserve">important for them. 75% of respondents say that the impact of investments</w:t>
      </w:r>
      <w:r>
        <w:t xml:space="preserve"> </w:t>
      </w:r>
      <w:r>
        <w:t xml:space="preserve">on the environment is an important issue319.</w:t>
      </w:r>
      <w:r>
        <w:t xml:space="preserve"> </w:t>
      </w:r>
      <w:r>
        <w:t xml:space="preserve"></w:t>
      </w:r>
      <w:r>
        <w:t xml:space="preserve"> </w:t>
      </w:r>
      <w:r>
        <w:t xml:space="preserve">58% of German investors would prefer funds that take some ESG criteria</w:t>
      </w:r>
      <w:r>
        <w:t xml:space="preserve"> </w:t>
      </w:r>
      <w:r>
        <w:t xml:space="preserve">into account, while 8% prefer conventional (no ESG) fund. 33% of</w:t>
      </w:r>
      <w:r>
        <w:t xml:space="preserve"> </w:t>
      </w:r>
      <w:r>
        <w:t xml:space="preserve">respondents prefer savings account over any investment fund.320</w:t>
      </w:r>
      <w:r>
        <w:br/>
      </w:r>
      <w:r>
        <w:t xml:space="preserve"></w:t>
      </w:r>
      <w:r>
        <w:t xml:space="preserve"> </w:t>
      </w:r>
      <w:r>
        <w:t xml:space="preserve">EU investors321 in the survey were asked: “Compared to five years ago, how</w:t>
      </w:r>
      <w:r>
        <w:t xml:space="preserve"> </w:t>
      </w:r>
      <w:r>
        <w:t xml:space="preserve">important has sustainable investing become to you?”.</w:t>
      </w:r>
      <w:r>
        <w:br/>
      </w:r>
      <w:r>
        <w:t xml:space="preserve">On average, EU investors responded: 77% more important, 20% no change,</w:t>
      </w:r>
      <w:r>
        <w:t xml:space="preserve"> </w:t>
      </w:r>
      <w:r>
        <w:t xml:space="preserve">3% less important.</w:t>
      </w:r>
      <w:r>
        <w:br/>
      </w:r>
      <w:r>
        <w:t xml:space="preserve">Participants from different countries responded:</w:t>
      </w:r>
      <w:r>
        <w:t xml:space="preserve"> </w:t>
      </w:r>
      <w:r>
        <w:t xml:space="preserve">-</w:t>
      </w:r>
      <w:r>
        <w:t xml:space="preserve"> </w:t>
      </w:r>
      <w:r>
        <w:t xml:space="preserve">Austria: 77% more important, 21% no change, 3%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Belgium: 69% more important, 27% no change, 4%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Denmark: 74% more important, 21% no change, 6%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France: 79% more important, 19% no change, 3%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Germany: 78% more important, 19% no change, 2%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Italy: 72% more important, 26% no change, 2%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Netherlands: 72% more important, 25% no change, 3% less</w:t>
      </w:r>
      <w:r>
        <w:t xml:space="preserve"> </w:t>
      </w:r>
      <w:r>
        <w:t xml:space="preserve">important</w:t>
      </w:r>
      <w:r>
        <w:t xml:space="preserve"> </w:t>
      </w:r>
      <w:r>
        <w:t xml:space="preserve">-</w:t>
      </w:r>
      <w:r>
        <w:t xml:space="preserve"> </w:t>
      </w:r>
      <w:r>
        <w:t xml:space="preserve">Poland: 81% more important, 17% no change, 2%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Portugal: 85% more important, 14% no change, 2%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Spain: 81% more important, 18% no change, 1% less important</w:t>
      </w:r>
      <w:r>
        <w:t xml:space="preserve"> </w:t>
      </w:r>
      <w:r>
        <w:t xml:space="preserve">-</w:t>
      </w:r>
      <w:r>
        <w:t xml:space="preserve"> </w:t>
      </w:r>
      <w:r>
        <w:t xml:space="preserve">Sweden: 80% more important, 17% no change, 3% less important</w:t>
      </w:r>
      <w:r>
        <w:t xml:space="preserve"> </w:t>
      </w:r>
      <w:r>
        <w:t xml:space="preserve"></w:t>
      </w:r>
      <w:r>
        <w:t xml:space="preserve"> </w:t>
      </w:r>
      <w:r>
        <w:t xml:space="preserve">Furthermore, they were asked: “Compared to five years ago, how have your</w:t>
      </w:r>
      <w:r>
        <w:t xml:space="preserve"> </w:t>
      </w:r>
      <w:r>
        <w:t xml:space="preserve">investments in sustainable investment funds changed?”. Responds follow:</w:t>
      </w:r>
      <w:r>
        <w:t xml:space="preserve"> </w:t>
      </w:r>
      <w:r>
        <w:t xml:space="preserve">-</w:t>
      </w:r>
      <w:r>
        <w:t xml:space="preserve"> </w:t>
      </w:r>
      <w:r>
        <w:t xml:space="preserve">Austria: 55% Increase, 32% no change, 6% decrease</w:t>
      </w:r>
      <w:r>
        <w:t xml:space="preserve"> </w:t>
      </w:r>
      <w:r>
        <w:t xml:space="preserve">-</w:t>
      </w:r>
      <w:r>
        <w:t xml:space="preserve"> </w:t>
      </w:r>
      <w:r>
        <w:t xml:space="preserve">Belgium: 54% Increase, 32% no change, 8% decrease</w:t>
      </w:r>
      <w:r>
        <w:t xml:space="preserve"> </w:t>
      </w:r>
      <w:r>
        <w:t xml:space="preserve">-</w:t>
      </w:r>
      <w:r>
        <w:t xml:space="preserve"> </w:t>
      </w:r>
      <w:r>
        <w:t xml:space="preserve">Denmark: 54% Increase, 29% no change, 10% decrease</w:t>
      </w:r>
      <w:r>
        <w:t xml:space="preserve"> </w:t>
      </w:r>
      <w:r>
        <w:t xml:space="preserve">-</w:t>
      </w:r>
      <w:r>
        <w:t xml:space="preserve"> </w:t>
      </w:r>
      <w:r>
        <w:t xml:space="preserve">France: 63% Increase, 26% no change, 7% decrease</w:t>
      </w:r>
    </w:p>
    <w:p>
      <w:pPr>
        <w:pStyle w:val="BodyText"/>
      </w:pPr>
      <w:r>
        <w:t xml:space="preserve">317 Retail Financial Services and Products - October 2022 - - Eurobarometer survey</w:t>
      </w:r>
      <w:r>
        <w:t xml:space="preserve"> </w:t>
      </w:r>
      <w:r>
        <w:t xml:space="preserve">318 “Towards sustainable investing: how retail investors can create an impact”, Deloitte Belgium, 2024. Sample only</w:t>
      </w:r>
      <w:r>
        <w:t xml:space="preserve"> </w:t>
      </w:r>
      <w:r>
        <w:t xml:space="preserve">includes Belgian invests. Question: “Composition of new portfolio” Possible answers: Mix, Only sustainable, Only</w:t>
      </w:r>
      <w:r>
        <w:t xml:space="preserve"> </w:t>
      </w:r>
      <w:r>
        <w:t xml:space="preserve">traditional – non-sustainable.</w:t>
      </w:r>
      <w:r>
        <w:t xml:space="preserve"> </w:t>
      </w:r>
      <w:r>
        <w:t xml:space="preserve">319 The French and responsible investments, July 2023, AMF. Only French sample.</w:t>
      </w:r>
      <w:r>
        <w:t xml:space="preserve"> </w:t>
      </w:r>
      <w:r>
        <w:t xml:space="preserve">320 Eckert et al. (2022) responses from German sample of 3699 investors. Question was “Imagine you intend to invest</w:t>
      </w:r>
      <w:r>
        <w:t xml:space="preserve"> </w:t>
      </w:r>
      <w:r>
        <w:t xml:space="preserve">in a fund. Which of the following funds would you personally prefer?</w:t>
      </w:r>
      <w:r>
        <w:br/>
      </w:r>
      <w:r>
        <w:t xml:space="preserve">a)Fund that does not take ESG criteria into account (8%) b) fund that takes ESG criteria into account (17%) c) fund</w:t>
      </w:r>
      <w:r>
        <w:t xml:space="preserve"> </w:t>
      </w:r>
      <w:r>
        <w:t xml:space="preserve">that not only takes ESG criteria into account, but actively promotes companies’ progress toward increased</w:t>
      </w:r>
      <w:r>
        <w:t xml:space="preserve"> </w:t>
      </w:r>
      <w:r>
        <w:t xml:space="preserve">sustainability (impact fund) (41%) d) not choose a fund and prefer to have my money in my banking account (33%)</w:t>
      </w:r>
      <w:r>
        <w:t xml:space="preserve"> </w:t>
      </w:r>
      <w:r>
        <w:t xml:space="preserve">321 Schroders_Report_Sustainable-Investing_Final., Schroders (2019), responses from 22,000 participants from 30</w:t>
      </w:r>
      <w:r>
        <w:t xml:space="preserve"> </w:t>
      </w:r>
      <w:r>
        <w:t xml:space="preserve">countries (EU + others). The percentages extracted refer only to EU respondents.</w:t>
      </w:r>
    </w:p>
    <w:p>
      <w:pPr>
        <w:pStyle w:val="BodyText"/>
      </w:pPr>
      <w:r>
        <w:t xml:space="preserve">159</w:t>
      </w:r>
    </w:p>
    <w:p>
      <w:pPr>
        <w:pStyle w:val="Compact"/>
        <w:numPr>
          <w:ilvl w:val="0"/>
          <w:numId w:val="1027"/>
        </w:numPr>
      </w:pPr>
      <w:r>
        <w:t xml:space="preserve">Germany: 61% Increase, 31% no change, 5% decrease</w:t>
      </w:r>
    </w:p>
    <w:p>
      <w:pPr>
        <w:pStyle w:val="Compact"/>
        <w:numPr>
          <w:ilvl w:val="0"/>
          <w:numId w:val="1027"/>
        </w:numPr>
      </w:pPr>
      <w:r>
        <w:t xml:space="preserve">Italy: 55% Increase, 32% no change, 7% decrease</w:t>
      </w:r>
    </w:p>
    <w:p>
      <w:pPr>
        <w:pStyle w:val="Compact"/>
        <w:numPr>
          <w:ilvl w:val="0"/>
          <w:numId w:val="1027"/>
        </w:numPr>
      </w:pPr>
      <w:r>
        <w:t xml:space="preserve">Netherlands: 56% Increase, 33% no change, 6% decrease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Poland: 59% Increase, 32% no change, 7% decrease</w:t>
      </w:r>
    </w:p>
    <w:p>
      <w:pPr>
        <w:pStyle w:val="Compact"/>
        <w:numPr>
          <w:ilvl w:val="0"/>
          <w:numId w:val="1027"/>
        </w:numPr>
      </w:pPr>
      <w:r>
        <w:t xml:space="preserve">Portugal: 63% Increase, 27% no change, 6% decrease</w:t>
      </w:r>
    </w:p>
    <w:p>
      <w:pPr>
        <w:pStyle w:val="Compact"/>
        <w:numPr>
          <w:ilvl w:val="0"/>
          <w:numId w:val="1027"/>
        </w:numPr>
      </w:pPr>
      <w:r>
        <w:t xml:space="preserve">Spain: 61% Increase, 32% no change, 4% decrease</w:t>
      </w:r>
    </w:p>
    <w:p>
      <w:pPr>
        <w:pStyle w:val="Compact"/>
        <w:numPr>
          <w:ilvl w:val="0"/>
          <w:numId w:val="1027"/>
        </w:numPr>
      </w:pPr>
      <w:r>
        <w:t xml:space="preserve">Sweden: 70% Increase, 21% no change, 5% decrease</w:t>
      </w:r>
      <w:r>
        <w:t xml:space="preserve"> </w:t>
      </w:r>
      <w:r>
        <w:t xml:space="preserve"></w:t>
      </w:r>
      <w:r>
        <w:t xml:space="preserve"> </w:t>
      </w:r>
      <w:r>
        <w:t xml:space="preserve">Another survey322 explored the interest in sustainable finance solutions among</w:t>
      </w:r>
      <w:r>
        <w:t xml:space="preserve"> </w:t>
      </w:r>
      <w:r>
        <w:t xml:space="preserve">European investors:</w:t>
      </w:r>
    </w:p>
    <w:p>
      <w:pPr>
        <w:pStyle w:val="Compact"/>
        <w:numPr>
          <w:ilvl w:val="0"/>
          <w:numId w:val="1027"/>
        </w:numPr>
      </w:pPr>
      <w:r>
        <w:t xml:space="preserve">55% of Belgian investors are interested in sustainable finance solutions,</w:t>
      </w:r>
      <w:r>
        <w:t xml:space="preserve"> </w:t>
      </w:r>
      <w:r>
        <w:t xml:space="preserve">18% are not interested, and 27% are indifferent.</w:t>
      </w:r>
    </w:p>
    <w:p>
      <w:pPr>
        <w:pStyle w:val="Compact"/>
        <w:numPr>
          <w:ilvl w:val="0"/>
          <w:numId w:val="1027"/>
        </w:numPr>
      </w:pPr>
      <w:r>
        <w:t xml:space="preserve">55% of Spanish investors are interested in sustainable finance solutions,</w:t>
      </w:r>
      <w:r>
        <w:t xml:space="preserve"> </w:t>
      </w:r>
      <w:r>
        <w:t xml:space="preserve">16% are not interested, and 29% are indifferent.</w:t>
      </w:r>
    </w:p>
    <w:p>
      <w:pPr>
        <w:pStyle w:val="Compact"/>
        <w:numPr>
          <w:ilvl w:val="0"/>
          <w:numId w:val="1027"/>
        </w:numPr>
      </w:pPr>
      <w:r>
        <w:t xml:space="preserve">55% of Italian investors are interested in sustainable finance solutions,</w:t>
      </w:r>
      <w:r>
        <w:t xml:space="preserve"> </w:t>
      </w:r>
      <w:r>
        <w:t xml:space="preserve">18% are not interested, and 26% are indifferent.</w:t>
      </w:r>
    </w:p>
    <w:p>
      <w:pPr>
        <w:pStyle w:val="Compact"/>
        <w:numPr>
          <w:ilvl w:val="0"/>
          <w:numId w:val="1027"/>
        </w:numPr>
      </w:pPr>
      <w:r>
        <w:t xml:space="preserve">49% of Dutch investors are interested in sustainable finance solutions,</w:t>
      </w:r>
      <w:r>
        <w:t xml:space="preserve"> </w:t>
      </w:r>
      <w:r>
        <w:t xml:space="preserve">23% are not interested, and 29% are indifferent.</w:t>
      </w:r>
    </w:p>
    <w:p>
      <w:pPr>
        <w:pStyle w:val="Compact"/>
        <w:numPr>
          <w:ilvl w:val="0"/>
          <w:numId w:val="1027"/>
        </w:numPr>
      </w:pPr>
      <w:r>
        <w:t xml:space="preserve">65% of Polish investors are interested in sustainable finance solutions,</w:t>
      </w:r>
      <w:r>
        <w:t xml:space="preserve"> </w:t>
      </w:r>
      <w:r>
        <w:t xml:space="preserve">14% are not interested, and 22% are indifferent.</w:t>
      </w:r>
    </w:p>
    <w:p>
      <w:pPr>
        <w:pStyle w:val="Compact"/>
        <w:numPr>
          <w:ilvl w:val="0"/>
          <w:numId w:val="1027"/>
        </w:numPr>
      </w:pPr>
      <w:r>
        <w:t xml:space="preserve">65% of Swedish investors are interested in sustainable finance solutions,</w:t>
      </w:r>
      <w:r>
        <w:t xml:space="preserve"> </w:t>
      </w:r>
      <w:r>
        <w:t xml:space="preserve">10% are not interested, and 25% are indifferent.</w:t>
      </w:r>
    </w:p>
    <w:p>
      <w:pPr>
        <w:pStyle w:val="Compact"/>
        <w:numPr>
          <w:ilvl w:val="0"/>
          <w:numId w:val="1028"/>
        </w:numPr>
      </w:pPr>
      <w:r>
        <w:t xml:space="preserve">Drivers of the demand</w:t>
      </w:r>
      <w:r>
        <w:t xml:space="preserve"> </w:t>
      </w:r>
      <w:r>
        <w:t xml:space="preserve">Preliminary conclusion: while financial returns remain the bigger driver for investing,</w:t>
      </w:r>
      <w:r>
        <w:t xml:space="preserve"> </w:t>
      </w:r>
      <w:r>
        <w:t xml:space="preserve">retail investors do not necessarily associate sustainable investing with lower</w:t>
      </w:r>
      <w:r>
        <w:t xml:space="preserve"> </w:t>
      </w:r>
      <w:r>
        <w:t xml:space="preserve">return/compromise on return. Main drivers for investing include financial performance,</w:t>
      </w:r>
      <w:r>
        <w:t xml:space="preserve"> </w:t>
      </w:r>
      <w:r>
        <w:t xml:space="preserve">risk management, supporting green objectives and creating a positive impact. Investors’</w:t>
      </w:r>
      <w:r>
        <w:t xml:space="preserve"> </w:t>
      </w:r>
      <w:r>
        <w:t xml:space="preserve">willingness-to-pay for sustainable investments depends on the impact of such</w:t>
      </w:r>
      <w:r>
        <w:t xml:space="preserve"> </w:t>
      </w:r>
      <w:r>
        <w:t xml:space="preserve">investments.323</w:t>
      </w:r>
      <w:r>
        <w:t xml:space="preserve"> </w:t>
      </w:r>
      <w:r>
        <w:t xml:space="preserve">Global/EU statistics:</w:t>
      </w:r>
      <w:r>
        <w:br/>
      </w:r>
      <w:r>
        <w:t xml:space="preserve"> Globally, investors believe strong ESG practices can lead to higher returns.</w:t>
      </w:r>
      <w:r>
        <w:t xml:space="preserve"> </w:t>
      </w:r>
      <w:r>
        <w:t xml:space="preserve">Financial returns are the main priority for global individual investors, and 70%</w:t>
      </w:r>
      <w:r>
        <w:t xml:space="preserve"> </w:t>
      </w:r>
      <w:r>
        <w:t xml:space="preserve">believe strong ESG practices deliver them324.</w:t>
      </w:r>
      <w:r>
        <w:br/>
      </w:r>
      <w:r>
        <w:t xml:space="preserve"> When asked about reasons for interest in sustainable investing, European</w:t>
      </w:r>
      <w:r>
        <w:t xml:space="preserve"> </w:t>
      </w:r>
      <w:r>
        <w:t xml:space="preserve">investors (UK, France, Germany, Switzerland), mentioned, in order of</w:t>
      </w:r>
      <w:r>
        <w:t xml:space="preserve"> </w:t>
      </w:r>
      <w:r>
        <w:t xml:space="preserve">preferences: (1) financial performance of sustainable investment (57%), (2)</w:t>
      </w:r>
      <w:r>
        <w:t xml:space="preserve"> </w:t>
      </w:r>
      <w:r>
        <w:t xml:space="preserve">inflation (56%), (3) market dynamics and broader economic performance (54%)</w:t>
      </w:r>
      <w:r>
        <w:t xml:space="preserve"> </w:t>
      </w:r>
      <w:r>
        <w:t xml:space="preserve">and new climate science findings (53%)325.</w:t>
      </w:r>
    </w:p>
    <w:p>
      <w:pPr>
        <w:pStyle w:val="FirstParagraph"/>
      </w:pPr>
      <w:r>
        <w:t xml:space="preserve">322 Survey from 2degrees investing (survey question A7r2) “I am Interested in sustainable finance solutions”</w:t>
      </w:r>
      <w:r>
        <w:t xml:space="preserve"> </w:t>
      </w:r>
      <w:r>
        <w:t xml:space="preserve">Possible answers: Strongly agree, agree, neither agree nor disagree, disagree, strongly disagree.</w:t>
      </w:r>
      <w:r>
        <w:t xml:space="preserve"> </w:t>
      </w:r>
      <w:r>
        <w:t xml:space="preserve">323 Do Investors Care about Impact? | The Review of Financial Studies | Oxford Academic</w:t>
      </w:r>
      <w:r>
        <w:t xml:space="preserve"> </w:t>
      </w:r>
      <w:r>
        <w:t xml:space="preserve">324 “Sustainable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global sample (US, Europe – France, Germany,</w:t>
      </w:r>
      <w:r>
        <w:t xml:space="preserve"> </w:t>
      </w:r>
      <w:r>
        <w:t xml:space="preserve">UK, Switzerland - and Japan)</w:t>
      </w:r>
      <w:r>
        <w:t xml:space="preserve"> </w:t>
      </w:r>
      <w:r>
        <w:t xml:space="preserve">325 “Sustainable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European sample. How interested are you in</w:t>
      </w:r>
      <w:r>
        <w:t xml:space="preserve"> </w:t>
      </w:r>
      <w:r>
        <w:t xml:space="preserve">sustainable investing?”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National statistics:</w:t>
      </w:r>
      <w:r>
        <w:br/>
      </w:r>
      <w:r>
        <w:t xml:space="preserve"> When asked why to consider sustainability in the portfolio, Belgian investors</w:t>
      </w:r>
      <w:r>
        <w:t xml:space="preserve"> </w:t>
      </w:r>
      <w:r>
        <w:t xml:space="preserve">highlighted different drivers: 37% cited personal values as their primary</w:t>
      </w:r>
      <w:r>
        <w:t xml:space="preserve"> </w:t>
      </w:r>
      <w:r>
        <w:t xml:space="preserve">motivation, 30% were driven by the desire to create a positive impact, 29%</w:t>
      </w:r>
      <w:r>
        <w:t xml:space="preserve"> </w:t>
      </w:r>
      <w:r>
        <w:t xml:space="preserve">focused on risk management, and 22% would not include sustainability326.</w:t>
      </w:r>
      <w:r>
        <w:t xml:space="preserve"> </w:t>
      </w:r>
      <w:r>
        <w:t xml:space="preserve"> When Austrian investors were asked about their reasons for investing in</w:t>
      </w:r>
      <w:r>
        <w:t xml:space="preserve"> </w:t>
      </w:r>
      <w:r>
        <w:t xml:space="preserve">sustainable investment funds, 31% cited potential profit as their primary</w:t>
      </w:r>
      <w:r>
        <w:t xml:space="preserve"> </w:t>
      </w:r>
      <w:r>
        <w:t xml:space="preserve">motivation, 36% pointed to the positive social, societal, or environmental impact,</w:t>
      </w:r>
      <w:r>
        <w:t xml:space="preserve"> </w:t>
      </w:r>
      <w:r>
        <w:t xml:space="preserve">and 33% expressed that both factors were equally important.</w:t>
      </w:r>
      <w:r>
        <w:t xml:space="preserve"> </w:t>
      </w:r>
      <w:r>
        <w:t xml:space="preserve"> When Belgian investors were asked about their reasons for investing in</w:t>
      </w:r>
      <w:r>
        <w:t xml:space="preserve"> </w:t>
      </w:r>
      <w:r>
        <w:t xml:space="preserve">sustainable investment funds, 33% cited potential profit as their primary</w:t>
      </w:r>
      <w:r>
        <w:t xml:space="preserve"> </w:t>
      </w:r>
      <w:r>
        <w:t xml:space="preserve">motivation, 31% pointed to the positive social, societal, or environmental impact,</w:t>
      </w:r>
      <w:r>
        <w:t xml:space="preserve"> </w:t>
      </w:r>
      <w:r>
        <w:t xml:space="preserve">and 36% expressed that both factors were equally important.</w:t>
      </w:r>
      <w:r>
        <w:t xml:space="preserve"> </w:t>
      </w:r>
      <w:r>
        <w:t xml:space="preserve"> When Danish investors were asked about their reasons for investing in sustainable</w:t>
      </w:r>
      <w:r>
        <w:t xml:space="preserve"> </w:t>
      </w:r>
      <w:r>
        <w:t xml:space="preserve">investment funds, 34% cited potential profit as their primary motivation, 33%</w:t>
      </w:r>
      <w:r>
        <w:t xml:space="preserve"> </w:t>
      </w:r>
      <w:r>
        <w:t xml:space="preserve">pointed to the positive social, societal, or environmental impact, and 33%</w:t>
      </w:r>
      <w:r>
        <w:t xml:space="preserve"> </w:t>
      </w:r>
      <w:r>
        <w:t xml:space="preserve">expressed that both factors were equally important.</w:t>
      </w:r>
      <w:r>
        <w:t xml:space="preserve"> </w:t>
      </w:r>
      <w:r>
        <w:t xml:space="preserve"> When French investors were asked about their reasons for investing in sustainable</w:t>
      </w:r>
      <w:r>
        <w:t xml:space="preserve"> </w:t>
      </w:r>
      <w:r>
        <w:t xml:space="preserve">investment funds, 29% cited potential profit as their primary motivation, 40%</w:t>
      </w:r>
      <w:r>
        <w:t xml:space="preserve"> </w:t>
      </w:r>
      <w:r>
        <w:t xml:space="preserve">pointed to the positive social, societal, or environmental impact, and 31%</w:t>
      </w:r>
      <w:r>
        <w:t xml:space="preserve"> </w:t>
      </w:r>
      <w:r>
        <w:t xml:space="preserve">expressed that both factors were equally important.</w:t>
      </w:r>
      <w:r>
        <w:t xml:space="preserve"> </w:t>
      </w:r>
      <w:r>
        <w:t xml:space="preserve"> When German investors were asked about their reasons for investing in</w:t>
      </w:r>
      <w:r>
        <w:t xml:space="preserve"> </w:t>
      </w:r>
      <w:r>
        <w:t xml:space="preserve">sustainable investment funds, 31% cited potential profit as their primary</w:t>
      </w:r>
      <w:r>
        <w:t xml:space="preserve"> </w:t>
      </w:r>
      <w:r>
        <w:t xml:space="preserve">motivation, 32% pointed to the positive social, societal, or environmental impact,</w:t>
      </w:r>
      <w:r>
        <w:t xml:space="preserve"> </w:t>
      </w:r>
      <w:r>
        <w:t xml:space="preserve">and 38% expressed that both factors were equally important.</w:t>
      </w:r>
      <w:r>
        <w:t xml:space="preserve"> </w:t>
      </w:r>
      <w:r>
        <w:t xml:space="preserve"> When Italian investors were asked about their reasons for investing in sustainable</w:t>
      </w:r>
      <w:r>
        <w:t xml:space="preserve"> </w:t>
      </w:r>
      <w:r>
        <w:t xml:space="preserve">investment funds, 27% cited potential profit as their primary motivation, 38%</w:t>
      </w:r>
      <w:r>
        <w:t xml:space="preserve"> </w:t>
      </w:r>
      <w:r>
        <w:t xml:space="preserve">pointed to the positive social, societal, or environmental impact, and 35%</w:t>
      </w:r>
      <w:r>
        <w:t xml:space="preserve"> </w:t>
      </w:r>
      <w:r>
        <w:t xml:space="preserve">expressed that both factors were equally important.</w:t>
      </w:r>
      <w:r>
        <w:t xml:space="preserve"> </w:t>
      </w:r>
      <w:r>
        <w:t xml:space="preserve"> When Dutch investors were asked about their reasons for investing in sustainable</w:t>
      </w:r>
      <w:r>
        <w:t xml:space="preserve"> </w:t>
      </w:r>
      <w:r>
        <w:t xml:space="preserve">investment funds, 33% cited potential profit as their primary motivation, 33%</w:t>
      </w:r>
      <w:r>
        <w:t xml:space="preserve"> </w:t>
      </w:r>
      <w:r>
        <w:t xml:space="preserve">pointed to the positive social, societal, or environmental impact, and 33%</w:t>
      </w:r>
      <w:r>
        <w:t xml:space="preserve"> </w:t>
      </w:r>
      <w:r>
        <w:t xml:space="preserve">expressed that both factors were equally important.</w:t>
      </w:r>
      <w:r>
        <w:t xml:space="preserve"> </w:t>
      </w:r>
      <w:r>
        <w:t xml:space="preserve"> When Polish investors were asked about their reasons for investing in sustainable</w:t>
      </w:r>
      <w:r>
        <w:t xml:space="preserve"> </w:t>
      </w:r>
      <w:r>
        <w:t xml:space="preserve">investment funds, 31% cited potential profit as their primary motivation, 35%</w:t>
      </w:r>
      <w:r>
        <w:t xml:space="preserve"> </w:t>
      </w:r>
      <w:r>
        <w:t xml:space="preserve">pointed to the positive social, societal, or environmental impact, and 34%</w:t>
      </w:r>
      <w:r>
        <w:t xml:space="preserve"> </w:t>
      </w:r>
      <w:r>
        <w:t xml:space="preserve">expressed that both factors were equally important.</w:t>
      </w:r>
      <w:r>
        <w:t xml:space="preserve"> </w:t>
      </w:r>
      <w:r>
        <w:t xml:space="preserve"> When Portuguese investors were asked about their reasons for investing in</w:t>
      </w:r>
      <w:r>
        <w:t xml:space="preserve"> </w:t>
      </w:r>
      <w:r>
        <w:t xml:space="preserve">sustainable investment funds, 32% cited potential profit as their primary</w:t>
      </w:r>
      <w:r>
        <w:t xml:space="preserve"> </w:t>
      </w:r>
      <w:r>
        <w:t xml:space="preserve">motivation, 38% pointed to the positive social, societal, or environmental impact,</w:t>
      </w:r>
      <w:r>
        <w:t xml:space="preserve"> </w:t>
      </w:r>
      <w:r>
        <w:t xml:space="preserve">and 31% expressed that both factors were equally important.</w:t>
      </w:r>
    </w:p>
    <w:p>
      <w:pPr>
        <w:pStyle w:val="BodyText"/>
      </w:pPr>
      <w:r>
        <w:t xml:space="preserve">326 “Towards sustainable investing: how retail investors can create an impact”, Deloitte Belgium, 2024. Sample only</w:t>
      </w:r>
      <w:r>
        <w:t xml:space="preserve"> </w:t>
      </w:r>
      <w:r>
        <w:t xml:space="preserve">includes Belgian invests. Question: “Why consider sustainability in your portfolio?” Possible answers: personal values,</w:t>
      </w:r>
      <w:r>
        <w:t xml:space="preserve"> </w:t>
      </w:r>
      <w:r>
        <w:t xml:space="preserve">positive impact, risk management, would not include sustainability.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 When Spanish investors were asked about their reasons for investing in</w:t>
      </w:r>
      <w:r>
        <w:t xml:space="preserve"> </w:t>
      </w:r>
      <w:r>
        <w:t xml:space="preserve">sustainable investment funds, 31% cited potential profit as their primary</w:t>
      </w:r>
      <w:r>
        <w:t xml:space="preserve"> </w:t>
      </w:r>
      <w:r>
        <w:t xml:space="preserve">motivation, 35% pointed to the positive social, societal, or environmental impact,</w:t>
      </w:r>
      <w:r>
        <w:t xml:space="preserve"> </w:t>
      </w:r>
      <w:r>
        <w:t xml:space="preserve">and 34% expressed that both factors were equally important.</w:t>
      </w:r>
      <w:r>
        <w:t xml:space="preserve"> </w:t>
      </w:r>
      <w:r>
        <w:t xml:space="preserve"> When Swedish investors were asked about their reasons for investing in</w:t>
      </w:r>
      <w:r>
        <w:t xml:space="preserve"> </w:t>
      </w:r>
      <w:r>
        <w:t xml:space="preserve">sustainable investment funds, 36% cited potential profit as their primary</w:t>
      </w:r>
      <w:r>
        <w:t xml:space="preserve"> </w:t>
      </w:r>
      <w:r>
        <w:t xml:space="preserve">motivation, 32% pointed to the positive social, societal, or environmental impact,</w:t>
      </w:r>
      <w:r>
        <w:t xml:space="preserve"> </w:t>
      </w:r>
      <w:r>
        <w:t xml:space="preserve">and 32% expressed that both factors were equally important.327</w:t>
      </w:r>
      <w:r>
        <w:t xml:space="preserve"> </w:t>
      </w:r>
      <w:r>
        <w:t xml:space="preserve"> Even among those who do expect a reduction in financial returns from sustainable</w:t>
      </w:r>
      <w:r>
        <w:t xml:space="preserve"> </w:t>
      </w:r>
      <w:r>
        <w:t xml:space="preserve">investments (30%), the majority (69%) wants to put their pension money to</w:t>
      </w:r>
      <w:r>
        <w:t xml:space="preserve"> </w:t>
      </w:r>
      <w:r>
        <w:t xml:space="preserve">promote sustainability.328</w:t>
      </w:r>
      <w:r>
        <w:t xml:space="preserve"> </w:t>
      </w:r>
      <w:r>
        <w:t xml:space="preserve">3.</w:t>
      </w:r>
      <w:r>
        <w:t xml:space="preserve"> </w:t>
      </w:r>
      <w:r>
        <w:t xml:space="preserve">Specific sustainability objectives/themes</w:t>
      </w:r>
      <w:r>
        <w:br/>
      </w:r>
      <w:r>
        <w:t xml:space="preserve">Preliminary conclusion: Data confirms an interest for both environmental and social</w:t>
      </w:r>
      <w:r>
        <w:t xml:space="preserve"> </w:t>
      </w:r>
      <w:r>
        <w:t xml:space="preserve">issues. Commitment to transition efforts seems to be important for retail investors.</w:t>
      </w:r>
      <w:r>
        <w:t xml:space="preserve"> </w:t>
      </w:r>
      <w:r>
        <w:t xml:space="preserve">Overall, data shows a wide range of sustainability-related interests amongst retail</w:t>
      </w:r>
      <w:r>
        <w:t xml:space="preserve"> </w:t>
      </w:r>
      <w:r>
        <w:t xml:space="preserve">investors. Data shows support for both exclusion-based criteria and positive contribution</w:t>
      </w:r>
      <w:r>
        <w:t xml:space="preserve"> </w:t>
      </w:r>
      <w:r>
        <w:t xml:space="preserve">based criteria.</w:t>
      </w:r>
      <w:r>
        <w:t xml:space="preserve"> </w:t>
      </w:r>
      <w:r>
        <w:t xml:space="preserve">Global/EU statistics:</w:t>
      </w:r>
      <w:r>
        <w:br/>
      </w:r>
      <w:r>
        <w:t xml:space="preserve"></w:t>
      </w:r>
      <w:r>
        <w:t xml:space="preserve"> </w:t>
      </w:r>
      <w:r>
        <w:t xml:space="preserve">When asked about specific themes, global investors favor environmental</w:t>
      </w:r>
      <w:r>
        <w:t xml:space="preserve"> </w:t>
      </w:r>
      <w:r>
        <w:t xml:space="preserve">solutions for current and planned investments, while interest in social themes is</w:t>
      </w:r>
      <w:r>
        <w:t xml:space="preserve"> </w:t>
      </w:r>
      <w:r>
        <w:t xml:space="preserve">tempered by uncertainty on how to invest. Water solutions, healthcare and climate</w:t>
      </w:r>
      <w:r>
        <w:t xml:space="preserve"> </w:t>
      </w:r>
      <w:r>
        <w:t xml:space="preserve">action are top themes for investors, but there’s broad interest across many</w:t>
      </w:r>
      <w:r>
        <w:t xml:space="preserve"> </w:t>
      </w:r>
      <w:r>
        <w:t xml:space="preserve">environmental and social areas329.</w:t>
      </w:r>
      <w:r>
        <w:t xml:space="preserve"> </w:t>
      </w:r>
      <w:r>
        <w:t xml:space="preserve"></w:t>
      </w:r>
      <w:r>
        <w:t xml:space="preserve"> </w:t>
      </w:r>
      <w:r>
        <w:t xml:space="preserve">82% of global investors believe companies should address environmental issues,</w:t>
      </w:r>
      <w:r>
        <w:t xml:space="preserve"> </w:t>
      </w:r>
      <w:r>
        <w:t xml:space="preserve">77% of them believe companies should address social issues.330</w:t>
      </w:r>
      <w:r>
        <w:t xml:space="preserve"> </w:t>
      </w:r>
      <w:r>
        <w:t xml:space="preserve"></w:t>
      </w:r>
      <w:r>
        <w:t xml:space="preserve"> </w:t>
      </w:r>
      <w:r>
        <w:t xml:space="preserve">The top themes for sustainable investing among surveyed European investors</w:t>
      </w:r>
      <w:r>
        <w:t xml:space="preserve"> </w:t>
      </w:r>
      <w:r>
        <w:t xml:space="preserve">(UK, France, Germany, Switzerland) are: Climate action (17%), Healthcare</w:t>
      </w:r>
      <w:r>
        <w:t xml:space="preserve"> </w:t>
      </w:r>
      <w:r>
        <w:t xml:space="preserve">(12%), Water solutions (11%), Circular economy (9%), Nature &amp; biodiversity</w:t>
      </w:r>
      <w:r>
        <w:t xml:space="preserve"> </w:t>
      </w:r>
      <w:r>
        <w:t xml:space="preserve">(9%), Education (8%), Financial Inclusion (7%), UN SDGs (5%), Multicultural</w:t>
      </w:r>
      <w:r>
        <w:t xml:space="preserve"> </w:t>
      </w:r>
      <w:r>
        <w:t xml:space="preserve">Diversity (5%), Just Transition (5%), Gender Diversity (4%), Community</w:t>
      </w:r>
      <w:r>
        <w:t xml:space="preserve"> </w:t>
      </w:r>
      <w:r>
        <w:t xml:space="preserve">Development (4%), Faith-Based Values (3%).331</w:t>
      </w:r>
      <w:r>
        <w:br/>
      </w:r>
      <w:r>
        <w:t xml:space="preserve"></w:t>
      </w:r>
      <w:r>
        <w:t xml:space="preserve"> </w:t>
      </w:r>
      <w:r>
        <w:t xml:space="preserve">Another survey on the popularity of sustainable topics among European investors</w:t>
      </w:r>
      <w:r>
        <w:t xml:space="preserve"> </w:t>
      </w:r>
      <w:r>
        <w:t xml:space="preserve">(Denmark, Estonia, Germany, Greece, Ireland, and Romania) shows that most</w:t>
      </w:r>
    </w:p>
    <w:p>
      <w:pPr>
        <w:pStyle w:val="BodyText"/>
      </w:pPr>
      <w:r>
        <w:t xml:space="preserve">327 Schroders_Report_Sustainable-Investing_Final., Schroders (2019), responses from 22,000 participants from 30</w:t>
      </w:r>
      <w:r>
        <w:t xml:space="preserve"> </w:t>
      </w:r>
      <w:r>
        <w:t xml:space="preserve">countries (EU + others). Question: “If you invest in, or were to invest in sustainable investment funds, to what degree</w:t>
      </w:r>
      <w:r>
        <w:t xml:space="preserve"> </w:t>
      </w:r>
      <w:r>
        <w:t xml:space="preserve">would this be for the potential investment return/profit versus the positive social, societal or environmental impact that</w:t>
      </w:r>
      <w:r>
        <w:t xml:space="preserve"> </w:t>
      </w:r>
      <w:r>
        <w:t xml:space="preserve">the fund could have?”.</w:t>
      </w:r>
      <w:r>
        <w:t xml:space="preserve"> </w:t>
      </w:r>
      <w:r>
        <w:t xml:space="preserve">328 Get Real! Individuals Prefer More Sustainable Investments by Rob Bauer, Tobias Ruof, Paul Smeets, Bauer et al. </w:t>
      </w:r>
      <w:r>
        <w:t xml:space="preserve"> </w:t>
      </w:r>
      <w:r>
        <w:t xml:space="preserve">Real-life experiment with dutch pension fund. N=1699</w:t>
      </w:r>
      <w:r>
        <w:t xml:space="preserve"> </w:t>
      </w:r>
      <w:r>
        <w:t xml:space="preserve">329 “Sustainable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global sample (US, Europe – France, Germany,</w:t>
      </w:r>
      <w:r>
        <w:t xml:space="preserve"> </w:t>
      </w:r>
      <w:r>
        <w:t xml:space="preserve">UK, Switzerland - and Japan)</w:t>
      </w:r>
      <w:r>
        <w:t xml:space="preserve"> </w:t>
      </w:r>
      <w:r>
        <w:t xml:space="preserve">330 “Sustainable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global sample (US, Europe – France, Germany,</w:t>
      </w:r>
      <w:r>
        <w:t xml:space="preserve"> </w:t>
      </w:r>
      <w:r>
        <w:t xml:space="preserve">UK, Switzerland - and Japan)</w:t>
      </w:r>
      <w:r>
        <w:t xml:space="preserve"> </w:t>
      </w:r>
      <w:r>
        <w:t xml:space="preserve">331“Sustainable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European sample..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popular remain: Clean water (64%), Health and safety (62%), Education (53%),</w:t>
      </w:r>
      <w:r>
        <w:t xml:space="preserve"> </w:t>
      </w:r>
      <w:r>
        <w:t xml:space="preserve">Climate change (51%), Renewable energy and energy efficiency (50%), Human</w:t>
      </w:r>
      <w:r>
        <w:t xml:space="preserve"> </w:t>
      </w:r>
      <w:r>
        <w:t xml:space="preserve">rights (45%).332</w:t>
      </w:r>
      <w:r>
        <w:br/>
      </w:r>
      <w:r>
        <w:t xml:space="preserve"></w:t>
      </w:r>
      <w:r>
        <w:t xml:space="preserve"> </w:t>
      </w:r>
      <w:r>
        <w:t xml:space="preserve">European respondents (UK, France, Germany, Switzerland) are the most likely to</w:t>
      </w:r>
      <w:r>
        <w:t xml:space="preserve"> </w:t>
      </w:r>
      <w:r>
        <w:t xml:space="preserve">consider climate change when investing in traditional energy companies, at 77%</w:t>
      </w:r>
      <w:r>
        <w:t xml:space="preserve"> </w:t>
      </w:r>
      <w:r>
        <w:t xml:space="preserve">(vs 71% for the US and 69% for Japan).333</w:t>
      </w:r>
      <w:r>
        <w:br/>
      </w:r>
      <w:r>
        <w:t xml:space="preserve"></w:t>
      </w:r>
      <w:r>
        <w:t xml:space="preserve"> </w:t>
      </w:r>
      <w:r>
        <w:t xml:space="preserve">Global retail investors have certain preferences regarding ESG investing strategy:</w:t>
      </w:r>
      <w:r>
        <w:t xml:space="preserve"> </w:t>
      </w:r>
      <w:r>
        <w:t xml:space="preserve">47% of them prefer exclusionary screening or values-based exclusions, 37% best-</w:t>
      </w:r>
      <w:r>
        <w:t xml:space="preserve"> </w:t>
      </w:r>
      <w:r>
        <w:t xml:space="preserve">in-class selection, while 16% prefers impact investing.334</w:t>
      </w:r>
      <w:r>
        <w:t xml:space="preserve"> </w:t>
      </w:r>
      <w:r>
        <w:t xml:space="preserve"></w:t>
      </w:r>
      <w:r>
        <w:t xml:space="preserve"> </w:t>
      </w:r>
      <w:r>
        <w:t xml:space="preserve">72% of European value-oriented retail investors are found to prefer both</w:t>
      </w:r>
      <w:r>
        <w:t xml:space="preserve"> </w:t>
      </w:r>
      <w:r>
        <w:t xml:space="preserve">exclusion (negative) and contribution (positive) screening criteria for investments,</w:t>
      </w:r>
      <w:r>
        <w:t xml:space="preserve"> </w:t>
      </w:r>
      <w:r>
        <w:t xml:space="preserve">20% were only interested in exclusion and a minority of 9% were only interested</w:t>
      </w:r>
      <w:r>
        <w:t xml:space="preserve"> </w:t>
      </w:r>
      <w:r>
        <w:t xml:space="preserve">in positive screening. Human rights and other governance violations were found</w:t>
      </w:r>
      <w:r>
        <w:t xml:space="preserve"> </w:t>
      </w:r>
      <w:r>
        <w:t xml:space="preserve">as the most important exclusion-based criteria, with various social and</w:t>
      </w:r>
      <w:r>
        <w:t xml:space="preserve"> </w:t>
      </w:r>
      <w:r>
        <w:t xml:space="preserve">environmental metrics as the preferred positive criteria335.</w:t>
      </w:r>
      <w:r>
        <w:t xml:space="preserve"> </w:t>
      </w:r>
      <w:r>
        <w:t xml:space="preserve"></w:t>
      </w:r>
      <w:r>
        <w:t xml:space="preserve"> </w:t>
      </w:r>
      <w:r>
        <w:t xml:space="preserve">EU investors have been asked “Which of these phrases describe what you think a</w:t>
      </w:r>
      <w:r>
        <w:t xml:space="preserve"> </w:t>
      </w:r>
      <w:r>
        <w:t xml:space="preserve">“sustainable investment fund” is?”</w:t>
      </w:r>
      <w:r>
        <w:t xml:space="preserve"> </w:t>
      </w:r>
      <w:r>
        <w:t xml:space="preserve">a. Fund that invests in companies that are likely to be more profitable</w:t>
      </w:r>
      <w:r>
        <w:t xml:space="preserve"> </w:t>
      </w:r>
      <w:r>
        <w:t xml:space="preserve">because they are proactive in preparing for environmental and social</w:t>
      </w:r>
      <w:r>
        <w:t xml:space="preserve"> </w:t>
      </w:r>
      <w:r>
        <w:t xml:space="preserve">changes</w:t>
      </w:r>
      <w:r>
        <w:t xml:space="preserve"> </w:t>
      </w:r>
      <w:r>
        <w:t xml:space="preserve">b. Fund that invests in companies that are best-in-class when it comes to</w:t>
      </w:r>
      <w:r>
        <w:t xml:space="preserve"> </w:t>
      </w:r>
      <w:r>
        <w:t xml:space="preserve">environmental or social issues or how the company is managed</w:t>
      </w:r>
      <w:r>
        <w:t xml:space="preserve"> </w:t>
      </w:r>
      <w:r>
        <w:t xml:space="preserve">c. Fund that specifically avoids controversial companies</w:t>
      </w:r>
      <w:r>
        <w:t xml:space="preserve"> </w:t>
      </w:r>
      <w:r>
        <w:t xml:space="preserve">d. All three descriptors</w:t>
      </w:r>
      <w:r>
        <w:t xml:space="preserve"> </w:t>
      </w:r>
      <w:r>
        <w:t xml:space="preserve">e. Don’t know 336</w:t>
      </w:r>
      <w:r>
        <w:br/>
      </w:r>
      <w:r>
        <w:t xml:space="preserve">On average, EU investors predominantly responded:</w:t>
      </w:r>
      <w:r>
        <w:t xml:space="preserve"> </w:t>
      </w:r>
      <w:r>
        <w:t xml:space="preserve">-</w:t>
      </w:r>
      <w:r>
        <w:t xml:space="preserve"> </w:t>
      </w:r>
      <w:r>
        <w:t xml:space="preserve">a) Fund that invests in companies that are likely to be more profitable because</w:t>
      </w:r>
      <w:r>
        <w:t xml:space="preserve"> </w:t>
      </w:r>
      <w:r>
        <w:t xml:space="preserve">they are proactive in preparing for environmental and social changes. (47%)</w:t>
      </w:r>
      <w:r>
        <w:t xml:space="preserve"> </w:t>
      </w:r>
      <w:r>
        <w:t xml:space="preserve">-</w:t>
      </w:r>
      <w:r>
        <w:t xml:space="preserve"> </w:t>
      </w:r>
      <w:r>
        <w:t xml:space="preserve">b) Fund that invests in companies that are best-in-class when it comes to</w:t>
      </w:r>
      <w:r>
        <w:t xml:space="preserve"> </w:t>
      </w:r>
      <w:r>
        <w:t xml:space="preserve">environmental or social issues or how the company is managed. (42%)</w:t>
      </w:r>
      <w:r>
        <w:t xml:space="preserve"> </w:t>
      </w:r>
      <w:r>
        <w:t xml:space="preserve">National averages:</w:t>
      </w:r>
      <w:r>
        <w:t xml:space="preserve"> </w:t>
      </w:r>
      <w:r>
        <w:t xml:space="preserve">o Austria: a) 44%, b) 56%, c) 18%, d) 18%, e) 7%</w:t>
      </w:r>
      <w:r>
        <w:t xml:space="preserve"> </w:t>
      </w:r>
      <w:r>
        <w:t xml:space="preserve">o Belgium: a) 48%, b) 47%, c) 23%, d) 23%, e) 7%</w:t>
      </w:r>
      <w:r>
        <w:t xml:space="preserve"> </w:t>
      </w:r>
      <w:r>
        <w:t xml:space="preserve">o Denmark: a) 43%, b) 48%, c) 28%, d) 28%, e) 10%</w:t>
      </w:r>
      <w:r>
        <w:t xml:space="preserve"> </w:t>
      </w:r>
      <w:r>
        <w:t xml:space="preserve">o France: a) 51%, b) 46%, c) 24%, d) 24%, e) 7%</w:t>
      </w:r>
      <w:r>
        <w:t xml:space="preserve"> </w:t>
      </w:r>
      <w:r>
        <w:t xml:space="preserve">o Germany: a) 49%, b) 50%, c) 19%, d) 19%, e) 9%</w:t>
      </w:r>
    </w:p>
    <w:p>
      <w:pPr>
        <w:pStyle w:val="BodyText"/>
      </w:pPr>
      <w:r>
        <w:t xml:space="preserve">332 What do your clients actually want?, 2DII (2022), survey run in 6 European countries (Denmark, Estonia, Germany,</w:t>
      </w:r>
      <w:r>
        <w:t xml:space="preserve"> </w:t>
      </w:r>
      <w:r>
        <w:t xml:space="preserve">Greece, Ireland and Romania). Participants were able to choose maximum of 6 among 30 sustainability topics.</w:t>
      </w:r>
      <w:r>
        <w:t xml:space="preserve"> </w:t>
      </w:r>
      <w:r>
        <w:t xml:space="preserve">333 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European sample.</w:t>
      </w:r>
      <w:r>
        <w:t xml:space="preserve"> </w:t>
      </w:r>
      <w:r>
        <w:t xml:space="preserve">334 The Investing Enlightenment, State Street (2018) – responses from global sample (Europe, Asia, Americas,</w:t>
      </w:r>
      <w:r>
        <w:t xml:space="preserve"> </w:t>
      </w:r>
      <w:r>
        <w:t xml:space="preserve">Australia)</w:t>
      </w:r>
      <w:r>
        <w:t xml:space="preserve"> </w:t>
      </w:r>
      <w:r>
        <w:t xml:space="preserve">335 SFO_Mind-the-Gap-Why-EU-retail-investors-dont-get-what-they-want_2025.pdf, Sustainable Finance Observatory</w:t>
      </w:r>
      <w:r>
        <w:t xml:space="preserve"> </w:t>
      </w:r>
      <w:r>
        <w:t xml:space="preserve">(2025) – based on surveys, interviews, mystery shopping visits etc. in 14 Member States</w:t>
      </w:r>
      <w:r>
        <w:t xml:space="preserve"> </w:t>
      </w:r>
      <w:r>
        <w:t xml:space="preserve">336 Schroders_Report_Sustainable-Investing_Final., Schroders (2019), responses from 22,000 participants from 30</w:t>
      </w:r>
      <w:r>
        <w:t xml:space="preserve"> </w:t>
      </w:r>
      <w:r>
        <w:t xml:space="preserve">countries (EU + others). The percentages extracted refer only to European (EU, UK, Switzerland, Russia) respondents.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o Italy: a) 41%, b) 50%, c) 17%, d) 17%, e) 10%</w:t>
      </w:r>
      <w:r>
        <w:t xml:space="preserve"> </w:t>
      </w:r>
      <w:r>
        <w:t xml:space="preserve">o Netherlands: a) 47%, b) 50%, c) 24%, d) 24%, e) 5%</w:t>
      </w:r>
      <w:r>
        <w:t xml:space="preserve"> </w:t>
      </w:r>
      <w:r>
        <w:t xml:space="preserve">o Poland: a) 41%, b) 41%, c) 30%, d) 30%, e) 8%</w:t>
      </w:r>
      <w:r>
        <w:t xml:space="preserve"> </w:t>
      </w:r>
      <w:r>
        <w:t xml:space="preserve">o Portugal: a) 56%, b) 37%, c) 15%, d) 15%, e) 9%</w:t>
      </w:r>
      <w:r>
        <w:t xml:space="preserve"> </w:t>
      </w:r>
      <w:r>
        <w:t xml:space="preserve">o Spain: a) 46%, b) 43%, c) 13%, d) 13%, e) 10%</w:t>
      </w:r>
      <w:r>
        <w:t xml:space="preserve"> </w:t>
      </w:r>
      <w:r>
        <w:t xml:space="preserve">o Sweden: a) 49%, b) 45%, c) 34%, d) 34%, e) 10%</w:t>
      </w:r>
      <w:r>
        <w:t xml:space="preserve"> </w:t>
      </w:r>
      <w:r>
        <w:t xml:space="preserve"> Participants from 12 EU countries were asked a series of questions regarding their</w:t>
      </w:r>
      <w:r>
        <w:t xml:space="preserve"> </w:t>
      </w:r>
      <w:r>
        <w:t xml:space="preserve">financial or sustainability objectives. Three overarching objectives were</w:t>
      </w:r>
      <w:r>
        <w:t xml:space="preserve"> </w:t>
      </w:r>
      <w:r>
        <w:t xml:space="preserve">considered: impact, values, and return. Average results for 12 EU countries show</w:t>
      </w:r>
      <w:r>
        <w:t xml:space="preserve"> </w:t>
      </w:r>
      <w:r>
        <w:t xml:space="preserve">the following: 6% pure impact, 9% pure values, 16% pure return, 4% mix of</w:t>
      </w:r>
      <w:r>
        <w:t xml:space="preserve"> </w:t>
      </w:r>
      <w:r>
        <w:t xml:space="preserve">impact and return, 16% mix of values and return, 6% mix of values and impact,</w:t>
      </w:r>
      <w:r>
        <w:t xml:space="preserve"> </w:t>
      </w:r>
      <w:r>
        <w:t xml:space="preserve">34% mix of all three, 11% no clear profile.337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Strong interest for transition finance:</w:t>
      </w:r>
      <w:r>
        <w:br/>
      </w:r>
      <w:r>
        <w:t xml:space="preserve">-</w:t>
      </w:r>
      <w:r>
        <w:t xml:space="preserve"> </w:t>
      </w:r>
      <w:r>
        <w:t xml:space="preserve">80% of global investors stated that a company’s reporting on</w:t>
      </w:r>
      <w:r>
        <w:t xml:space="preserve"> </w:t>
      </w:r>
      <w:r>
        <w:t xml:space="preserve">sustainability practices, carbon footprint and commitments to reduce</w:t>
      </w:r>
      <w:r>
        <w:t xml:space="preserve"> </w:t>
      </w:r>
      <w:r>
        <w:t xml:space="preserve">greenhouse gas emissions over time are important when making</w:t>
      </w:r>
      <w:r>
        <w:t xml:space="preserve"> </w:t>
      </w:r>
      <w:r>
        <w:t xml:space="preserve">investment decisions.338</w:t>
      </w:r>
      <w:r>
        <w:t xml:space="preserve"> </w:t>
      </w:r>
      <w:r>
        <w:t xml:space="preserve">-</w:t>
      </w:r>
      <w:r>
        <w:t xml:space="preserve"> </w:t>
      </w:r>
      <w:r>
        <w:t xml:space="preserve">Commitment to transition is important for global investors when consider</w:t>
      </w:r>
      <w:r>
        <w:t xml:space="preserve"> </w:t>
      </w:r>
      <w:r>
        <w:t xml:space="preserve">investing in energy companies339:</w:t>
      </w:r>
      <w:r>
        <w:t xml:space="preserve"> </w:t>
      </w:r>
      <w:r>
        <w:t xml:space="preserve"></w:t>
      </w:r>
      <w:r>
        <w:t xml:space="preserve"> </w:t>
      </w:r>
      <w:r>
        <w:t xml:space="preserve">25% would not invest in traditional energy companies (e.g. coal,</w:t>
      </w:r>
      <w:r>
        <w:t xml:space="preserve"> </w:t>
      </w:r>
      <w:r>
        <w:t xml:space="preserve">oil and gas) due to climate concerns.</w:t>
      </w:r>
      <w:r>
        <w:br/>
      </w:r>
      <w:r>
        <w:t xml:space="preserve"></w:t>
      </w:r>
      <w:r>
        <w:t xml:space="preserve"> </w:t>
      </w:r>
      <w:r>
        <w:t xml:space="preserve">52% would only invest in traditional energy companies with</w:t>
      </w:r>
      <w:r>
        <w:t xml:space="preserve"> </w:t>
      </w:r>
      <w:r>
        <w:t xml:space="preserve">robust plans to reduce their greenhouse gas emissions and address</w:t>
      </w:r>
      <w:r>
        <w:t xml:space="preserve"> </w:t>
      </w:r>
      <w:r>
        <w:t xml:space="preserve">climate change.</w:t>
      </w:r>
      <w:r>
        <w:br/>
      </w:r>
      <w:r>
        <w:t xml:space="preserve"></w:t>
      </w:r>
      <w:r>
        <w:t xml:space="preserve"> </w:t>
      </w:r>
      <w:r>
        <w:t xml:space="preserve">23% would not consider climate change when making investments</w:t>
      </w:r>
      <w:r>
        <w:t xml:space="preserve"> </w:t>
      </w:r>
      <w:r>
        <w:t xml:space="preserve">in traditional energy companies.</w:t>
      </w:r>
      <w:r>
        <w:br/>
      </w:r>
      <w:r>
        <w:t xml:space="preserve"></w:t>
      </w:r>
      <w:r>
        <w:t xml:space="preserve"> </w:t>
      </w:r>
      <w:r>
        <w:t xml:space="preserve">On average, 70% of EU retail investors would either like to, or</w:t>
      </w:r>
      <w:r>
        <w:t xml:space="preserve"> </w:t>
      </w:r>
      <w:r>
        <w:t xml:space="preserve">already own financial products that finance the energy</w:t>
      </w:r>
      <w:r>
        <w:t xml:space="preserve"> </w:t>
      </w:r>
      <w:r>
        <w:t xml:space="preserve">transition.340</w:t>
      </w:r>
      <w:r>
        <w:t xml:space="preserve"> </w:t>
      </w:r>
      <w:r>
        <w:t xml:space="preserve"></w:t>
      </w:r>
      <w:r>
        <w:t xml:space="preserve"> </w:t>
      </w:r>
      <w:r>
        <w:t xml:space="preserve">BEUC341 presents the following findings on retail investors’</w:t>
      </w:r>
      <w:r>
        <w:t xml:space="preserve"> </w:t>
      </w:r>
      <w:r>
        <w:t xml:space="preserve">-</w:t>
      </w:r>
      <w:r>
        <w:t xml:space="preserve"> </w:t>
      </w:r>
      <w:r>
        <w:t xml:space="preserve">Description of the different motives for sustainability-conscious retail</w:t>
      </w:r>
      <w:r>
        <w:t xml:space="preserve"> </w:t>
      </w:r>
      <w:r>
        <w:t xml:space="preserve">investors: value coherence (excluding from your portfolio what</w:t>
      </w:r>
    </w:p>
    <w:p>
      <w:pPr>
        <w:pStyle w:val="BodyText"/>
      </w:pPr>
      <w:r>
        <w:t xml:space="preserve">337 Moving the blockers of retail sustainable finance, 2DII, 2023.</w:t>
      </w:r>
      <w:r>
        <w:t xml:space="preserve"> </w:t>
      </w:r>
      <w:r>
        <w:t xml:space="preserve">338 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European sample. Question: “when thinking</w:t>
      </w:r>
      <w:r>
        <w:t xml:space="preserve"> </w:t>
      </w:r>
      <w:r>
        <w:t xml:space="preserve">about new investments, how important is a company’s reporting on sustainability practices, carbon footprint, and</w:t>
      </w:r>
      <w:r>
        <w:t xml:space="preserve"> </w:t>
      </w:r>
      <w:r>
        <w:t xml:space="preserve">commitments to reduce greenhouse gas emissions over time?” 19% responded ‘very important and a top priority’; 24%</w:t>
      </w:r>
      <w:r>
        <w:t xml:space="preserve"> </w:t>
      </w:r>
      <w:r>
        <w:t xml:space="preserve">responded ‘very important but not a top priority’, 27% responded ‘somewhat important’, 13% responded ‘not too</w:t>
      </w:r>
      <w:r>
        <w:t xml:space="preserve"> </w:t>
      </w:r>
      <w:r>
        <w:t xml:space="preserve">important’, 6% responded ‘not at all important’.</w:t>
      </w:r>
      <w:r>
        <w:t xml:space="preserve"> </w:t>
      </w:r>
      <w:r>
        <w:t xml:space="preserve">339 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European sample. Question: “Choose one of the</w:t>
      </w:r>
      <w:r>
        <w:t xml:space="preserve"> </w:t>
      </w:r>
      <w:r>
        <w:t xml:space="preserve">three statements”. Possible response: ‘I would not invest in traditional energy companies (e.g., coal, oil and gas) due to</w:t>
      </w:r>
      <w:r>
        <w:t xml:space="preserve"> </w:t>
      </w:r>
      <w:r>
        <w:t xml:space="preserve">climate concerns’; ‘I would only invest in traditional energy companies with robust plans to reduce their greenhouse</w:t>
      </w:r>
      <w:r>
        <w:t xml:space="preserve"> </w:t>
      </w:r>
      <w:r>
        <w:t xml:space="preserve">gas emissions and address climate change’; ‘I do not consider climate change when I make investments in traditional</w:t>
      </w:r>
      <w:r>
        <w:t xml:space="preserve"> </w:t>
      </w:r>
      <w:r>
        <w:t xml:space="preserve">energy companies.’</w:t>
      </w:r>
      <w:r>
        <w:t xml:space="preserve"> </w:t>
      </w:r>
      <w:r>
        <w:t xml:space="preserve">340 Moving the blockers of retail sustainable finance, 2DII, 2023, responses from 6000 participants from 6 EU</w:t>
      </w:r>
      <w:r>
        <w:t xml:space="preserve"> </w:t>
      </w:r>
      <w:r>
        <w:t xml:space="preserve">countries.</w:t>
      </w:r>
      <w:r>
        <w:t xml:space="preserve"> </w:t>
      </w:r>
      <w:r>
        <w:t xml:space="preserve">341 A consumer agenda for sustainable retail finance and banking, BEUC (2024), section 2.1.1. what do consumers</w:t>
      </w:r>
      <w:r>
        <w:t xml:space="preserve"> </w:t>
      </w:r>
      <w:r>
        <w:t xml:space="preserve">want from sustainable investment products?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contradicts your value, i.e. avoiding harm), impact investing, transition,</w:t>
      </w:r>
      <w:r>
        <w:t xml:space="preserve"> </w:t>
      </w:r>
      <w:r>
        <w:t xml:space="preserve">and financial return.</w:t>
      </w:r>
      <w:r>
        <w:br/>
      </w:r>
      <w:r>
        <w:t xml:space="preserve">-</w:t>
      </w:r>
      <w:r>
        <w:t xml:space="preserve"> </w:t>
      </w:r>
      <w:r>
        <w:t xml:space="preserve">“However, what can be said for certain is that retail investors who shop</w:t>
      </w:r>
      <w:r>
        <w:t xml:space="preserve"> </w:t>
      </w:r>
      <w:r>
        <w:t xml:space="preserve">for sustainable investment products do not expect to be sold ‘best in class’</w:t>
      </w:r>
      <w:r>
        <w:t xml:space="preserve"> </w:t>
      </w:r>
      <w:r>
        <w:t xml:space="preserve">products or other investment approaches that pick companies whose</w:t>
      </w:r>
      <w:r>
        <w:t xml:space="preserve"> </w:t>
      </w:r>
      <w:r>
        <w:t xml:space="preserve">sustainability performance is merely better, or less bad, compared to</w:t>
      </w:r>
      <w:r>
        <w:t xml:space="preserve"> </w:t>
      </w:r>
      <w:r>
        <w:t xml:space="preserve">others in the same sector. No retail investor will see relative sustainability</w:t>
      </w:r>
      <w:r>
        <w:t xml:space="preserve"> </w:t>
      </w:r>
      <w:r>
        <w:t xml:space="preserve">as genuine sustainability.”</w:t>
      </w:r>
      <w:r>
        <w:br/>
      </w:r>
      <w:r>
        <w:t xml:space="preserve"></w:t>
      </w:r>
      <w:r>
        <w:t xml:space="preserve"> </w:t>
      </w:r>
      <w:r>
        <w:t xml:space="preserve">2Dii presents what respondents believe should constitute an impact fund to avoid</w:t>
      </w:r>
      <w:r>
        <w:t xml:space="preserve"> </w:t>
      </w:r>
      <w:r>
        <w:t xml:space="preserve">misleading investors:</w:t>
      </w:r>
      <w:r>
        <w:t xml:space="preserve"> </w:t>
      </w:r>
      <w:r>
        <w:t xml:space="preserve">o 42% believe it should be a fund that intends to have an impact on the</w:t>
      </w:r>
      <w:r>
        <w:t xml:space="preserve"> </w:t>
      </w:r>
      <w:r>
        <w:t xml:space="preserve">environment or the society AND deploys impactful actions in accordance</w:t>
      </w:r>
      <w:r>
        <w:t xml:space="preserve"> </w:t>
      </w:r>
      <w:r>
        <w:t xml:space="preserve">AND can provide evidence supporting that it actually achieved a positive</w:t>
      </w:r>
      <w:r>
        <w:t xml:space="preserve"> </w:t>
      </w:r>
      <w:r>
        <w:t xml:space="preserve">impact in the past.</w:t>
      </w:r>
      <w:r>
        <w:t xml:space="preserve"> </w:t>
      </w:r>
      <w:r>
        <w:t xml:space="preserve">o 25% believe it should be a fund that intends to have an impact on the</w:t>
      </w:r>
      <w:r>
        <w:t xml:space="preserve"> </w:t>
      </w:r>
      <w:r>
        <w:t xml:space="preserve">environment or the society AND deploys impactful actions in accordance.</w:t>
      </w:r>
      <w:r>
        <w:t xml:space="preserve"> </w:t>
      </w:r>
      <w:r>
        <w:t xml:space="preserve">o 18% don’t know.</w:t>
      </w:r>
      <w:r>
        <w:t xml:space="preserve"> </w:t>
      </w:r>
      <w:r>
        <w:t xml:space="preserve">o 15% believe it should be a fund that intends to have an impact on the</w:t>
      </w:r>
      <w:r>
        <w:t xml:space="preserve"> </w:t>
      </w:r>
      <w:r>
        <w:t xml:space="preserve">environment or the society.</w:t>
      </w:r>
      <w:r>
        <w:t xml:space="preserve"> </w:t>
      </w:r>
      <w:r>
        <w:t xml:space="preserve"></w:t>
      </w:r>
      <w:r>
        <w:t xml:space="preserve"> </w:t>
      </w:r>
      <w:r>
        <w:t xml:space="preserve">Natixis342 presents in what specific companies are advised and non-advised retail</w:t>
      </w:r>
      <w:r>
        <w:t xml:space="preserve"> </w:t>
      </w:r>
      <w:r>
        <w:t xml:space="preserve">investors prone to invest.</w:t>
      </w:r>
      <w:r>
        <w:t xml:space="preserve"> </w:t>
      </w:r>
      <w:r>
        <w:t xml:space="preserve">o Investing in companies that have a positive social impact.</w:t>
      </w:r>
      <w:r>
        <w:t xml:space="preserve"> </w:t>
      </w:r>
      <w:r>
        <w:t xml:space="preserve">-</w:t>
      </w:r>
      <w:r>
        <w:t xml:space="preserve"> </w:t>
      </w:r>
      <w:r>
        <w:t xml:space="preserve">Advised: 72%</w:t>
      </w:r>
      <w:r>
        <w:t xml:space="preserve"> </w:t>
      </w:r>
      <w:r>
        <w:t xml:space="preserve">-</w:t>
      </w:r>
      <w:r>
        <w:t xml:space="preserve"> </w:t>
      </w:r>
      <w:r>
        <w:t xml:space="preserve">Non-advised: 64%</w:t>
      </w:r>
      <w:r>
        <w:t xml:space="preserve"> </w:t>
      </w:r>
      <w:r>
        <w:t xml:space="preserve">o Investing in companies with good environmental records.</w:t>
      </w:r>
      <w:r>
        <w:t xml:space="preserve"> </w:t>
      </w:r>
      <w:r>
        <w:t xml:space="preserve">-</w:t>
      </w:r>
      <w:r>
        <w:t xml:space="preserve"> </w:t>
      </w:r>
      <w:r>
        <w:t xml:space="preserve">Advised: 73%</w:t>
      </w:r>
      <w:r>
        <w:t xml:space="preserve"> </w:t>
      </w:r>
      <w:r>
        <w:t xml:space="preserve">-</w:t>
      </w:r>
      <w:r>
        <w:t xml:space="preserve"> </w:t>
      </w:r>
      <w:r>
        <w:t xml:space="preserve">Non-advised 67%</w:t>
      </w:r>
      <w:r>
        <w:t xml:space="preserve"> </w:t>
      </w:r>
      <w:r>
        <w:t xml:space="preserve">o Investing in companies that are ethically run.</w:t>
      </w:r>
      <w:r>
        <w:t xml:space="preserve"> </w:t>
      </w:r>
      <w:r>
        <w:t xml:space="preserve">-</w:t>
      </w:r>
      <w:r>
        <w:t xml:space="preserve"> </w:t>
      </w:r>
      <w:r>
        <w:t xml:space="preserve">Advised: 80%</w:t>
      </w:r>
      <w:r>
        <w:t xml:space="preserve"> </w:t>
      </w:r>
      <w:r>
        <w:t xml:space="preserve">-</w:t>
      </w:r>
      <w:r>
        <w:t xml:space="preserve"> </w:t>
      </w:r>
      <w:r>
        <w:t xml:space="preserve">Non-advised: 74%</w:t>
      </w:r>
      <w:r>
        <w:t xml:space="preserve"> </w:t>
      </w:r>
      <w:r>
        <w:t xml:space="preserve">o Investing in companies that reflect my personal values.</w:t>
      </w:r>
      <w:r>
        <w:t xml:space="preserve"> </w:t>
      </w:r>
      <w:r>
        <w:t xml:space="preserve">-</w:t>
      </w:r>
      <w:r>
        <w:t xml:space="preserve"> </w:t>
      </w:r>
      <w:r>
        <w:t xml:space="preserve">Advised: 77%</w:t>
      </w:r>
      <w:r>
        <w:t xml:space="preserve"> </w:t>
      </w:r>
      <w:r>
        <w:t xml:space="preserve">-</w:t>
      </w:r>
      <w:r>
        <w:t xml:space="preserve"> </w:t>
      </w:r>
      <w:r>
        <w:t xml:space="preserve">Non-advised: 72%</w:t>
      </w:r>
      <w:r>
        <w:t xml:space="preserve"> </w:t>
      </w:r>
      <w:r>
        <w:t xml:space="preserve">o Knowing my investment is doing social good.</w:t>
      </w:r>
      <w:r>
        <w:t xml:space="preserve"> </w:t>
      </w:r>
      <w:r>
        <w:t xml:space="preserve">-</w:t>
      </w:r>
      <w:r>
        <w:t xml:space="preserve"> </w:t>
      </w:r>
      <w:r>
        <w:t xml:space="preserve">Advised: 73%</w:t>
      </w:r>
      <w:r>
        <w:t xml:space="preserve"> </w:t>
      </w:r>
      <w:r>
        <w:t xml:space="preserve">-</w:t>
      </w:r>
      <w:r>
        <w:t xml:space="preserve"> </w:t>
      </w:r>
      <w:r>
        <w:t xml:space="preserve">Non-advised: 67%</w:t>
      </w:r>
      <w:r>
        <w:t xml:space="preserve"> </w:t>
      </w:r>
      <w:r>
        <w:t xml:space="preserve">o Funding advancements in areas such as healthcare and education.</w:t>
      </w:r>
      <w:r>
        <w:t xml:space="preserve"> </w:t>
      </w:r>
      <w:r>
        <w:t xml:space="preserve">-</w:t>
      </w:r>
      <w:r>
        <w:t xml:space="preserve"> </w:t>
      </w:r>
      <w:r>
        <w:t xml:space="preserve">Advised: 74%</w:t>
      </w:r>
      <w:r>
        <w:t xml:space="preserve"> </w:t>
      </w:r>
      <w:r>
        <w:t xml:space="preserve">-</w:t>
      </w:r>
      <w:r>
        <w:t xml:space="preserve"> </w:t>
      </w:r>
      <w:r>
        <w:t xml:space="preserve">Non-advised: 64%</w:t>
      </w:r>
      <w:r>
        <w:t xml:space="preserve"> </w:t>
      </w:r>
      <w:r>
        <w:t xml:space="preserve"></w:t>
      </w:r>
      <w:r>
        <w:t xml:space="preserve"> </w:t>
      </w:r>
      <w:r>
        <w:t xml:space="preserve">Value-oriented investors are highly supportive of companies engaged in</w:t>
      </w:r>
      <w:r>
        <w:t xml:space="preserve"> </w:t>
      </w:r>
      <w:r>
        <w:t xml:space="preserve">sustainable economic activities, with 79.6% expressing willingness to invest in</w:t>
      </w:r>
      <w:r>
        <w:t xml:space="preserve"> </w:t>
      </w:r>
      <w:r>
        <w:t xml:space="preserve">such businesses. Additionally, 74.7% favor excluding certain corporate activities</w:t>
      </w:r>
      <w:r>
        <w:t xml:space="preserve"> </w:t>
      </w:r>
      <w:r>
        <w:t xml:space="preserve">that may not align with their values.343</w:t>
      </w:r>
    </w:p>
    <w:p>
      <w:pPr>
        <w:pStyle w:val="BodyText"/>
      </w:pPr>
      <w:r>
        <w:t xml:space="preserve">342 mind-shift-getting-past-the-screens-of-responsible-investing, Natixis (2017), Natixis Investment Managers, Global</w:t>
      </w:r>
      <w:r>
        <w:t xml:space="preserve"> </w:t>
      </w:r>
      <w:r>
        <w:t xml:space="preserve">Survey of Individual Investor. Responses from 7,100 investors from 22 countries (EU + others).</w:t>
      </w:r>
      <w:r>
        <w:t xml:space="preserve"> </w:t>
      </w:r>
      <w:r>
        <w:t xml:space="preserve">343 MyFairMoney - Questionnaire (2024), Global Survey of individual investors. Sample size = 550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National statistics:</w:t>
      </w:r>
      <w:r>
        <w:br/>
      </w:r>
      <w:r>
        <w:t xml:space="preserve"> French investors344 who had indicated that their primary objectives when</w:t>
      </w:r>
      <w:r>
        <w:t xml:space="preserve"> </w:t>
      </w:r>
      <w:r>
        <w:t xml:space="preserve">investing was to contribute to or act for sustainable development (representing</w:t>
      </w:r>
      <w:r>
        <w:t xml:space="preserve"> </w:t>
      </w:r>
      <w:r>
        <w:t xml:space="preserve">7% of respondents)345 have ranked their specific sustainability-related priority</w:t>
      </w:r>
      <w:r>
        <w:t xml:space="preserve"> </w:t>
      </w:r>
      <w:r>
        <w:t xml:space="preserve">objective:</w:t>
      </w:r>
      <w:r>
        <w:br/>
      </w:r>
      <w:r>
        <w:t xml:space="preserve">o 46% responded ‘to finance the energy transition or the preservation of</w:t>
      </w:r>
      <w:r>
        <w:t xml:space="preserve"> </w:t>
      </w:r>
      <w:r>
        <w:t xml:space="preserve">biodiversity’.</w:t>
      </w:r>
      <w:r>
        <w:t xml:space="preserve"> </w:t>
      </w:r>
      <w:r>
        <w:t xml:space="preserve">o 30% responded ‘to give preference to transparent companies.</w:t>
      </w:r>
      <w:r>
        <w:t xml:space="preserve"> </w:t>
      </w:r>
      <w:r>
        <w:t xml:space="preserve">o 28% responded ‘to invest in companies that care about their employees,</w:t>
      </w:r>
      <w:r>
        <w:t xml:space="preserve"> </w:t>
      </w:r>
      <w:r>
        <w:t xml:space="preserve">diversity or equal opportunities’.</w:t>
      </w:r>
      <w:r>
        <w:t xml:space="preserve"> </w:t>
      </w:r>
      <w:r>
        <w:t xml:space="preserve"> New evidence of German investors show they would expect an average of 49.5%</w:t>
      </w:r>
      <w:r>
        <w:t xml:space="preserve"> </w:t>
      </w:r>
      <w:r>
        <w:t xml:space="preserve">of sustainable investment depending on the category of the product and would</w:t>
      </w:r>
      <w:r>
        <w:t xml:space="preserve"> </w:t>
      </w:r>
      <w:r>
        <w:t xml:space="preserve">expect exclusions to cover notably:</w:t>
      </w:r>
      <w:r>
        <w:t xml:space="preserve"> </w:t>
      </w:r>
      <w:r>
        <w:t xml:space="preserve"> Human rights violations (63.5%)</w:t>
      </w:r>
      <w:r>
        <w:t xml:space="preserve"> </w:t>
      </w:r>
      <w:r>
        <w:t xml:space="preserve"> Expansion of coal-fired power generation) (54.4%)</w:t>
      </w:r>
      <w:r>
        <w:t xml:space="preserve"> </w:t>
      </w:r>
      <w:r>
        <w:t xml:space="preserve"> Controversial weapons (58%)</w:t>
      </w:r>
      <w:r>
        <w:t xml:space="preserve"> </w:t>
      </w:r>
      <w:r>
        <w:t xml:space="preserve"> While the figures are lower for e.g. tobacco (28%) and natural gas</w:t>
      </w:r>
      <w:r>
        <w:t xml:space="preserve"> </w:t>
      </w:r>
      <w:r>
        <w:t xml:space="preserve">(27%)346</w:t>
      </w:r>
      <w:r>
        <w:br/>
      </w:r>
      <w:r>
        <w:t xml:space="preserve"> Prior survey of German347 retail investors outlines the following as reasons to</w:t>
      </w:r>
      <w:r>
        <w:t xml:space="preserve"> </w:t>
      </w:r>
      <w:r>
        <w:t xml:space="preserve">invest sustainably:</w:t>
      </w:r>
      <w:r>
        <w:t xml:space="preserve"> </w:t>
      </w:r>
      <w:r>
        <w:t xml:space="preserve">o 38% Contribution to environmental and climate protection.</w:t>
      </w:r>
      <w:r>
        <w:t xml:space="preserve"> </w:t>
      </w:r>
      <w:r>
        <w:t xml:space="preserve">o 28% personal values</w:t>
      </w:r>
      <w:r>
        <w:t xml:space="preserve"> </w:t>
      </w:r>
      <w:r>
        <w:t xml:space="preserve">o 13% sustainale investments are better than non-sustainable.</w:t>
      </w:r>
      <w:r>
        <w:t xml:space="preserve"> </w:t>
      </w:r>
      <w:r>
        <w:t xml:space="preserve">o 3% social status</w:t>
      </w:r>
      <w:r>
        <w:t xml:space="preserve"> </w:t>
      </w:r>
      <w:r>
        <w:t xml:space="preserve">o 12% fear of the negative effects of non-sustainable investments.</w:t>
      </w:r>
      <w:r>
        <w:t xml:space="preserve"> </w:t>
      </w:r>
      <w:r>
        <w:t xml:space="preserve">o 30% leaving a better world for children and grandchildren.</w:t>
      </w:r>
    </w:p>
    <w:p>
      <w:pPr>
        <w:pStyle w:val="Compact"/>
        <w:numPr>
          <w:ilvl w:val="0"/>
          <w:numId w:val="1029"/>
        </w:numPr>
      </w:pPr>
      <w:r>
        <w:t xml:space="preserve">Current challenges/barriers to sustainable investing in the EU</w:t>
      </w:r>
      <w:r>
        <w:t xml:space="preserve"> </w:t>
      </w:r>
      <w:r>
        <w:t xml:space="preserve">Preliminary conclusion: top challenges (factors potentially preventing retail investors</w:t>
      </w:r>
      <w:r>
        <w:t xml:space="preserve"> </w:t>
      </w:r>
      <w:r>
        <w:t xml:space="preserve">from investing sustainably) include fear of greenwashing risks and the lack of a clear</w:t>
      </w:r>
      <w:r>
        <w:t xml:space="preserve"> </w:t>
      </w:r>
      <w:r>
        <w:t xml:space="preserve">overview of the (climate-aligned) investment opportunities available. The complexity</w:t>
      </w:r>
      <w:r>
        <w:t xml:space="preserve"> </w:t>
      </w:r>
      <w:r>
        <w:t xml:space="preserve">and length of the SFDR reporting templates put off investors.</w:t>
      </w:r>
      <w:r>
        <w:br/>
      </w:r>
      <w:r>
        <w:t xml:space="preserve">Global/EU statistics:</w:t>
      </w:r>
      <w:r>
        <w:t xml:space="preserve"> </w:t>
      </w:r>
      <w:r>
        <w:t xml:space="preserve"> Globally, more than 60% of investors are concerned about greenwashing risks</w:t>
      </w:r>
      <w:r>
        <w:t xml:space="preserve"> </w:t>
      </w:r>
      <w:r>
        <w:t xml:space="preserve">and the lack of ESG transparency348.</w:t>
      </w:r>
    </w:p>
    <w:p>
      <w:pPr>
        <w:pStyle w:val="FirstParagraph"/>
      </w:pPr>
      <w:r>
        <w:t xml:space="preserve">344 The French and responsible investments, July 2023, AMF. Only French sample.</w:t>
      </w:r>
      <w:r>
        <w:t xml:space="preserve"> </w:t>
      </w:r>
      <w:r>
        <w:t xml:space="preserve">345 Main objectives chosen by respondents were: ‘to have precautionary savings for unforeseen events’ (61%); ‘build</w:t>
      </w:r>
      <w:r>
        <w:t xml:space="preserve"> </w:t>
      </w:r>
      <w:r>
        <w:t xml:space="preserve">up capital’ (46%) and ‘prepare for retirement’ (31%)</w:t>
      </w:r>
      <w:r>
        <w:t xml:space="preserve"> </w:t>
      </w:r>
      <w:r>
        <w:t xml:space="preserve">346 Consumer Testing for SFDR 2.0 (2025), BaFin Centre Sustainable Finance (ZSF), sample of 1000</w:t>
      </w:r>
      <w:r>
        <w:t xml:space="preserve"> </w:t>
      </w:r>
      <w:r>
        <w:t xml:space="preserve">German investors. BaFin - Current topics - Survey on sustainable financial products: Consumers expect</w:t>
      </w:r>
      <w:r>
        <w:t xml:space="preserve"> </w:t>
      </w:r>
      <w:r>
        <w:t xml:space="preserve">clear rules</w:t>
      </w:r>
      <w:r>
        <w:t xml:space="preserve"> </w:t>
      </w:r>
      <w:r>
        <w:t xml:space="preserve">347 Eckert et al. (2022) responses from German sample of 3699 investors. Question was “Why would you invest in a</w:t>
      </w:r>
      <w:r>
        <w:t xml:space="preserve"> </w:t>
      </w:r>
      <w:r>
        <w:t xml:space="preserve">sustainable investment”. Percentages show the share of ‘yes’ answers.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 Only 20% of European investors (EU only) understand ‘the step they can take to</w:t>
      </w:r>
      <w:r>
        <w:t xml:space="preserve"> </w:t>
      </w:r>
      <w:r>
        <w:t xml:space="preserve">invest and how to invest in a way that aligns with their values’. 48% answered to</w:t>
      </w:r>
      <w:r>
        <w:t xml:space="preserve"> </w:t>
      </w:r>
      <w:r>
        <w:t xml:space="preserve">some extent, 13% no, and 16% unsure349.</w:t>
      </w:r>
      <w:r>
        <w:t xml:space="preserve"> </w:t>
      </w:r>
      <w:r>
        <w:t xml:space="preserve"> Only 5% of European investors (EU only) believe that they ‘have a clear</w:t>
      </w:r>
      <w:r>
        <w:t xml:space="preserve"> </w:t>
      </w:r>
      <w:r>
        <w:t xml:space="preserve">overview of the climate-aligned investment opportunities that are available in</w:t>
      </w:r>
      <w:r>
        <w:t xml:space="preserve"> </w:t>
      </w:r>
      <w:r>
        <w:t xml:space="preserve">their country’. 24% said to some extent, 53% answered no and 19% said they</w:t>
      </w:r>
      <w:r>
        <w:t xml:space="preserve"> </w:t>
      </w:r>
      <w:r>
        <w:t xml:space="preserve">were unsure350.</w:t>
      </w:r>
      <w:r>
        <w:t xml:space="preserve"> </w:t>
      </w:r>
      <w:r>
        <w:t xml:space="preserve"> Only 12% of European investors (EU only) said that they know ‘how to identify</w:t>
      </w:r>
      <w:r>
        <w:t xml:space="preserve"> </w:t>
      </w:r>
      <w:r>
        <w:t xml:space="preserve">opportunities and mitigate risks before making an investment decision’. 44% said</w:t>
      </w:r>
      <w:r>
        <w:t xml:space="preserve"> </w:t>
      </w:r>
      <w:r>
        <w:t xml:space="preserve">to some extent, 28% said no and 18% were unsure.351</w:t>
      </w:r>
      <w:r>
        <w:t xml:space="preserve"> </w:t>
      </w:r>
      <w:r>
        <w:t xml:space="preserve"> Only 6% of European investors (EU only) said they can ‘understand how to</w:t>
      </w:r>
      <w:r>
        <w:t xml:space="preserve"> </w:t>
      </w:r>
      <w:r>
        <w:t xml:space="preserve">protect themselves from greenwashing and what to do if they see it occurring’.</w:t>
      </w:r>
      <w:r>
        <w:t xml:space="preserve"> </w:t>
      </w:r>
      <w:r>
        <w:t xml:space="preserve">31% said to some extent, 43% said no and 21% were unsure.352</w:t>
      </w:r>
      <w:r>
        <w:t xml:space="preserve"> </w:t>
      </w:r>
      <w:r>
        <w:t xml:space="preserve"> 46% of global retail investors raised the issue of lack of ESG performance data</w:t>
      </w:r>
      <w:r>
        <w:t xml:space="preserve"> </w:t>
      </w:r>
      <w:r>
        <w:t xml:space="preserve">reported by both the companies and other sources as a barrier to ESG integration.</w:t>
      </w:r>
      <w:r>
        <w:t xml:space="preserve"> </w:t>
      </w:r>
      <w:r>
        <w:t xml:space="preserve">39% consider lack of standards for measuring ESG performance as a barrier. 29%</w:t>
      </w:r>
      <w:r>
        <w:t xml:space="preserve"> </w:t>
      </w:r>
      <w:r>
        <w:t xml:space="preserve">are concerned about under-performance of ESG investments, while 21% about</w:t>
      </w:r>
      <w:r>
        <w:t xml:space="preserve"> </w:t>
      </w:r>
      <w:r>
        <w:t xml:space="preserve">costs associated with ESG integration.353</w:t>
      </w:r>
      <w:r>
        <w:t xml:space="preserve"> </w:t>
      </w:r>
      <w:r>
        <w:t xml:space="preserve">National statistics (FR, IT, NL, PL):</w:t>
      </w:r>
      <w:r>
        <w:br/>
      </w:r>
      <w:r>
        <w:t xml:space="preserve"> Consumer studies conducted on behalf of the European Supervisory Authorities</w:t>
      </w:r>
      <w:r>
        <w:t xml:space="preserve"> </w:t>
      </w:r>
      <w:r>
        <w:t xml:space="preserve">in four EU countries (FR, IT, NL, PL) in spring 2023 confirmed that the current</w:t>
      </w:r>
      <w:r>
        <w:t xml:space="preserve"> </w:t>
      </w:r>
      <w:r>
        <w:t xml:space="preserve">SFDR disclosures templates present a lot of information to digest and that much</w:t>
      </w:r>
      <w:r>
        <w:t xml:space="preserve"> </w:t>
      </w:r>
      <w:r>
        <w:t xml:space="preserve">of it is too hard to understand or interpret correctly.354</w:t>
      </w:r>
      <w:r>
        <w:t xml:space="preserve"> </w:t>
      </w:r>
      <w:r>
        <w:t xml:space="preserve">o AMF findings355: documents not appearing to be aimed at retail investors</w:t>
      </w:r>
      <w:r>
        <w:br/>
      </w:r>
      <w:r>
        <w:t xml:space="preserve"> “Investors felt put off by the form of the document, its compact</w:t>
      </w:r>
      <w:r>
        <w:t xml:space="preserve"> </w:t>
      </w:r>
      <w:r>
        <w:t xml:space="preserve">presentation, its length and the lack of a summary”.</w:t>
      </w:r>
      <w:r>
        <w:br/>
      </w:r>
      <w:r>
        <w:t xml:space="preserve"> “Complexity, due to the use of technical terms and a lack of</w:t>
      </w:r>
      <w:r>
        <w:t xml:space="preserve"> </w:t>
      </w:r>
      <w:r>
        <w:t xml:space="preserve">simple explanations”, “full of jargon”, “concepts are hard to</w:t>
      </w:r>
      <w:r>
        <w:t xml:space="preserve"> </w:t>
      </w:r>
      <w:r>
        <w:t xml:space="preserve">identify”.</w:t>
      </w:r>
      <w:r>
        <w:t xml:space="preserve"> </w:t>
      </w:r>
      <w:r>
        <w:t xml:space="preserve">o Università Cattolica del Sacro Cuore findings356: the differences between</w:t>
      </w:r>
      <w:r>
        <w:t xml:space="preserve"> </w:t>
      </w:r>
      <w:r>
        <w:t xml:space="preserve">‘sustainable investments’ and the ‘EU Taxonomy’ is a source of</w:t>
      </w:r>
      <w:r>
        <w:t xml:space="preserve"> </w:t>
      </w:r>
      <w:r>
        <w:t xml:space="preserve">confusion.</w:t>
      </w:r>
    </w:p>
    <w:p>
      <w:pPr>
        <w:pStyle w:val="BodyText"/>
      </w:pPr>
      <w:r>
        <w:t xml:space="preserve">348 “Sustainable Signals, understanding individual investors’ interests and priorities” Morgan Stanley institute for</w:t>
      </w:r>
      <w:r>
        <w:t xml:space="preserve"> </w:t>
      </w:r>
      <w:r>
        <w:t xml:space="preserve">sustainable investing and wealth management (2024) – responses from global sample (US, Europe – France, Germany,</w:t>
      </w:r>
      <w:r>
        <w:t xml:space="preserve"> </w:t>
      </w:r>
      <w:r>
        <w:t xml:space="preserve">UK, Switzerland - and Japan).</w:t>
      </w:r>
      <w:r>
        <w:t xml:space="preserve"> </w:t>
      </w:r>
      <w:r>
        <w:t xml:space="preserve">349 Invest for Better Climate EU, Better Finance, 2024</w:t>
      </w:r>
      <w:r>
        <w:t xml:space="preserve"> </w:t>
      </w:r>
      <w:r>
        <w:t xml:space="preserve">350 Invest for Better Climate EU, Better Finance, 2024</w:t>
      </w:r>
      <w:r>
        <w:t xml:space="preserve"> </w:t>
      </w:r>
      <w:r>
        <w:t xml:space="preserve">351 Invest for Better Climate EU, Better Finance, 2024</w:t>
      </w:r>
      <w:r>
        <w:t xml:space="preserve"> </w:t>
      </w:r>
      <w:r>
        <w:t xml:space="preserve">352 Invest for Better Climate EU, Better Finance, 2024</w:t>
      </w:r>
      <w:r>
        <w:br/>
      </w:r>
      <w:r>
        <w:t xml:space="preserve">353 The Investing Enlightenment, State Street (2018) – responses from global sample (Europe, Asia, Americas,</w:t>
      </w:r>
      <w:r>
        <w:t xml:space="preserve"> </w:t>
      </w:r>
      <w:r>
        <w:t xml:space="preserve">Australia). Respondents were asked about the barriers to ESG integration. They could select more than one option.</w:t>
      </w:r>
      <w:r>
        <w:br/>
      </w:r>
      <w:r>
        <w:t xml:space="preserve">354 Final Report on draft RTS on the review of PAI and financial product disclosures in the SFDR Delegated</w:t>
      </w:r>
      <w:r>
        <w:t xml:space="preserve"> </w:t>
      </w:r>
      <w:r>
        <w:t xml:space="preserve">Regulation: consumer testing in Italy, Poland, Netherlands, AMF</w:t>
      </w:r>
      <w:r>
        <w:br/>
      </w:r>
      <w:r>
        <w:t xml:space="preserve">355 AMF consumer testing on financial product disclosures in pre-contractual disclosures under the SFDR, June 2023.</w:t>
      </w:r>
      <w:r>
        <w:t xml:space="preserve"> </w:t>
      </w:r>
      <w:r>
        <w:t xml:space="preserve">Study lasted 5 days and targeted 27 savers</w:t>
      </w:r>
      <w:r>
        <w:t xml:space="preserve"> </w:t>
      </w:r>
      <w:r>
        <w:t xml:space="preserve">356 Consumer testing on financial product disclosures under the SFDR, Università Cattolica del Sacro Cuore, July</w:t>
      </w:r>
      <w:r>
        <w:t xml:space="preserve"> </w:t>
      </w:r>
      <w:r>
        <w:t xml:space="preserve">2023/. Survey was delivered to three classes of graduate students attending the university.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o AFM findings357: (1) the understanding of the document is low; (2) the</w:t>
      </w:r>
      <w:r>
        <w:t xml:space="preserve"> </w:t>
      </w:r>
      <w:r>
        <w:t xml:space="preserve">aim and context of the document are not clear, most readers were</w:t>
      </w:r>
      <w:r>
        <w:t xml:space="preserve"> </w:t>
      </w:r>
      <w:r>
        <w:t xml:space="preserve">confused about its purpose; (3) the texts and concepts are difficult to</w:t>
      </w:r>
      <w:r>
        <w:t xml:space="preserve"> </w:t>
      </w:r>
      <w:r>
        <w:t xml:space="preserve">understand, the language level is too high, especially regarding the</w:t>
      </w:r>
      <w:r>
        <w:t xml:space="preserve"> </w:t>
      </w:r>
      <w:r>
        <w:t xml:space="preserve">concept of Taxonomy and sustainable investment; (4) the design (both</w:t>
      </w:r>
      <w:r>
        <w:t xml:space="preserve"> </w:t>
      </w:r>
      <w:r>
        <w:t xml:space="preserve">textual and visual) of the document is not attractive.</w:t>
      </w:r>
      <w:r>
        <w:br/>
      </w:r>
      <w:r>
        <w:t xml:space="preserve"> AMF study highlighted that the understanding of ‘European Taxonomy’ was very</w:t>
      </w:r>
      <w:r>
        <w:t xml:space="preserve"> </w:t>
      </w:r>
      <w:r>
        <w:t xml:space="preserve">low: 4% knew exactly that it means; 10% knew the main outlines, 19% knew it</w:t>
      </w:r>
      <w:r>
        <w:t xml:space="preserve"> </w:t>
      </w:r>
      <w:r>
        <w:t xml:space="preserve">just by name; and 67% declared not knowing it at all.358</w:t>
      </w:r>
      <w:r>
        <w:t xml:space="preserve"> </w:t>
      </w:r>
      <w:r>
        <w:t xml:space="preserve"> AMF study also shows a pick in mistrust in responsible investment. Respondents</w:t>
      </w:r>
      <w:r>
        <w:t xml:space="preserve"> </w:t>
      </w:r>
      <w:r>
        <w:t xml:space="preserve">were faced with different statement about responsible investments. The statement</w:t>
      </w:r>
      <w:r>
        <w:t xml:space="preserve"> </w:t>
      </w:r>
      <w:r>
        <w:t xml:space="preserve">that was the most of them agreed with was ‘responsible investments are never</w:t>
      </w:r>
      <w:r>
        <w:t xml:space="preserve"> </w:t>
      </w:r>
      <w:r>
        <w:t xml:space="preserve">totally responsible’ with 17% agree totally, 41% agree, 15% disagree, 4% totally</w:t>
      </w:r>
      <w:r>
        <w:t xml:space="preserve"> </w:t>
      </w:r>
      <w:r>
        <w:t xml:space="preserve">disagree, and 23% don’t know. Meaning than 53% French investors agree that</w:t>
      </w:r>
      <w:r>
        <w:t xml:space="preserve"> </w:t>
      </w:r>
      <w:r>
        <w:t xml:space="preserve">responsible investment are never totally responsible359.</w:t>
      </w:r>
      <w:r>
        <w:t xml:space="preserve"> </w:t>
      </w:r>
      <w:r>
        <w:t xml:space="preserve"> Moderate level of trust in the labels in the French market:360</w:t>
      </w:r>
      <w:r>
        <w:br/>
      </w:r>
      <w:r>
        <w:t xml:space="preserve">o Label ISR (FR): 64% completely or moderately trust the label validates</w:t>
      </w:r>
      <w:r>
        <w:t xml:space="preserve"> </w:t>
      </w:r>
      <w:r>
        <w:t xml:space="preserve">the responsible orientation of a savings or investment product.361</w:t>
      </w:r>
      <w:r>
        <w:br/>
      </w:r>
      <w:r>
        <w:t xml:space="preserve">o Greenfin label (FR): 72% completely or moderately trust the label</w:t>
      </w:r>
      <w:r>
        <w:t xml:space="preserve"> </w:t>
      </w:r>
      <w:r>
        <w:t xml:space="preserve">validates the responsible orientation of a savings or investment product.362</w:t>
      </w:r>
      <w:r>
        <w:t xml:space="preserve"> </w:t>
      </w:r>
      <w:r>
        <w:t xml:space="preserve">o When asked ‘why don’t you fully trust these labels’, the most picked</w:t>
      </w:r>
      <w:r>
        <w:t xml:space="preserve"> </w:t>
      </w:r>
      <w:r>
        <w:t xml:space="preserve">answers is: ‘existence of several labels, which makes them confusing’</w:t>
      </w:r>
      <w:r>
        <w:t xml:space="preserve"> </w:t>
      </w:r>
      <w:r>
        <w:t xml:space="preserve">(33%).363</w:t>
      </w:r>
    </w:p>
    <w:p>
      <w:pPr>
        <w:pStyle w:val="BodyText"/>
      </w:pPr>
      <w:r>
        <w:t xml:space="preserve">SOURCES</w:t>
      </w:r>
    </w:p>
    <w:p>
      <w:pPr>
        <w:pStyle w:val="BodyText"/>
      </w:pPr>
      <w:r>
        <w:t xml:space="preserve"> Morgan Stanley institute for sustainable investing and wealth management,</w:t>
      </w:r>
      <w:r>
        <w:t xml:space="preserve"> </w:t>
      </w:r>
      <w:r>
        <w:t xml:space="preserve">“Sustainable Signals, understanding individual investors’ interests and priorities”</w:t>
      </w:r>
      <w:r>
        <w:t xml:space="preserve"> </w:t>
      </w:r>
      <w:r>
        <w:t xml:space="preserve">(2024). Sample of Respondents: US (1002 individual investors), Europe (1025,</w:t>
      </w:r>
      <w:r>
        <w:t xml:space="preserve"> </w:t>
      </w:r>
      <w:r>
        <w:t xml:space="preserve">including 289 in the UK, 273 in France, 285 from Germany and 178 from</w:t>
      </w:r>
      <w:r>
        <w:t xml:space="preserve"> </w:t>
      </w:r>
      <w:r>
        <w:t xml:space="preserve">Switzerland) and Japan (793).</w:t>
      </w:r>
      <w:r>
        <w:t xml:space="preserve"> </w:t>
      </w:r>
      <w:r>
        <w:t xml:space="preserve"> Deloitte, “Towards Sustainable Investing: How retail investors can create an</w:t>
      </w:r>
      <w:r>
        <w:t xml:space="preserve"> </w:t>
      </w:r>
      <w:r>
        <w:t xml:space="preserve">impact” (2024). Sample of 1000 Belgian investors</w:t>
      </w:r>
      <w:r>
        <w:br/>
      </w:r>
      <w:r>
        <w:t xml:space="preserve"> 2 degrees investing, Summary table of surveys. Sample of 6105 investors from</w:t>
      </w:r>
      <w:r>
        <w:t xml:space="preserve"> </w:t>
      </w:r>
      <w:r>
        <w:t xml:space="preserve">Belgium, Spain, Italy, Netherlands, Poland, and Sweden</w:t>
      </w:r>
    </w:p>
    <w:p>
      <w:pPr>
        <w:pStyle w:val="BodyText"/>
      </w:pPr>
      <w:r>
        <w:t xml:space="preserve">357 Consumer testing on financial product disclosures in pre-contractual disclosures under the Sustainable Finance</w:t>
      </w:r>
      <w:r>
        <w:t xml:space="preserve"> </w:t>
      </w:r>
      <w:r>
        <w:t xml:space="preserve">Disclosure Regulation, AFM, June 2023. Study used online tools on collect qualitative insight on the template. The</w:t>
      </w:r>
      <w:r>
        <w:t xml:space="preserve"> </w:t>
      </w:r>
      <w:r>
        <w:t xml:space="preserve">sample was a representative group of 239 Dutch people ages 18 or above.</w:t>
      </w:r>
      <w:r>
        <w:t xml:space="preserve"> </w:t>
      </w:r>
      <w:r>
        <w:t xml:space="preserve">358 The French and responsible investments, July 2023, AMF. A survey of a representative sample of 2,001 individuals</w:t>
      </w:r>
      <w:r>
        <w:t xml:space="preserve"> </w:t>
      </w:r>
      <w:r>
        <w:t xml:space="preserve">of the national population aged 18 and over. The sample was interviewed using a questionnaire administered online</w:t>
      </w:r>
      <w:r>
        <w:t xml:space="preserve"> </w:t>
      </w:r>
      <w:r>
        <w:t xml:space="preserve">(CAWI), based on a panel and a questionnaire lasting an average of 20 minutes.</w:t>
      </w:r>
      <w:r>
        <w:t xml:space="preserve"> </w:t>
      </w:r>
      <w:r>
        <w:t xml:space="preserve">359 The French and responsible investments, July 2023, AMF. Only French sample.</w:t>
      </w:r>
      <w:r>
        <w:t xml:space="preserve"> </w:t>
      </w:r>
      <w:r>
        <w:t xml:space="preserve">360 The French and responsible investments, July 2023, AMF. Only French sample.</w:t>
      </w:r>
      <w:r>
        <w:t xml:space="preserve"> </w:t>
      </w:r>
      <w:r>
        <w:t xml:space="preserve">361 20% don’t know, 16% not at all</w:t>
      </w:r>
      <w:r>
        <w:br/>
      </w:r>
      <w:r>
        <w:t xml:space="preserve">362 12% don’t know and 16% not at all</w:t>
      </w:r>
      <w:r>
        <w:t xml:space="preserve"> </w:t>
      </w:r>
      <w:r>
        <w:t xml:space="preserve">363 Other top answers: “they are not very transparent” (31%); “don’t trust labels in general” (26%) and “selection</w:t>
      </w:r>
      <w:r>
        <w:t xml:space="preserve"> </w:t>
      </w:r>
      <w:r>
        <w:t xml:space="preserve">criteria are not clear” (23%).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 2 degrees investing, “What do your clients actually want”. Sample of investors</w:t>
      </w:r>
      <w:r>
        <w:t xml:space="preserve"> </w:t>
      </w:r>
      <w:r>
        <w:t xml:space="preserve">from Denmark, Estonia, Germany, Greece, Ireland, and Romania. Approximately</w:t>
      </w:r>
      <w:r>
        <w:t xml:space="preserve"> </w:t>
      </w:r>
      <w:r>
        <w:t xml:space="preserve">1000 people per country</w:t>
      </w:r>
      <w:r>
        <w:t xml:space="preserve"> </w:t>
      </w:r>
      <w:r>
        <w:t xml:space="preserve"> 2 degrees investing, “Moving the blockers of retail sustainable finance in</w:t>
      </w:r>
      <w:r>
        <w:t xml:space="preserve"> </w:t>
      </w:r>
      <w:r>
        <w:t xml:space="preserve">Belgium”. Sample of 12000 investors from Denmark, Estonia, Germany, Greece,</w:t>
      </w:r>
      <w:r>
        <w:t xml:space="preserve"> </w:t>
      </w:r>
      <w:r>
        <w:t xml:space="preserve">Ireland, Romania, Belgium, Spain, Italy, Netherlands, Poland, and Sweden.</w:t>
      </w:r>
      <w:r>
        <w:t xml:space="preserve"> </w:t>
      </w:r>
      <w:r>
        <w:t xml:space="preserve">Approximately 1000 people per country</w:t>
      </w:r>
      <w:r>
        <w:t xml:space="preserve"> </w:t>
      </w:r>
      <w:r>
        <w:t xml:space="preserve"> AMF and opinion way, “The French and responsible investment” (2024).</w:t>
      </w:r>
      <w:r>
        <w:t xml:space="preserve"> </w:t>
      </w:r>
      <w:r>
        <w:t xml:space="preserve">Sample of 2001 French individual above 18 years old. The sample was</w:t>
      </w:r>
      <w:r>
        <w:t xml:space="preserve"> </w:t>
      </w:r>
      <w:r>
        <w:t xml:space="preserve">interviewed using a questionnaire administered online (CAWI) based on a panel</w:t>
      </w:r>
      <w:r>
        <w:t xml:space="preserve"> </w:t>
      </w:r>
      <w:r>
        <w:t xml:space="preserve">and a questionnaire lasting an average of 20min.</w:t>
      </w:r>
      <w:r>
        <w:br/>
      </w:r>
      <w:r>
        <w:t xml:space="preserve"> AMF, consumer testing on financial product disclosures in pre-contractual</w:t>
      </w:r>
      <w:r>
        <w:t xml:space="preserve"> </w:t>
      </w:r>
      <w:r>
        <w:t xml:space="preserve">disclosures under the SFDR, (2023). Study targeted 27 savers and lasted 5 days.</w:t>
      </w:r>
      <w:r>
        <w:br/>
      </w:r>
      <w:r>
        <w:t xml:space="preserve"> Better Finance, “Invest for Better Climate EU: assessing retail investor</w:t>
      </w:r>
      <w:r>
        <w:t xml:space="preserve"> </w:t>
      </w:r>
      <w:r>
        <w:t xml:space="preserve">sustainability knowledge and preferences EU” (2024). Sample of 854 participants</w:t>
      </w:r>
      <w:r>
        <w:t xml:space="preserve"> </w:t>
      </w:r>
      <w:r>
        <w:t xml:space="preserve">from France, Germany, Poland and Spain</w:t>
      </w:r>
      <w:r>
        <w:t xml:space="preserve"> </w:t>
      </w:r>
      <w:r>
        <w:t xml:space="preserve"> Università Cattolica del Sacro Cuore, consumer testing on financial product</w:t>
      </w:r>
      <w:r>
        <w:t xml:space="preserve"> </w:t>
      </w:r>
      <w:r>
        <w:t xml:space="preserve">disclosures in pre-contractual disclosures under the SFDR, (2023). Survey was</w:t>
      </w:r>
      <w:r>
        <w:t xml:space="preserve"> </w:t>
      </w:r>
      <w:r>
        <w:t xml:space="preserve">delivered to three classes of graduate students attending this university.</w:t>
      </w:r>
      <w:r>
        <w:br/>
      </w:r>
      <w:r>
        <w:t xml:space="preserve"> AFM, consumer testing on financial product disclosures in pre-contractual</w:t>
      </w:r>
      <w:r>
        <w:t xml:space="preserve"> </w:t>
      </w:r>
      <w:r>
        <w:t xml:space="preserve">disclosures under the SFDR, (2023). The sample was a representative group of</w:t>
      </w:r>
      <w:r>
        <w:t xml:space="preserve"> </w:t>
      </w:r>
      <w:r>
        <w:t xml:space="preserve">239 Dutch people aged 18 or above.</w:t>
      </w:r>
      <w:r>
        <w:br/>
      </w:r>
      <w:r>
        <w:t xml:space="preserve"> BEUC, “A consumer agenda for sustainable retail finance and banking” (2024).</w:t>
      </w:r>
      <w:r>
        <w:t xml:space="preserve"> </w:t>
      </w:r>
      <w:r>
        <w:t xml:space="preserve">Sample unknown.</w:t>
      </w:r>
      <w:r>
        <w:br/>
      </w:r>
      <w:r>
        <w:t xml:space="preserve"> Eckert et al. (2022) New evidence on German retail investors: The desire to</w:t>
      </w:r>
      <w:r>
        <w:t xml:space="preserve"> </w:t>
      </w:r>
      <w:r>
        <w:t xml:space="preserve">make an impact. Responses from German sample of 3699 investors</w:t>
      </w:r>
      <w:r>
        <w:t xml:space="preserve"> </w:t>
      </w:r>
      <w:r>
        <w:t xml:space="preserve"> State Street (2018), The Investing Enlightenment, responses from global sample</w:t>
      </w:r>
      <w:r>
        <w:t xml:space="preserve"> </w:t>
      </w:r>
      <w:r>
        <w:t xml:space="preserve">(Europe, Asia, Americas, Australia).</w:t>
      </w:r>
      <w:r>
        <w:br/>
      </w:r>
      <w:r>
        <w:t xml:space="preserve"> Natixis (2017), Natixis Investment Managers, Global Survey of Individual</w:t>
      </w:r>
      <w:r>
        <w:t xml:space="preserve"> </w:t>
      </w:r>
      <w:r>
        <w:t xml:space="preserve">Investor. Responses from 7,100 investors from 22 countries.</w:t>
      </w:r>
      <w:r>
        <w:t xml:space="preserve"> </w:t>
      </w:r>
      <w:r>
        <w:t xml:space="preserve"> Schroders (2017), Global Investor Study Global Perspectives on Sustainable</w:t>
      </w:r>
      <w:r>
        <w:t xml:space="preserve"> </w:t>
      </w:r>
      <w:r>
        <w:t xml:space="preserve">investing. 22,000 respondents from 33 countries</w:t>
      </w:r>
      <w:r>
        <w:t xml:space="preserve"> </w:t>
      </w:r>
      <w:r>
        <w:t xml:space="preserve"> Sustainable Finance Observatory (2025), Mind the Gap Why EU retail investors</w:t>
      </w:r>
      <w:r>
        <w:t xml:space="preserve"> </w:t>
      </w:r>
      <w:r>
        <w:t xml:space="preserve">don’t get what they want. Based on surveys, interviews, mystery shopping visits</w:t>
      </w:r>
      <w:r>
        <w:t xml:space="preserve"> </w:t>
      </w:r>
      <w:r>
        <w:t xml:space="preserve">etc. in 14 Member States</w:t>
      </w:r>
      <w:r>
        <w:t xml:space="preserve"> </w:t>
      </w:r>
      <w:r>
        <w:t xml:space="preserve"> BaFIN Centre for Sustainable Finance (ZSF) (2025), Consumer Testing for</w:t>
      </w:r>
      <w:r>
        <w:t xml:space="preserve"> </w:t>
      </w:r>
      <w:r>
        <w:t xml:space="preserve">SFDR 2.0. Online survey in Germany of 1,000 people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ANNEX 11: EVALUATION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Context</w:t>
      </w:r>
      <w:r>
        <w:t xml:space="preserve"> </w:t>
      </w:r>
      <w:r>
        <w:t xml:space="preserve">Regulation (EU) 2019/2088 of the European Parliament and of the Council of 27</w:t>
      </w:r>
      <w:r>
        <w:t xml:space="preserve"> </w:t>
      </w:r>
      <w:r>
        <w:t xml:space="preserve">November 2019 on sustainability‐related disclosures in the financial services sector (or</w:t>
      </w:r>
      <w:r>
        <w:t xml:space="preserve"> </w:t>
      </w:r>
      <w:r>
        <w:t xml:space="preserve">the ‘Sustainable Finance Disclosures Regulation’ (SFDR)) has been in application since</w:t>
      </w:r>
      <w:r>
        <w:t xml:space="preserve"> </w:t>
      </w:r>
      <w:r>
        <w:t xml:space="preserve">March 2021. It is part of a broader package of sustainability disclosure rules, tools and</w:t>
      </w:r>
      <w:r>
        <w:t xml:space="preserve"> </w:t>
      </w:r>
      <w:r>
        <w:t xml:space="preserve">standards for non-financial and financial companies adopted pursuant to the</w:t>
      </w:r>
      <w:r>
        <w:t xml:space="preserve"> </w:t>
      </w:r>
      <w:r>
        <w:t xml:space="preserve">Commission’s 2018 Action Plan on Financing Sustainable Growth364, recalled and</w:t>
      </w:r>
      <w:r>
        <w:t xml:space="preserve"> </w:t>
      </w:r>
      <w:r>
        <w:t xml:space="preserve">reinforced within the objectives of the European Green Deal365 and the Commission’s</w:t>
      </w:r>
      <w:r>
        <w:t xml:space="preserve"> </w:t>
      </w:r>
      <w:r>
        <w:t xml:space="preserve">2021 Strategy for Financing the Transition to a Sustainable Economy366.</w:t>
      </w:r>
      <w:r>
        <w:br/>
      </w:r>
      <w:r>
        <w:t xml:space="preserve">The SFDR level 1 Regulation is complemented by a level 2 Delegated Regulation367</w:t>
      </w:r>
      <w:r>
        <w:t xml:space="preserve"> </w:t>
      </w:r>
      <w:r>
        <w:t xml:space="preserve">which lays down detailed disclosure rules for how financial market participants, such as</w:t>
      </w:r>
      <w:r>
        <w:t xml:space="preserve"> </w:t>
      </w:r>
      <w:r>
        <w:t xml:space="preserve">asset managers and pension funds, and financial advisers should disclose sustainability</w:t>
      </w:r>
      <w:r>
        <w:t xml:space="preserve"> </w:t>
      </w:r>
      <w:r>
        <w:t xml:space="preserve">information about their investment activities toward investors, in order to help the latter</w:t>
      </w:r>
      <w:r>
        <w:t xml:space="preserve"> </w:t>
      </w:r>
      <w:r>
        <w:t xml:space="preserve">make informed choices. The Delegated Regulation specifies notably the details of the</w:t>
      </w:r>
      <w:r>
        <w:t xml:space="preserve"> </w:t>
      </w:r>
      <w:r>
        <w:t xml:space="preserve">information to be disclosed to investors in pre-contractual documents, on websites and in</w:t>
      </w:r>
      <w:r>
        <w:t xml:space="preserve"> </w:t>
      </w:r>
      <w:r>
        <w:t xml:space="preserve">periodic reports regarding key parameters and indicators set out in the level 1 Regulation</w:t>
      </w:r>
      <w:r>
        <w:t xml:space="preserve"> </w:t>
      </w:r>
      <w:r>
        <w:t xml:space="preserve">both for financial market participants as entities as well as for the financial products</w:t>
      </w:r>
      <w:r>
        <w:t xml:space="preserve"> </w:t>
      </w:r>
      <w:r>
        <w:t xml:space="preserve">which they make available. This includes notably regarding how products may be</w:t>
      </w:r>
      <w:r>
        <w:t xml:space="preserve"> </w:t>
      </w:r>
      <w:r>
        <w:t xml:space="preserve">considered to promote environmental or social characteristics under Article 8, to pursue</w:t>
      </w:r>
      <w:r>
        <w:t xml:space="preserve"> </w:t>
      </w:r>
      <w:r>
        <w:t xml:space="preserve">sustainable investment as an objective under Article 9, and to consider principal adverse</w:t>
      </w:r>
      <w:r>
        <w:t xml:space="preserve"> </w:t>
      </w:r>
      <w:r>
        <w:t xml:space="preserve">impacts to sustainability, including adherence to the principle of ‘do no significant harm’.</w:t>
      </w:r>
      <w:r>
        <w:br/>
      </w:r>
      <w:r>
        <w:t xml:space="preserve">While the level 1 Regulation is applicable since March 2021, the detailed level 2</w:t>
      </w:r>
      <w:r>
        <w:t xml:space="preserve"> </w:t>
      </w:r>
      <w:r>
        <w:t xml:space="preserve">Delegated Regulation applies only since early 2023. Overall, the rules both across the</w:t>
      </w:r>
      <w:r>
        <w:t xml:space="preserve"> </w:t>
      </w:r>
      <w:r>
        <w:t xml:space="preserve">level 1 and the level 2 are closely linked with other parts of the EU sustainable finance</w:t>
      </w:r>
      <w:r>
        <w:t xml:space="preserve"> </w:t>
      </w:r>
      <w:r>
        <w:t xml:space="preserve">framework, notably the Taxonomy Regulation368 and the Corporate Sustainability</w:t>
      </w:r>
      <w:r>
        <w:t xml:space="preserve"> </w:t>
      </w:r>
      <w:r>
        <w:t xml:space="preserve">Reporting Directive369, including their respective implementing measures which have</w:t>
      </w:r>
      <w:r>
        <w:t xml:space="preserve"> </w:t>
      </w:r>
      <w:r>
        <w:t xml:space="preserve">entered into application in various steps between 2022 and 2025370.</w:t>
      </w:r>
      <w:r>
        <w:br/>
      </w:r>
      <w:r>
        <w:t xml:space="preserve">The comprehensive assessment of the SFDR was announced in December 2022371 as per</w:t>
      </w:r>
      <w:r>
        <w:t xml:space="preserve"> </w:t>
      </w:r>
      <w:r>
        <w:t xml:space="preserve">Article 19 of the regulation to assess potential shortcomings with the framework,</w:t>
      </w:r>
      <w:r>
        <w:t xml:space="preserve"> </w:t>
      </w:r>
      <w:r>
        <w:t xml:space="preserve">focusing on legal certainty, the usability of the regulation and its ability to play its part in</w:t>
      </w:r>
    </w:p>
    <w:p>
      <w:pPr>
        <w:pStyle w:val="BodyText"/>
      </w:pPr>
      <w:r>
        <w:t xml:space="preserve">364 COM(2018) 97 final</w:t>
      </w:r>
      <w:r>
        <w:t xml:space="preserve"> </w:t>
      </w:r>
      <w:r>
        <w:t xml:space="preserve">365 COM(2019) 640 final</w:t>
      </w:r>
      <w:r>
        <w:t xml:space="preserve"> </w:t>
      </w:r>
      <w:r>
        <w:t xml:space="preserve">366 COM(2021) 390 final</w:t>
      </w:r>
      <w:r>
        <w:t xml:space="preserve"> </w:t>
      </w:r>
      <w:r>
        <w:t xml:space="preserve">367 Commission Delegated Regulation (EU) 2022/1288</w:t>
      </w:r>
      <w:r>
        <w:br/>
      </w:r>
      <w:r>
        <w:t xml:space="preserve">368 Regulation (EU) 2020/852</w:t>
      </w:r>
      <w:r>
        <w:t xml:space="preserve"> </w:t>
      </w:r>
      <w:r>
        <w:t xml:space="preserve">369 Directive (EU) 2022/2464</w:t>
      </w:r>
      <w:r>
        <w:t xml:space="preserve"> </w:t>
      </w:r>
      <w:r>
        <w:t xml:space="preserve">370 And at present subject to amendment pursuant to the February 2025 Commission proposals to simplify</w:t>
      </w:r>
      <w:r>
        <w:t xml:space="preserve"> </w:t>
      </w:r>
      <w:r>
        <w:t xml:space="preserve">sustainability reporting</w:t>
      </w:r>
      <w:r>
        <w:t xml:space="preserve"> </w:t>
      </w:r>
      <w:r>
        <w:t xml:space="preserve">371 finance-2023-sfdr-implementation - European Commission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tackling greenwashing. The assessment was carried forward notably via two public</w:t>
      </w:r>
      <w:r>
        <w:t xml:space="preserve"> </w:t>
      </w:r>
      <w:r>
        <w:t xml:space="preserve">consultations in autumn 2023372 as well as the other steps outlined in Annex 1.</w:t>
      </w:r>
      <w:r>
        <w:br/>
      </w:r>
      <w:r>
        <w:t xml:space="preserve">The assessment has been predicated on gathering feedback on the functioning of the</w:t>
      </w:r>
      <w:r>
        <w:t xml:space="preserve"> </w:t>
      </w:r>
      <w:r>
        <w:t xml:space="preserve">framework and assessing any shortcomings with regard to how well it is achieving its</w:t>
      </w:r>
      <w:r>
        <w:t xml:space="preserve"> </w:t>
      </w:r>
      <w:r>
        <w:t xml:space="preserve">ultimate objectives. Notably this concerns how the rules are working in terms of helping</w:t>
      </w:r>
      <w:r>
        <w:t xml:space="preserve"> </w:t>
      </w:r>
      <w:r>
        <w:t xml:space="preserve">to attract private funding to facilitate the transition of the European economy towards</w:t>
      </w:r>
      <w:r>
        <w:t xml:space="preserve"> </w:t>
      </w:r>
      <w:r>
        <w:t xml:space="preserve">greater sustainability by setting out a common framework for disclosures by financial</w:t>
      </w:r>
      <w:r>
        <w:t xml:space="preserve"> </w:t>
      </w:r>
      <w:r>
        <w:t xml:space="preserve">market participants regarding their investment activities and the sustainability-features of</w:t>
      </w:r>
      <w:r>
        <w:t xml:space="preserve"> </w:t>
      </w:r>
      <w:r>
        <w:t xml:space="preserve">various financial products and empowering investors to better understand and compare</w:t>
      </w:r>
      <w:r>
        <w:t xml:space="preserve"> </w:t>
      </w:r>
      <w:r>
        <w:t xml:space="preserve">the products on offer.</w:t>
      </w:r>
      <w:r>
        <w:br/>
      </w:r>
      <w:r>
        <w:t xml:space="preserve">This annex summarises the assessment of the extent to which the existing SFDR rules</w:t>
      </w:r>
      <w:r>
        <w:t xml:space="preserve"> </w:t>
      </w:r>
      <w:r>
        <w:t xml:space="preserve">have met their main objectives and in particular whether they have worked in a way that</w:t>
      </w:r>
      <w:r>
        <w:t xml:space="preserve"> </w:t>
      </w:r>
      <w:r>
        <w:t xml:space="preserve">is efficient, effective, coherent, relevant and have provided EU added value. The</w:t>
      </w:r>
      <w:r>
        <w:t xml:space="preserve"> </w:t>
      </w:r>
      <w:r>
        <w:t xml:space="preserve">assessment has largely been conducted prior to the impact assessment work, and its</w:t>
      </w:r>
      <w:r>
        <w:t xml:space="preserve"> </w:t>
      </w:r>
      <w:r>
        <w:t xml:space="preserve">results have been incorporated in the problem definition of the impact assessment.</w:t>
      </w:r>
      <w:r>
        <w:t xml:space="preserve"> </w:t>
      </w:r>
      <w:r>
        <w:t xml:space="preserve">1.2.</w:t>
      </w:r>
      <w:r>
        <w:t xml:space="preserve"> </w:t>
      </w:r>
      <w:r>
        <w:t xml:space="preserve">Scope of the evaluation</w:t>
      </w:r>
      <w:r>
        <w:t xml:space="preserve"> </w:t>
      </w:r>
      <w:r>
        <w:t xml:space="preserve">This annex does not constitute a full evaluation of the SFDR. The detailed rules in the</w:t>
      </w:r>
      <w:r>
        <w:t xml:space="preserve"> </w:t>
      </w:r>
      <w:r>
        <w:t xml:space="preserve">Delegated Regulation date from 2023, which together with their interplay with the</w:t>
      </w:r>
      <w:r>
        <w:t xml:space="preserve"> </w:t>
      </w:r>
      <w:r>
        <w:t xml:space="preserve">detailed concurrent implementing measures under the Taxonomy and CSRD noted above</w:t>
      </w:r>
      <w:r>
        <w:t xml:space="preserve"> </w:t>
      </w:r>
      <w:r>
        <w:t xml:space="preserve">(dating from 2022 to 2025), make a full evaluation of their effect in accordance with</w:t>
      </w:r>
      <w:r>
        <w:t xml:space="preserve"> </w:t>
      </w:r>
      <w:r>
        <w:t xml:space="preserve">better regulation principles premature. As such, this annex provides an assessment of the</w:t>
      </w:r>
      <w:r>
        <w:t xml:space="preserve"> </w:t>
      </w:r>
      <w:r>
        <w:t xml:space="preserve">functioning of the SFDR, to the extent possible in accordance with the five evaluation</w:t>
      </w:r>
      <w:r>
        <w:t xml:space="preserve"> </w:t>
      </w:r>
      <w:r>
        <w:t xml:space="preserve">criteria set out in Better regulation guidelines, and informing also the problem definition</w:t>
      </w:r>
      <w:r>
        <w:t xml:space="preserve"> </w:t>
      </w:r>
      <w:r>
        <w:t xml:space="preserve">in section 2 of this impact assessment.</w:t>
      </w:r>
      <w:r>
        <w:br/>
      </w:r>
      <w:r>
        <w:t xml:space="preserve">1.3.</w:t>
      </w:r>
      <w:r>
        <w:t xml:space="preserve"> </w:t>
      </w:r>
      <w:r>
        <w:t xml:space="preserve">Background to the initiative</w:t>
      </w:r>
      <w:r>
        <w:t xml:space="preserve"> </w:t>
      </w:r>
      <w:r>
        <w:t xml:space="preserve">The Commission proposal for the SFDR was adopted in May 2018373. It set out to</w:t>
      </w:r>
      <w:r>
        <w:t xml:space="preserve"> </w:t>
      </w:r>
      <w:r>
        <w:t xml:space="preserve">overcome “a lack of transparency on how institutional investors, asset managers and</w:t>
      </w:r>
      <w:r>
        <w:t xml:space="preserve"> </w:t>
      </w:r>
      <w:r>
        <w:t xml:space="preserve">financial advisors consider sustainability risks in their investment decision-making or</w:t>
      </w:r>
      <w:r>
        <w:t xml:space="preserve"> </w:t>
      </w:r>
      <w:r>
        <w:t xml:space="preserve">advisory processes (as a result of which) their clients do not get the full information they</w:t>
      </w:r>
      <w:r>
        <w:t xml:space="preserve"> </w:t>
      </w:r>
      <w:r>
        <w:t xml:space="preserve">need to inform their investment decisions or recommendations.” Together with the other</w:t>
      </w:r>
      <w:r>
        <w:t xml:space="preserve"> </w:t>
      </w:r>
      <w:r>
        <w:t xml:space="preserve">measures in the EU sustainable finance framework, the SFDR was part of the steps to</w:t>
      </w:r>
      <w:r>
        <w:t xml:space="preserve"> </w:t>
      </w:r>
      <w:r>
        <w:t xml:space="preserve">help reorient capital towards sustainable investments and mainstream sustainability into</w:t>
      </w:r>
      <w:r>
        <w:t xml:space="preserve"> </w:t>
      </w:r>
      <w:r>
        <w:t xml:space="preserve">financial risk management374.</w:t>
      </w:r>
      <w:r>
        <w:br/>
      </w:r>
      <w:r>
        <w:t xml:space="preserve">The expected impacts of the SFDR were that end-investors would be provided with more</w:t>
      </w:r>
      <w:r>
        <w:t xml:space="preserve"> </w:t>
      </w:r>
      <w:r>
        <w:t xml:space="preserve">clear and coherent information, with lower information asymmetries and search costs, on</w:t>
      </w:r>
      <w:r>
        <w:t xml:space="preserve"> </w:t>
      </w:r>
      <w:r>
        <w:t xml:space="preserve">how financial market participants and financial advisors integrate sustainability risks in</w:t>
      </w:r>
      <w:r>
        <w:t xml:space="preserve"> </w:t>
      </w:r>
      <w:r>
        <w:t xml:space="preserve">their investment decision-making or advisory processes. This was also foreseen to help</w:t>
      </w:r>
      <w:r>
        <w:t xml:space="preserve"> </w:t>
      </w:r>
      <w:r>
        <w:t xml:space="preserve">incentivise innovation, competition and ultimately market efficiency due to a better</w:t>
      </w:r>
      <w:r>
        <w:t xml:space="preserve"> </w:t>
      </w:r>
      <w:r>
        <w:t xml:space="preserve">integration of ESG risks and consideration of higher sustainability standards in the</w:t>
      </w:r>
      <w:r>
        <w:t xml:space="preserve"> </w:t>
      </w:r>
      <w:r>
        <w:t xml:space="preserve">decision-making processes of investors and financial market participants and advisers</w:t>
      </w:r>
      <w:r>
        <w:t xml:space="preserve"> </w:t>
      </w:r>
      <w:r>
        <w:t xml:space="preserve">alike. It was anticipated that additional costs under the framework for financial market</w:t>
      </w:r>
    </w:p>
    <w:p>
      <w:pPr>
        <w:pStyle w:val="BodyText"/>
      </w:pPr>
      <w:r>
        <w:t xml:space="preserve">372 Sustainability-related disclosure in the financial services sector - European Commission</w:t>
      </w:r>
      <w:r>
        <w:t xml:space="preserve"> </w:t>
      </w:r>
      <w:r>
        <w:t xml:space="preserve">373 COM(2018) 354 final</w:t>
      </w:r>
      <w:r>
        <w:t xml:space="preserve"> </w:t>
      </w:r>
      <w:r>
        <w:t xml:space="preserve">374 COM(2018) 97 final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participants and financial advisers would largely be incurred as part of existing and</w:t>
      </w:r>
      <w:r>
        <w:t xml:space="preserve"> </w:t>
      </w:r>
      <w:r>
        <w:t xml:space="preserve">emerging organisational and operating procedures, which were already tending towards a</w:t>
      </w:r>
      <w:r>
        <w:t xml:space="preserve"> </w:t>
      </w:r>
      <w:r>
        <w:t xml:space="preserve">better consideration of sustainability risks. Costs were also anticipated to be offset by</w:t>
      </w:r>
      <w:r>
        <w:t xml:space="preserve"> </w:t>
      </w:r>
      <w:r>
        <w:t xml:space="preserve">gains from higher volumes of client business interested in sustainable investments. While</w:t>
      </w:r>
      <w:r>
        <w:t xml:space="preserve"> </w:t>
      </w:r>
      <w:r>
        <w:t xml:space="preserve">the final SFDR adopted by co-legislators and published in December 2019 amended the</w:t>
      </w:r>
      <w:r>
        <w:t xml:space="preserve"> </w:t>
      </w:r>
      <w:r>
        <w:t xml:space="preserve">Commission proposal in several respects and key details375, the fundamental objectives</w:t>
      </w:r>
      <w:r>
        <w:t xml:space="preserve"> </w:t>
      </w:r>
      <w:r>
        <w:t xml:space="preserve">of the framework remained the same.</w:t>
      </w:r>
      <w:r>
        <w:t xml:space="preserve"> </w:t>
      </w:r>
      <w:r>
        <w:t xml:space="preserve">1.4.</w:t>
      </w:r>
      <w:r>
        <w:t xml:space="preserve"> </w:t>
      </w:r>
      <w:r>
        <w:t xml:space="preserve">State of play</w:t>
      </w:r>
      <w:r>
        <w:t xml:space="preserve"> </w:t>
      </w:r>
      <w:r>
        <w:t xml:space="preserve">As noted above, the SFDR Level 1 began applying in March 2021 but the detailed rules</w:t>
      </w:r>
      <w:r>
        <w:t xml:space="preserve"> </w:t>
      </w:r>
      <w:r>
        <w:t xml:space="preserve">in the Level 2 regulation only began applying in early 2023. Together with subsequent</w:t>
      </w:r>
      <w:r>
        <w:t xml:space="preserve"> </w:t>
      </w:r>
      <w:r>
        <w:t xml:space="preserve">Level 3 guidance from the Commission and ESAs, this meant that the early</w:t>
      </w:r>
      <w:r>
        <w:t xml:space="preserve"> </w:t>
      </w:r>
      <w:r>
        <w:t xml:space="preserve">implementation of the SFDR entailed periodic adjustments for FMPs notably regarding</w:t>
      </w:r>
      <w:r>
        <w:t xml:space="preserve"> </w:t>
      </w:r>
      <w:r>
        <w:t xml:space="preserve">the appropriate treatment and disclosures of certain products (outlined in sections 1 and 2</w:t>
      </w:r>
      <w:r>
        <w:t xml:space="preserve"> </w:t>
      </w:r>
      <w:r>
        <w:t xml:space="preserve">of the impact assessment and further in section 3.1.2 below).</w:t>
      </w:r>
      <w:r>
        <w:br/>
      </w:r>
      <w:r>
        <w:t xml:space="preserve">Nonetheless, the feedback on the SFDR shows continued widespread support for both its</w:t>
      </w:r>
      <w:r>
        <w:t xml:space="preserve"> </w:t>
      </w:r>
      <w:r>
        <w:t xml:space="preserve">objectives and the added value of a common sustainability disclosure framework at EU</w:t>
      </w:r>
      <w:r>
        <w:t xml:space="preserve"> </w:t>
      </w:r>
      <w:r>
        <w:t xml:space="preserve">level. Some stakeholders consider that it has been effective in increasing transparency</w:t>
      </w:r>
      <w:r>
        <w:t xml:space="preserve"> </w:t>
      </w:r>
      <w:r>
        <w:t xml:space="preserve">and giving investors access to detailed ESG information.</w:t>
      </w:r>
      <w:r>
        <w:br/>
      </w:r>
      <w:r>
        <w:t xml:space="preserve">Nevertheless, a large majority of stakeholders note that there are limitations in the SFDR</w:t>
      </w:r>
      <w:r>
        <w:t xml:space="preserve"> </w:t>
      </w:r>
      <w:r>
        <w:t xml:space="preserve">which have prevented the objectives of the framework from being fully achieved. These</w:t>
      </w:r>
      <w:r>
        <w:t xml:space="preserve"> </w:t>
      </w:r>
      <w:r>
        <w:t xml:space="preserve">limitations include a lack of legal clarity on key concepts, the limited relevance of certain</w:t>
      </w:r>
      <w:r>
        <w:t xml:space="preserve"> </w:t>
      </w:r>
      <w:r>
        <w:t xml:space="preserve">disclosure requirements, overlaps and inconsistencies with other parts of the sustainable</w:t>
      </w:r>
      <w:r>
        <w:t xml:space="preserve"> </w:t>
      </w:r>
      <w:r>
        <w:t xml:space="preserve">finance framework, and challenges linked to data availability.</w:t>
      </w:r>
      <w:r>
        <w:br/>
      </w:r>
      <w:r>
        <w:t xml:space="preserve">Overall, these limitations have led to various implementation challenges and undue</w:t>
      </w:r>
      <w:r>
        <w:t xml:space="preserve"> </w:t>
      </w:r>
      <w:r>
        <w:t xml:space="preserve">operational costs for financial market participants. They have also led to a lack of clarity</w:t>
      </w:r>
      <w:r>
        <w:t xml:space="preserve"> </w:t>
      </w:r>
      <w:r>
        <w:t xml:space="preserve">and comparability regarding the sustainability of different financial products offered to</w:t>
      </w:r>
      <w:r>
        <w:t xml:space="preserve"> </w:t>
      </w:r>
      <w:r>
        <w:t xml:space="preserve">investors in the EU. This in turn has given rise to both a risk of greenwashing and the</w:t>
      </w:r>
      <w:r>
        <w:t xml:space="preserve"> </w:t>
      </w:r>
      <w:r>
        <w:t xml:space="preserve">unwarranted exclusion of some sectors because of how some rules are applied in</w:t>
      </w:r>
      <w:r>
        <w:t xml:space="preserve"> </w:t>
      </w:r>
      <w:r>
        <w:t xml:space="preserve">practice. This has made the rules less effective in helping to mobilise private investment</w:t>
      </w:r>
      <w:r>
        <w:t xml:space="preserve"> </w:t>
      </w:r>
      <w:r>
        <w:t xml:space="preserve">into the transition toward sustainable business practices and the EU’s strategic objectives.</w:t>
      </w:r>
      <w:r>
        <w:br/>
      </w:r>
      <w:r>
        <w:t xml:space="preserve">2.</w:t>
      </w:r>
      <w:r>
        <w:t xml:space="preserve"> </w:t>
      </w:r>
      <w:r>
        <w:t xml:space="preserve">Methodology</w:t>
      </w:r>
      <w:r>
        <w:t xml:space="preserve"> </w:t>
      </w:r>
      <w:r>
        <w:t xml:space="preserve">This evaluation annex summarises the input and analysis which have gone into informing</w:t>
      </w:r>
      <w:r>
        <w:t xml:space="preserve"> </w:t>
      </w:r>
      <w:r>
        <w:t xml:space="preserve">the assessment of the functioning of the SFDR recapped above, to the extent possible</w:t>
      </w:r>
      <w:r>
        <w:t xml:space="preserve"> </w:t>
      </w:r>
      <w:r>
        <w:t xml:space="preserve">through the lens of the five evaluation criteria set out in Better regulation guidelines. It is</w:t>
      </w:r>
      <w:r>
        <w:t xml:space="preserve"> </w:t>
      </w:r>
      <w:r>
        <w:t xml:space="preserve">based on the feedback to the consultations and outreach activities outlined in Annexes 1</w:t>
      </w:r>
      <w:r>
        <w:t xml:space="preserve"> </w:t>
      </w:r>
      <w:r>
        <w:t xml:space="preserve">and 2, as well as other publicly available studies and inputs received by Commission</w:t>
      </w:r>
      <w:r>
        <w:t xml:space="preserve"> </w:t>
      </w:r>
      <w:r>
        <w:t xml:space="preserve">services. An analysis of the costs arising from the current regime is presented separately</w:t>
      </w:r>
      <w:r>
        <w:t xml:space="preserve"> </w:t>
      </w:r>
      <w:r>
        <w:t xml:space="preserve">in Annex 3.</w:t>
      </w:r>
    </w:p>
    <w:p>
      <w:pPr>
        <w:pStyle w:val="BodyText"/>
      </w:pPr>
      <w:r>
        <w:t xml:space="preserve">375 E.g. split into disclosures as per Articles 8 and 9, notion of ‘principal adverse impacts’ and addition of</w:t>
      </w:r>
      <w:r>
        <w:t xml:space="preserve"> </w:t>
      </w:r>
      <w:r>
        <w:t xml:space="preserve">entity-level disclosures in this regard, changed definition of ‘sustainable investment’ etc</w:t>
      </w:r>
    </w:p>
    <w:p>
      <w:pPr>
        <w:pStyle w:val="BodyText"/>
      </w:pPr>
      <w:r>
        <w:t xml:space="preserve">172</w:t>
      </w:r>
    </w:p>
    <w:p>
      <w:pPr>
        <w:pStyle w:val="Compact"/>
        <w:numPr>
          <w:ilvl w:val="0"/>
          <w:numId w:val="1030"/>
        </w:numPr>
      </w:pPr>
      <w:r>
        <w:t xml:space="preserve">Evaluation questions</w:t>
      </w:r>
      <w:r>
        <w:t xml:space="preserve"> </w:t>
      </w:r>
      <w:r>
        <w:t xml:space="preserve">The first part (section 3.1) below – looking at effectiveness, efficiency and coherence –</w:t>
      </w:r>
      <w:r>
        <w:t xml:space="preserve"> </w:t>
      </w:r>
      <w:r>
        <w:t xml:space="preserve">explores the extent to which the SFDR has been successful. The second and third explore</w:t>
      </w:r>
      <w:r>
        <w:t xml:space="preserve"> </w:t>
      </w:r>
      <w:r>
        <w:t xml:space="preserve">its continued relevance (section 3.2) and added value (section 3.3).</w:t>
      </w:r>
      <w:r>
        <w:br/>
      </w:r>
      <w:r>
        <w:t xml:space="preserve">3.1.</w:t>
      </w:r>
      <w:r>
        <w:t xml:space="preserve"> </w:t>
      </w:r>
      <w:r>
        <w:t xml:space="preserve">To what degree has the SFDR been successful, in terms of effectiveness,</w:t>
      </w:r>
      <w:r>
        <w:t xml:space="preserve"> </w:t>
      </w:r>
      <w:r>
        <w:t xml:space="preserve">efficiency and coherence?</w:t>
      </w:r>
      <w:r>
        <w:br/>
      </w:r>
      <w:r>
        <w:t xml:space="preserve">3.1.1.</w:t>
      </w:r>
      <w:r>
        <w:t xml:space="preserve"> </w:t>
      </w:r>
      <w:r>
        <w:t xml:space="preserve">Effectiveness and efficiency</w:t>
      </w:r>
      <w:r>
        <w:t xml:space="preserve"> </w:t>
      </w:r>
      <w:r>
        <w:t xml:space="preserve">Has the SFDR been overall effective in delivering on its objectives and if not, what</w:t>
      </w:r>
      <w:r>
        <w:t xml:space="preserve"> </w:t>
      </w:r>
      <w:r>
        <w:t xml:space="preserve">factors have rendered it less effective than intended?</w:t>
      </w:r>
      <w:r>
        <w:t xml:space="preserve"> </w:t>
      </w:r>
      <w:r>
        <w:t xml:space="preserve">Has the SFDR been cost-efficient? Is there scope to increase efficiency e.g. via further</w:t>
      </w:r>
      <w:r>
        <w:t xml:space="preserve"> </w:t>
      </w:r>
      <w:r>
        <w:t xml:space="preserve">simplification or making the rules more proportionate?</w:t>
      </w:r>
      <w:r>
        <w:t xml:space="preserve"> </w:t>
      </w:r>
      <w:r>
        <w:t xml:space="preserve">The feedback to the consultations shows continued support for the objectives of the</w:t>
      </w:r>
      <w:r>
        <w:t xml:space="preserve"> </w:t>
      </w:r>
      <w:r>
        <w:t xml:space="preserve">SFDR but mixed views on how the implementation of the regulation has delivered</w:t>
      </w:r>
      <w:r>
        <w:t xml:space="preserve"> </w:t>
      </w:r>
      <w:r>
        <w:t xml:space="preserve">against its specific objectives376. A majority considered that the SFDR has not effectively</w:t>
      </w:r>
      <w:r>
        <w:t xml:space="preserve"> </w:t>
      </w:r>
      <w:r>
        <w:t xml:space="preserve">strengthened protection for end-investors or made it easier for them to compare financial</w:t>
      </w:r>
      <w:r>
        <w:t xml:space="preserve"> </w:t>
      </w:r>
      <w:r>
        <w:t xml:space="preserve">products with sustainability claims nor that it has successfully directed capital towards</w:t>
      </w:r>
      <w:r>
        <w:t xml:space="preserve"> </w:t>
      </w:r>
      <w:r>
        <w:t xml:space="preserve">investments deemed sustainable, including transitional investments. In detail, in terms of</w:t>
      </w:r>
      <w:r>
        <w:t xml:space="preserve"> </w:t>
      </w:r>
      <w:r>
        <w:t xml:space="preserve">the effectiveness and efficiency of the SFDR in delivering on its objectives, the entity</w:t>
      </w:r>
      <w:r>
        <w:t xml:space="preserve"> </w:t>
      </w:r>
      <w:r>
        <w:t xml:space="preserve">level disclosure requirements for FMPs and financial advisers (jointly referred to as</w:t>
      </w:r>
      <w:r>
        <w:t xml:space="preserve"> </w:t>
      </w:r>
      <w:r>
        <w:t xml:space="preserve">‘FMPs’ below) and product level disclosure requirements for financial products in</w:t>
      </w:r>
      <w:r>
        <w:t xml:space="preserve"> </w:t>
      </w:r>
      <w:r>
        <w:t xml:space="preserve">scope377 on how they consider sustainability risks, are widely perceived as complex,</w:t>
      </w:r>
      <w:r>
        <w:t xml:space="preserve"> </w:t>
      </w:r>
      <w:r>
        <w:t xml:space="preserve">unduly long and lacking in clarity. The requirements are also said to require a level of</w:t>
      </w:r>
      <w:r>
        <w:t xml:space="preserve"> </w:t>
      </w:r>
      <w:r>
        <w:t xml:space="preserve">ESG data which is not fully and effectively available, with inadequate guidance on</w:t>
      </w:r>
      <w:r>
        <w:t xml:space="preserve"> </w:t>
      </w:r>
      <w:r>
        <w:t xml:space="preserve">how to treat resulting ESG data gaps. The disclosure regime is also being used by the</w:t>
      </w:r>
      <w:r>
        <w:t xml:space="preserve"> </w:t>
      </w:r>
      <w:r>
        <w:t xml:space="preserve">market as a de facto labelling system despite the lack of common criteria that could</w:t>
      </w:r>
      <w:r>
        <w:t xml:space="preserve"> </w:t>
      </w:r>
      <w:r>
        <w:t xml:space="preserve">underpin such labels and be fit for this purpose.</w:t>
      </w:r>
      <w:r>
        <w:t xml:space="preserve"> </w:t>
      </w:r>
      <w:r>
        <w:t xml:space="preserve">Together, these pose difficulties both for FMPs in preparing the required disclosures and</w:t>
      </w:r>
      <w:r>
        <w:t xml:space="preserve"> </w:t>
      </w:r>
      <w:r>
        <w:t xml:space="preserve">navigating the uncertainty surrounding key sustainability-related obligations and</w:t>
      </w:r>
      <w:r>
        <w:t xml:space="preserve"> </w:t>
      </w:r>
      <w:r>
        <w:t xml:space="preserve">concepts, as well as for investors and distributors in understanding and comparing ESG</w:t>
      </w:r>
      <w:r>
        <w:t xml:space="preserve"> </w:t>
      </w:r>
      <w:r>
        <w:t xml:space="preserve">claims made as part of financial products. While not fully cancelling out the ability of the</w:t>
      </w:r>
      <w:r>
        <w:t xml:space="preserve"> </w:t>
      </w:r>
      <w:r>
        <w:t xml:space="preserve">SFDR to deliver on some of its objectives, these challenges hamper its overall</w:t>
      </w:r>
      <w:r>
        <w:t xml:space="preserve"> </w:t>
      </w:r>
      <w:r>
        <w:t xml:space="preserve">effectiveness and efficiency in ensuring a more integrated single market for credible</w:t>
      </w:r>
      <w:r>
        <w:t xml:space="preserve"> </w:t>
      </w:r>
      <w:r>
        <w:t xml:space="preserve">ESG-linked products helping to mobilise private investment into the transition toward</w:t>
      </w:r>
      <w:r>
        <w:t xml:space="preserve"> </w:t>
      </w:r>
      <w:r>
        <w:t xml:space="preserve">sustainability and for the EU’s other strategic objectives.</w:t>
      </w:r>
      <w:r>
        <w:br/>
      </w:r>
      <w:r>
        <w:t xml:space="preserve"> The SFDR is considered to rely on ambiguous terminologies and un-defined</w:t>
      </w:r>
      <w:r>
        <w:t xml:space="preserve"> </w:t>
      </w:r>
      <w:r>
        <w:t xml:space="preserve">concepts which have led to unclear requirements.</w:t>
      </w:r>
      <w:r>
        <w:br/>
      </w:r>
      <w:r>
        <w:t xml:space="preserve">82% (247 out of 301) of respondents to the public consultations flagged that the legal</w:t>
      </w:r>
      <w:r>
        <w:t xml:space="preserve"> </w:t>
      </w:r>
      <w:r>
        <w:t xml:space="preserve">requirements and concepts in the SFDR, especially the ones linked to the definition of</w:t>
      </w:r>
    </w:p>
    <w:p>
      <w:pPr>
        <w:pStyle w:val="FirstParagraph"/>
      </w:pPr>
      <w:r>
        <w:t xml:space="preserve">376 The relevant specific objectives in the original impact assessment (SWD (2018)265 final) were notably</w:t>
      </w:r>
      <w:r>
        <w:t xml:space="preserve"> </w:t>
      </w:r>
      <w:r>
        <w:t xml:space="preserve">to “ensure clarity and a coherent approach across sectors and Member States as regards the integration of</w:t>
      </w:r>
      <w:r>
        <w:t xml:space="preserve"> </w:t>
      </w:r>
      <w:r>
        <w:t xml:space="preserve">ESG factors by relevant entities in their investment/advisory process” and “increase transparency towards</w:t>
      </w:r>
      <w:r>
        <w:t xml:space="preserve"> </w:t>
      </w:r>
      <w:r>
        <w:t xml:space="preserve">end-investors by improving ESG-related disclosure requirements”.</w:t>
      </w:r>
      <w:r>
        <w:t xml:space="preserve"> </w:t>
      </w:r>
      <w:r>
        <w:t xml:space="preserve">377 The scope of SFDR includes funds, insurance and pension products.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‘sustainable investment’, are not sufficiently clear378. The sustainable investment</w:t>
      </w:r>
      <w:r>
        <w:t xml:space="preserve"> </w:t>
      </w:r>
      <w:r>
        <w:t xml:space="preserve">definition leaves a lot of room for interpretation, especially when it comes to the ‘do</w:t>
      </w:r>
      <w:r>
        <w:t xml:space="preserve"> </w:t>
      </w:r>
      <w:r>
        <w:t xml:space="preserve">no significant harm’ (DNSH) concept379. The regulation has not specified what the</w:t>
      </w:r>
      <w:r>
        <w:t xml:space="preserve"> </w:t>
      </w:r>
      <w:r>
        <w:t xml:space="preserve">requirements linked to the ‘consideration’ of ‘principal adverse impacts’ (PAIs) means,</w:t>
      </w:r>
      <w:r>
        <w:t xml:space="preserve"> </w:t>
      </w:r>
      <w:r>
        <w:t xml:space="preserve">which is left to the discretion of asset managers (e.g. setting specific thresholds for each</w:t>
      </w:r>
      <w:r>
        <w:t xml:space="preserve"> </w:t>
      </w:r>
      <w:r>
        <w:t xml:space="preserve">PAI, engaging with investee companies to reduce PAIs, screening the companies based</w:t>
      </w:r>
      <w:r>
        <w:t xml:space="preserve"> </w:t>
      </w:r>
      <w:r>
        <w:t xml:space="preserve">on the best performers against each PAI, etc). In addition, 77% of respondents to the</w:t>
      </w:r>
      <w:r>
        <w:t xml:space="preserve"> </w:t>
      </w:r>
      <w:r>
        <w:t xml:space="preserve">public consultation find it unclear when FMPs should consider that the PAIs are to be</w:t>
      </w:r>
      <w:r>
        <w:t xml:space="preserve"> </w:t>
      </w:r>
      <w:r>
        <w:t xml:space="preserve">considered as material in the context of the product disclosures for DNSH380. The</w:t>
      </w:r>
      <w:r>
        <w:t xml:space="preserve"> </w:t>
      </w:r>
      <w:r>
        <w:t xml:space="preserve">concept of ‘good governance’ is also noted not to be sufficiently defined, leaving room</w:t>
      </w:r>
      <w:r>
        <w:t xml:space="preserve"> </w:t>
      </w:r>
      <w:r>
        <w:t xml:space="preserve">for interpreting the related requirements (e.g. exclusion policies and standards, setting</w:t>
      </w:r>
      <w:r>
        <w:t xml:space="preserve"> </w:t>
      </w:r>
      <w:r>
        <w:t xml:space="preserve">due diligence processes and policies for the detection and remediation of potential</w:t>
      </w:r>
      <w:r>
        <w:t xml:space="preserve"> </w:t>
      </w:r>
      <w:r>
        <w:t xml:space="preserve">violations, etc.). See section 3 of Annex 2 for further details and breakdowns per types of</w:t>
      </w:r>
      <w:r>
        <w:t xml:space="preserve"> </w:t>
      </w:r>
      <w:r>
        <w:t xml:space="preserve">respondents and stakeholders.</w:t>
      </w:r>
      <w:r>
        <w:br/>
      </w:r>
      <w:r>
        <w:t xml:space="preserve">Another aspect left to the discretion of managers relates to the way sustainable</w:t>
      </w:r>
      <w:r>
        <w:t xml:space="preserve"> </w:t>
      </w:r>
      <w:r>
        <w:t xml:space="preserve">companies are counted in portfolios. Firms are free to choose whether they count the</w:t>
      </w:r>
      <w:r>
        <w:t xml:space="preserve"> </w:t>
      </w:r>
      <w:r>
        <w:t xml:space="preserve">entirety of a sustainable company (beyond a certain level of revenue derived from</w:t>
      </w:r>
      <w:r>
        <w:t xml:space="preserve"> </w:t>
      </w:r>
      <w:r>
        <w:t xml:space="preserve">sustainable activities), or whether they count only the proportion of revenue attributed to</w:t>
      </w:r>
      <w:r>
        <w:t xml:space="preserve"> </w:t>
      </w:r>
      <w:r>
        <w:t xml:space="preserve">those activities381. Box 9 illustrates this point how FMPs are responsible for conducting</w:t>
      </w:r>
      <w:r>
        <w:t xml:space="preserve"> </w:t>
      </w:r>
      <w:r>
        <w:t xml:space="preserve">their individual assessments for each investment and disclosing the underlying</w:t>
      </w:r>
      <w:r>
        <w:t xml:space="preserve"> </w:t>
      </w:r>
      <w:r>
        <w:t xml:space="preserve">assumptions and methodologies they rely on. Depending on the method, considerable</w:t>
      </w:r>
      <w:r>
        <w:t xml:space="preserve"> </w:t>
      </w:r>
      <w:r>
        <w:t xml:space="preserve">differences can be noted in the share of sustainable investment disclosed for a product,</w:t>
      </w:r>
      <w:r>
        <w:t xml:space="preserve"> </w:t>
      </w:r>
      <w:r>
        <w:t xml:space="preserve">i.e. with the right-hand approach signalling a far higher proportion, yet based on a similar</w:t>
      </w:r>
      <w:r>
        <w:t xml:space="preserve"> </w:t>
      </w:r>
      <w:r>
        <w:t xml:space="preserve">investment in an equivalent company.</w:t>
      </w:r>
      <w:r>
        <w:t xml:space="preserve"> </w:t>
      </w:r>
      <w:r>
        <w:t xml:space="preserve">Box 9: Explanation of the two main approaches to calculating ‘sustainable</w:t>
      </w:r>
      <w:r>
        <w:t xml:space="preserve"> </w:t>
      </w:r>
      <w:r>
        <w:t xml:space="preserve">investment proportion’, Morningstar382</w:t>
      </w:r>
    </w:p>
    <w:p>
      <w:pPr>
        <w:pStyle w:val="BodyText"/>
      </w:pPr>
      <w:r>
        <w:t xml:space="preserve">378 European Commission, Summary Report of the open and targeted consultations of the SFDR</w:t>
      </w:r>
      <w:r>
        <w:t xml:space="preserve"> </w:t>
      </w:r>
      <w:r>
        <w:t xml:space="preserve">assessment, published May 2024</w:t>
      </w:r>
      <w:r>
        <w:t xml:space="preserve"> </w:t>
      </w:r>
      <w:r>
        <w:t xml:space="preserve">379 The SFDR definition of sustainable investment adopted by co-legislators changed compared to the</w:t>
      </w:r>
      <w:r>
        <w:t xml:space="preserve"> </w:t>
      </w:r>
      <w:r>
        <w:t xml:space="preserve">initial Commission proposal which notably did not include the horizontal DNSH concept.</w:t>
      </w:r>
      <w:r>
        <w:br/>
      </w:r>
      <w:r>
        <w:t xml:space="preserve">380 European Commission, Summary Report of the open and targeted consultations of the SFDR</w:t>
      </w:r>
      <w:r>
        <w:t xml:space="preserve"> </w:t>
      </w:r>
      <w:r>
        <w:t xml:space="preserve">assessment, published May 2024</w:t>
      </w:r>
      <w:r>
        <w:t xml:space="preserve"> </w:t>
      </w:r>
      <w:r>
        <w:t xml:space="preserve">381 Morningstar, SFDR Article 8 and Article 9 funds: Q4 2022 in review (26 January 2023) and blog</w:t>
      </w:r>
      <w:r>
        <w:t xml:space="preserve"> </w:t>
      </w:r>
      <w:r>
        <w:t xml:space="preserve">Sustainable Investment calculations under MiFID II and SFDR remain perplexing for ESG investors (6</w:t>
      </w:r>
      <w:r>
        <w:t xml:space="preserve"> </w:t>
      </w:r>
      <w:r>
        <w:t xml:space="preserve">July 2022)</w:t>
      </w:r>
      <w:r>
        <w:t xml:space="preserve"> </w:t>
      </w:r>
      <w:r>
        <w:t xml:space="preserve">382 Morningstar, SFDR Article 8 and 9 in review, Q4 2022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This contributes to the effect that the disclosures made under the SFDR often lack</w:t>
      </w:r>
      <w:r>
        <w:t xml:space="preserve"> </w:t>
      </w:r>
      <w:r>
        <w:t xml:space="preserve">comparability. Different interpretations of the regulation have led FMPs to adopt</w:t>
      </w:r>
      <w:r>
        <w:t xml:space="preserve"> </w:t>
      </w:r>
      <w:r>
        <w:t xml:space="preserve">different approaches when applying key SFDR concepts, especially the calculation of</w:t>
      </w:r>
      <w:r>
        <w:t xml:space="preserve"> </w:t>
      </w:r>
      <w:r>
        <w:t xml:space="preserve">sustainable investment exposure (see box 10).</w:t>
      </w:r>
      <w:r>
        <w:br/>
      </w:r>
      <w:r>
        <w:t xml:space="preserve">As a result, products with similar mandates and portfolios will report divergent exposures</w:t>
      </w:r>
      <w:r>
        <w:t xml:space="preserve"> </w:t>
      </w:r>
      <w:r>
        <w:t xml:space="preserve">to sustainable investments depending on the methodology chosen. The lack of</w:t>
      </w:r>
      <w:r>
        <w:t xml:space="preserve"> </w:t>
      </w:r>
      <w:r>
        <w:t xml:space="preserve">transparency regarding the approach taken and the underlying methodologies is making it</w:t>
      </w:r>
      <w:r>
        <w:t xml:space="preserve"> </w:t>
      </w:r>
      <w:r>
        <w:t xml:space="preserve">impossible for end-investors to compare competing products. The discretion in reporting</w:t>
      </w:r>
      <w:r>
        <w:t xml:space="preserve"> </w:t>
      </w:r>
      <w:r>
        <w:t xml:space="preserve">on PAIs also does not ensure comparability, while reporting on products’ Taxonomy-</w:t>
      </w:r>
      <w:r>
        <w:t xml:space="preserve"> </w:t>
      </w:r>
      <w:r>
        <w:t xml:space="preserve">alignment is limited and only gives a partial account of their overall footprint.</w:t>
      </w:r>
      <w:r>
        <w:br/>
      </w:r>
      <w:r>
        <w:t xml:space="preserve">Box 10 below illustrates the wide range of numbers that investors are facing. It builds on</w:t>
      </w:r>
      <w:r>
        <w:t xml:space="preserve"> </w:t>
      </w:r>
      <w:r>
        <w:t xml:space="preserve">an analysis conducted by Morningstar383 looking at the differences in the reported</w:t>
      </w:r>
      <w:r>
        <w:t xml:space="preserve"> </w:t>
      </w:r>
      <w:r>
        <w:t xml:space="preserve">sustainable investment exposure between 11 global large-cap ETFs that track a Paris-</w:t>
      </w:r>
      <w:r>
        <w:t xml:space="preserve"> </w:t>
      </w:r>
      <w:r>
        <w:t xml:space="preserve">aligned benchmark and have similar portfolios.</w:t>
      </w:r>
      <w:r>
        <w:t xml:space="preserve"> </w:t>
      </w:r>
      <w:r>
        <w:t xml:space="preserve">Box 10: minimum % of sustainable investments for 11 funds tracking large-cap</w:t>
      </w:r>
      <w:r>
        <w:t xml:space="preserve"> </w:t>
      </w:r>
      <w:r>
        <w:t xml:space="preserve">Paris-Aligned Benchmarks384</w:t>
      </w:r>
    </w:p>
    <w:p>
      <w:pPr>
        <w:pStyle w:val="BodyText"/>
      </w:pPr>
      <w:r>
        <w:t xml:space="preserve">Other concepts which are considered to be unclear include the term ‘promotion of ESG</w:t>
      </w:r>
      <w:r>
        <w:t xml:space="preserve"> </w:t>
      </w:r>
      <w:r>
        <w:t xml:space="preserve">characteristics’ (on which the Article 8 disclosures are based), which is very broad and</w:t>
      </w:r>
      <w:r>
        <w:t xml:space="preserve"> </w:t>
      </w:r>
      <w:r>
        <w:t xml:space="preserve">lacks minimum conditions385, and specific indicators such as the ones linked to the</w:t>
      </w:r>
      <w:r>
        <w:t xml:space="preserve"> </w:t>
      </w:r>
      <w:r>
        <w:t xml:space="preserve">violations of UN Guiding Principles (UNGP) and the OECD Multinational Enterprises</w:t>
      </w:r>
    </w:p>
    <w:p>
      <w:pPr>
        <w:pStyle w:val="BodyText"/>
      </w:pPr>
      <w:r>
        <w:t xml:space="preserve">383 SFDR_Article_8_and_Article_9_Funds_Q4_2022.pdf</w:t>
      </w:r>
      <w:r>
        <w:t xml:space="preserve"> </w:t>
      </w:r>
      <w:r>
        <w:t xml:space="preserve">384 SFDR_Article_8_and_Article_9_Funds_Q4_2022.pdf</w:t>
      </w:r>
      <w:r>
        <w:t xml:space="preserve"> </w:t>
      </w:r>
      <w:r>
        <w:t xml:space="preserve">385 ICMA, A time for change in the sustainable fund – reflections and recommendations in a new</w:t>
      </w:r>
      <w:r>
        <w:t xml:space="preserve"> </w:t>
      </w:r>
      <w:r>
        <w:t xml:space="preserve">regulatory environment, March 2025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(OECD MNEs) (where FMPs note that they lack the clarity needed on what is a relevant</w:t>
      </w:r>
      <w:r>
        <w:t xml:space="preserve"> </w:t>
      </w:r>
      <w:r>
        <w:t xml:space="preserve">divestment signal)386.</w:t>
      </w:r>
      <w:r>
        <w:t xml:space="preserve"> </w:t>
      </w:r>
      <w:r>
        <w:t xml:space="preserve">In addition, some of the interactions between the different SFDR requirements and</w:t>
      </w:r>
      <w:r>
        <w:t xml:space="preserve"> </w:t>
      </w:r>
      <w:r>
        <w:t xml:space="preserve">concepts also are considered to lack clarity. This is particularly the case in the way the</w:t>
      </w:r>
      <w:r>
        <w:t xml:space="preserve"> </w:t>
      </w:r>
      <w:r>
        <w:t xml:space="preserve">entity-level disclosures obligations and the product level disclosures should interact. 61%</w:t>
      </w:r>
      <w:r>
        <w:t xml:space="preserve"> </w:t>
      </w:r>
      <w:r>
        <w:t xml:space="preserve">of FMPs387 who responded to the public consultation flagged that the legal implications</w:t>
      </w:r>
      <w:r>
        <w:t xml:space="preserve"> </w:t>
      </w:r>
      <w:r>
        <w:t xml:space="preserve">of disclosing PAI indicators at the product level on the related disclosure obligations at</w:t>
      </w:r>
      <w:r>
        <w:t xml:space="preserve"> </w:t>
      </w:r>
      <w:r>
        <w:t xml:space="preserve">the entity level is not clear (i.e. whether disclosing certain indicators at product level</w:t>
      </w:r>
      <w:r>
        <w:t xml:space="preserve"> </w:t>
      </w:r>
      <w:r>
        <w:t xml:space="preserve">triggers a legal obligation to disclose at the level of entity). 66% of FMPs and financial</w:t>
      </w:r>
      <w:r>
        <w:t xml:space="preserve"> </w:t>
      </w:r>
      <w:r>
        <w:t xml:space="preserve">advisers388 who responded to the public consultation also flagged that the interactions</w:t>
      </w:r>
      <w:r>
        <w:t xml:space="preserve"> </w:t>
      </w:r>
      <w:r>
        <w:t xml:space="preserve">between the product level disclosure requirements under Article 7 and the ones under the</w:t>
      </w:r>
      <w:r>
        <w:t xml:space="preserve"> </w:t>
      </w:r>
      <w:r>
        <w:t xml:space="preserve">Article 8 are not clear. As a result, it is not clear which obligations apply at which stage</w:t>
      </w:r>
      <w:r>
        <w:t xml:space="preserve"> </w:t>
      </w:r>
      <w:r>
        <w:t xml:space="preserve">of the product disclosures389.</w:t>
      </w:r>
      <w:r>
        <w:br/>
      </w:r>
      <w:r>
        <w:t xml:space="preserve"> Disclosures are seen as very lengthy and to rely on complex, unintuitive and</w:t>
      </w:r>
      <w:r>
        <w:t xml:space="preserve"> </w:t>
      </w:r>
      <w:r>
        <w:t xml:space="preserve">technical terms regarding FMPs’ consideration of sustainability risks at both</w:t>
      </w:r>
      <w:r>
        <w:t xml:space="preserve"> </w:t>
      </w:r>
      <w:r>
        <w:t xml:space="preserve">entity and product level</w:t>
      </w:r>
      <w:r>
        <w:t xml:space="preserve"> </w:t>
      </w:r>
      <w:r>
        <w:t xml:space="preserve">The SFDR aims to enhance transparency on ESG characteristics of financial products</w:t>
      </w:r>
      <w:r>
        <w:t xml:space="preserve"> </w:t>
      </w:r>
      <w:r>
        <w:t xml:space="preserve">and ESG processes implemented by FMPs through its entity and product level</w:t>
      </w:r>
      <w:r>
        <w:t xml:space="preserve"> </w:t>
      </w:r>
      <w:r>
        <w:t xml:space="preserve">disclosures. However, several limitations are seen to undermine their usefulness in</w:t>
      </w:r>
      <w:r>
        <w:t xml:space="preserve"> </w:t>
      </w:r>
      <w:r>
        <w:t xml:space="preserve">fighting greenwashing and providing relevant information to end-investors.</w:t>
      </w:r>
      <w:r>
        <w:br/>
      </w:r>
      <w:r>
        <w:t xml:space="preserve">FMPs need to gather and report a significant amount of data both at the entity level</w:t>
      </w:r>
      <w:r>
        <w:t xml:space="preserve"> </w:t>
      </w:r>
      <w:r>
        <w:t xml:space="preserve">and the product levels. At the entity level, FMPs need to provide information on their</w:t>
      </w:r>
      <w:r>
        <w:t xml:space="preserve"> </w:t>
      </w:r>
      <w:r>
        <w:t xml:space="preserve">integration of sustainability risks into their investment decision-making processes and</w:t>
      </w:r>
      <w:r>
        <w:t xml:space="preserve"> </w:t>
      </w:r>
      <w:r>
        <w:t xml:space="preserve">remuneration policies, and on how they consider the principal adverse impacts of their</w:t>
      </w:r>
      <w:r>
        <w:t xml:space="preserve"> </w:t>
      </w:r>
      <w:r>
        <w:t xml:space="preserve">investment decisions on sustainability factors (requirement for large firms, small firms</w:t>
      </w:r>
      <w:r>
        <w:t xml:space="preserve"> </w:t>
      </w:r>
      <w:r>
        <w:t xml:space="preserve">follow a comply or explain approach). However, there is considerable evidence that</w:t>
      </w:r>
      <w:r>
        <w:t xml:space="preserve"> </w:t>
      </w:r>
      <w:r>
        <w:t xml:space="preserve">much of this information is not really used by investors, therefore reducing its</w:t>
      </w:r>
      <w:r>
        <w:t xml:space="preserve"> </w:t>
      </w:r>
      <w:r>
        <w:t xml:space="preserve">effectiveness and efficiency in achieving the objectives of the framework390. At the level</w:t>
      </w:r>
      <w:r>
        <w:t xml:space="preserve"> </w:t>
      </w:r>
      <w:r>
        <w:t xml:space="preserve">of their investment products, FMPs need to disclose whether and how they consider</w:t>
      </w:r>
      <w:r>
        <w:t xml:space="preserve"> </w:t>
      </w:r>
      <w:r>
        <w:t xml:space="preserve">sustainability risks as well as additional ESG disclosures for products promoting</w:t>
      </w:r>
      <w:r>
        <w:t xml:space="preserve"> </w:t>
      </w:r>
      <w:r>
        <w:t xml:space="preserve">environmental or social characteristics (Article 8) and for products pursing a sustainable</w:t>
      </w:r>
      <w:r>
        <w:t xml:space="preserve"> </w:t>
      </w:r>
      <w:r>
        <w:t xml:space="preserve">objective (Article 9). The length of the disclosure requirements was compounded by</w:t>
      </w:r>
      <w:r>
        <w:t xml:space="preserve"> </w:t>
      </w:r>
      <w:r>
        <w:t xml:space="preserve">some regulatory duplication of transparency obligations, notably between the SFDR</w:t>
      </w:r>
      <w:r>
        <w:t xml:space="preserve"> </w:t>
      </w:r>
      <w:r>
        <w:t xml:space="preserve">and the CSRD. Based on the current scope of the CSRD, some FMPs are facing</w:t>
      </w:r>
      <w:r>
        <w:t xml:space="preserve"> </w:t>
      </w:r>
      <w:r>
        <w:t xml:space="preserve">duplicative entity level disclosure requirements, i.e. having to report on their principal</w:t>
      </w:r>
      <w:r>
        <w:t xml:space="preserve"> </w:t>
      </w:r>
      <w:r>
        <w:t xml:space="preserve">adverse impact indicators under the SFDR and to disclose sustainability information</w:t>
      </w:r>
    </w:p>
    <w:p>
      <w:pPr>
        <w:pStyle w:val="BodyText"/>
      </w:pPr>
      <w:r>
        <w:t xml:space="preserve">386 Platform for Sustainable Finance, Briefing on EC targeted consultation regarding SFDR</w:t>
      </w:r>
      <w:r>
        <w:t xml:space="preserve"> </w:t>
      </w:r>
      <w:r>
        <w:t xml:space="preserve">implementation, December 2023</w:t>
      </w:r>
      <w:r>
        <w:t xml:space="preserve"> </w:t>
      </w:r>
      <w:r>
        <w:t xml:space="preserve">387 European Commission, Summary Report of the open and targeted consultations of the SFDR</w:t>
      </w:r>
      <w:r>
        <w:t xml:space="preserve"> </w:t>
      </w:r>
      <w:r>
        <w:t xml:space="preserve">assessment, published May 2024</w:t>
      </w:r>
      <w:r>
        <w:t xml:space="preserve"> </w:t>
      </w:r>
      <w:r>
        <w:t xml:space="preserve">388 66% (119 out of 180)</w:t>
      </w:r>
      <w:r>
        <w:t xml:space="preserve"> </w:t>
      </w:r>
      <w:r>
        <w:t xml:space="preserve">389 European Supervisory Authorities, Joint ESAs opinion on the SFDR, June 2024.</w:t>
      </w:r>
      <w:r>
        <w:br/>
      </w:r>
      <w:r>
        <w:t xml:space="preserve">390 According to EFAMA, ‘the demand for entity-level disclosures is relatively low, as (investors’) primary</w:t>
      </w:r>
      <w:r>
        <w:t xml:space="preserve"> </w:t>
      </w:r>
      <w:r>
        <w:t xml:space="preserve">concern lies with the details of the individual investment products themselves’. In the consultation, entity-</w:t>
      </w:r>
      <w:r>
        <w:t xml:space="preserve"> </w:t>
      </w:r>
      <w:r>
        <w:t xml:space="preserve">level disclosures were considered useful by 31% of respondents.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according to the European sustainability reporting standards (ESRS) under the CSRD,</w:t>
      </w:r>
      <w:r>
        <w:t xml:space="preserve"> </w:t>
      </w:r>
      <w:r>
        <w:t xml:space="preserve">which can both refer to the same information, but using different terminology391.</w:t>
      </w:r>
      <w:r>
        <w:br/>
      </w:r>
      <w:r>
        <w:t xml:space="preserve">The legal concepts used in investors-facing disclosures are also seen as too complex and</w:t>
      </w:r>
      <w:r>
        <w:t xml:space="preserve"> </w:t>
      </w:r>
      <w:r>
        <w:t xml:space="preserve">not retail friendly392. The references to terms such as ‘sustainable investment objective’,</w:t>
      </w:r>
      <w:r>
        <w:t xml:space="preserve"> </w:t>
      </w:r>
      <w:r>
        <w:t xml:space="preserve">‘environmental or social characteristics’, ‘principal adverse impacts’, ‘taxonomy-</w:t>
      </w:r>
      <w:r>
        <w:t xml:space="preserve"> </w:t>
      </w:r>
      <w:r>
        <w:t xml:space="preserve">aligned investment’, and ‘do no significant harm’ are argued by many to demand an</w:t>
      </w:r>
      <w:r>
        <w:t xml:space="preserve"> </w:t>
      </w:r>
      <w:r>
        <w:t xml:space="preserve">excessively high level of familiarity with environmental and social metrics, performance</w:t>
      </w:r>
      <w:r>
        <w:t xml:space="preserve"> </w:t>
      </w:r>
      <w:r>
        <w:t xml:space="preserve">data and the regulatory framework393. Further, the SFDR disclosures are, given their</w:t>
      </w:r>
      <w:r>
        <w:t xml:space="preserve"> </w:t>
      </w:r>
      <w:r>
        <w:t xml:space="preserve">different locations (pre-contractual documents, periodic reports, websites), challenging to</w:t>
      </w:r>
      <w:r>
        <w:t xml:space="preserve"> </w:t>
      </w:r>
      <w:r>
        <w:t xml:space="preserve">navigate394.</w:t>
      </w:r>
      <w:r>
        <w:t xml:space="preserve"> </w:t>
      </w:r>
      <w:r>
        <w:t xml:space="preserve"> Disclosures are considered to lack comparability and to fail in providing</w:t>
      </w:r>
      <w:r>
        <w:t xml:space="preserve"> </w:t>
      </w:r>
      <w:r>
        <w:t xml:space="preserve">transparency on the methodology used</w:t>
      </w:r>
      <w:r>
        <w:br/>
      </w:r>
      <w:r>
        <w:t xml:space="preserve">As noted above, there is no uniform methodology to date for calculating the proportion of</w:t>
      </w:r>
      <w:r>
        <w:t xml:space="preserve"> </w:t>
      </w:r>
      <w:r>
        <w:t xml:space="preserve">sustainable investment of a product, or for taking into consideration principal adverse</w:t>
      </w:r>
      <w:r>
        <w:t xml:space="preserve"> </w:t>
      </w:r>
      <w:r>
        <w:t xml:space="preserve">impact. This allows for a variety of methodologies.</w:t>
      </w:r>
      <w:r>
        <w:t xml:space="preserve"> </w:t>
      </w:r>
      <w:r>
        <w:t xml:space="preserve">Giving FMPs a certain level of flexibility is necessary to allow the market to implement</w:t>
      </w:r>
      <w:r>
        <w:t xml:space="preserve"> </w:t>
      </w:r>
      <w:r>
        <w:t xml:space="preserve">a wide variety of ESG strategies and innovate in their approach to sustainability.</w:t>
      </w:r>
      <w:r>
        <w:t xml:space="preserve"> </w:t>
      </w:r>
      <w:r>
        <w:t xml:space="preserve">However, such flexibility must be accompanied by transparency on the approach and</w:t>
      </w:r>
      <w:r>
        <w:t xml:space="preserve"> </w:t>
      </w:r>
      <w:r>
        <w:t xml:space="preserve">underlying methodology to inform end-investors.</w:t>
      </w:r>
      <w:r>
        <w:t xml:space="preserve"> </w:t>
      </w:r>
      <w:r>
        <w:t xml:space="preserve">However, current product disclosures are regarded as failing to offer sufficient</w:t>
      </w:r>
      <w:r>
        <w:t xml:space="preserve"> </w:t>
      </w:r>
      <w:r>
        <w:t xml:space="preserve">transparency on proprietary methods or even to evaluate the effectiveness of</w:t>
      </w:r>
      <w:r>
        <w:t xml:space="preserve"> </w:t>
      </w:r>
      <w:r>
        <w:t xml:space="preserve">products’ performance against the sustainability characteristics or objectives established.</w:t>
      </w:r>
      <w:r>
        <w:t xml:space="preserve"> </w:t>
      </w:r>
      <w:r>
        <w:t xml:space="preserve">In particular, there is little transparency on how the DNSH principle is applied. Box 8</w:t>
      </w:r>
      <w:r>
        <w:t xml:space="preserve"> </w:t>
      </w:r>
      <w:r>
        <w:t xml:space="preserve">below provides some example of product disclosures lacking sufficient transparency on</w:t>
      </w:r>
      <w:r>
        <w:t xml:space="preserve"> </w:t>
      </w:r>
      <w:r>
        <w:t xml:space="preserve">methodology, impeding scrutiny and evaluation of the effectiveness of the sustainability-</w:t>
      </w:r>
      <w:r>
        <w:t xml:space="preserve"> </w:t>
      </w:r>
      <w:r>
        <w:t xml:space="preserve">related approaches.</w:t>
      </w:r>
      <w:r>
        <w:br/>
      </w:r>
      <w:r>
        <w:t xml:space="preserve">Box 11: Examples of missing data on methodology from recent study395</w:t>
      </w:r>
      <w:r>
        <w:t xml:space="preserve"> </w:t>
      </w:r>
      <w:r>
        <w:t xml:space="preserve">-</w:t>
      </w:r>
      <w:r>
        <w:t xml:space="preserve"> </w:t>
      </w:r>
      <w:r>
        <w:t xml:space="preserve">Among 43 analysed products, 32 stated that they address the DNSH principle in</w:t>
      </w:r>
      <w:r>
        <w:t xml:space="preserve"> </w:t>
      </w:r>
      <w:r>
        <w:t xml:space="preserve">their methodology. Out of these, 15 claim to assess the DNSH principle using</w:t>
      </w:r>
      <w:r>
        <w:t xml:space="preserve"> </w:t>
      </w:r>
      <w:r>
        <w:t xml:space="preserve">PAIs. Only 6 products disclose that thresholds are applied to determine harm, but</w:t>
      </w:r>
      <w:r>
        <w:t xml:space="preserve"> </w:t>
      </w:r>
      <w:r>
        <w:t xml:space="preserve">none disclosed specific thresholds for identifying harmful activities.</w:t>
      </w:r>
      <w:r>
        <w:t xml:space="preserve"> </w:t>
      </w:r>
      <w:r>
        <w:t xml:space="preserve">-</w:t>
      </w:r>
      <w:r>
        <w:t xml:space="preserve"> </w:t>
      </w:r>
      <w:r>
        <w:t xml:space="preserve">No product provides transparent qualitative or quantitative criteria or threshold to</w:t>
      </w:r>
    </w:p>
    <w:p>
      <w:pPr>
        <w:pStyle w:val="BodyText"/>
      </w:pPr>
      <w:r>
        <w:t xml:space="preserve">391 Fit for Future Platform Opinion, October 2024.</w:t>
      </w:r>
      <w:r>
        <w:t xml:space="preserve"> </w:t>
      </w:r>
      <w:r>
        <w:t xml:space="preserve">392 European Parliament, study requested by the ECON committee, The implementation of the</w:t>
      </w:r>
      <w:r>
        <w:t xml:space="preserve"> </w:t>
      </w:r>
      <w:r>
        <w:t xml:space="preserve">Sustainability-related Financial Disclosures, July 2024.</w:t>
      </w:r>
      <w:r>
        <w:t xml:space="preserve"> </w:t>
      </w:r>
      <w:r>
        <w:t xml:space="preserve">393 Platform for Sustainable, Briefing on EC targeted consultation regarding SFDR implementation,</w:t>
      </w:r>
      <w:r>
        <w:t xml:space="preserve"> </w:t>
      </w:r>
      <w:r>
        <w:t xml:space="preserve">December 2023.</w:t>
      </w:r>
      <w:r>
        <w:t xml:space="preserve"> </w:t>
      </w:r>
      <w:r>
        <w:t xml:space="preserve">394 Frank Bold, SFDR review : analysis of current practices and future directions for investors, December</w:t>
      </w:r>
      <w:r>
        <w:t xml:space="preserve"> </w:t>
      </w:r>
      <w:r>
        <w:t xml:space="preserve">2024. This research seeks to provide insight into how influential FMPs have implemented the SFDR</w:t>
      </w:r>
      <w:r>
        <w:t xml:space="preserve"> </w:t>
      </w:r>
      <w:r>
        <w:t xml:space="preserve">requirements. It examines entity-level disclosures of 15 FMPs and product-level disclosures of three</w:t>
      </w:r>
      <w:r>
        <w:t xml:space="preserve"> </w:t>
      </w:r>
      <w:r>
        <w:t xml:space="preserve">investment funds per FMPs, totalling 43 investment products. List of investors: BlackRock, JP Morgan,</w:t>
      </w:r>
      <w:r>
        <w:t xml:space="preserve"> </w:t>
      </w:r>
      <w:r>
        <w:t xml:space="preserve">Credit Agricole/Amundi, Goldman Sachs, Allianz, UBS, Morgan Stanley, BNP Paribas, Deutsche</w:t>
      </w:r>
      <w:r>
        <w:t xml:space="preserve"> </w:t>
      </w:r>
      <w:r>
        <w:t xml:space="preserve">Bank/DWS, Natixis, AXA, Generali, Federated Hermes, Sumitomo</w:t>
      </w:r>
      <w:r>
        <w:t xml:space="preserve"> </w:t>
      </w:r>
      <w:r>
        <w:t xml:space="preserve">395 Frank Bold, SFDR review : analysis of current practices and future directions for investors, December</w:t>
      </w:r>
      <w:r>
        <w:t xml:space="preserve"> </w:t>
      </w:r>
      <w:r>
        <w:t xml:space="preserve">2024.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define when an activity harms environmental or social objectives or targets high-</w:t>
      </w:r>
      <w:r>
        <w:t xml:space="preserve"> </w:t>
      </w:r>
      <w:r>
        <w:t xml:space="preserve">risks activities.</w:t>
      </w:r>
      <w:r>
        <w:br/>
      </w:r>
      <w:r>
        <w:t xml:space="preserve">-</w:t>
      </w:r>
      <w:r>
        <w:t xml:space="preserve"> </w:t>
      </w:r>
      <w:r>
        <w:t xml:space="preserve">Similarly, 15 products claim to address good governance (12 being products</w:t>
      </w:r>
      <w:r>
        <w:t xml:space="preserve"> </w:t>
      </w:r>
      <w:r>
        <w:t xml:space="preserve">disclosing under Article 8 and 3 under Article 9), but only 5 provide detailed</w:t>
      </w:r>
      <w:r>
        <w:t xml:space="preserve"> </w:t>
      </w:r>
      <w:r>
        <w:t xml:space="preserve">processes or policies, usually referencing FMPs’ responsible governance</w:t>
      </w:r>
      <w:r>
        <w:t xml:space="preserve"> </w:t>
      </w:r>
      <w:r>
        <w:t xml:space="preserve">principles or international standards.</w:t>
      </w:r>
      <w:r>
        <w:br/>
      </w:r>
      <w:r>
        <w:t xml:space="preserve">-</w:t>
      </w:r>
      <w:r>
        <w:t xml:space="preserve"> </w:t>
      </w:r>
      <w:r>
        <w:t xml:space="preserve">Dedicated KPIs or targets are largely absent (mainly due to lack of clarity in</w:t>
      </w:r>
      <w:r>
        <w:t xml:space="preserve"> </w:t>
      </w:r>
      <w:r>
        <w:t xml:space="preserve">disclosure requirements)</w:t>
      </w:r>
      <w:r>
        <w:t xml:space="preserve"> </w:t>
      </w:r>
      <w:r>
        <w:t xml:space="preserve">-</w:t>
      </w:r>
      <w:r>
        <w:t xml:space="preserve"> </w:t>
      </w:r>
      <w:r>
        <w:t xml:space="preserve">The Platform for Sustainable Finance (PSF) also highlighted in its report396 that</w:t>
      </w:r>
      <w:r>
        <w:t xml:space="preserve"> </w:t>
      </w:r>
      <w:r>
        <w:t xml:space="preserve">most product disclosures lack information about tolerance levels (the tolerated</w:t>
      </w:r>
      <w:r>
        <w:t xml:space="preserve"> </w:t>
      </w:r>
      <w:r>
        <w:t xml:space="preserve">level of exposures to the mandatory principal adverse impact indicators) set by</w:t>
      </w:r>
      <w:r>
        <w:t xml:space="preserve"> </w:t>
      </w:r>
      <w:r>
        <w:t xml:space="preserve">FMPs.</w:t>
      </w:r>
    </w:p>
    <w:p>
      <w:pPr>
        <w:pStyle w:val="BodyText"/>
      </w:pPr>
      <w:r>
        <w:t xml:space="preserve"> Lack of data compared to what is required by the SFDR and inadequate</w:t>
      </w:r>
      <w:r>
        <w:t xml:space="preserve"> </w:t>
      </w:r>
      <w:r>
        <w:t xml:space="preserve">guidance on estimates</w:t>
      </w:r>
      <w:r>
        <w:t xml:space="preserve"> </w:t>
      </w:r>
      <w:r>
        <w:t xml:space="preserve">The mismatch in some of the datapoints expected under the SFDR and those provided</w:t>
      </w:r>
      <w:r>
        <w:t xml:space="preserve"> </w:t>
      </w:r>
      <w:r>
        <w:t xml:space="preserve">under other parts of the EU framework is assessed under the question on coherence</w:t>
      </w:r>
      <w:r>
        <w:t xml:space="preserve"> </w:t>
      </w:r>
      <w:r>
        <w:t xml:space="preserve">below. Besides this, FMPs notably lack granular data for investments in entities and</w:t>
      </w:r>
      <w:r>
        <w:t xml:space="preserve"> </w:t>
      </w:r>
      <w:r>
        <w:t xml:space="preserve">assets that fall outside of the CSRD scope (a challenge set to increase with the changes</w:t>
      </w:r>
      <w:r>
        <w:t xml:space="preserve"> </w:t>
      </w:r>
      <w:r>
        <w:t xml:space="preserve">pursuant to the omnibus). This is particularly the case for certain types of assets (e.g. </w:t>
      </w:r>
      <w:r>
        <w:t xml:space="preserve"> </w:t>
      </w:r>
      <w:r>
        <w:t xml:space="preserve">infrastructure, sovereigns, certain private assets etc) and for international investments.</w:t>
      </w:r>
      <w:r>
        <w:br/>
      </w:r>
      <w:r>
        <w:t xml:space="preserve">Due to the lack of publicly available data from underlying investments, FMPs have to</w:t>
      </w:r>
      <w:r>
        <w:t xml:space="preserve"> </w:t>
      </w:r>
      <w:r>
        <w:t xml:space="preserve">rely on additional sources to complement company reported data, mainly estimates</w:t>
      </w:r>
      <w:r>
        <w:t xml:space="preserve"> </w:t>
      </w:r>
      <w:r>
        <w:t xml:space="preserve">generated either in-house or by third party providers.</w:t>
      </w:r>
      <w:r>
        <w:br/>
      </w:r>
      <w:r>
        <w:t xml:space="preserve">The SFDR permits their use when the information needed is not readily available, but</w:t>
      </w:r>
      <w:r>
        <w:t xml:space="preserve"> </w:t>
      </w:r>
      <w:r>
        <w:t xml:space="preserve">does not provide for any rules, guidance or minimum safeguards on how to generate such</w:t>
      </w:r>
      <w:r>
        <w:t xml:space="preserve"> </w:t>
      </w:r>
      <w:r>
        <w:t xml:space="preserve">ESG estimates. The level 2 and 3 rules only provide for some transparency expectations.</w:t>
      </w:r>
      <w:r>
        <w:t xml:space="preserve"> </w:t>
      </w:r>
      <w:r>
        <w:t xml:space="preserve">The ESAs clarified that it would be good practice for FMPs to disclose for each PAI</w:t>
      </w:r>
      <w:r>
        <w:t xml:space="preserve"> </w:t>
      </w:r>
      <w:r>
        <w:t xml:space="preserve">indicator the proportion of investments for which data was obtained directly from</w:t>
      </w:r>
      <w:r>
        <w:t xml:space="preserve"> </w:t>
      </w:r>
      <w:r>
        <w:t xml:space="preserve">investee companies and the proportion of investments for which data was obtained by</w:t>
      </w:r>
      <w:r>
        <w:t xml:space="preserve"> </w:t>
      </w:r>
      <w:r>
        <w:t xml:space="preserve">carrying out additional research, cooperating with third party data providers or external</w:t>
      </w:r>
      <w:r>
        <w:t xml:space="preserve"> </w:t>
      </w:r>
      <w:r>
        <w:t xml:space="preserve">experts or making reasonable assumptions397.</w:t>
      </w:r>
      <w:r>
        <w:t xml:space="preserve"> </w:t>
      </w:r>
      <w:r>
        <w:t xml:space="preserve">However, no further guidance has been provided so far on how such estimates</w:t>
      </w:r>
      <w:r>
        <w:t xml:space="preserve"> </w:t>
      </w:r>
      <w:r>
        <w:t xml:space="preserve">should be produced and whether they should follow minimum requirements. In</w:t>
      </w:r>
      <w:r>
        <w:t xml:space="preserve"> </w:t>
      </w:r>
      <w:r>
        <w:t xml:space="preserve">addition, FMPs largely rely on non-EU third party providers for such estimates. These</w:t>
      </w:r>
      <w:r>
        <w:t xml:space="preserve"> </w:t>
      </w:r>
      <w:r>
        <w:t xml:space="preserve">actors are not subject to any EU rules regarding the way they conduct their businesses,</w:t>
      </w:r>
      <w:r>
        <w:t xml:space="preserve"> </w:t>
      </w:r>
      <w:r>
        <w:t xml:space="preserve">how they set their fees, on prevention on conflict of interest etc.</w:t>
      </w:r>
      <w:r>
        <w:br/>
      </w:r>
      <w:r>
        <w:t xml:space="preserve">Findings from Sustainalytics398 (analysing approximately 12,000 issuers) confirm the</w:t>
      </w:r>
      <w:r>
        <w:t xml:space="preserve"> </w:t>
      </w:r>
      <w:r>
        <w:t xml:space="preserve">lack of available data on principal adverse impacts (see box 12). The analysis shows that</w:t>
      </w:r>
    </w:p>
    <w:p>
      <w:pPr>
        <w:pStyle w:val="BodyText"/>
      </w:pPr>
      <w:r>
        <w:t xml:space="preserve">396 Platform for Sustainable, Briefing on EC targeted consultation regarding SFDR implementation,</w:t>
      </w:r>
      <w:r>
        <w:t xml:space="preserve"> </w:t>
      </w:r>
      <w:r>
        <w:t xml:space="preserve">December 2023</w:t>
      </w:r>
      <w:r>
        <w:t xml:space="preserve"> </w:t>
      </w:r>
      <w:r>
        <w:t xml:space="preserve">397 ESMA30-1668416927-2548 Concept of estimates across the EU Sustainable Finance framework</w:t>
      </w:r>
      <w:r>
        <w:t xml:space="preserve"> </w:t>
      </w:r>
      <w:r>
        <w:t xml:space="preserve">398 Sustainalytics, Filling in the Data Gaps: The Current State of Reporting on Principal Adverse Impacts</w:t>
      </w:r>
      <w:r>
        <w:t xml:space="preserve"> </w:t>
      </w:r>
      <w:r>
        <w:t xml:space="preserve">Disclosures for the SFDR, February 2023.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companies in the sample were largely able to report data for over half of the mandatory</w:t>
      </w:r>
      <w:r>
        <w:t xml:space="preserve"> </w:t>
      </w:r>
      <w:r>
        <w:t xml:space="preserve">PAIs but no single issuer reported data across all. (see Graph 1). Further, less than 10%</w:t>
      </w:r>
      <w:r>
        <w:t xml:space="preserve"> </w:t>
      </w:r>
      <w:r>
        <w:t xml:space="preserve">of issuers have reported data on, for example, gender pay gap and emissions to water (see</w:t>
      </w:r>
      <w:r>
        <w:t xml:space="preserve"> </w:t>
      </w:r>
      <w:r>
        <w:t xml:space="preserve">Graph 2).</w:t>
      </w:r>
      <w:r>
        <w:br/>
      </w:r>
      <w:r>
        <w:t xml:space="preserve">First reporting by companies in 2025 under the (pre-Omnibus) CSRD/ESRS signals</w:t>
      </w:r>
      <w:r>
        <w:t xml:space="preserve"> </w:t>
      </w:r>
      <w:r>
        <w:t xml:space="preserve">some change but largely appears to confirm the trend. An analysis by EFRAG of the first</w:t>
      </w:r>
      <w:r>
        <w:t xml:space="preserve"> </w:t>
      </w:r>
      <w:r>
        <w:t xml:space="preserve">reporting in 2025 for a sample of 656 companies notes that, while topics such as climate</w:t>
      </w:r>
      <w:r>
        <w:t xml:space="preserve"> </w:t>
      </w:r>
      <w:r>
        <w:t xml:space="preserve">change mitigation and social topics such as business conduct and own workforce are</w:t>
      </w:r>
      <w:r>
        <w:t xml:space="preserve"> </w:t>
      </w:r>
      <w:r>
        <w:t xml:space="preserve">considered material and reported on in accordance with ESRS by over 80-90% of</w:t>
      </w:r>
      <w:r>
        <w:t xml:space="preserve"> </w:t>
      </w:r>
      <w:r>
        <w:t xml:space="preserve">companies, topics such as biodiversity and water are considered material and reported on</w:t>
      </w:r>
      <w:r>
        <w:t xml:space="preserve"> </w:t>
      </w:r>
      <w:r>
        <w:t xml:space="preserve">by 30-40% of companies399.</w:t>
      </w:r>
      <w:r>
        <w:br/>
      </w:r>
      <w:r>
        <w:t xml:space="preserve">A recent Bloomberg study400 (see box 13) describes the extent of the data gaps per types</w:t>
      </w:r>
      <w:r>
        <w:t xml:space="preserve"> </w:t>
      </w:r>
      <w:r>
        <w:t xml:space="preserve">of entities and highlight the very low coverage for small companies. Also, while the</w:t>
      </w:r>
      <w:r>
        <w:t xml:space="preserve"> </w:t>
      </w:r>
      <w:r>
        <w:t xml:space="preserve">coverage for large EU and large EU PIE401 companies is currently estimated at 40%, this</w:t>
      </w:r>
      <w:r>
        <w:t xml:space="preserve"> </w:t>
      </w:r>
      <w:r>
        <w:t xml:space="preserve">is set to be reduced in the future by the upcoming changes to the reporting landscape</w:t>
      </w:r>
      <w:r>
        <w:t xml:space="preserve"> </w:t>
      </w:r>
      <w:r>
        <w:t xml:space="preserve">announced by the simplification omnibus. In addition, the lack of regulatory obligations</w:t>
      </w:r>
      <w:r>
        <w:t xml:space="preserve"> </w:t>
      </w:r>
      <w:r>
        <w:t xml:space="preserve">for benchmark providers creates additional data challenges for FMPs relying on indices.</w:t>
      </w:r>
      <w:r>
        <w:br/>
      </w:r>
      <w:r>
        <w:t xml:space="preserve">As a result, FMP struggle to collect, measure or quantify certain indicators, which are</w:t>
      </w:r>
      <w:r>
        <w:t xml:space="preserve"> </w:t>
      </w:r>
      <w:r>
        <w:t xml:space="preserve">often sourced either internally or commercially from third party providers402. The over-</w:t>
      </w:r>
      <w:r>
        <w:t xml:space="preserve"> </w:t>
      </w:r>
      <w:r>
        <w:t xml:space="preserve">reliance on the use of estimates, coupled with the lack of guidance on how to produce</w:t>
      </w:r>
      <w:r>
        <w:t xml:space="preserve"> </w:t>
      </w:r>
      <w:r>
        <w:t xml:space="preserve">such estimates and the lack of regulatory framework on third-party providers of such</w:t>
      </w:r>
      <w:r>
        <w:t xml:space="preserve"> </w:t>
      </w:r>
      <w:r>
        <w:t xml:space="preserve">estimates, results in additional operational, regulatory and reputational risk for managers.</w:t>
      </w:r>
      <w:r>
        <w:t xml:space="preserve"> </w:t>
      </w:r>
      <w:r>
        <w:t xml:space="preserve">When asked about the cost of disclosures, 58% (167 out of 287) of total respondents</w:t>
      </w:r>
      <w:r>
        <w:t xml:space="preserve"> </w:t>
      </w:r>
      <w:r>
        <w:t xml:space="preserve">answered that they do not consider it to be proportionate to the benefits generated. This</w:t>
      </w:r>
      <w:r>
        <w:t xml:space="preserve"> </w:t>
      </w:r>
      <w:r>
        <w:t xml:space="preserve">figure increases to 71% (133 out of 186) among FMPs and financial advisers. FMPs and</w:t>
      </w:r>
      <w:r>
        <w:t xml:space="preserve"> </w:t>
      </w:r>
      <w:r>
        <w:t xml:space="preserve">financial advisers indicated that the main components of the costs of disclosures are the</w:t>
      </w:r>
      <w:r>
        <w:t xml:space="preserve"> </w:t>
      </w:r>
      <w:r>
        <w:t xml:space="preserve">costs of personnel and of external advisory services.</w:t>
      </w:r>
    </w:p>
    <w:p>
      <w:pPr>
        <w:pStyle w:val="BodyText"/>
      </w:pPr>
      <w:r>
        <w:t xml:space="preserve">399 EFRAG_State of Play 2025 Report_0.pdf</w:t>
      </w:r>
      <w:r>
        <w:t xml:space="preserve"> </w:t>
      </w:r>
      <w:r>
        <w:t xml:space="preserve">400 Input sent bilaterally</w:t>
      </w:r>
      <w:r>
        <w:t xml:space="preserve"> </w:t>
      </w:r>
      <w:r>
        <w:t xml:space="preserve">401 “Public-interest entity” as defined in Article 2(1) of Directive 2013/34/EU (Accounting Directive),</w:t>
      </w:r>
      <w:r>
        <w:t xml:space="preserve"> </w:t>
      </w:r>
      <w:r>
        <w:t xml:space="preserve">namely listed companies, credit institutions, insurance companies and others designated as PIEs by</w:t>
      </w:r>
      <w:r>
        <w:t xml:space="preserve"> </w:t>
      </w:r>
      <w:r>
        <w:t xml:space="preserve">Member States</w:t>
      </w:r>
      <w:r>
        <w:br/>
      </w:r>
      <w:r>
        <w:t xml:space="preserve">402 EFAMA responses to EC targeted consultation on the implementation of the SFDR, 20 December 2023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Box 12: Availabilities of PAI-related information from investee companies</w:t>
      </w:r>
      <w:r>
        <w:t xml:space="preserve"> </w:t>
      </w:r>
      <w:r>
        <w:t xml:space="preserve">(Sustainalytics403)</w:t>
      </w:r>
      <w:r>
        <w:t xml:space="preserve"> </w:t>
      </w:r>
      <w:r>
        <w:t xml:space="preserve">Graph 1 – Number of companies covering the mandatory PAI indicators</w:t>
      </w:r>
    </w:p>
    <w:p>
      <w:pPr>
        <w:pStyle w:val="BodyText"/>
      </w:pPr>
      <w:r>
        <w:t xml:space="preserve">Graph 2 - Issuers’ data for mandatory PAI reporting</w:t>
      </w:r>
    </w:p>
    <w:p>
      <w:pPr>
        <w:pStyle w:val="BodyText"/>
      </w:pPr>
      <w:r>
        <w:t xml:space="preserve">403 Filling in the Data Gaps: The Current State of Reporting on Principal Adverse Impacts Disclosures for</w:t>
      </w:r>
      <w:r>
        <w:t xml:space="preserve"> </w:t>
      </w:r>
      <w:r>
        <w:t xml:space="preserve">the SFDR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Box 13: SFDR mandatory environmental PAI coverage by type of company (against</w:t>
      </w:r>
      <w:r>
        <w:t xml:space="preserve"> </w:t>
      </w:r>
      <w:r>
        <w:t xml:space="preserve">16,000 companies)</w:t>
      </w:r>
    </w:p>
    <w:p>
      <w:pPr>
        <w:pStyle w:val="BodyText"/>
      </w:pPr>
      <w:r>
        <w:t xml:space="preserve">Source: Bloomberg</w:t>
      </w:r>
    </w:p>
    <w:p>
      <w:pPr>
        <w:pStyle w:val="BodyText"/>
      </w:pPr>
      <w:r>
        <w:t xml:space="preserve"> Observed misuse of the framework as a labelling regime</w:t>
      </w:r>
      <w:r>
        <w:br/>
      </w:r>
      <w:r>
        <w:t xml:space="preserve">The trend that the three sets of products’ disclosures under the SFDR have been used</w:t>
      </w:r>
      <w:r>
        <w:t xml:space="preserve"> </w:t>
      </w:r>
      <w:r>
        <w:t xml:space="preserve">as ‘de facto’ categories/labels has been widely observed: (i) Article 6 for all managed</w:t>
      </w:r>
      <w:r>
        <w:t xml:space="preserve"> </w:t>
      </w:r>
      <w:r>
        <w:t xml:space="preserve">funds404; (ii) Article 8 for products which promote environmental or social</w:t>
      </w:r>
      <w:r>
        <w:t xml:space="preserve"> </w:t>
      </w:r>
      <w:r>
        <w:t xml:space="preserve">characteristics; and (iii) Article 9 for funds which have a sustainable investment</w:t>
      </w:r>
      <w:r>
        <w:t xml:space="preserve"> </w:t>
      </w:r>
      <w:r>
        <w:t xml:space="preserve">objective405. These articles have been effectively used in the market in line with</w:t>
      </w:r>
      <w:r>
        <w:t xml:space="preserve"> </w:t>
      </w:r>
      <w:r>
        <w:t xml:space="preserve">distribution and client appetite as if they were investor facing labels, yet with none of the</w:t>
      </w:r>
      <w:r>
        <w:t xml:space="preserve"> </w:t>
      </w:r>
      <w:r>
        <w:t xml:space="preserve">criteria or procedural steps which normally underpin widely used and accepted categories</w:t>
      </w:r>
      <w:r>
        <w:t xml:space="preserve"> </w:t>
      </w:r>
      <w:r>
        <w:t xml:space="preserve">and market labels (e.g. compliance with externally drawn up criteria, independent</w:t>
      </w:r>
      <w:r>
        <w:t xml:space="preserve"> </w:t>
      </w:r>
      <w:r>
        <w:t xml:space="preserve">certification, validation by a third party etc.)406.</w:t>
      </w:r>
      <w:r>
        <w:br/>
      </w:r>
      <w:r>
        <w:t xml:space="preserve">The responses to the public consultations confirmed this trend, with 83% of respondents</w:t>
      </w:r>
      <w:r>
        <w:t xml:space="preserve"> </w:t>
      </w:r>
      <w:r>
        <w:t xml:space="preserve">(245 out of 296) agreed that the SFDR is currently not being used solely as a disclosure</w:t>
      </w:r>
      <w:r>
        <w:t xml:space="preserve"> </w:t>
      </w:r>
      <w:r>
        <w:t xml:space="preserve">framework as intended but is also being used as a labelling and marketing tool.</w:t>
      </w:r>
      <w:r>
        <w:br/>
      </w:r>
      <w:r>
        <w:t xml:space="preserve">This was partly due to implied differences in the ambition level of products where Article</w:t>
      </w:r>
      <w:r>
        <w:t xml:space="preserve"> </w:t>
      </w:r>
      <w:r>
        <w:t xml:space="preserve">8 and Article 9 products have been commonly referred to as ‘light green’ and ‘dark</w:t>
      </w:r>
    </w:p>
    <w:p>
      <w:pPr>
        <w:pStyle w:val="BodyText"/>
      </w:pPr>
      <w:r>
        <w:t xml:space="preserve">404 Article 6 applies to all SFDR financial products, requiring general information on whether and how</w:t>
      </w:r>
      <w:r>
        <w:t xml:space="preserve"> </w:t>
      </w:r>
      <w:r>
        <w:t xml:space="preserve">sustainability considerations are relevant for them.</w:t>
      </w:r>
      <w:r>
        <w:br/>
      </w:r>
      <w:r>
        <w:t xml:space="preserve">405 ICMA, A time for change in the sustainable fund – reflections and recommendations in a new</w:t>
      </w:r>
      <w:r>
        <w:t xml:space="preserve"> </w:t>
      </w:r>
      <w:r>
        <w:t xml:space="preserve">regulatory environment, March 2025</w:t>
      </w:r>
      <w:r>
        <w:t xml:space="preserve"> </w:t>
      </w:r>
      <w:r>
        <w:t xml:space="preserve">406 Some common features of categories vs. labels are set out in Annex E in Categorisation of products</w:t>
      </w:r>
      <w:r>
        <w:t xml:space="preserve"> </w:t>
      </w:r>
      <w:r>
        <w:t xml:space="preserve">under the SFDR: Proposal of the Platform on Sustainable Finance, December 2024</w:t>
      </w:r>
    </w:p>
    <w:p>
      <w:pPr>
        <w:pStyle w:val="BodyText"/>
      </w:pPr>
      <w:r>
        <w:t xml:space="preserve">181</w:t>
      </w:r>
    </w:p>
    <w:p>
      <w:pPr>
        <w:pStyle w:val="BodyText"/>
      </w:pPr>
      <w:r>
        <w:t xml:space="preserve">green’ products, respectively. Collectively, Article 8 and Article 9 constitute nearly 60%</w:t>
      </w:r>
      <w:r>
        <w:t xml:space="preserve"> </w:t>
      </w:r>
      <w:r>
        <w:t xml:space="preserve">of the universe of EU funds in scope of the SFDR by assets, which have totalled around</w:t>
      </w:r>
      <w:r>
        <w:t xml:space="preserve"> </w:t>
      </w:r>
      <w:r>
        <w:t xml:space="preserve">EUR6 trillion, and 50.1% by number of funds.407 Another explanation for the misuse of</w:t>
      </w:r>
      <w:r>
        <w:t xml:space="preserve"> </w:t>
      </w:r>
      <w:r>
        <w:t xml:space="preserve">the disclosure articles is the demand and market pressure to classify products into</w:t>
      </w:r>
      <w:r>
        <w:t xml:space="preserve"> </w:t>
      </w:r>
      <w:r>
        <w:t xml:space="preserve">different sustainability-related categories408.</w:t>
      </w:r>
      <w:r>
        <w:t xml:space="preserve"> </w:t>
      </w:r>
      <w:r>
        <w:t xml:space="preserve">3.1.2.</w:t>
      </w:r>
      <w:r>
        <w:t xml:space="preserve"> </w:t>
      </w:r>
      <w:r>
        <w:t xml:space="preserve">Coherence</w:t>
      </w:r>
      <w:r>
        <w:br/>
      </w:r>
      <w:r>
        <w:t xml:space="preserve">Is the framework coherent with other parts of the sustainable finance framework? Are</w:t>
      </w:r>
      <w:r>
        <w:t xml:space="preserve"> </w:t>
      </w:r>
      <w:r>
        <w:t xml:space="preserve">existing provisions coherent with each other?</w:t>
      </w:r>
      <w:r>
        <w:t xml:space="preserve"> </w:t>
      </w:r>
      <w:r>
        <w:t xml:space="preserve">In terms of coherence, the SFDR has introduced multiple layers of sustainability-</w:t>
      </w:r>
      <w:r>
        <w:t xml:space="preserve"> </w:t>
      </w:r>
      <w:r>
        <w:t xml:space="preserve">related requirements that are considered complex to apply, including in tandem with</w:t>
      </w:r>
      <w:r>
        <w:t xml:space="preserve"> </w:t>
      </w:r>
      <w:r>
        <w:t xml:space="preserve">other parts of the sustainable finance framework. The bulk of the complexities mainly</w:t>
      </w:r>
      <w:r>
        <w:t xml:space="preserve"> </w:t>
      </w:r>
      <w:r>
        <w:t xml:space="preserve">comes from the three steps underlying the definition of ‘sustainable investment’ (as</w:t>
      </w:r>
      <w:r>
        <w:t xml:space="preserve"> </w:t>
      </w:r>
      <w:r>
        <w:t xml:space="preserve">described at the beginning of section 3.1.1 above, i.e. contribution, DNSH and good</w:t>
      </w:r>
      <w:r>
        <w:t xml:space="preserve"> </w:t>
      </w:r>
      <w:r>
        <w:t xml:space="preserve">governance) that need to be conducted as part of the sustainability assessment for funds</w:t>
      </w:r>
      <w:r>
        <w:t xml:space="preserve"> </w:t>
      </w:r>
      <w:r>
        <w:t xml:space="preserve">disclosing under Article 9. Certain legal misalignments between these concepts and</w:t>
      </w:r>
      <w:r>
        <w:t xml:space="preserve"> </w:t>
      </w:r>
      <w:r>
        <w:t xml:space="preserve">other obligations required from other pieces of the sustainable finance framework</w:t>
      </w:r>
      <w:r>
        <w:t xml:space="preserve"> </w:t>
      </w:r>
      <w:r>
        <w:t xml:space="preserve">have been signalled as increasing the complexity of the SFDR implementation.</w:t>
      </w:r>
      <w:r>
        <w:br/>
      </w:r>
      <w:r>
        <w:t xml:space="preserve">The SFDR and the other sustainable finance rules are closely interlinked and are intended</w:t>
      </w:r>
      <w:r>
        <w:t xml:space="preserve"> </w:t>
      </w:r>
      <w:r>
        <w:t xml:space="preserve">to complement each other to form a coherent set of disclosures, criteria and investment</w:t>
      </w:r>
      <w:r>
        <w:t xml:space="preserve"> </w:t>
      </w:r>
      <w:r>
        <w:t xml:space="preserve">tools. The frameworks were conceived to work well together to ensure that the different</w:t>
      </w:r>
      <w:r>
        <w:t xml:space="preserve"> </w:t>
      </w:r>
      <w:r>
        <w:t xml:space="preserve">pieces and criteria provide legal certainty to users, including to help FMPs define their</w:t>
      </w:r>
      <w:r>
        <w:t xml:space="preserve"> </w:t>
      </w:r>
      <w:r>
        <w:t xml:space="preserve">approach to sustainability and to ensure they have access to the necessary data from</w:t>
      </w:r>
      <w:r>
        <w:t xml:space="preserve"> </w:t>
      </w:r>
      <w:r>
        <w:t xml:space="preserve">underlying investments to comply with their reporting obligations and conduct their</w:t>
      </w:r>
      <w:r>
        <w:t xml:space="preserve"> </w:t>
      </w:r>
      <w:r>
        <w:t xml:space="preserve">sustainability assessments.</w:t>
      </w:r>
      <w:r>
        <w:br/>
      </w:r>
      <w:r>
        <w:t xml:space="preserve">However, despite the need to work well together, some unintended legal misalignments</w:t>
      </w:r>
      <w:r>
        <w:t xml:space="preserve"> </w:t>
      </w:r>
      <w:r>
        <w:t xml:space="preserve">have led to some inconsistencies and mismatches in the definition of sustainability-</w:t>
      </w:r>
      <w:r>
        <w:t xml:space="preserve"> </w:t>
      </w:r>
      <w:r>
        <w:t xml:space="preserve">related concepts and disclosures.</w:t>
      </w:r>
      <w:r>
        <w:br/>
      </w:r>
      <w:r>
        <w:t xml:space="preserve"> Misalignments between ‘environmentally sustainable economic activities’</w:t>
      </w:r>
      <w:r>
        <w:t xml:space="preserve"> </w:t>
      </w:r>
      <w:r>
        <w:t xml:space="preserve">under the EU Taxonomy and ‘sustainable investment’ under the SFDR</w:t>
      </w:r>
      <w:r>
        <w:br/>
      </w:r>
      <w:r>
        <w:t xml:space="preserve">The coexistence between the SFDR definition of ‘sustainable investment’ and what</w:t>
      </w:r>
      <w:r>
        <w:t xml:space="preserve"> </w:t>
      </w:r>
      <w:r>
        <w:t xml:space="preserve">constitutes an ‘environmentally sustainable’ activity under the EU Taxonomy is</w:t>
      </w:r>
      <w:r>
        <w:t xml:space="preserve"> </w:t>
      </w:r>
      <w:r>
        <w:t xml:space="preserve">considered problematic due to the absence of a clear legal link between these two</w:t>
      </w:r>
      <w:r>
        <w:t xml:space="preserve"> </w:t>
      </w:r>
      <w:r>
        <w:t xml:space="preserve">concepts and technical differences.</w:t>
      </w:r>
      <w:r>
        <w:br/>
      </w:r>
      <w:r>
        <w:t xml:space="preserve">The SFDR definition is entirely based on disclosure requirements and offers flexibility to</w:t>
      </w:r>
      <w:r>
        <w:t xml:space="preserve"> </w:t>
      </w:r>
      <w:r>
        <w:t xml:space="preserve">FMPs to calibrate their approach. It is designed to be broader than the approach of the</w:t>
      </w:r>
      <w:r>
        <w:t xml:space="preserve"> </w:t>
      </w:r>
      <w:r>
        <w:t xml:space="preserve">EU Taxonomy, which establishes a robust and science-based classification system by</w:t>
      </w:r>
      <w:r>
        <w:t xml:space="preserve"> </w:t>
      </w:r>
      <w:r>
        <w:t xml:space="preserve">providing a set of criteria to identify economic activities substantially contributing to the</w:t>
      </w:r>
      <w:r>
        <w:t xml:space="preserve"> </w:t>
      </w:r>
      <w:r>
        <w:t xml:space="preserve">EU’s six environmentally objectives. The Taxonomy was therefore meant to act as an</w:t>
      </w:r>
      <w:r>
        <w:t xml:space="preserve"> </w:t>
      </w:r>
      <w:r>
        <w:t xml:space="preserve">efficient measuring tool for investors for certain types of assets while the sustainable</w:t>
      </w:r>
    </w:p>
    <w:p>
      <w:pPr>
        <w:pStyle w:val="BodyText"/>
      </w:pPr>
      <w:r>
        <w:t xml:space="preserve">407 Morningstar, Q4 2024 Morningstar - SFDR_Article_8_and_Article_9_Funds_Q4_2024_.pdf</w:t>
      </w:r>
      <w:r>
        <w:t xml:space="preserve"> </w:t>
      </w:r>
      <w:r>
        <w:t xml:space="preserve">408 Platform for Sustainable, Briefing on EC targeted consultation regarding SFDR implementation,</w:t>
      </w:r>
      <w:r>
        <w:t xml:space="preserve"> </w:t>
      </w:r>
      <w:r>
        <w:t xml:space="preserve">December 2023</w:t>
      </w:r>
    </w:p>
    <w:p>
      <w:pPr>
        <w:pStyle w:val="BodyText"/>
      </w:pPr>
      <w:r>
        <w:t xml:space="preserve">182</w:t>
      </w:r>
    </w:p>
    <w:p>
      <w:pPr>
        <w:pStyle w:val="BodyText"/>
      </w:pPr>
      <w:r>
        <w:t xml:space="preserve">investment definition was meant to enable FMPs to disclose other methodologies and</w:t>
      </w:r>
      <w:r>
        <w:t xml:space="preserve"> </w:t>
      </w:r>
      <w:r>
        <w:t xml:space="preserve">approaches to define sustainability.</w:t>
      </w:r>
      <w:r>
        <w:br/>
      </w:r>
      <w:r>
        <w:t xml:space="preserve">This has the effect that investments in Taxonomy aligned economic activity are not</w:t>
      </w:r>
      <w:r>
        <w:t xml:space="preserve"> </w:t>
      </w:r>
      <w:r>
        <w:t xml:space="preserve">automatically deemed as sustainable investments under the SFDR. This is mainly due to</w:t>
      </w:r>
      <w:r>
        <w:t xml:space="preserve"> </w:t>
      </w:r>
      <w:r>
        <w:t xml:space="preserve">technical differences between the DNSH test under the SFDR and the DNSH test under</w:t>
      </w:r>
      <w:r>
        <w:t xml:space="preserve"> </w:t>
      </w:r>
      <w:r>
        <w:t xml:space="preserve">the Taxonomy Regulation409 (e.g. a taxonomy-aligned investment could fail the DNSH</w:t>
      </w:r>
      <w:r>
        <w:t xml:space="preserve"> </w:t>
      </w:r>
      <w:r>
        <w:t xml:space="preserve">test under the SFDR if it is not aligned with the approach taken by the FPMs regarding</w:t>
      </w:r>
      <w:r>
        <w:t xml:space="preserve"> </w:t>
      </w:r>
      <w:r>
        <w:t xml:space="preserve">the consideration of social principal adverse impacts). This lack of clarity hindered the</w:t>
      </w:r>
      <w:r>
        <w:t xml:space="preserve"> </w:t>
      </w:r>
      <w:r>
        <w:t xml:space="preserve">objective of the EU Taxonomy, i.e. setting a common language to define sustainability</w:t>
      </w:r>
      <w:r>
        <w:t xml:space="preserve"> </w:t>
      </w:r>
      <w:r>
        <w:t xml:space="preserve">throughout the whole regulatory framework. It also further rendered more complex in the</w:t>
      </w:r>
      <w:r>
        <w:t xml:space="preserve"> </w:t>
      </w:r>
      <w:r>
        <w:t xml:space="preserve">implementation of these concepts, especially in cases where FMPs are applying both</w:t>
      </w:r>
      <w:r>
        <w:t xml:space="preserve"> </w:t>
      </w:r>
      <w:r>
        <w:t xml:space="preserve">concepts simultaneously.</w:t>
      </w:r>
      <w:r>
        <w:br/>
      </w:r>
      <w:r>
        <w:t xml:space="preserve">In addition, the fact that different sustainability-related concepts and processes under</w:t>
      </w:r>
      <w:r>
        <w:t xml:space="preserve"> </w:t>
      </w:r>
      <w:r>
        <w:t xml:space="preserve">the SFDR and the EU Taxonomy are using the same or similar terms has led to further</w:t>
      </w:r>
      <w:r>
        <w:t xml:space="preserve"> </w:t>
      </w:r>
      <w:r>
        <w:t xml:space="preserve">confusion and complexities for investors (i.e. two different DNSH tests under the two</w:t>
      </w:r>
      <w:r>
        <w:t xml:space="preserve"> </w:t>
      </w:r>
      <w:r>
        <w:t xml:space="preserve">pieces of regulation, two approaches to ‘(substantial) contribution’, ‘minimum</w:t>
      </w:r>
      <w:r>
        <w:t xml:space="preserve"> </w:t>
      </w:r>
      <w:r>
        <w:t xml:space="preserve">safeguards’ under the Taxonomy vs ‘good governance’ under the SFDR) regarding what</w:t>
      </w:r>
      <w:r>
        <w:t xml:space="preserve"> </w:t>
      </w:r>
      <w:r>
        <w:t xml:space="preserve">are, in fact, sustainable economic activities and investments410.</w:t>
      </w:r>
      <w:r>
        <w:br/>
      </w:r>
      <w:r>
        <w:t xml:space="preserve">Despite the clarification provided by the Commission in June 2023 regarding the</w:t>
      </w:r>
      <w:r>
        <w:t xml:space="preserve"> </w:t>
      </w:r>
      <w:r>
        <w:t xml:space="preserve">assessment of Taxonomy-aligned investments under the SFDR framework411, many</w:t>
      </w:r>
      <w:r>
        <w:t xml:space="preserve"> </w:t>
      </w:r>
      <w:r>
        <w:t xml:space="preserve">respondents to the public consultation suggested that more effort should be made to</w:t>
      </w:r>
      <w:r>
        <w:t xml:space="preserve"> </w:t>
      </w:r>
      <w:r>
        <w:t xml:space="preserve">simplify the interactions between the SFDR and the Taxonomy412.</w:t>
      </w:r>
      <w:r>
        <w:t xml:space="preserve"> </w:t>
      </w:r>
      <w:r>
        <w:t xml:space="preserve"> Misalignments between ‘sustainable investment’ under the SFDR and the</w:t>
      </w:r>
      <w:r>
        <w:t xml:space="preserve"> </w:t>
      </w:r>
      <w:r>
        <w:t xml:space="preserve">Benchmarks Regulation</w:t>
      </w:r>
      <w:r>
        <w:br/>
      </w:r>
      <w:r>
        <w:t xml:space="preserve">Despite the legal link between the SFDR and the EU climate benchmarks under SFDR</w:t>
      </w:r>
      <w:r>
        <w:t xml:space="preserve"> </w:t>
      </w:r>
      <w:r>
        <w:t xml:space="preserve">Article 9(3), there are a few technical differences between the requirements for PAB</w:t>
      </w:r>
      <w:r>
        <w:t xml:space="preserve"> </w:t>
      </w:r>
      <w:r>
        <w:t xml:space="preserve">and CTBs and the definition of ‘sustainable investment’ under the SFDR which have</w:t>
      </w:r>
      <w:r>
        <w:t xml:space="preserve"> </w:t>
      </w:r>
      <w:r>
        <w:t xml:space="preserve">caused confusion among market participants regarding the status of passive financial</w:t>
      </w:r>
      <w:r>
        <w:t xml:space="preserve"> </w:t>
      </w:r>
      <w:r>
        <w:t xml:space="preserve">products tracking a PAB/CTB under the SFDR and make their use more complex.</w:t>
      </w:r>
      <w:r>
        <w:br/>
      </w:r>
      <w:r>
        <w:t xml:space="preserve">Only 7% of respondents (19 out of 261) of the public consultation agreed that the SFDR</w:t>
      </w:r>
      <w:r>
        <w:t xml:space="preserve"> </w:t>
      </w:r>
      <w:r>
        <w:t xml:space="preserve">approach to DNSH and good governance are consistent with the ESG exclusions under</w:t>
      </w:r>
      <w:r>
        <w:t xml:space="preserve"> </w:t>
      </w:r>
      <w:r>
        <w:t xml:space="preserve">the PAB and CTB, against 34% (88 out of 261) who totally or mostly disagreed while the</w:t>
      </w:r>
      <w:r>
        <w:t xml:space="preserve"> </w:t>
      </w:r>
      <w:r>
        <w:t xml:space="preserve">rest of the respondents ‘partially disagreed and partially agreed’ (24%, 62 out of 261) or</w:t>
      </w:r>
      <w:r>
        <w:t xml:space="preserve"> </w:t>
      </w:r>
      <w:r>
        <w:t xml:space="preserve">indicated ‘don’t know/no opinion/not applicable’ (35%, 92 out of 261). 413. This refers to</w:t>
      </w:r>
      <w:r>
        <w:t xml:space="preserve"> </w:t>
      </w:r>
      <w:r>
        <w:t xml:space="preserve">the few misalignments between the principal adverse impacts under the SFDR (as</w:t>
      </w:r>
      <w:r>
        <w:t xml:space="preserve"> </w:t>
      </w:r>
      <w:r>
        <w:t xml:space="preserve">defined in the Annex 1 of the Delegated Regulation (EU) 2022/1288) and the exclusions</w:t>
      </w:r>
      <w:r>
        <w:t xml:space="preserve"> </w:t>
      </w:r>
      <w:r>
        <w:t xml:space="preserve">under the EU Climate Benchmarks (as defined under the Article 12 of the Delegated</w:t>
      </w:r>
      <w:r>
        <w:t xml:space="preserve"> </w:t>
      </w:r>
      <w:r>
        <w:t xml:space="preserve">Regulation (EU) 2020/1818).</w:t>
      </w:r>
    </w:p>
    <w:p>
      <w:pPr>
        <w:pStyle w:val="BodyText"/>
      </w:pPr>
      <w:r>
        <w:t xml:space="preserve">409 DNSH criteria under the Taxonomy are under review as announced under documents accompanying the</w:t>
      </w:r>
      <w:r>
        <w:t xml:space="preserve"> </w:t>
      </w:r>
      <w:r>
        <w:t xml:space="preserve">Omnibus proposals</w:t>
      </w:r>
      <w:r>
        <w:br/>
      </w:r>
      <w:r>
        <w:t xml:space="preserve">410 Fit for Future Platform Opinion, October 2024</w:t>
      </w:r>
      <w:r>
        <w:t xml:space="preserve"> </w:t>
      </w:r>
      <w:r>
        <w:t xml:space="preserve">411 Commission Notice on the interpretation and implementation of certain legal provisions of the EU</w:t>
      </w:r>
      <w:r>
        <w:t xml:space="preserve"> </w:t>
      </w:r>
      <w:r>
        <w:t xml:space="preserve">Taxonomy Regulation and links to the Sustainable Finance Disclosure Regulation, June 2023</w:t>
      </w:r>
      <w:r>
        <w:br/>
      </w:r>
      <w:r>
        <w:t xml:space="preserve">412 Summary Report of the open and targeted consultations of the SFDR assessment, published May 2024</w:t>
      </w:r>
      <w:r>
        <w:t xml:space="preserve"> </w:t>
      </w:r>
      <w:r>
        <w:t xml:space="preserve">413 Summary Report of the open and targeted consultations of the SFDR assessment, published May 2024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These unintended misalignments between the two frameworks have been noted to hinder</w:t>
      </w:r>
      <w:r>
        <w:t xml:space="preserve"> </w:t>
      </w:r>
      <w:r>
        <w:t xml:space="preserve">the objectives of the EU climate benchmarks within financial markets, i.e. to provide</w:t>
      </w:r>
      <w:r>
        <w:t xml:space="preserve"> </w:t>
      </w:r>
      <w:r>
        <w:t xml:space="preserve">comfort and certainty to their users414. Moreover, the disclosures under the Benchmark</w:t>
      </w:r>
      <w:r>
        <w:t xml:space="preserve"> </w:t>
      </w:r>
      <w:r>
        <w:t xml:space="preserve">Regulation for ESG benchmarks and the SFDR are not fully aligned. As a result, many</w:t>
      </w:r>
      <w:r>
        <w:t xml:space="preserve"> </w:t>
      </w:r>
      <w:r>
        <w:t xml:space="preserve">stakeholders have referred to the difficulties that this entails for passive fund managers,</w:t>
      </w:r>
      <w:r>
        <w:t xml:space="preserve"> </w:t>
      </w:r>
      <w:r>
        <w:t xml:space="preserve">who fully rely on the design of the benchmarks they track and therefore would benefit</w:t>
      </w:r>
      <w:r>
        <w:t xml:space="preserve"> </w:t>
      </w:r>
      <w:r>
        <w:t xml:space="preserve">from benchmark-level disclosures to perform their own fund-level disclosures.</w:t>
      </w:r>
      <w:r>
        <w:t xml:space="preserve"> </w:t>
      </w:r>
      <w:r>
        <w:t xml:space="preserve"> Mismatch in data expected under the SFDR and provided under other parts</w:t>
      </w:r>
      <w:r>
        <w:t xml:space="preserve"> </w:t>
      </w:r>
      <w:r>
        <w:t xml:space="preserve">of the EU framework</w:t>
      </w:r>
      <w:r>
        <w:br/>
      </w:r>
      <w:r>
        <w:t xml:space="preserve">FMPs and FAs are expected to report sustainability-related information of financial</w:t>
      </w:r>
      <w:r>
        <w:t xml:space="preserve"> </w:t>
      </w:r>
      <w:r>
        <w:t xml:space="preserve">products based on information disclosed or communicated by the issuers of the</w:t>
      </w:r>
      <w:r>
        <w:t xml:space="preserve"> </w:t>
      </w:r>
      <w:r>
        <w:t xml:space="preserve">underlying investments of the product. However, such data is often lacking (a</w:t>
      </w:r>
      <w:r>
        <w:t xml:space="preserve"> </w:t>
      </w:r>
      <w:r>
        <w:t xml:space="preserve">challenge set to increase with the changes pursuant to the omnibus), with substantial data</w:t>
      </w:r>
      <w:r>
        <w:t xml:space="preserve"> </w:t>
      </w:r>
      <w:r>
        <w:t xml:space="preserve">gaps in the information needed for FMPs to meet the reporting requirements outlined in</w:t>
      </w:r>
      <w:r>
        <w:t xml:space="preserve"> </w:t>
      </w:r>
      <w:r>
        <w:t xml:space="preserve">the SFDR415.</w:t>
      </w:r>
      <w:r>
        <w:br/>
      </w:r>
      <w:r>
        <w:t xml:space="preserve">For example, respondents to the consultation regarding whether the SFDR disclosures are</w:t>
      </w:r>
      <w:r>
        <w:t xml:space="preserve"> </w:t>
      </w:r>
      <w:r>
        <w:t xml:space="preserve">consistent with the CSRD requirements, more respondents disagreed (47%, 134 out of</w:t>
      </w:r>
      <w:r>
        <w:t xml:space="preserve"> </w:t>
      </w:r>
      <w:r>
        <w:t xml:space="preserve">285) than agreed (15%, 42 out of 285)416. In their written responses, many FMPs and</w:t>
      </w:r>
      <w:r>
        <w:t xml:space="preserve"> </w:t>
      </w:r>
      <w:r>
        <w:t xml:space="preserve">financial advisers welcomed the alignment between the PAI indicators of the SFDR and</w:t>
      </w:r>
      <w:r>
        <w:t xml:space="preserve"> </w:t>
      </w:r>
      <w:r>
        <w:t xml:space="preserve">ESRS but referred to technical misalignment in the definitions and terminologies used.</w:t>
      </w:r>
      <w:r>
        <w:br/>
      </w:r>
      <w:r>
        <w:t xml:space="preserve">In addition, the approach to materiality has created a gap between the reporting</w:t>
      </w:r>
      <w:r>
        <w:t xml:space="preserve"> </w:t>
      </w:r>
      <w:r>
        <w:t xml:space="preserve">obligations between the two regimes. Under the CSRD, reporting entities are allowed not</w:t>
      </w:r>
      <w:r>
        <w:t xml:space="preserve"> </w:t>
      </w:r>
      <w:r>
        <w:t xml:space="preserve">to report against certain sustainability indicators if deemed ‘not material’ in the entities’</w:t>
      </w:r>
      <w:r>
        <w:t xml:space="preserve"> </w:t>
      </w:r>
      <w:r>
        <w:t xml:space="preserve">own materiality assessment. However, unlike investee companies, FMPs are required to</w:t>
      </w:r>
      <w:r>
        <w:t xml:space="preserve"> </w:t>
      </w:r>
      <w:r>
        <w:t xml:space="preserve">consider all mandatory principal adverse impacts (PAIs) under the SFDR, regardless of</w:t>
      </w:r>
      <w:r>
        <w:t xml:space="preserve"> </w:t>
      </w:r>
      <w:r>
        <w:t xml:space="preserve">whether these indicators are material to the FMPs’ investments417.</w:t>
      </w:r>
      <w:r>
        <w:br/>
      </w:r>
      <w:r>
        <w:t xml:space="preserve">To alleviate the data gap created with this difference in materiality approach, the</w:t>
      </w:r>
      <w:r>
        <w:t xml:space="preserve"> </w:t>
      </w:r>
      <w:r>
        <w:t xml:space="preserve">European Commission published in November 2024 an FAQ418 clarifying that where an</w:t>
      </w:r>
      <w:r>
        <w:t xml:space="preserve"> </w:t>
      </w:r>
      <w:r>
        <w:t xml:space="preserve">investee undertaking sets out that an indicator is non-material under CSRD reporting, a</w:t>
      </w:r>
      <w:r>
        <w:t xml:space="preserve"> </w:t>
      </w:r>
      <w:r>
        <w:t xml:space="preserve">fund manager can rely on this to determine that the investee undertaking is also not</w:t>
      </w:r>
      <w:r>
        <w:t xml:space="preserve"> </w:t>
      </w:r>
      <w:r>
        <w:t xml:space="preserve">contributing to the corresponding PAI under SFDR. However, the issues linked to</w:t>
      </w:r>
      <w:r>
        <w:t xml:space="preserve"> </w:t>
      </w:r>
      <w:r>
        <w:t xml:space="preserve">materiality continue to be flagged as an impediment for FMPs to access necessary data.</w:t>
      </w:r>
      <w:r>
        <w:br/>
      </w:r>
      <w:r>
        <w:t xml:space="preserve">Further, FMPs often rely on sustainability indices to measure the sustainability</w:t>
      </w:r>
      <w:r>
        <w:t xml:space="preserve"> </w:t>
      </w:r>
      <w:r>
        <w:t xml:space="preserve">performance of a specific portfolio. This is especially the case for ETFs and other index-</w:t>
      </w:r>
      <w:r>
        <w:t xml:space="preserve"> </w:t>
      </w:r>
      <w:r>
        <w:t xml:space="preserve">tracking products. The Benchmark Regulation introduced ESG disclosures for all</w:t>
      </w:r>
      <w:r>
        <w:t xml:space="preserve"> </w:t>
      </w:r>
      <w:r>
        <w:t xml:space="preserve">benchmarks with ESG factors, mandating administrators to disclose whether they</w:t>
      </w:r>
      <w:r>
        <w:t xml:space="preserve"> </w:t>
      </w:r>
      <w:r>
        <w:t xml:space="preserve">integrate ESG in their benchmark design, and if so how. The Benchmark Regulation also</w:t>
      </w:r>
    </w:p>
    <w:p>
      <w:pPr>
        <w:pStyle w:val="BodyText"/>
      </w:pPr>
      <w:r>
        <w:t xml:space="preserve">414 European Parliament, study requested by the ECON committee, The implementation of the</w:t>
      </w:r>
      <w:r>
        <w:t xml:space="preserve"> </w:t>
      </w:r>
      <w:r>
        <w:t xml:space="preserve">Sustainability-related Financial Disclosures, July 2024</w:t>
      </w:r>
      <w:r>
        <w:br/>
      </w:r>
      <w:r>
        <w:t xml:space="preserve">415 Filling in the Data Gaps: The Current State of Reporting on Principal Adverse Impacts Disclosures for</w:t>
      </w:r>
      <w:r>
        <w:t xml:space="preserve"> </w:t>
      </w:r>
      <w:r>
        <w:t xml:space="preserve">the SFDR</w:t>
      </w:r>
      <w:r>
        <w:t xml:space="preserve"> </w:t>
      </w:r>
      <w:r>
        <w:t xml:space="preserve">416 Platform for Sustainable, Briefing on EC targeted consultation regarding SFDR implementation,</w:t>
      </w:r>
      <w:r>
        <w:t xml:space="preserve"> </w:t>
      </w:r>
      <w:r>
        <w:t xml:space="preserve">December 2023</w:t>
      </w:r>
      <w:r>
        <w:t xml:space="preserve"> </w:t>
      </w:r>
      <w:r>
        <w:t xml:space="preserve">417 EFAMA responses to EC targeted consultation on the implementation of the SFDR, 20 December 2023</w:t>
      </w:r>
      <w:r>
        <w:t xml:space="preserve"> </w:t>
      </w:r>
      <w:r>
        <w:t xml:space="preserve">418Commission</w:t>
      </w:r>
      <w:r>
        <w:t xml:space="preserve"> </w:t>
      </w:r>
      <w:r>
        <w:t xml:space="preserve">Notice</w:t>
      </w:r>
      <w:r>
        <w:t xml:space="preserve"> </w:t>
      </w:r>
      <w:r>
        <w:t xml:space="preserve">(C/2024/6792)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content/EN/TXT/HTML/?uri=OJ:C_202406792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requires administrators of EU Climate Benchmarks to regularly report against a set of</w:t>
      </w:r>
      <w:r>
        <w:t xml:space="preserve"> </w:t>
      </w:r>
      <w:r>
        <w:t xml:space="preserve">ESG KPIs.</w:t>
      </w:r>
      <w:r>
        <w:br/>
      </w:r>
      <w:r>
        <w:t xml:space="preserve">However, the ESG information provided by benchmark administrators has not been</w:t>
      </w:r>
      <w:r>
        <w:t xml:space="preserve"> </w:t>
      </w:r>
      <w:r>
        <w:t xml:space="preserve">sufficient for FMPs to comply with the information required from financial products by</w:t>
      </w:r>
      <w:r>
        <w:t xml:space="preserve"> </w:t>
      </w:r>
      <w:r>
        <w:t xml:space="preserve">the SFDR, mainly due to a misalignment between the ESG KPIs required from</w:t>
      </w:r>
      <w:r>
        <w:t xml:space="preserve"> </w:t>
      </w:r>
      <w:r>
        <w:t xml:space="preserve">benchmark administrators under the BMR and the ones required from FMPs under the</w:t>
      </w:r>
      <w:r>
        <w:t xml:space="preserve"> </w:t>
      </w:r>
      <w:r>
        <w:t xml:space="preserve">SFDR. Only 9% of respondents (24 out of 260) totally or mostly agreed that the ESG</w:t>
      </w:r>
      <w:r>
        <w:t xml:space="preserve"> </w:t>
      </w:r>
      <w:r>
        <w:t xml:space="preserve">information provided by benchmark administrators aligns sufficiently with the</w:t>
      </w:r>
      <w:r>
        <w:t xml:space="preserve"> </w:t>
      </w:r>
      <w:r>
        <w:t xml:space="preserve">information required by the SFDR for products referencing these benchmarks, compared</w:t>
      </w:r>
      <w:r>
        <w:t xml:space="preserve"> </w:t>
      </w:r>
      <w:r>
        <w:t xml:space="preserve">to 33% who totally or mostly disagreed (87 out of 260)419.</w:t>
      </w:r>
      <w:r>
        <w:t xml:space="preserve"> </w:t>
      </w:r>
      <w:r>
        <w:t xml:space="preserve">EFAMA also argued that ‘benchmark administrators lack any regulatory incentive to</w:t>
      </w:r>
      <w:r>
        <w:t xml:space="preserve"> </w:t>
      </w:r>
      <w:r>
        <w:t xml:space="preserve">provide the data to support asset managers to meet their disclosure and product</w:t>
      </w:r>
      <w:r>
        <w:t xml:space="preserve"> </w:t>
      </w:r>
      <w:r>
        <w:t xml:space="preserve">governance requirements without the potential for significantly increased costs and</w:t>
      </w:r>
      <w:r>
        <w:t xml:space="preserve"> </w:t>
      </w:r>
      <w:r>
        <w:t xml:space="preserve">where managers have no direct agency over the consistency, validity or quality of such</w:t>
      </w:r>
      <w:r>
        <w:t xml:space="preserve"> </w:t>
      </w:r>
      <w:r>
        <w:t xml:space="preserve">data’420.</w:t>
      </w:r>
      <w:r>
        <w:br/>
      </w:r>
      <w:r>
        <w:t xml:space="preserve">This issue is particularly impactful on the universe of SFDR products, as reliance on</w:t>
      </w:r>
      <w:r>
        <w:t xml:space="preserve"> </w:t>
      </w:r>
      <w:r>
        <w:t xml:space="preserve">index providers is prevalent. For example, the Frank Bold’s study421 revealed that 26 of</w:t>
      </w:r>
      <w:r>
        <w:t xml:space="preserve"> </w:t>
      </w:r>
      <w:r>
        <w:t xml:space="preserve">the 43 analysed products are using indices for portfolio construction or performance</w:t>
      </w:r>
      <w:r>
        <w:t xml:space="preserve"> </w:t>
      </w:r>
      <w:r>
        <w:t xml:space="preserve">assessment (including 5 of the 6 products disclosures under Article 9). Notably, 22</w:t>
      </w:r>
      <w:r>
        <w:t xml:space="preserve"> </w:t>
      </w:r>
      <w:r>
        <w:t xml:space="preserve">products depend on a single provider, highlighting a monopolistic trend in the sector.</w:t>
      </w:r>
      <w:r>
        <w:br/>
      </w:r>
      <w:r>
        <w:t xml:space="preserve">Finally, the proposed omnibus422 on sustainability reporting foresees considerable</w:t>
      </w:r>
      <w:r>
        <w:t xml:space="preserve"> </w:t>
      </w:r>
      <w:r>
        <w:t xml:space="preserve">changes to the landscape of sustainable finance rules. The omnibus proposed to reduce</w:t>
      </w:r>
      <w:r>
        <w:t xml:space="preserve"> </w:t>
      </w:r>
      <w:r>
        <w:t xml:space="preserve">the scope of entities that will be reporting ESG information under the CSRD and the EU</w:t>
      </w:r>
      <w:r>
        <w:t xml:space="preserve"> </w:t>
      </w:r>
      <w:r>
        <w:t xml:space="preserve">Taxonomy. Depending also on the uptake of the future voluntary sustainability-related</w:t>
      </w:r>
      <w:r>
        <w:t xml:space="preserve"> </w:t>
      </w:r>
      <w:r>
        <w:t xml:space="preserve">information standard for those outside the CSRD scope, this is set to widen the existing</w:t>
      </w:r>
      <w:r>
        <w:t xml:space="preserve"> </w:t>
      </w:r>
      <w:r>
        <w:t xml:space="preserve">ESG data gaps as fewer entities will provide FMPs with the necessary data for their</w:t>
      </w:r>
      <w:r>
        <w:t xml:space="preserve"> </w:t>
      </w:r>
      <w:r>
        <w:t xml:space="preserve">reporting obligations under the SFDR.</w:t>
      </w:r>
      <w:r>
        <w:br/>
      </w:r>
      <w:r>
        <w:t xml:space="preserve"> The SFDR rules are seen as not catering sufficiently for certain ESG</w:t>
      </w:r>
      <w:r>
        <w:t xml:space="preserve"> </w:t>
      </w:r>
      <w:r>
        <w:t xml:space="preserve">strategies and assets and to be out of step with more recent guidance</w:t>
      </w:r>
      <w:r>
        <w:t xml:space="preserve"> </w:t>
      </w:r>
      <w:r>
        <w:t xml:space="preserve">The underlying concepts of the definition of sustainable investment also does not</w:t>
      </w:r>
      <w:r>
        <w:t xml:space="preserve"> </w:t>
      </w:r>
      <w:r>
        <w:t xml:space="preserve">adequately capture the concept of transition finance or cater for transition finance</w:t>
      </w:r>
      <w:r>
        <w:t xml:space="preserve"> </w:t>
      </w:r>
      <w:r>
        <w:t xml:space="preserve">strategies, hindering the possibility for financial products (especially the ones disclosing</w:t>
      </w:r>
      <w:r>
        <w:t xml:space="preserve"> </w:t>
      </w:r>
      <w:r>
        <w:t xml:space="preserve">under Article 9) to focus sufficiently in investing in transitional assets423 (e.g. </w:t>
      </w:r>
      <w:r>
        <w:t xml:space="preserve"> </w:t>
      </w:r>
      <w:r>
        <w:t xml:space="preserve">decarbonisation objective or social transition). This is in part due to the DNSH test which</w:t>
      </w:r>
    </w:p>
    <w:p>
      <w:pPr>
        <w:pStyle w:val="BodyText"/>
      </w:pPr>
      <w:r>
        <w:t xml:space="preserve">419 Platform for Sustainable, Briefing on EC targeted consultation regarding SFDR implementation,</w:t>
      </w:r>
      <w:r>
        <w:t xml:space="preserve"> </w:t>
      </w:r>
      <w:r>
        <w:t xml:space="preserve">December 2023</w:t>
      </w:r>
      <w:r>
        <w:t xml:space="preserve"> </w:t>
      </w:r>
      <w:r>
        <w:t xml:space="preserve">420 EFAMA responses to EC targeted consultation on the implementation of the SFDR, 20 December 2023</w:t>
      </w:r>
      <w:r>
        <w:t xml:space="preserve"> </w:t>
      </w:r>
      <w:r>
        <w:t xml:space="preserve">421 Frank Bold, SFDR review : analysis of current practices and future directions for investors, December</w:t>
      </w:r>
      <w:r>
        <w:t xml:space="preserve"> </w:t>
      </w:r>
      <w:r>
        <w:t xml:space="preserve">2024. This research seeks to provide insight into how influential FMPs have implemented the SFDR</w:t>
      </w:r>
      <w:r>
        <w:t xml:space="preserve"> </w:t>
      </w:r>
      <w:r>
        <w:t xml:space="preserve">requirements. It examines entity-level disclosures of 15 FMPs and product-level disclosures of three</w:t>
      </w:r>
      <w:r>
        <w:t xml:space="preserve"> </w:t>
      </w:r>
      <w:r>
        <w:t xml:space="preserve">investment funds per FMPs, totalling 43 investment products. List of investors: BlackRock, JP Morgan,</w:t>
      </w:r>
      <w:r>
        <w:t xml:space="preserve"> </w:t>
      </w:r>
      <w:r>
        <w:t xml:space="preserve">Credit Agricole/Amundi, Goldman Sachs, Allianz, UBS, Morgan Stanley, BNP Paribas, Deutsche</w:t>
      </w:r>
      <w:r>
        <w:t xml:space="preserve"> </w:t>
      </w:r>
      <w:r>
        <w:t xml:space="preserve">Bank/DWS, Natixis, AXA, Generali, Federated Hermes, Sumitomo</w:t>
      </w:r>
      <w:r>
        <w:t xml:space="preserve"> </w:t>
      </w:r>
      <w:r>
        <w:t xml:space="preserve">422 Commission proposes to cut red tape and simplify business environment - European Commission</w:t>
      </w:r>
      <w:r>
        <w:t xml:space="preserve"> </w:t>
      </w:r>
      <w:r>
        <w:t xml:space="preserve">423 78% - 231 out 298 – of respondents to the public consultations argued that the current SFDR rules do</w:t>
      </w:r>
      <w:r>
        <w:t xml:space="preserve"> </w:t>
      </w:r>
      <w:r>
        <w:t xml:space="preserve">not effectively capture investments in transition assets. European Commission, Summary Report of the</w:t>
      </w:r>
      <w:r>
        <w:t xml:space="preserve"> </w:t>
      </w:r>
      <w:r>
        <w:t xml:space="preserve">open and targeted consultations of the SFDR assessment, published May 2024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can be seen at odds with the strategy of transition finance as it does not allow for the</w:t>
      </w:r>
      <w:r>
        <w:t xml:space="preserve"> </w:t>
      </w:r>
      <w:r>
        <w:t xml:space="preserve">inclusion of assets that cannot be considered as sustainable at the time of the investment.</w:t>
      </w:r>
      <w:r>
        <w:t xml:space="preserve"> </w:t>
      </w:r>
      <w:r>
        <w:t xml:space="preserve">Some technical misalignments between the sustainable investment definition and the</w:t>
      </w:r>
      <w:r>
        <w:t xml:space="preserve"> </w:t>
      </w:r>
      <w:r>
        <w:t xml:space="preserve">underlying criteria of the EU Climate Transition Benchmark (defined under the</w:t>
      </w:r>
      <w:r>
        <w:t xml:space="preserve"> </w:t>
      </w:r>
      <w:r>
        <w:t xml:space="preserve">Benchmark Regulation) further hindered the possibility to conduct and disclose</w:t>
      </w:r>
      <w:r>
        <w:t xml:space="preserve"> </w:t>
      </w:r>
      <w:r>
        <w:t xml:space="preserve">transition-related investment strategies under the SFDR. The issue is linked more broadly</w:t>
      </w:r>
      <w:r>
        <w:t xml:space="preserve"> </w:t>
      </w:r>
      <w:r>
        <w:t xml:space="preserve">to the absence of a clear definition of “transition finance” in EU legislation424 and the</w:t>
      </w:r>
      <w:r>
        <w:t xml:space="preserve"> </w:t>
      </w:r>
      <w:r>
        <w:t xml:space="preserve">limited use of the EU Taxonomy for this purpose425.</w:t>
      </w:r>
      <w:r>
        <w:t xml:space="preserve"> </w:t>
      </w:r>
      <w:r>
        <w:t xml:space="preserve">Finally, the current SFDR rules coexist with the ESMA guidelines on funds’ names,</w:t>
      </w:r>
      <w:r>
        <w:t xml:space="preserve"> </w:t>
      </w:r>
      <w:r>
        <w:t xml:space="preserve">which aimed to partially (they only apply to investment funds) fill the perceived SFDR</w:t>
      </w:r>
      <w:r>
        <w:t xml:space="preserve"> </w:t>
      </w:r>
      <w:r>
        <w:t xml:space="preserve">regulatory gaps. These guidelines have recently introduced minimum criteria for funds</w:t>
      </w:r>
      <w:r>
        <w:t xml:space="preserve"> </w:t>
      </w:r>
      <w:r>
        <w:t xml:space="preserve">using ESG terms in their names (on top of SFDR disclosures that also apply to these</w:t>
      </w:r>
      <w:r>
        <w:t xml:space="preserve"> </w:t>
      </w:r>
      <w:r>
        <w:t xml:space="preserve">funds). The guidelines were largely an attempt to bring clarity for investors amid FMPs’</w:t>
      </w:r>
      <w:r>
        <w:t xml:space="preserve"> </w:t>
      </w:r>
      <w:r>
        <w:t xml:space="preserve">myriad sustainability-linked claims through the introduction of minimum criteria. They</w:t>
      </w:r>
      <w:r>
        <w:t xml:space="preserve"> </w:t>
      </w:r>
      <w:r>
        <w:t xml:space="preserve">constitute the latest regulatory guidance, after notably a prior reclassification of Article 9</w:t>
      </w:r>
      <w:r>
        <w:t xml:space="preserve"> </w:t>
      </w:r>
      <w:r>
        <w:t xml:space="preserve">funds in Q4 2022, having resulted in some relabelling and renaming of EU sustainable</w:t>
      </w:r>
      <w:r>
        <w:t xml:space="preserve"> </w:t>
      </w:r>
      <w:r>
        <w:t xml:space="preserve">finance funds.</w:t>
      </w:r>
      <w:r>
        <w:br/>
      </w:r>
      <w:r>
        <w:t xml:space="preserve">They became applicable in November 2024 for new funds. For funds existing before this</w:t>
      </w:r>
      <w:r>
        <w:t xml:space="preserve"> </w:t>
      </w:r>
      <w:r>
        <w:t xml:space="preserve">date, there is a transition period extending until 21 May 2025. Funds using terms related</w:t>
      </w:r>
      <w:r>
        <w:t xml:space="preserve"> </w:t>
      </w:r>
      <w:r>
        <w:t xml:space="preserve">to ‘environmental’, ‘impact’ (additional impact disclosures) and ‘sustainable’ must apply</w:t>
      </w:r>
      <w:r>
        <w:t xml:space="preserve"> </w:t>
      </w:r>
      <w:r>
        <w:t xml:space="preserve">the exclusions in the EU Paris-aligned benchmark (PAB) implementing rules (among</w:t>
      </w:r>
      <w:r>
        <w:t xml:space="preserve"> </w:t>
      </w:r>
      <w:r>
        <w:t xml:space="preserve">other things), and funds using terms related to ‘transition’ (additional transition</w:t>
      </w:r>
      <w:r>
        <w:t xml:space="preserve"> </w:t>
      </w:r>
      <w:r>
        <w:t xml:space="preserve">disclosures) ‘social’ or ‘governance’ must apply the exclusions in the implementing rules</w:t>
      </w:r>
      <w:r>
        <w:t xml:space="preserve"> </w:t>
      </w:r>
      <w:r>
        <w:t xml:space="preserve">for Climate transition benchmarks (CTB). For CTB, these exclusions concern companies</w:t>
      </w:r>
      <w:r>
        <w:t xml:space="preserve"> </w:t>
      </w:r>
      <w:r>
        <w:t xml:space="preserve">involved in controversial weapons, tobacco, or in violation of defined social safeguards,</w:t>
      </w:r>
      <w:r>
        <w:t xml:space="preserve"> </w:t>
      </w:r>
      <w:r>
        <w:t xml:space="preserve">while for PAB they also include those involved in fossil fuels above certain thresholds.</w:t>
      </w:r>
      <w:r>
        <w:t xml:space="preserve"> </w:t>
      </w:r>
      <w:r>
        <w:t xml:space="preserve">Funds should also allocate at least 80% of investments to meeting the targeted ESG</w:t>
      </w:r>
      <w:r>
        <w:t xml:space="preserve"> </w:t>
      </w:r>
      <w:r>
        <w:t xml:space="preserve">objectives.</w:t>
      </w:r>
      <w:r>
        <w:t xml:space="preserve"> </w:t>
      </w:r>
      <w:r>
        <w:t xml:space="preserve">3.2.</w:t>
      </w:r>
      <w:r>
        <w:t xml:space="preserve"> </w:t>
      </w:r>
      <w:r>
        <w:t xml:space="preserve">How relevant is the SFDR?</w:t>
      </w:r>
      <w:r>
        <w:t xml:space="preserve"> </w:t>
      </w:r>
      <w:r>
        <w:t xml:space="preserve">Is the SFDR still relevant? (in terms of evolving objectives and needs)? How relevant is</w:t>
      </w:r>
      <w:r>
        <w:t xml:space="preserve"> </w:t>
      </w:r>
      <w:r>
        <w:t xml:space="preserve">it in light of market developments and given political priorities?</w:t>
      </w:r>
      <w:r>
        <w:t xml:space="preserve"> </w:t>
      </w:r>
      <w:r>
        <w:t xml:space="preserve">The overwhelming majority (89%) of consultation-respondents consider that the</w:t>
      </w:r>
      <w:r>
        <w:t xml:space="preserve"> </w:t>
      </w:r>
      <w:r>
        <w:t xml:space="preserve">objective to strengthen transparency through sustainability-related disclosures in</w:t>
      </w:r>
      <w:r>
        <w:t xml:space="preserve"> </w:t>
      </w:r>
      <w:r>
        <w:t xml:space="preserve">the financial services sector is still fully relevant with over 90% considering that a</w:t>
      </w:r>
      <w:r>
        <w:t xml:space="preserve"> </w:t>
      </w:r>
      <w:r>
        <w:t xml:space="preserve">disclosure framework at EU level is more effective and efficient than measures at</w:t>
      </w:r>
      <w:r>
        <w:t xml:space="preserve"> </w:t>
      </w:r>
      <w:r>
        <w:t xml:space="preserve">Member State level. While the consultation predates some of the latest policy</w:t>
      </w:r>
      <w:r>
        <w:t xml:space="preserve"> </w:t>
      </w:r>
      <w:r>
        <w:t xml:space="preserve">realignments and geopolitical shifts, as well as the implementation of the ESMA</w:t>
      </w:r>
    </w:p>
    <w:p>
      <w:pPr>
        <w:pStyle w:val="BodyText"/>
      </w:pPr>
      <w:r>
        <w:t xml:space="preserve">424 The Recommendation on facilitating finance for the transition to a sustainable economy of June 2023</w:t>
      </w:r>
      <w:r>
        <w:t xml:space="preserve"> </w:t>
      </w:r>
      <w:r>
        <w:t xml:space="preserve">provides four, non-exhaustive, examples of how market participants can use the existing tools under the</w:t>
      </w:r>
      <w:r>
        <w:t xml:space="preserve"> </w:t>
      </w:r>
      <w:r>
        <w:t xml:space="preserve">EU acquis to identify transition investment opportunities.</w:t>
      </w:r>
      <w:r>
        <w:t xml:space="preserve"> </w:t>
      </w:r>
      <w:r>
        <w:t xml:space="preserve">425 The Commission has clarified in the Delegated Regulation part of the Omnibus Package that based on</w:t>
      </w:r>
      <w:r>
        <w:t xml:space="preserve"> </w:t>
      </w:r>
      <w:r>
        <w:t xml:space="preserve">Article 8 of Regulation (EU) 2020/852, companies can be allowed to report on their activities which fulfil</w:t>
      </w:r>
      <w:r>
        <w:t xml:space="preserve"> </w:t>
      </w:r>
      <w:r>
        <w:t xml:space="preserve">only certain requirements of Article 3 of the Taxonomy Regulation. Such reporting on partial alignment</w:t>
      </w:r>
      <w:r>
        <w:t xml:space="preserve"> </w:t>
      </w:r>
      <w:r>
        <w:t xml:space="preserve">would provide more flexibility and foster a gradual environmental transition of activities over time, in line</w:t>
      </w:r>
      <w:r>
        <w:t xml:space="preserve"> </w:t>
      </w:r>
      <w:r>
        <w:t xml:space="preserve">with the aim to scale up transition finance. The information on partial alignment of economic activities</w:t>
      </w:r>
      <w:r>
        <w:t xml:space="preserve"> </w:t>
      </w:r>
      <w:r>
        <w:t xml:space="preserve">with the EU Taxonomy may be a useful indication to investors, financial markets or policymakers and</w:t>
      </w:r>
      <w:r>
        <w:t xml:space="preserve"> </w:t>
      </w:r>
      <w:r>
        <w:t xml:space="preserve">other third parties about the current environmental performance of the activities concerned.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guidelines for fund names, broad support for a common regime in this area continues to</w:t>
      </w:r>
      <w:r>
        <w:t xml:space="preserve"> </w:t>
      </w:r>
      <w:r>
        <w:t xml:space="preserve">be demonstrated in all recent stakeholder engagement and outreach, outlined in Annex 1.</w:t>
      </w:r>
      <w:r>
        <w:t xml:space="preserve"> </w:t>
      </w:r>
      <w:r>
        <w:t xml:space="preserve">The feedback signals support for both the broad objectives of the SFDR in contributing</w:t>
      </w:r>
      <w:r>
        <w:t xml:space="preserve"> </w:t>
      </w:r>
      <w:r>
        <w:t xml:space="preserve">toward the greater consideration of sustainability in investment practices, and to this end,</w:t>
      </w:r>
      <w:r>
        <w:t xml:space="preserve"> </w:t>
      </w:r>
      <w:r>
        <w:t xml:space="preserve">the added value of a common sustainability disclosure framework at EU level.</w:t>
      </w:r>
      <w:r>
        <w:br/>
      </w:r>
      <w:r>
        <w:t xml:space="preserve">The Commission President’s mission letter for Commissioner Albuquerque thus asks to</w:t>
      </w:r>
      <w:r>
        <w:t xml:space="preserve"> </w:t>
      </w:r>
      <w:r>
        <w:t xml:space="preserve">facilitate implementation of the sustainable finance framework, to scale up its</w:t>
      </w:r>
      <w:r>
        <w:t xml:space="preserve"> </w:t>
      </w:r>
      <w:r>
        <w:t xml:space="preserve">impact and to ‘promote the development and transparent categorisation of financial</w:t>
      </w:r>
      <w:r>
        <w:t xml:space="preserve"> </w:t>
      </w:r>
      <w:r>
        <w:t xml:space="preserve">products and services with sustainability features’426. The revision of the SFDR has</w:t>
      </w:r>
      <w:r>
        <w:t xml:space="preserve"> </w:t>
      </w:r>
      <w:r>
        <w:t xml:space="preserve">been planned in the Commission work programme for Q4 2025, to ensure an appropriate</w:t>
      </w:r>
      <w:r>
        <w:t xml:space="preserve"> </w:t>
      </w:r>
      <w:r>
        <w:t xml:space="preserve">simplification of the rules, commensurate with the objectives of the Commission’s</w:t>
      </w:r>
      <w:r>
        <w:t xml:space="preserve"> </w:t>
      </w:r>
      <w:r>
        <w:t xml:space="preserve">proposals to simplify sustainability reporting for companies.</w:t>
      </w:r>
      <w:r>
        <w:t xml:space="preserve"> </w:t>
      </w:r>
      <w:r>
        <w:t xml:space="preserve">After some initial pushback to the ESMA fund name guidelines427, anecdotal stakeholder</w:t>
      </w:r>
      <w:r>
        <w:t xml:space="preserve"> </w:t>
      </w:r>
      <w:r>
        <w:t xml:space="preserve">feedback increasingly suggests that there is growing acceptance among FMPs for the</w:t>
      </w:r>
      <w:r>
        <w:t xml:space="preserve"> </w:t>
      </w:r>
      <w:r>
        <w:t xml:space="preserve">changes which they have introduced. Nonetheless, the guidelines do not apply to all</w:t>
      </w:r>
      <w:r>
        <w:t xml:space="preserve"> </w:t>
      </w:r>
      <w:r>
        <w:t xml:space="preserve">products under the scope of the SFDR, do not constitute strict legal requirements428, and</w:t>
      </w:r>
      <w:r>
        <w:t xml:space="preserve"> </w:t>
      </w:r>
      <w:r>
        <w:t xml:space="preserve">govern only the use of ESG terms in fund names and leave SFDR-related requirements</w:t>
      </w:r>
      <w:r>
        <w:t xml:space="preserve"> </w:t>
      </w:r>
      <w:r>
        <w:t xml:space="preserve">and disclosures intact.</w:t>
      </w:r>
      <w:r>
        <w:br/>
      </w:r>
      <w:r>
        <w:t xml:space="preserve">Without effective EU-level action to remedy the shortcomings noted above, the</w:t>
      </w:r>
      <w:r>
        <w:t xml:space="preserve"> </w:t>
      </w:r>
      <w:r>
        <w:t xml:space="preserve">challenges explained earlier would persist, and the necessary simplification to boost the</w:t>
      </w:r>
      <w:r>
        <w:t xml:space="preserve"> </w:t>
      </w:r>
      <w:r>
        <w:t xml:space="preserve">effectiveness and efficiency of the single market for sustainable finance products would</w:t>
      </w:r>
      <w:r>
        <w:t xml:space="preserve"> </w:t>
      </w:r>
      <w:r>
        <w:t xml:space="preserve">not be ensured. Conversely, a repeal of the SFDR would mean depriving financial market</w:t>
      </w:r>
      <w:r>
        <w:t xml:space="preserve"> </w:t>
      </w:r>
      <w:r>
        <w:t xml:space="preserve">participants, distributors and investors of a common framework for sustainability-linked</w:t>
      </w:r>
      <w:r>
        <w:t xml:space="preserve"> </w:t>
      </w:r>
      <w:r>
        <w:t xml:space="preserve">claims involving financial products, meaning the policy field would become unregulated</w:t>
      </w:r>
      <w:r>
        <w:t xml:space="preserve"> </w:t>
      </w:r>
      <w:r>
        <w:t xml:space="preserve">again, contrary to the expressed preference of the large majority of stakeholders.</w:t>
      </w:r>
      <w:r>
        <w:br/>
      </w:r>
      <w:r>
        <w:t xml:space="preserve">Finally, in terms of coherence of the overall sustainable finance framework, without</w:t>
      </w:r>
      <w:r>
        <w:t xml:space="preserve"> </w:t>
      </w:r>
      <w:r>
        <w:t xml:space="preserve">commensurate changes in other linked parts of the framework, repealing the SFDR</w:t>
      </w:r>
      <w:r>
        <w:t xml:space="preserve"> </w:t>
      </w:r>
      <w:r>
        <w:t xml:space="preserve">would render some provisions in these other areas meaningless (e.g. links to SFDR-</w:t>
      </w:r>
      <w:r>
        <w:t xml:space="preserve"> </w:t>
      </w:r>
      <w:r>
        <w:t xml:space="preserve">specific terms in sustainability preferences under MiFID/IDD). Without a defined use-</w:t>
      </w:r>
      <w:r>
        <w:t xml:space="preserve"> </w:t>
      </w:r>
      <w:r>
        <w:t xml:space="preserve">case for financial products, the purpose of other parts of the sustainable finance</w:t>
      </w:r>
      <w:r>
        <w:t xml:space="preserve"> </w:t>
      </w:r>
      <w:r>
        <w:t xml:space="preserve">framework, e.g. sustainability information required under CSRD and Taxonomy, would</w:t>
      </w:r>
      <w:r>
        <w:t xml:space="preserve"> </w:t>
      </w:r>
      <w:r>
        <w:t xml:space="preserve">also be partially undermined. The Omnibus proposals also opted not to repeal the CSRD</w:t>
      </w:r>
      <w:r>
        <w:t xml:space="preserve"> </w:t>
      </w:r>
      <w:r>
        <w:t xml:space="preserve">and Taxonomy, rather to pare back specific requirements.</w:t>
      </w:r>
    </w:p>
    <w:p>
      <w:pPr>
        <w:pStyle w:val="BodyText"/>
      </w:pPr>
      <w:r>
        <w:t xml:space="preserve">426 ac06a896-2645-4857-9958-467d2ce6f221_en</w:t>
      </w:r>
      <w:r>
        <w:t xml:space="preserve"> </w:t>
      </w:r>
      <w:r>
        <w:t xml:space="preserve">427 For example, around half of respondents to ESMA’s consultation on the fund name guidelines were</w:t>
      </w:r>
      <w:r>
        <w:t xml:space="preserve"> </w:t>
      </w:r>
      <w:r>
        <w:t xml:space="preserve">opposed to including quantitative thresholds and exclusions linked to fund names.</w:t>
      </w:r>
      <w:r>
        <w:t xml:space="preserve"> </w:t>
      </w:r>
      <w:r>
        <w:t xml:space="preserve">428 Financial market participants are required to “make every effort to comply” with the guidelines as per</w:t>
      </w:r>
      <w:r>
        <w:t xml:space="preserve"> </w:t>
      </w:r>
      <w:r>
        <w:t xml:space="preserve">Article 16(3) of Regulation (EU) No 1095/2010 establishing ESMA. One Member State (CZ) has also</w:t>
      </w:r>
      <w:r>
        <w:t xml:space="preserve"> </w:t>
      </w:r>
      <w:r>
        <w:t xml:space="preserve">signalled that they will not apply the guidelines.</w:t>
      </w:r>
    </w:p>
    <w:p>
      <w:pPr>
        <w:pStyle w:val="BodyText"/>
      </w:pPr>
      <w:r>
        <w:t xml:space="preserve">187</w:t>
      </w:r>
    </w:p>
    <w:p>
      <w:pPr>
        <w:pStyle w:val="BodyText"/>
      </w:pPr>
      <w:r>
        <w:t xml:space="preserve">3.3.</w:t>
      </w:r>
      <w:r>
        <w:t xml:space="preserve"> </w:t>
      </w:r>
      <w:r>
        <w:t xml:space="preserve">What is the EU added value of the SFDR?</w:t>
      </w:r>
      <w:r>
        <w:t xml:space="preserve"> </w:t>
      </w:r>
      <w:r>
        <w:t xml:space="preserve">Has the SFDR been justified, and does it continue to be justified? What has been the</w:t>
      </w:r>
      <w:r>
        <w:t xml:space="preserve"> </w:t>
      </w:r>
      <w:r>
        <w:t xml:space="preserve">value-added compared to national rules?</w:t>
      </w:r>
      <w:r>
        <w:t xml:space="preserve"> </w:t>
      </w:r>
      <w:r>
        <w:t xml:space="preserve">Notwithstanding the shortcomings enumerated in section 3.1, the continued relevance of</w:t>
      </w:r>
      <w:r>
        <w:t xml:space="preserve"> </w:t>
      </w:r>
      <w:r>
        <w:t xml:space="preserve">the principles and objectives of the SFDR are not in question, as assessed in section 3.2.</w:t>
      </w:r>
      <w:r>
        <w:t xml:space="preserve"> </w:t>
      </w:r>
      <w:r>
        <w:t xml:space="preserve">However, there is a need to address the detailed shortcomings, which can only be done at</w:t>
      </w:r>
      <w:r>
        <w:t xml:space="preserve"> </w:t>
      </w:r>
      <w:r>
        <w:t xml:space="preserve">EU level. While Member State level action could partially address some of the</w:t>
      </w:r>
      <w:r>
        <w:t xml:space="preserve"> </w:t>
      </w:r>
      <w:r>
        <w:t xml:space="preserve">shortcomings (e.g. through national sustainable investment labels), the likely result</w:t>
      </w:r>
      <w:r>
        <w:t xml:space="preserve"> </w:t>
      </w:r>
      <w:r>
        <w:t xml:space="preserve">would be further fragmentation of the single market, in a way which would not deliver a</w:t>
      </w:r>
      <w:r>
        <w:t xml:space="preserve"> </w:t>
      </w:r>
      <w:r>
        <w:t xml:space="preserve">comprehensive, simplified, effective and efficient outcome for EU markets and investors,</w:t>
      </w:r>
      <w:r>
        <w:t xml:space="preserve"> </w:t>
      </w:r>
      <w:r>
        <w:t xml:space="preserve">in line with the objectives of the regulation.</w:t>
      </w:r>
      <w:r>
        <w:br/>
      </w:r>
      <w:r>
        <w:t xml:space="preserve">Conversely, remedying the shortcomings at EU level would ensure that they are</w:t>
      </w:r>
      <w:r>
        <w:t xml:space="preserve"> </w:t>
      </w:r>
      <w:r>
        <w:t xml:space="preserve">addressed in a harmonised, effective, efficient and coherent manner across the single</w:t>
      </w:r>
      <w:r>
        <w:t xml:space="preserve"> </w:t>
      </w:r>
      <w:r>
        <w:t xml:space="preserve">market, and in support of the broader strategic objectives of the Union, including</w:t>
      </w:r>
      <w:r>
        <w:t xml:space="preserve"> </w:t>
      </w:r>
      <w:r>
        <w:t xml:space="preserve">consistency with the climate-neutrality objective of the climate law429. Requirements and</w:t>
      </w:r>
      <w:r>
        <w:t xml:space="preserve"> </w:t>
      </w:r>
      <w:r>
        <w:t xml:space="preserve">disclosures could be simplified across the board, both for the benefit of FMPs and</w:t>
      </w:r>
      <w:r>
        <w:t xml:space="preserve"> </w:t>
      </w:r>
      <w:r>
        <w:t xml:space="preserve">investors, in a harmonised way throughout the Union. Common solutions to</w:t>
      </w:r>
      <w:r>
        <w:t xml:space="preserve"> </w:t>
      </w:r>
      <w:r>
        <w:t xml:space="preserve">transparency-related challenges regarding access to ESG datapoints could be designed in</w:t>
      </w:r>
      <w:r>
        <w:t xml:space="preserve"> </w:t>
      </w:r>
      <w:r>
        <w:t xml:space="preserve">a way which facilitates the business of financial market participants in an even way</w:t>
      </w:r>
      <w:r>
        <w:t xml:space="preserve"> </w:t>
      </w:r>
      <w:r>
        <w:t xml:space="preserve">across the EU and protects investors, and tackles information asymmetries, equally</w:t>
      </w:r>
      <w:r>
        <w:t xml:space="preserve"> </w:t>
      </w:r>
      <w:r>
        <w:t xml:space="preserve">regardless of which Member State they are located in. This could in turn better serve the</w:t>
      </w:r>
      <w:r>
        <w:t xml:space="preserve"> </w:t>
      </w:r>
      <w:r>
        <w:t xml:space="preserve">objective of mobilising funds toward the competitive opportunities in the green transition</w:t>
      </w:r>
      <w:r>
        <w:t xml:space="preserve"> </w:t>
      </w:r>
      <w:r>
        <w:t xml:space="preserve">and other evolving strategic priorities in line with Union objectives, including</w:t>
      </w:r>
      <w:r>
        <w:t xml:space="preserve"> </w:t>
      </w:r>
      <w:r>
        <w:t xml:space="preserve">contributing to empowering the greater participation of investors in EU capital markets,</w:t>
      </w:r>
      <w:r>
        <w:t xml:space="preserve"> </w:t>
      </w:r>
      <w:r>
        <w:t xml:space="preserve">in line with the objectives of the Savings and Investments Union430.</w:t>
      </w:r>
      <w:r>
        <w:t xml:space="preserve"> </w:t>
      </w:r>
      <w:r>
        <w:t xml:space="preserve">4.</w:t>
      </w:r>
      <w:r>
        <w:t xml:space="preserve"> </w:t>
      </w:r>
      <w:r>
        <w:t xml:space="preserve">Conclusions and lessons learned</w:t>
      </w:r>
      <w:r>
        <w:t xml:space="preserve"> </w:t>
      </w:r>
      <w:r>
        <w:t xml:space="preserve">The conclusion drawn from the above is that, despite some success in setting up a</w:t>
      </w:r>
      <w:r>
        <w:t xml:space="preserve"> </w:t>
      </w:r>
      <w:r>
        <w:t xml:space="preserve">common framework for sustainability-related disclosures for investments, the SFDR falls</w:t>
      </w:r>
      <w:r>
        <w:t xml:space="preserve"> </w:t>
      </w:r>
      <w:r>
        <w:t xml:space="preserve">short of realising its full potential in terms of effectiveness and efficiency in achieving</w:t>
      </w:r>
      <w:r>
        <w:t xml:space="preserve"> </w:t>
      </w:r>
      <w:r>
        <w:t xml:space="preserve">the objectives set, and in terms of coherence with the rest of the sustainable finance</w:t>
      </w:r>
      <w:r>
        <w:t xml:space="preserve"> </w:t>
      </w:r>
      <w:r>
        <w:t xml:space="preserve">framework. The anticipated benefits in terms of levelling information asymmetries,</w:t>
      </w:r>
      <w:r>
        <w:t xml:space="preserve"> </w:t>
      </w:r>
      <w:r>
        <w:t xml:space="preserve">tackling greenwashing and helping to boost investment toward more sustainable</w:t>
      </w:r>
      <w:r>
        <w:t xml:space="preserve"> </w:t>
      </w:r>
      <w:r>
        <w:t xml:space="preserve">economic practices have not been fully met, given undue complexity, uncertainty and</w:t>
      </w:r>
      <w:r>
        <w:t xml:space="preserve"> </w:t>
      </w:r>
      <w:r>
        <w:t xml:space="preserve">excessive costs.</w:t>
      </w:r>
      <w:r>
        <w:br/>
      </w:r>
      <w:r>
        <w:t xml:space="preserve">The underlying reasons why this has turned out to be the case, for a framework which has</w:t>
      </w:r>
      <w:r>
        <w:t xml:space="preserve"> </w:t>
      </w:r>
      <w:r>
        <w:t xml:space="preserve">only applied in full for a few years, can be summarised as follows. First, the SFDR began</w:t>
      </w:r>
      <w:r>
        <w:t xml:space="preserve"> </w:t>
      </w:r>
      <w:r>
        <w:t xml:space="preserve">to apply in March 2021, before its detailed Level 2 implementing rules which specified</w:t>
      </w:r>
      <w:r>
        <w:t xml:space="preserve"> </w:t>
      </w:r>
      <w:r>
        <w:t xml:space="preserve">its novel concepts were finalised and began to apply in 2023. Thus, financial market</w:t>
      </w:r>
      <w:r>
        <w:t xml:space="preserve"> </w:t>
      </w:r>
      <w:r>
        <w:t xml:space="preserve">participants had to apply the new regime under considerable initial uncertainty in the first</w:t>
      </w:r>
      <w:r>
        <w:t xml:space="preserve"> </w:t>
      </w:r>
      <w:r>
        <w:t xml:space="preserve">phase and make adjustments once the Level 2 rules entered into force431. Challenges</w:t>
      </w:r>
    </w:p>
    <w:p>
      <w:pPr>
        <w:pStyle w:val="BodyText"/>
      </w:pPr>
      <w:r>
        <w:t xml:space="preserve">429 Regulation (EU) 2021/1119 of 30 June 2021 establishing the framework for achieving climate neutrality</w:t>
      </w:r>
      <w:r>
        <w:br/>
      </w:r>
      <w:r>
        <w:t xml:space="preserve">(European Climate Law)</w:t>
      </w:r>
      <w:r>
        <w:t xml:space="preserve"> </w:t>
      </w:r>
      <w:r>
        <w:t xml:space="preserve">430 Savings and Investments Union</w:t>
      </w:r>
      <w:r>
        <w:t xml:space="preserve"> </w:t>
      </w:r>
      <w:r>
        <w:t xml:space="preserve">431 However, different parts of the rules, such as those with regard to the integration of sustainability risks</w:t>
      </w:r>
      <w:r>
        <w:t xml:space="preserve"> </w:t>
      </w:r>
      <w:r>
        <w:t xml:space="preserve">in the investment decision‐ making process, hinged less on further details in the regulatory technical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linked to the unclarity and complexity of several concepts and requirements emerged</w:t>
      </w:r>
      <w:r>
        <w:t xml:space="preserve"> </w:t>
      </w:r>
      <w:r>
        <w:t xml:space="preserve">from the outset432, together with some misalignments with the rest of the sustainable</w:t>
      </w:r>
      <w:r>
        <w:t xml:space="preserve"> </w:t>
      </w:r>
      <w:r>
        <w:t xml:space="preserve">finance framework.</w:t>
      </w:r>
      <w:r>
        <w:br/>
      </w:r>
      <w:r>
        <w:t xml:space="preserve">Second, the lack of clarity and complexity of the concepts and requirements has</w:t>
      </w:r>
      <w:r>
        <w:t xml:space="preserve"> </w:t>
      </w:r>
      <w:r>
        <w:t xml:space="preserve">necessitated successive additional pieces of guidance, provided by the Commission and</w:t>
      </w:r>
      <w:r>
        <w:t xml:space="preserve"> </w:t>
      </w:r>
      <w:r>
        <w:t xml:space="preserve">European Supervisory Authorities (ESAs), in response to numerous interpretation and</w:t>
      </w:r>
      <w:r>
        <w:t xml:space="preserve"> </w:t>
      </w:r>
      <w:r>
        <w:t xml:space="preserve">implementation questions raised by market actors. These have not always been sufficient</w:t>
      </w:r>
      <w:r>
        <w:t xml:space="preserve"> </w:t>
      </w:r>
      <w:r>
        <w:t xml:space="preserve">to help overcome the underlying complexity and to facilitate implementation for FMPs,</w:t>
      </w:r>
      <w:r>
        <w:t xml:space="preserve"> </w:t>
      </w:r>
      <w:r>
        <w:t xml:space="preserve">and have entailed further adjustments in the composition, naming and disclosures of</w:t>
      </w:r>
      <w:r>
        <w:t xml:space="preserve"> </w:t>
      </w:r>
      <w:r>
        <w:t xml:space="preserve">various financial products, adding to the perceived implementation burden.</w:t>
      </w:r>
      <w:r>
        <w:br/>
      </w:r>
      <w:r>
        <w:t xml:space="preserve">Third, data gaps also became apparent in terms of the requirements of the SFDR on the</w:t>
      </w:r>
      <w:r>
        <w:t xml:space="preserve"> </w:t>
      </w:r>
      <w:r>
        <w:t xml:space="preserve">one hand, and scarce available market data on the other. Given that the SFDR entered</w:t>
      </w:r>
      <w:r>
        <w:t xml:space="preserve"> </w:t>
      </w:r>
      <w:r>
        <w:t xml:space="preserve">into application before other key pieces of the EU sustainable finance framework, namely</w:t>
      </w:r>
      <w:r>
        <w:t xml:space="preserve"> </w:t>
      </w:r>
      <w:r>
        <w:t xml:space="preserve">detailed sustainability disclosures from companies under the Corporate Sustainability</w:t>
      </w:r>
      <w:r>
        <w:t xml:space="preserve"> </w:t>
      </w:r>
      <w:r>
        <w:t xml:space="preserve">Reporting Directive/European Sustainability Reporting Standards and the EU Taxonomy,</w:t>
      </w:r>
      <w:r>
        <w:t xml:space="preserve"> </w:t>
      </w:r>
      <w:r>
        <w:t xml:space="preserve">which were intended to increasingly inform product disclosures under the SFDR, a data</w:t>
      </w:r>
      <w:r>
        <w:t xml:space="preserve"> </w:t>
      </w:r>
      <w:r>
        <w:t xml:space="preserve">challenge for products to be able to demonstrate their sustainability credentials was</w:t>
      </w:r>
      <w:r>
        <w:t xml:space="preserve"> </w:t>
      </w:r>
      <w:r>
        <w:t xml:space="preserve">present from the beginning433. That said, comprehensive, reliable and comparable</w:t>
      </w:r>
      <w:r>
        <w:t xml:space="preserve"> </w:t>
      </w:r>
      <w:r>
        <w:t xml:space="preserve">sustainability information from investees was never going to be delivered fully (and</w:t>
      </w:r>
      <w:r>
        <w:t xml:space="preserve"> </w:t>
      </w:r>
      <w:r>
        <w:t xml:space="preserve">cheaply) through these disclosures alone, even before the changes under the Omnibus</w:t>
      </w:r>
      <w:r>
        <w:t xml:space="preserve"> </w:t>
      </w:r>
      <w:r>
        <w:t xml:space="preserve">proposals. For one, a large part of the investments by financial products is made in</w:t>
      </w:r>
      <w:r>
        <w:t xml:space="preserve"> </w:t>
      </w:r>
      <w:r>
        <w:t xml:space="preserve">companies not subject to these rules (e.g. non-EU companies or other assets outside the</w:t>
      </w:r>
      <w:r>
        <w:t xml:space="preserve"> </w:t>
      </w:r>
      <w:r>
        <w:t xml:space="preserve">scope of the EU rules).</w:t>
      </w:r>
      <w:r>
        <w:br/>
      </w:r>
      <w:r>
        <w:t xml:space="preserve">Finally, throughout the early implementation phase, it became evident that most of the</w:t>
      </w:r>
      <w:r>
        <w:t xml:space="preserve"> </w:t>
      </w:r>
      <w:r>
        <w:t xml:space="preserve">concepts for the new disclosures for investors, in particular retail investors, were not</w:t>
      </w:r>
      <w:r>
        <w:t xml:space="preserve"> </w:t>
      </w:r>
      <w:r>
        <w:t xml:space="preserve">easily understandable or readily usable by them. Thus Article 8 and 9 became used as a</w:t>
      </w:r>
      <w:r>
        <w:t xml:space="preserve"> </w:t>
      </w:r>
      <w:r>
        <w:t xml:space="preserve">way to convey a high-level message of products’ key features, but without the technical</w:t>
      </w:r>
      <w:r>
        <w:t xml:space="preserve"> </w:t>
      </w:r>
      <w:r>
        <w:t xml:space="preserve">elements designed for this purpose. Considerable evidence also emerged from the</w:t>
      </w:r>
      <w:r>
        <w:t xml:space="preserve"> </w:t>
      </w:r>
      <w:r>
        <w:t xml:space="preserve">consultations that the vast majority of end-investors would be better served by shorter</w:t>
      </w:r>
      <w:r>
        <w:t xml:space="preserve"> </w:t>
      </w:r>
      <w:r>
        <w:t xml:space="preserve">and more focused information than the lengthy SFDR disclosures.</w:t>
      </w:r>
      <w:r>
        <w:t xml:space="preserve"> </w:t>
      </w:r>
      <w:r>
        <w:t xml:space="preserve">Consequently, the following problem drivers are key starting points for the SFDR</w:t>
      </w:r>
      <w:r>
        <w:t xml:space="preserve"> </w:t>
      </w:r>
      <w:r>
        <w:t xml:space="preserve">review to tackle:</w:t>
      </w:r>
      <w:r>
        <w:br/>
      </w:r>
      <w:r>
        <w:t xml:space="preserve">1. Sustainability-related concepts and disclosure requirements which are</w:t>
      </w:r>
      <w:r>
        <w:t xml:space="preserve"> </w:t>
      </w:r>
      <w:r>
        <w:t xml:space="preserve">unclear, complex, and difficult to implement, and which necessitate</w:t>
      </w:r>
      <w:r>
        <w:t xml:space="preserve"> </w:t>
      </w:r>
      <w:r>
        <w:t xml:space="preserve">disclosures which are lengthy and difficult to compare for investors.</w:t>
      </w:r>
      <w:r>
        <w:br/>
      </w:r>
      <w:r>
        <w:t xml:space="preserve">2. Misalignment and duplication between specific concepts and requirements in</w:t>
      </w:r>
      <w:r>
        <w:t xml:space="preserve"> </w:t>
      </w:r>
      <w:r>
        <w:t xml:space="preserve">the SFDR and other EU sustainable finance legislation.</w:t>
      </w:r>
    </w:p>
    <w:p>
      <w:pPr>
        <w:pStyle w:val="BodyText"/>
      </w:pPr>
      <w:r>
        <w:t xml:space="preserve">standards, while for others such as financial products that qualify under Articles 8 and 9 of the Regulation,</w:t>
      </w:r>
      <w:r>
        <w:t xml:space="preserve"> </w:t>
      </w:r>
      <w:r>
        <w:t xml:space="preserve">the transparency required from financial products on how levels of sustainability are achieved applied</w:t>
      </w:r>
      <w:r>
        <w:t xml:space="preserve"> </w:t>
      </w:r>
      <w:r>
        <w:t xml:space="preserve">irrespective of the Level 2, and based on available data.</w:t>
      </w:r>
      <w:r>
        <w:t xml:space="preserve"> </w:t>
      </w:r>
      <w:r>
        <w:t xml:space="preserve">432 As an illustration, pending the final Level 2 measures and templates, some market operators took on the</w:t>
      </w:r>
      <w:r>
        <w:t xml:space="preserve"> </w:t>
      </w:r>
      <w:r>
        <w:t xml:space="preserve">development of a European ESG template (EET) to facilitate information flow on products under the</w:t>
      </w:r>
      <w:r>
        <w:t xml:space="preserve"> </w:t>
      </w:r>
      <w:r>
        <w:t xml:space="preserve">SFDR between product manufacturers and distributors. The template has since undergone several revisions</w:t>
      </w:r>
      <w:r>
        <w:t xml:space="preserve"> </w:t>
      </w:r>
      <w:r>
        <w:t xml:space="preserve">to accommodate changes to the framework. See: FinDatEx</w:t>
      </w:r>
      <w:r>
        <w:t xml:space="preserve"> </w:t>
      </w:r>
      <w:r>
        <w:t xml:space="preserve">433 Sustainability data published by investees began in 2018 under the Non-Financial Reporting Directive</w:t>
      </w:r>
      <w:r>
        <w:t xml:space="preserve"> </w:t>
      </w:r>
      <w:r>
        <w:t xml:space="preserve">(Directive 2014/95/EU), which the December 2019 Communication on the European Green Deal</w:t>
      </w:r>
      <w:r>
        <w:t xml:space="preserve"> </w:t>
      </w:r>
      <w:r>
        <w:t xml:space="preserve">committed to review in order to strengthen the foundations for sustainability data and investment.</w:t>
      </w:r>
    </w:p>
    <w:p>
      <w:pPr>
        <w:pStyle w:val="BodyText"/>
      </w:pPr>
      <w:r>
        <w:t xml:space="preserve">189</w:t>
      </w:r>
    </w:p>
    <w:p>
      <w:pPr>
        <w:pStyle w:val="Compact"/>
        <w:numPr>
          <w:ilvl w:val="0"/>
          <w:numId w:val="1031"/>
        </w:numPr>
      </w:pPr>
      <w:r>
        <w:t xml:space="preserve">Data gaps in available ESG data, lack of harmonised guidance for the use of</w:t>
      </w:r>
      <w:r>
        <w:t xml:space="preserve"> </w:t>
      </w:r>
      <w:r>
        <w:t xml:space="preserve">estimates.</w:t>
      </w:r>
    </w:p>
    <w:p>
      <w:pPr>
        <w:pStyle w:val="Compact"/>
        <w:numPr>
          <w:ilvl w:val="0"/>
          <w:numId w:val="1031"/>
        </w:numPr>
      </w:pPr>
      <w:r>
        <w:t xml:space="preserve">Unintended use of the SFDR’s disclosure categories as de facto labels, but</w:t>
      </w:r>
      <w:r>
        <w:t xml:space="preserve"> </w:t>
      </w:r>
      <w:r>
        <w:t xml:space="preserve">without common criteria or other requirements fit for this purpose.</w:t>
      </w:r>
      <w:r>
        <w:br/>
      </w:r>
      <w:r>
        <w:t xml:space="preserve">The lessons learned for the review of the SFDR from the problem drivers and their root</w:t>
      </w:r>
      <w:r>
        <w:t xml:space="preserve"> </w:t>
      </w:r>
      <w:r>
        <w:t xml:space="preserve">causes can be summarised as the need to (i) ensure a coherent implementation timeline</w:t>
      </w:r>
      <w:r>
        <w:t xml:space="preserve"> </w:t>
      </w:r>
      <w:r>
        <w:t xml:space="preserve">for the future changes, (ii) introduce clearer, simpler and more proportionate rules and</w:t>
      </w:r>
      <w:r>
        <w:t xml:space="preserve"> </w:t>
      </w:r>
      <w:r>
        <w:t xml:space="preserve">concepts for FMPs’ and investors’ benefit, (iii) explore the case for formalising and</w:t>
      </w:r>
      <w:r>
        <w:t xml:space="preserve"> </w:t>
      </w:r>
      <w:r>
        <w:t xml:space="preserve">embedding these in a framework of product categories, in accordance with the revealed</w:t>
      </w:r>
      <w:r>
        <w:t xml:space="preserve"> </w:t>
      </w:r>
      <w:r>
        <w:t xml:space="preserve">preference of markets to cluster products in this way, and (iv) ensure that the revised</w:t>
      </w:r>
      <w:r>
        <w:t xml:space="preserve"> </w:t>
      </w:r>
      <w:r>
        <w:t xml:space="preserve">concepts, rules and possible categories rely on ESG data that is available and/or possible</w:t>
      </w:r>
      <w:r>
        <w:t xml:space="preserve"> </w:t>
      </w:r>
      <w:r>
        <w:t xml:space="preserve">to reliably estimate.</w:t>
      </w:r>
    </w:p>
    <w:p>
      <w:pPr>
        <w:pStyle w:val="FirstParagraph"/>
      </w:pPr>
      <w:r>
        <w:t xml:space="preserve">190</w:t>
      </w:r>
    </w:p>
    <w:p>
      <w:pPr>
        <w:pStyle w:val="BodyText"/>
      </w:pPr>
      <w:r>
        <w:t xml:space="preserve">ANNEX 12: SME CHECK</w:t>
      </w:r>
      <w:r>
        <w:t xml:space="preserve"> </w:t>
      </w:r>
      <w:r>
        <w:t xml:space="preserve">OVERVIEW OF IMPACTS ON SMES</w:t>
      </w:r>
      <w:r>
        <w:t xml:space="preserve"> </w:t>
      </w:r>
      <w:r>
        <w:t xml:space="preserve">Relevance for SMEs</w:t>
      </w:r>
      <w:r>
        <w:br/>
      </w:r>
      <w:r>
        <w:t xml:space="preserve">The initiative is directly relevant for FMPs which are SMEs, but less so for SMEs as</w:t>
      </w:r>
      <w:r>
        <w:t xml:space="preserve"> </w:t>
      </w:r>
      <w:r>
        <w:t xml:space="preserve">investees.</w:t>
      </w:r>
    </w:p>
    <w:p>
      <w:pPr>
        <w:numPr>
          <w:ilvl w:val="0"/>
          <w:numId w:val="1032"/>
        </w:numPr>
      </w:pPr>
      <w:r>
        <w:t xml:space="preserve">IDENTIFICATION OF AFFECTED BUSINESSES AND ASSESSMENT OF RELEVANCE</w:t>
      </w:r>
      <w:r>
        <w:t xml:space="preserve"> </w:t>
      </w:r>
      <w:r>
        <w:t xml:space="preserve">Are SMEs directly affected? In which sectors?</w:t>
      </w:r>
      <w:r>
        <w:t xml:space="preserve"> </w:t>
      </w:r>
      <w:r>
        <w:t xml:space="preserve">Yes, namely in the financial sector</w:t>
      </w:r>
      <w:r>
        <w:t xml:space="preserve"> </w:t>
      </w:r>
      <w:r>
        <w:t xml:space="preserve">Estimated number of directly affected SMEs</w:t>
      </w:r>
      <w:r>
        <w:t xml:space="preserve"> </w:t>
      </w:r>
      <w:r>
        <w:t xml:space="preserve">The vast majority of FMPs are SMEs, which can e.g. be concluded from the number of</w:t>
      </w:r>
      <w:r>
        <w:t xml:space="preserve"> </w:t>
      </w:r>
      <w:r>
        <w:t xml:space="preserve">entities disclosing on a mandatory basis because of exceeding an employee threshold of</w:t>
      </w:r>
      <w:r>
        <w:t xml:space="preserve"> </w:t>
      </w:r>
      <w:r>
        <w:t xml:space="preserve">500 that was estimated based on a sample by ESMA to at least 400 FMPs, whereas in the</w:t>
      </w:r>
      <w:r>
        <w:t xml:space="preserve"> </w:t>
      </w:r>
      <w:r>
        <w:t xml:space="preserve">same sample about 3400 FMPs were not subject to mandatory disclosures (i.e. &lt;500</w:t>
      </w:r>
      <w:r>
        <w:t xml:space="preserve"> </w:t>
      </w:r>
      <w:r>
        <w:t xml:space="preserve">employees).434</w:t>
      </w:r>
      <w:r>
        <w:t xml:space="preserve"> </w:t>
      </w:r>
      <w:r>
        <w:t xml:space="preserve">Estimated number of employees in directly affected SMEs</w:t>
      </w:r>
      <w:r>
        <w:t xml:space="preserve"> </w:t>
      </w:r>
      <w:r>
        <w:t xml:space="preserve">Not available.</w:t>
      </w:r>
      <w:r>
        <w:t xml:space="preserve"> </w:t>
      </w:r>
      <w:r>
        <w:t xml:space="preserve">Are SMEs indirectly affected? In which sectors? What is the estimated number of</w:t>
      </w:r>
      <w:r>
        <w:t xml:space="preserve"> </w:t>
      </w:r>
      <w:r>
        <w:t xml:space="preserve">indirectly affected SMEs and employees?</w:t>
      </w:r>
      <w:r>
        <w:t xml:space="preserve"> </w:t>
      </w:r>
      <w:r>
        <w:t xml:space="preserve">SMEs as investees can, together with the safeguards of the omnibus (as explained in the</w:t>
      </w:r>
      <w:r>
        <w:t xml:space="preserve"> </w:t>
      </w:r>
      <w:r>
        <w:t xml:space="preserve">competitiveness check, Annex 5), benefit from the flow of funds and be included in</w:t>
      </w:r>
      <w:r>
        <w:t xml:space="preserve"> </w:t>
      </w:r>
      <w:r>
        <w:t xml:space="preserve">products under a simple categorisation system, as well as from lower reporting and</w:t>
      </w:r>
      <w:r>
        <w:t xml:space="preserve"> </w:t>
      </w:r>
      <w:r>
        <w:t xml:space="preserve">compliance costs incumbent on FMPs.</w:t>
      </w:r>
    </w:p>
    <w:p>
      <w:pPr>
        <w:numPr>
          <w:ilvl w:val="0"/>
          <w:numId w:val="1032"/>
        </w:numPr>
      </w:pPr>
      <w:r>
        <w:t xml:space="preserve">CONSULTATION OF SME STAKEHOLDERS</w:t>
      </w:r>
      <w:r>
        <w:t xml:space="preserve"> </w:t>
      </w:r>
      <w:r>
        <w:t xml:space="preserve">How has the input from the SME community been taken into consideration?</w:t>
      </w:r>
      <w:r>
        <w:t xml:space="preserve"> </w:t>
      </w:r>
      <w:r>
        <w:t xml:space="preserve">The public consultation asked whether respondents were SMEs, which was the case for</w:t>
      </w:r>
      <w:r>
        <w:t xml:space="preserve"> </w:t>
      </w:r>
      <w:r>
        <w:t xml:space="preserve">128 out of 324 replies.</w:t>
      </w:r>
      <w:r>
        <w:t xml:space="preserve"> </w:t>
      </w:r>
      <w:r>
        <w:t xml:space="preserve">Are SMEs’ views different from those of large businesses?</w:t>
      </w:r>
    </w:p>
    <w:p>
      <w:pPr>
        <w:pStyle w:val="FirstParagraph"/>
      </w:pPr>
      <w:r>
        <w:t xml:space="preserve">434 According to the ESAs Annual Report to the Commission under Article 18 of Regulation (EU)</w:t>
      </w:r>
      <w:r>
        <w:t xml:space="preserve"> </w:t>
      </w:r>
      <w:r>
        <w:t xml:space="preserve">2019/2088: JC 2024 68 Report on the Principal Adverse Impact disclosures under the Sustainable Finance</w:t>
      </w:r>
      <w:r>
        <w:t xml:space="preserve"> </w:t>
      </w:r>
      <w:r>
        <w:t xml:space="preserve">Disclosure Regulation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No, in the sense that SMEs as well as large companies pointed out that the costs are</w:t>
      </w:r>
      <w:r>
        <w:t xml:space="preserve"> </w:t>
      </w:r>
      <w:r>
        <w:t xml:space="preserve">significant for them. One stakeholder pointed out that smaller firms may not have the</w:t>
      </w:r>
      <w:r>
        <w:t xml:space="preserve"> </w:t>
      </w:r>
      <w:r>
        <w:t xml:space="preserve">resources, in particular financial, to accommodate the increasing reporting demands,</w:t>
      </w:r>
      <w:r>
        <w:t xml:space="preserve"> </w:t>
      </w:r>
      <w:r>
        <w:t xml:space="preserve">which can put them at risk and at a great disadvantage compared to larger firms.</w:t>
      </w:r>
    </w:p>
    <w:p>
      <w:pPr>
        <w:pStyle w:val="Compact"/>
        <w:numPr>
          <w:ilvl w:val="0"/>
          <w:numId w:val="1033"/>
        </w:numPr>
      </w:pPr>
      <w:r>
        <w:t xml:space="preserve">ASSESSMENT OF IMPACTS ON SMES</w:t>
      </w:r>
      <w:r>
        <w:t xml:space="preserve"> </w:t>
      </w:r>
      <w:r>
        <w:t xml:space="preserve">What are the estimated direct costs for SMEs of the preferred policy option?</w:t>
      </w:r>
      <w:r>
        <w:br/>
      </w:r>
      <w:r>
        <w:t xml:space="preserve">Qualitative assessment</w:t>
      </w:r>
      <w:r>
        <w:t xml:space="preserve"> </w:t>
      </w:r>
      <w:r>
        <w:t xml:space="preserve">FMPs which are SMEs are expected to be the main beneficiaries of the overall cost savings</w:t>
      </w:r>
      <w:r>
        <w:t xml:space="preserve"> </w:t>
      </w:r>
      <w:r>
        <w:t xml:space="preserve">detailed in Annex 3.</w:t>
      </w:r>
      <w:r>
        <w:br/>
      </w:r>
      <w:r>
        <w:t xml:space="preserve">Quantitative assessment</w:t>
      </w:r>
      <w:r>
        <w:t xml:space="preserve"> </w:t>
      </w:r>
      <w:r>
        <w:t xml:space="preserve">In Annex 3, we summarise our estimations of the one-off and recurring costs for businesses in the</w:t>
      </w:r>
      <w:r>
        <w:t xml:space="preserve"> </w:t>
      </w:r>
      <w:r>
        <w:t xml:space="preserve">baseline scenario, decomposed to large and SME in the baseline scenario as well as the changes</w:t>
      </w:r>
      <w:r>
        <w:t xml:space="preserve"> </w:t>
      </w:r>
      <w:r>
        <w:t xml:space="preserve">for the preferred combination of policy options. For the removal of entity level disclosures, we do</w:t>
      </w:r>
      <w:r>
        <w:t xml:space="preserve"> </w:t>
      </w:r>
      <w:r>
        <w:t xml:space="preserve">not expect additional costs and for the simplification of product level disclosures we expect</w:t>
      </w:r>
      <w:r>
        <w:t xml:space="preserve"> </w:t>
      </w:r>
      <w:r>
        <w:t xml:space="preserve">limited implementation costs as the one-off costs have been incurred in the past and the proposed</w:t>
      </w:r>
      <w:r>
        <w:t xml:space="preserve"> </w:t>
      </w:r>
      <w:r>
        <w:t xml:space="preserve">simplified structure will remove burdensome disclosures. The costs for the product categorisation</w:t>
      </w:r>
      <w:r>
        <w:t xml:space="preserve"> </w:t>
      </w:r>
      <w:r>
        <w:t xml:space="preserve">system are also expected to be limited as it builds to a maximum extent on existing structures</w:t>
      </w:r>
      <w:r>
        <w:t xml:space="preserve"> </w:t>
      </w:r>
      <w:r>
        <w:t xml:space="preserve">such as the minimum safeguards from the ESMA guidelines on funds names that have already</w:t>
      </w:r>
      <w:r>
        <w:t xml:space="preserve"> </w:t>
      </w:r>
      <w:r>
        <w:t xml:space="preserve">been implemented.</w:t>
      </w:r>
      <w:r>
        <w:br/>
      </w:r>
      <w:r>
        <w:t xml:space="preserve">What are the estimated direct benefits/cost savings for SMEs of the preferred policy</w:t>
      </w:r>
      <w:r>
        <w:t xml:space="preserve"> </w:t>
      </w:r>
      <w:r>
        <w:t xml:space="preserve">option?</w:t>
      </w:r>
      <w:r>
        <w:t xml:space="preserve"> </w:t>
      </w:r>
      <w:r>
        <w:t xml:space="preserve">Qualitative assessment</w:t>
      </w:r>
      <w:r>
        <w:t xml:space="preserve"> </w:t>
      </w:r>
      <w:r>
        <w:t xml:space="preserve">FMPs which are SMEs are expected to be the main beneficiaries of the overall cost savings</w:t>
      </w:r>
      <w:r>
        <w:t xml:space="preserve"> </w:t>
      </w:r>
      <w:r>
        <w:t xml:space="preserve">detailed in Annex 3.</w:t>
      </w:r>
      <w:r>
        <w:t xml:space="preserve"> </w:t>
      </w:r>
      <w:r>
        <w:t xml:space="preserve">Quantitative assessment</w:t>
      </w:r>
      <w:r>
        <w:t xml:space="preserve"> </w:t>
      </w:r>
      <w:r>
        <w:t xml:space="preserve">Currently, we estimate SME to incur about EUR 163 million of annual recurring costs, of which</w:t>
      </w:r>
      <w:r>
        <w:t xml:space="preserve"> </w:t>
      </w:r>
      <w:r>
        <w:t xml:space="preserve">about EUR 43 million are for entity-level disclosures and EUR 120 million for product level</w:t>
      </w:r>
      <w:r>
        <w:t xml:space="preserve"> </w:t>
      </w:r>
      <w:r>
        <w:t xml:space="preserve">disclosures. While the reduction of entity-level costs in the preferred combination of options is</w:t>
      </w:r>
      <w:r>
        <w:t xml:space="preserve"> </w:t>
      </w:r>
      <w:r>
        <w:t xml:space="preserve">certain with only minimal one-off costs, and we estimate that more than 50% of product-level</w:t>
      </w:r>
      <w:r>
        <w:t xml:space="preserve"> </w:t>
      </w:r>
      <w:r>
        <w:t xml:space="preserve">costs can be saved thanks to the significant reduction of product-level disclosures, we were not</w:t>
      </w:r>
      <w:r>
        <w:t xml:space="preserve"> </w:t>
      </w:r>
      <w:r>
        <w:t xml:space="preserve">able to collect sufficient evidence for the one-off impacts of the introduction of a product</w:t>
      </w:r>
      <w:r>
        <w:t xml:space="preserve"> </w:t>
      </w:r>
      <w:r>
        <w:t xml:space="preserve">categorisation system.</w:t>
      </w:r>
      <w:r>
        <w:t xml:space="preserve"> </w:t>
      </w:r>
      <w:r>
        <w:t xml:space="preserve">In addition, SMEs would benefit more than proportionally from simplification as we can observe</w:t>
      </w:r>
      <w:r>
        <w:t xml:space="preserve"> </w:t>
      </w:r>
      <w:r>
        <w:t xml:space="preserve">pronounced cost digression effects, i.e. in relative terms SMEs incur much higher costs relative to</w:t>
      </w:r>
      <w:r>
        <w:t xml:space="preserve"> </w:t>
      </w:r>
      <w:r>
        <w:t xml:space="preserve">their AUM than larger firms due to certain minimum efforts that are necessary to build and</w:t>
      </w:r>
      <w:r>
        <w:t xml:space="preserve"> </w:t>
      </w:r>
      <w:r>
        <w:t xml:space="preserve">maintain sustainability related disclosures.</w:t>
      </w:r>
      <w:r>
        <w:br/>
      </w:r>
      <w:r>
        <w:t xml:space="preserve">What are the indirect impacts of this initiative on SMEs?</w:t>
      </w:r>
      <w:r>
        <w:br/>
      </w:r>
      <w:r>
        <w:t xml:space="preserve">SMEs as investees can benefit from the flow of funds and be included in products under a simple</w:t>
      </w:r>
      <w:r>
        <w:t xml:space="preserve"> </w:t>
      </w:r>
      <w:r>
        <w:t xml:space="preserve">categorisation system, as well as from lower reporting and compliance costs incumbent on FMPs.</w:t>
      </w:r>
    </w:p>
    <w:p>
      <w:pPr>
        <w:pStyle w:val="FirstParagraph"/>
      </w:pPr>
      <w:r>
        <w:t xml:space="preserve">192</w:t>
      </w:r>
    </w:p>
    <w:p>
      <w:pPr>
        <w:pStyle w:val="Compact"/>
        <w:numPr>
          <w:ilvl w:val="0"/>
          <w:numId w:val="1034"/>
        </w:numPr>
      </w:pPr>
      <w:r>
        <w:t xml:space="preserve">MINIMISING NEGATIVE IMPACTS ON SMES</w:t>
      </w:r>
      <w:r>
        <w:t xml:space="preserve"> </w:t>
      </w:r>
      <w:r>
        <w:t xml:space="preserve">Are SMEs disproportionately affected compared to large companies?</w:t>
      </w:r>
      <w:r>
        <w:br/>
      </w:r>
      <w:r>
        <w:t xml:space="preserve">If yes, are there any specific subgroups of SMEs more exposed than others?</w:t>
      </w:r>
      <w:r>
        <w:t xml:space="preserve"> </w:t>
      </w:r>
      <w:r>
        <w:t xml:space="preserve">Yes, notably FMPs which are SMEs, see section 3 above.</w:t>
      </w:r>
      <w:r>
        <w:br/>
      </w:r>
      <w:r>
        <w:t xml:space="preserve">Have mitigating measures been included in the preferred option/proposal?</w:t>
      </w:r>
      <w:r>
        <w:br/>
      </w:r>
      <w:r>
        <w:t xml:space="preserve">No</w:t>
      </w:r>
    </w:p>
    <w:p>
      <w:pPr>
        <w:pStyle w:val="FirstParagraph"/>
      </w:pPr>
      <w:r>
        <w:t xml:space="preserve">CONTRIBUTION TO THE 35% BURDEN REDUCTION TARGET FOR SMES</w:t>
      </w:r>
      <w:r>
        <w:t xml:space="preserve"> </w:t>
      </w:r>
      <w:r>
        <w:t xml:space="preserve">Are there any administrative cost savings relevant for the 35% burden reduction</w:t>
      </w:r>
      <w:r>
        <w:t xml:space="preserve"> </w:t>
      </w:r>
      <w:r>
        <w:t xml:space="preserve">target for SMEs?</w:t>
      </w:r>
      <w:r>
        <w:t xml:space="preserve"> </w:t>
      </w:r>
      <w:r>
        <w:t xml:space="preserve">The reduced administrative requirements linked to the removal of entity-level</w:t>
      </w:r>
      <w:r>
        <w:t xml:space="preserve"> </w:t>
      </w:r>
      <w:r>
        <w:t xml:space="preserve">disclosures (option 1.2) would eliminate burdens estimated to account for 25% of the</w:t>
      </w:r>
      <w:r>
        <w:t xml:space="preserve"> </w:t>
      </w:r>
      <w:r>
        <w:t xml:space="preserve">costs under the current rules, largely incumbent on FMPs which are SMEs. In addition,</w:t>
      </w:r>
      <w:r>
        <w:t xml:space="preserve"> </w:t>
      </w:r>
      <w:r>
        <w:t xml:space="preserve">the simplification of product-level disclosures (option 2.2) and introduction of product</w:t>
      </w:r>
      <w:r>
        <w:t xml:space="preserve"> </w:t>
      </w:r>
      <w:r>
        <w:t xml:space="preserve">categories (option 3.1) in line with market practices, which overall are estimated to</w:t>
      </w:r>
      <w:r>
        <w:t xml:space="preserve"> </w:t>
      </w:r>
      <w:r>
        <w:t xml:space="preserve">allow cost savings as outlined in Annex 3, are estimated to facilitate further overall</w:t>
      </w:r>
      <w:r>
        <w:t xml:space="preserve"> </w:t>
      </w:r>
      <w:r>
        <w:t xml:space="preserve">burden reduction for SMEs toward the 35% target.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1"/>
  </w:num>
  <w:num w:numId="102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6">
    <w:abstractNumId w:val="991"/>
  </w:num>
  <w:num w:numId="1027">
    <w:abstractNumId w:val="991"/>
  </w:num>
  <w:num w:numId="102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2026-07-31T16:48:37Z</dcterms:created>
  <dcterms:modified xsi:type="dcterms:W3CDTF">2026-07-31T16:48:37Z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