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4.12.2025</w:t>
      </w:r>
      <w:r>
        <w:br/>
      </w:r>
      <w:r>
        <w:t xml:space="preserve">SWD(2025) 943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Proposal for a REGULATION OF THE EUROPEAN PARLIAMENT AND OF THE</w:t>
      </w:r>
      <w:r>
        <w:t xml:space="preserve"> </w:t>
      </w:r>
      <w:r>
        <w:t xml:space="preserve">COUNCIL amending Regulations (EU) No 1095/2010, No 648/2012, No 600/2014, No</w:t>
      </w:r>
      <w:r>
        <w:t xml:space="preserve"> </w:t>
      </w:r>
      <w:r>
        <w:t xml:space="preserve">909/2014, 2015/2365, 2019/1156, 2021/23, 2022/858, 2023/1114, No 1060/2009, 2016/1011,</w:t>
      </w:r>
      <w:r>
        <w:t xml:space="preserve"> </w:t>
      </w:r>
      <w:r>
        <w:t xml:space="preserve">2017/2402, 2023/2631 and 2024/3005 as regards the further development of capital</w:t>
      </w:r>
      <w:r>
        <w:t xml:space="preserve"> </w:t>
      </w:r>
      <w:r>
        <w:t xml:space="preserve">market integration and supervision within the Union</w:t>
      </w:r>
    </w:p>
    <w:p>
      <w:pPr>
        <w:pStyle w:val="BodyText"/>
      </w:pPr>
      <w:r>
        <w:t xml:space="preserve">Proposal for DIRECTIVE OF THE EUROPEAN PARLIAMENT AND OF THE</w:t>
      </w:r>
      <w:r>
        <w:t xml:space="preserve"> </w:t>
      </w:r>
      <w:r>
        <w:t xml:space="preserve">COUNCIL amending Directives 2009/65/EC, 2011/61/EU and 2014/65/EU as regards the</w:t>
      </w:r>
      <w:r>
        <w:t xml:space="preserve"> </w:t>
      </w:r>
      <w:r>
        <w:t xml:space="preserve">further development of capital market integration and supervision within the Union</w:t>
      </w:r>
    </w:p>
    <w:p>
      <w:pPr>
        <w:pStyle w:val="BodyText"/>
      </w:pPr>
      <w:r>
        <w:t xml:space="preserve">Proposal for a REGULATION OF THE EUROPEAN PARLIAMENT AND OF THE</w:t>
      </w:r>
      <w:r>
        <w:t xml:space="preserve"> </w:t>
      </w:r>
      <w:r>
        <w:t xml:space="preserve">COUNCIL on settlement finality and repealing Directive 98/26/EC and amending</w:t>
      </w:r>
      <w:r>
        <w:t xml:space="preserve"> </w:t>
      </w:r>
      <w:r>
        <w:t xml:space="preserve">Directive 2002/47/EC on financial collateral arrangements</w:t>
      </w:r>
    </w:p>
    <w:p>
      <w:pPr>
        <w:pStyle w:val="BodyText"/>
      </w:pPr>
      <w:r>
        <w:t xml:space="preserve">{COM(2025) 941 final} - {COM(2025) 942 final} - {COM(2025) 943 final} -</w:t>
      </w:r>
      <w:r>
        <w:t xml:space="preserve"> </w:t>
      </w:r>
      <w:r>
        <w:t xml:space="preserve">{SEC(2025) 943 final} - {SWD(2025) 944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INTRODUCTION…………………………………………………………………………………………………………………………. 8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 …………………………………………………………………………………………………………………….. 9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 ………………………………………………………………………………………………………………………… 10</w:t>
      </w:r>
      <w:r>
        <w:t xml:space="preserve"> </w:t>
      </w:r>
      <w:r>
        <w:t xml:space="preserve">1.2.1.</w:t>
      </w:r>
      <w:r>
        <w:t xml:space="preserve"> </w:t>
      </w:r>
      <w:r>
        <w:t xml:space="preserve">Trading, post-trading, asset management and innovation ………………………………………………………………………… 11</w:t>
      </w:r>
      <w:r>
        <w:t xml:space="preserve"> </w:t>
      </w:r>
      <w:r>
        <w:t xml:space="preserve">1.2.2.</w:t>
      </w:r>
      <w:r>
        <w:t xml:space="preserve"> </w:t>
      </w:r>
      <w:r>
        <w:t xml:space="preserve">Supervision ………………………………………………………………………………………………………………………………………… 14</w:t>
      </w:r>
      <w:r>
        <w:t xml:space="preserve"> </w:t>
      </w:r>
      <w:r>
        <w:t xml:space="preserve">1.3.</w:t>
      </w:r>
      <w:r>
        <w:t xml:space="preserve"> </w:t>
      </w:r>
      <w:r>
        <w:t xml:space="preserve">MARKET CONTEXT ……………………………………………………………………………………………………………………… 16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…………………………………………………………………………………………………………… 22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…………………………………………………………………………………………………………. 23</w:t>
      </w:r>
      <w:r>
        <w:t xml:space="preserve"> </w:t>
      </w:r>
      <w:r>
        <w:t xml:space="preserve">2.1.1.</w:t>
      </w:r>
      <w:r>
        <w:t xml:space="preserve"> </w:t>
      </w:r>
      <w:r>
        <w:t xml:space="preserve">Lack of market integration and scale …………………………………………………………………………………………………….. 23</w:t>
      </w:r>
      <w:r>
        <w:t xml:space="preserve"> </w:t>
      </w:r>
      <w:r>
        <w:t xml:space="preserve">2.1.2.</w:t>
      </w:r>
      <w:r>
        <w:t xml:space="preserve"> </w:t>
      </w:r>
      <w:r>
        <w:t xml:space="preserve">Fragmented, less efficient and ineffective supervision ……………………………………………………………………………… 33</w:t>
      </w:r>
      <w:r>
        <w:t xml:space="preserve"> </w:t>
      </w:r>
      <w:r>
        <w:t xml:space="preserve">2.1.3.</w:t>
      </w:r>
      <w:r>
        <w:t xml:space="preserve"> </w:t>
      </w:r>
      <w:r>
        <w:t xml:space="preserve">Obstacles to innovation and uptake of new technologies ………………………………………………………………………….. 36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……………………………………………………………………………………………… 39</w:t>
      </w:r>
      <w:r>
        <w:t xml:space="preserve"> </w:t>
      </w:r>
      <w:r>
        <w:t xml:space="preserve">2.2.1.</w:t>
      </w:r>
      <w:r>
        <w:t xml:space="preserve"> </w:t>
      </w:r>
      <w:r>
        <w:t xml:space="preserve">Barriers to cross-border operations and innovation ………………………………………………………………………………… 39</w:t>
      </w:r>
      <w:r>
        <w:t xml:space="preserve"> </w:t>
      </w:r>
      <w:r>
        <w:t xml:space="preserve">2.2.2.</w:t>
      </w:r>
      <w:r>
        <w:t xml:space="preserve"> </w:t>
      </w:r>
      <w:r>
        <w:t xml:space="preserve">Non-aligned supervisory practices and weak tools and powers at EU level ………………………………………………… 44</w:t>
      </w:r>
      <w:r>
        <w:t xml:space="preserve"> </w:t>
      </w:r>
      <w:r>
        <w:t xml:space="preserve">2.3.</w:t>
      </w:r>
      <w:r>
        <w:t xml:space="preserve"> </w:t>
      </w:r>
      <w:r>
        <w:t xml:space="preserve">CONSEQUENCES …………………………………………………………………………………………………………………………. 48</w:t>
      </w:r>
      <w:r>
        <w:t xml:space="preserve"> </w:t>
      </w:r>
      <w:r>
        <w:t xml:space="preserve">2.4.</w:t>
      </w:r>
      <w:r>
        <w:t xml:space="preserve"> </w:t>
      </w:r>
      <w:r>
        <w:t xml:space="preserve">HOW LIKELY ARE THE PROBLEMS TO PERSIST? ……………………………………………………………………………….. 51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………………………………………………………………………………………………….. 52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……………………………………………………………………………………………………………………………… 52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ACTION……………………………………………………………………………………… 52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………………………………………………………………………………… 53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………………………………………………………………………….. 53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 ………………………………………………………………………………………………………………….. 53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………………………………………………………………………………………………………………….. 53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………………………………………………………………… 54</w:t>
      </w:r>
      <w:r>
        <w:t xml:space="preserve"> </w:t>
      </w:r>
      <w:r>
        <w:t xml:space="preserve">5.1.</w:t>
      </w:r>
      <w:r>
        <w:t xml:space="preserve"> </w:t>
      </w:r>
      <w:r>
        <w:t xml:space="preserve">APPROACH TO DESIGN OF POLICY OPTIONS …………………………………………………………………………………….. 54</w:t>
      </w:r>
      <w:r>
        <w:t xml:space="preserve"> </w:t>
      </w:r>
      <w:r>
        <w:t xml:space="preserve">5.2.</w:t>
      </w:r>
      <w:r>
        <w:t xml:space="preserve"> </w:t>
      </w:r>
      <w:r>
        <w:t xml:space="preserve">WHAT IS THE BASELINE FROM WHICH OPTIONS ARE ASSESSED? …………………………………………………………. 54</w:t>
      </w:r>
      <w:r>
        <w:t xml:space="preserve"> </w:t>
      </w:r>
      <w:r>
        <w:t xml:space="preserve">5.3.</w:t>
      </w:r>
      <w:r>
        <w:t xml:space="preserve"> </w:t>
      </w:r>
      <w:r>
        <w:t xml:space="preserve">DESCRIPTION OF THE POLICY OPTIONS …………………………………………………………………………………………… 55</w:t>
      </w:r>
      <w:r>
        <w:t xml:space="preserve"> </w:t>
      </w:r>
      <w:r>
        <w:t xml:space="preserve">5.3.1.</w:t>
      </w:r>
      <w:r>
        <w:t xml:space="preserve"> </w:t>
      </w:r>
      <w:r>
        <w:t xml:space="preserve">Policy options to address Barriers to cross-border operations and innovation ……………………………………………. 55</w:t>
      </w:r>
      <w:r>
        <w:t xml:space="preserve"> </w:t>
      </w:r>
      <w:r>
        <w:t xml:space="preserve">5.3.2.</w:t>
      </w:r>
      <w:r>
        <w:t xml:space="preserve"> </w:t>
      </w:r>
      <w:r>
        <w:t xml:space="preserve">Policy options to address Non-aligned supervisory practices and weak tools and powers at EU level ……………. 64</w:t>
      </w:r>
      <w:r>
        <w:t xml:space="preserve"> </w:t>
      </w:r>
      <w:r>
        <w:t xml:space="preserve">5.4.</w:t>
      </w:r>
      <w:r>
        <w:t xml:space="preserve"> </w:t>
      </w:r>
      <w:r>
        <w:t xml:space="preserve">OPTIONS DISCARDED AT AN EARLY STAGE ……………………………………………………………………………………… 68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 AND HOW DO THEY COMPARE? … 68</w:t>
      </w:r>
      <w:r>
        <w:t xml:space="preserve"> </w:t>
      </w:r>
      <w:r>
        <w:t xml:space="preserve">6.1.</w:t>
      </w:r>
      <w:r>
        <w:t xml:space="preserve"> </w:t>
      </w:r>
      <w:r>
        <w:t xml:space="preserve">POLICY OPTIONS TO ADDRESS BARRIERS TO CROSS-BORDER ACTIVITIES AND INNOVATION …………………… 69</w:t>
      </w:r>
      <w:r>
        <w:t xml:space="preserve"> </w:t>
      </w:r>
      <w:r>
        <w:t xml:space="preserve">6.1.1.</w:t>
      </w:r>
      <w:r>
        <w:t xml:space="preserve"> </w:t>
      </w:r>
      <w:r>
        <w:t xml:space="preserve">Broad review of the functioning of capital markets………………………………………………………………………………….. 69</w:t>
      </w:r>
      <w:r>
        <w:t xml:space="preserve"> </w:t>
      </w:r>
      <w:r>
        <w:t xml:space="preserve">6.1.2.</w:t>
      </w:r>
      <w:r>
        <w:t xml:space="preserve"> </w:t>
      </w:r>
      <w:r>
        <w:t xml:space="preserve">Far-reaching review of the functioning of capital markets ……………………………………………………………………….. 79</w:t>
      </w:r>
      <w:r>
        <w:t xml:space="preserve"> </w:t>
      </w:r>
      <w:r>
        <w:t xml:space="preserve">6.1.3.</w:t>
      </w:r>
      <w:r>
        <w:t xml:space="preserve"> </w:t>
      </w:r>
      <w:r>
        <w:t xml:space="preserve">How do the options on addressing barriers to cross-border activities and innovation compare …………………….. 83</w:t>
      </w:r>
      <w:r>
        <w:t xml:space="preserve"> </w:t>
      </w:r>
      <w:r>
        <w:t xml:space="preserve">6.2.</w:t>
      </w:r>
      <w:r>
        <w:t xml:space="preserve"> </w:t>
      </w:r>
      <w:r>
        <w:t xml:space="preserve">NON-ALIGNED SUPERVISORY PRACTICES ACROSS MEMBER STATES AND WEAK TOOLS AND POWERS AT EU</w:t>
      </w:r>
      <w:r>
        <w:t xml:space="preserve"> </w:t>
      </w:r>
      <w:r>
        <w:t xml:space="preserve">LEVEL ……………………………………………………………………………………………………………………………………………….. 88</w:t>
      </w:r>
      <w:r>
        <w:t xml:space="preserve"> </w:t>
      </w:r>
      <w:r>
        <w:t xml:space="preserve">6.2.1.</w:t>
      </w:r>
      <w:r>
        <w:t xml:space="preserve"> </w:t>
      </w:r>
      <w:r>
        <w:t xml:space="preserve">Improved supervisory convergence and an enhanced role for ESMA in supervision ……………………………………. 88</w:t>
      </w:r>
      <w:r>
        <w:t xml:space="preserve"> </w:t>
      </w:r>
      <w:r>
        <w:t xml:space="preserve">6.2.2.</w:t>
      </w:r>
      <w:r>
        <w:t xml:space="preserve"> </w:t>
      </w:r>
      <w:r>
        <w:t xml:space="preserve">ESMA as a supervisor for all EU trading venues, CSDs, CCPs, asset managers and crypto asset service</w:t>
      </w:r>
      <w:r>
        <w:t xml:space="preserve"> </w:t>
      </w:r>
      <w:r>
        <w:t xml:space="preserve">providers ………………………………………………………………………………………………………………………………………………………. 92</w:t>
      </w:r>
      <w:r>
        <w:t xml:space="preserve"> </w:t>
      </w:r>
      <w:r>
        <w:t xml:space="preserve">6.2.3.</w:t>
      </w:r>
      <w:r>
        <w:t xml:space="preserve"> </w:t>
      </w:r>
      <w:r>
        <w:t xml:space="preserve">How do the options on non-aligned supervisory practices across Member States and weak tools and powers at</w:t>
      </w:r>
      <w:r>
        <w:t xml:space="preserve"> </w:t>
      </w:r>
      <w:r>
        <w:t xml:space="preserve">EU level compare ………………………………………………………………………………………………………………………………………………. 94</w:t>
      </w:r>
    </w:p>
    <w:p>
      <w:pPr>
        <w:pStyle w:val="Compact"/>
        <w:numPr>
          <w:ilvl w:val="0"/>
          <w:numId w:val="1001"/>
        </w:numPr>
      </w:pPr>
      <w:r>
        <w:t xml:space="preserve">PREFERRED OPTION ………………………………………………………………………………………………………………. 96</w:t>
      </w:r>
    </w:p>
    <w:p>
      <w:pPr>
        <w:pStyle w:val="FirstParagraph"/>
      </w:pPr>
      <w:r>
        <w:t xml:space="preserve">2</w:t>
      </w:r>
    </w:p>
    <w:p>
      <w:pPr>
        <w:pStyle w:val="BodyText"/>
      </w:pPr>
      <w:r>
        <w:t xml:space="preserve">7.1.</w:t>
      </w:r>
      <w:r>
        <w:t xml:space="preserve"> </w:t>
      </w:r>
      <w:r>
        <w:t xml:space="preserve">IMPACTS AND ASSESSMENT OF THE PREFERRED OPTION……………………………………………………………………. 96</w:t>
      </w:r>
      <w:r>
        <w:t xml:space="preserve"> </w:t>
      </w:r>
      <w:r>
        <w:t xml:space="preserve">7.2.</w:t>
      </w:r>
      <w:r>
        <w:t xml:space="preserve"> </w:t>
      </w:r>
      <w:r>
        <w:t xml:space="preserve">REFIT ……………………………………………………………………………………………………………………………………… 98</w:t>
      </w:r>
      <w:r>
        <w:t xml:space="preserve"> </w:t>
      </w:r>
      <w:r>
        <w:t xml:space="preserve">7.3.</w:t>
      </w:r>
      <w:r>
        <w:t xml:space="preserve"> </w:t>
      </w:r>
      <w:r>
        <w:t xml:space="preserve">APPLICATION OF THE ‘ONE IN, ONE OUT’ APPROACH ………………………………………………………………………… 98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………………………………… 98</w:t>
      </w:r>
      <w:r>
        <w:t xml:space="preserve"> </w:t>
      </w:r>
      <w:r>
        <w:t xml:space="preserve">ANNEX 1: PROCEDURAL INFORMATION ………………………………………………………………………………………. 101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…………………………………………………………………………. 101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………………………………………………………………………………………………………. 101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REGULATORY SCRUTINY BOARD ………………………………………………………………… 101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…………………………………………………………………………………………….. 105</w:t>
      </w:r>
      <w:r>
        <w:t xml:space="preserve"> </w:t>
      </w:r>
      <w:r>
        <w:t xml:space="preserve">ANNEX 2: STAKEHOLDERS CONSULTATIONS………………………………………………………………………………. 108</w:t>
      </w:r>
      <w:r>
        <w:t xml:space="preserve"> </w:t>
      </w:r>
      <w:r>
        <w:t xml:space="preserve">1.</w:t>
      </w:r>
      <w:r>
        <w:t xml:space="preserve"> </w:t>
      </w:r>
      <w:r>
        <w:t xml:space="preserve">CALL FOR EVIDENCE ………………………………………………………………………………………………………………… 108</w:t>
      </w:r>
      <w:r>
        <w:t xml:space="preserve"> </w:t>
      </w:r>
      <w:r>
        <w:t xml:space="preserve">2.</w:t>
      </w:r>
      <w:r>
        <w:t xml:space="preserve"> </w:t>
      </w:r>
      <w:r>
        <w:t xml:space="preserve">STAKEHOLDER TARGETED CONSULTATION (SYNOPSIS REPORT) ………………………………………………………. 109</w:t>
      </w:r>
      <w:r>
        <w:t xml:space="preserve"> </w:t>
      </w:r>
      <w:r>
        <w:t xml:space="preserve">2.1.</w:t>
      </w:r>
      <w:r>
        <w:t xml:space="preserve"> </w:t>
      </w:r>
      <w:r>
        <w:t xml:space="preserve">INTRODUCTION …………………………………………………………………………………………………………………….. 109</w:t>
      </w:r>
      <w:r>
        <w:t xml:space="preserve"> </w:t>
      </w:r>
      <w:r>
        <w:t xml:space="preserve">2.2.</w:t>
      </w:r>
      <w:r>
        <w:t xml:space="preserve"> </w:t>
      </w:r>
      <w:r>
        <w:t xml:space="preserve">OVERVIEW OF RESPONDENTS ………………………………………………………………………………………………….. 109</w:t>
      </w:r>
      <w:r>
        <w:t xml:space="preserve"> </w:t>
      </w:r>
      <w:r>
        <w:t xml:space="preserve">3.</w:t>
      </w:r>
      <w:r>
        <w:t xml:space="preserve"> </w:t>
      </w:r>
      <w:r>
        <w:t xml:space="preserve">SUMMARY OF KEY MESSAGES …………………………………………………………………………………………………….. 115</w:t>
      </w:r>
      <w:r>
        <w:t xml:space="preserve"> </w:t>
      </w:r>
      <w:r>
        <w:t xml:space="preserve">3.1.</w:t>
      </w:r>
      <w:r>
        <w:t xml:space="preserve"> </w:t>
      </w:r>
      <w:r>
        <w:t xml:space="preserve">SIMPLIFICATION AND BURDEN REDUCTION ……………………………………………………………………………….. 115</w:t>
      </w:r>
      <w:r>
        <w:t xml:space="preserve"> </w:t>
      </w:r>
      <w:r>
        <w:t xml:space="preserve">3.2.</w:t>
      </w:r>
      <w:r>
        <w:t xml:space="preserve"> </w:t>
      </w:r>
      <w:r>
        <w:t xml:space="preserve">TRADING ……………………………………………………………………………………………………………………………… 118</w:t>
      </w:r>
      <w:r>
        <w:t xml:space="preserve"> </w:t>
      </w:r>
      <w:r>
        <w:t xml:space="preserve">3.3.</w:t>
      </w:r>
      <w:r>
        <w:t xml:space="preserve"> </w:t>
      </w:r>
      <w:r>
        <w:t xml:space="preserve">POST-TRADE ………………………………………………………………………………………………………………………… 121</w:t>
      </w:r>
      <w:r>
        <w:t xml:space="preserve"> </w:t>
      </w:r>
      <w:r>
        <w:t xml:space="preserve">3.4.</w:t>
      </w:r>
      <w:r>
        <w:t xml:space="preserve"> </w:t>
      </w:r>
      <w:r>
        <w:t xml:space="preserve">HORIZONTAL BARRIERS TO TRADING AND POST-TRADING INFRASTRUCTURES ……………………………….. 126</w:t>
      </w:r>
      <w:r>
        <w:t xml:space="preserve"> </w:t>
      </w:r>
      <w:r>
        <w:t xml:space="preserve">3.5.</w:t>
      </w:r>
      <w:r>
        <w:t xml:space="preserve"> </w:t>
      </w:r>
      <w:r>
        <w:t xml:space="preserve">ASSET MANAGEMENT AND INVESTMENT FUNDS ………………………………………………………………………… 131</w:t>
      </w:r>
      <w:r>
        <w:t xml:space="preserve"> </w:t>
      </w:r>
      <w:r>
        <w:t xml:space="preserve">3.6.</w:t>
      </w:r>
      <w:r>
        <w:t xml:space="preserve"> </w:t>
      </w:r>
      <w:r>
        <w:t xml:space="preserve">SUPERVISION ……………………………………………………………………………………………………………………….. 134</w:t>
      </w:r>
      <w:r>
        <w:t xml:space="preserve"> </w:t>
      </w:r>
      <w:r>
        <w:t xml:space="preserve">3.7.</w:t>
      </w:r>
      <w:r>
        <w:t xml:space="preserve"> </w:t>
      </w:r>
      <w:r>
        <w:t xml:space="preserve">HORIZONTAL QUESTIONS ON THE SUPERVISORY FRAMEWORK ……………………………………………………… 139</w:t>
      </w:r>
      <w:r>
        <w:t xml:space="preserve"> </w:t>
      </w:r>
      <w:r>
        <w:t xml:space="preserve">ANNEX 3: WHO IS AFFECTED AND HOW? ……………………………………………………………………………………… 144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INITIATIVE……………………………………………………………………………….. 144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…………………………………………………………………………………………….. 145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…………………………………………………………………………… 152</w:t>
      </w:r>
      <w:r>
        <w:t xml:space="preserve"> </w:t>
      </w:r>
      <w:r>
        <w:t xml:space="preserve">ANNEX 4: ANALYTICAL METHODS ………………………………………………………………………………………………… 153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EMPLOYED ANALYTICAL METHODS…………………………………………………………………………. 154</w:t>
      </w:r>
      <w:r>
        <w:t xml:space="preserve"> </w:t>
      </w:r>
      <w:r>
        <w:t xml:space="preserve">1.1.</w:t>
      </w:r>
      <w:r>
        <w:t xml:space="preserve"> </w:t>
      </w:r>
      <w:r>
        <w:t xml:space="preserve">ENGAGEMENT WITH STAKEHOLDERS: CONSULTATION AND TARGETED INTERVIEWS ……………………….. 154</w:t>
      </w:r>
      <w:r>
        <w:t xml:space="preserve"> </w:t>
      </w:r>
      <w:r>
        <w:t xml:space="preserve">1.2.</w:t>
      </w:r>
      <w:r>
        <w:t xml:space="preserve"> </w:t>
      </w:r>
      <w:r>
        <w:t xml:space="preserve">MARKET STUDIES ON MARKET DEVELOPMENTS AND INTEGRATION IN TRADING, POST-TRADING AND</w:t>
      </w:r>
      <w:r>
        <w:t xml:space="preserve"> </w:t>
      </w:r>
      <w:r>
        <w:t xml:space="preserve">ASSET MANAGEMENT ……………………………………………………………………………………………………………………….. 154</w:t>
      </w:r>
      <w:r>
        <w:t xml:space="preserve"> </w:t>
      </w:r>
      <w:r>
        <w:t xml:space="preserve">1.3.</w:t>
      </w:r>
      <w:r>
        <w:t xml:space="preserve"> </w:t>
      </w:r>
      <w:r>
        <w:t xml:space="preserve">DESK RESEARCH …………………………………………………………………………………………………………………… 155</w:t>
      </w:r>
      <w:r>
        <w:t xml:space="preserve"> </w:t>
      </w:r>
      <w:r>
        <w:t xml:space="preserve">1.4.</w:t>
      </w:r>
      <w:r>
        <w:t xml:space="preserve"> </w:t>
      </w:r>
      <w:r>
        <w:t xml:space="preserve">FURTHER INFORMATION ON COSTS AND BENEFITS ESTIMATES ……………………………………………………… 155</w:t>
      </w:r>
      <w:r>
        <w:t xml:space="preserve"> </w:t>
      </w:r>
      <w:r>
        <w:t xml:space="preserve">ANNEX 5: COMPETITIVENESS CHECK …………………………………………………………………………………………… 158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……………………………………………………………………………… 158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…………………………………………………………………………………………………………… 158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 ……………………………………………………………… 159</w:t>
      </w:r>
      <w:r>
        <w:t xml:space="preserve"> </w:t>
      </w:r>
      <w:r>
        <w:t xml:space="preserve">ANNEX 6: SME CHECK ……………………………………………………………………………………………………………………… 160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SMES ………………………………………………………………………………………………. 160</w:t>
      </w:r>
      <w:r>
        <w:t xml:space="preserve"> </w:t>
      </w:r>
      <w:r>
        <w:t xml:space="preserve">ANNEX 7: SECTORAL ANNEX ON TRADING ………………………………………………………………………………….. 163</w:t>
      </w:r>
      <w:r>
        <w:t xml:space="preserve"> </w:t>
      </w:r>
      <w:r>
        <w:t xml:space="preserve">1.</w:t>
      </w:r>
      <w:r>
        <w:t xml:space="preserve"> </w:t>
      </w:r>
      <w:r>
        <w:t xml:space="preserve">DESCRIPTION OF THE CURRENT TRADING ENVIRONMENT IN THE EU …………………………………………………. 163</w:t>
      </w:r>
      <w:r>
        <w:t xml:space="preserve"> </w:t>
      </w:r>
      <w:r>
        <w:t xml:space="preserve">1.1.</w:t>
      </w:r>
      <w:r>
        <w:t xml:space="preserve"> </w:t>
      </w:r>
      <w:r>
        <w:t xml:space="preserve">DESCRIPTION AND EVOLUTION OF EUROPEAN MARKETS IN FINANCIAL INSTRUMENTS ……………………… 163</w:t>
      </w:r>
      <w:r>
        <w:t xml:space="preserve"> </w:t>
      </w:r>
      <w:r>
        <w:t xml:space="preserve">1.2.</w:t>
      </w:r>
      <w:r>
        <w:t xml:space="preserve"> </w:t>
      </w:r>
      <w:r>
        <w:t xml:space="preserve">CURRENT REGULATORY APPROACH TO CROSS-BORDER OPERATIONS OF TRADING INFRASTRUCTURE…. 167</w:t>
      </w:r>
      <w:r>
        <w:t xml:space="preserve"> </w:t>
      </w:r>
      <w:r>
        <w:t xml:space="preserve">1.3.</w:t>
      </w:r>
      <w:r>
        <w:t xml:space="preserve"> </w:t>
      </w:r>
      <w:r>
        <w:t xml:space="preserve">ACCESSING LIQUIDITY POOLS IN THE UNION: CURRENT MARKET PRACTICES ………………………………….. 168</w:t>
      </w:r>
      <w:r>
        <w:t xml:space="preserve"> </w:t>
      </w:r>
      <w:r>
        <w:t xml:space="preserve">2.</w:t>
      </w:r>
      <w:r>
        <w:t xml:space="preserve"> </w:t>
      </w:r>
      <w:r>
        <w:t xml:space="preserve">ASSESSMENT OF PROBLEMS IN THE TRADING AREA ……………………………………………………………………….. 171</w:t>
      </w:r>
      <w:r>
        <w:t xml:space="preserve"> </w:t>
      </w:r>
      <w:r>
        <w:t xml:space="preserve">2.1.</w:t>
      </w:r>
      <w:r>
        <w:t xml:space="preserve"> </w:t>
      </w:r>
      <w:r>
        <w:t xml:space="preserve">IDENTIFIED PROBLEMS IN THE TRADING AREA …………………………………………………………………………… 171</w:t>
      </w:r>
      <w:r>
        <w:t xml:space="preserve"> </w:t>
      </w:r>
      <w:r>
        <w:t xml:space="preserve">2.2.</w:t>
      </w:r>
      <w:r>
        <w:t xml:space="preserve"> </w:t>
      </w:r>
      <w:r>
        <w:t xml:space="preserve">IDENTIFIED PROBLEM DRIVERS IN THE TRADING AREA ………………………………………………………………… 172</w:t>
      </w:r>
      <w:r>
        <w:t xml:space="preserve"> </w:t>
      </w:r>
      <w:r>
        <w:t xml:space="preserve">2.3.</w:t>
      </w:r>
      <w:r>
        <w:t xml:space="preserve"> </w:t>
      </w:r>
      <w:r>
        <w:t xml:space="preserve">OBJECTIVES IN THE TRADING AREA …………………………………………………………………………………………. 177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2"/>
        </w:numPr>
      </w:pPr>
      <w:r>
        <w:t xml:space="preserve">POLICY OPTIONS AND ASSESSMENT OF THE OPTIONS ……………………………………………………………………… 177</w:t>
      </w:r>
      <w:r>
        <w:t xml:space="preserve"> </w:t>
      </w:r>
      <w:r>
        <w:t xml:space="preserve">3.1.</w:t>
      </w:r>
      <w:r>
        <w:t xml:space="preserve"> </w:t>
      </w:r>
      <w:r>
        <w:t xml:space="preserve">DESCRIPTION OF POLICY OPTIONS ……………………………………………………………………………………………. 177</w:t>
      </w:r>
      <w:r>
        <w:t xml:space="preserve"> </w:t>
      </w:r>
      <w:r>
        <w:t xml:space="preserve">3.2.</w:t>
      </w:r>
      <w:r>
        <w:t xml:space="preserve"> </w:t>
      </w:r>
      <w:r>
        <w:t xml:space="preserve">ASSESSMENT AND COMPARISON OF THE OPTIONS ………………………………………………………………………. 180</w:t>
      </w:r>
      <w:r>
        <w:t xml:space="preserve"> </w:t>
      </w:r>
      <w:r>
        <w:t xml:space="preserve">3.3.</w:t>
      </w:r>
      <w:r>
        <w:t xml:space="preserve"> </w:t>
      </w:r>
      <w:r>
        <w:t xml:space="preserve">FLANKING MEASURES ……………………………………………………………………………………………………………. 193</w:t>
      </w:r>
      <w:r>
        <w:t xml:space="preserve"> </w:t>
      </w:r>
      <w:r>
        <w:t xml:space="preserve">ANNEX 8: SECTORAL ANNEX ON POST-TRADE ……………………………………………………………………………. 195</w:t>
      </w:r>
    </w:p>
    <w:p>
      <w:pPr>
        <w:pStyle w:val="Compact"/>
        <w:numPr>
          <w:ilvl w:val="0"/>
          <w:numId w:val="1002"/>
        </w:numPr>
      </w:pPr>
      <w:r>
        <w:t xml:space="preserve">INTRODUCTION ………………………………………………………………………………………………………………………… 198</w:t>
      </w:r>
    </w:p>
    <w:p>
      <w:pPr>
        <w:pStyle w:val="Compact"/>
        <w:numPr>
          <w:ilvl w:val="0"/>
          <w:numId w:val="1002"/>
        </w:numPr>
      </w:pPr>
      <w:r>
        <w:t xml:space="preserve">DESCRIPTION OF MARKET AND ENVIRONMENT ……………………………………………………………………………… 199</w:t>
      </w:r>
      <w:r>
        <w:t xml:space="preserve"> </w:t>
      </w:r>
      <w:r>
        <w:t xml:space="preserve">2.1.</w:t>
      </w:r>
      <w:r>
        <w:t xml:space="preserve"> </w:t>
      </w:r>
      <w:r>
        <w:t xml:space="preserve">OVERVIEW OF POST-TRADE SERVICES ………………………………………………………………………………………. 199</w:t>
      </w:r>
      <w:r>
        <w:t xml:space="preserve"> </w:t>
      </w:r>
      <w:r>
        <w:t xml:space="preserve">2.2.</w:t>
      </w:r>
      <w:r>
        <w:t xml:space="preserve"> </w:t>
      </w:r>
      <w:r>
        <w:t xml:space="preserve">LEGAL CONTEXT …………………………………………………………………………………………………………………… 201</w:t>
      </w:r>
      <w:r>
        <w:t xml:space="preserve"> </w:t>
      </w:r>
      <w:r>
        <w:t xml:space="preserve">2.3.</w:t>
      </w:r>
      <w:r>
        <w:t xml:space="preserve"> </w:t>
      </w:r>
      <w:r>
        <w:t xml:space="preserve">THE ROLE OF CSDS ………………………………………………………………………………………………………………. 203</w:t>
      </w:r>
      <w:r>
        <w:t xml:space="preserve"> </w:t>
      </w:r>
      <w:r>
        <w:t xml:space="preserve">2.4.</w:t>
      </w:r>
      <w:r>
        <w:t xml:space="preserve"> </w:t>
      </w:r>
      <w:r>
        <w:t xml:space="preserve">CSDS IN THE EUROPEAN UNION ……………………………………………………………………………………………… 205</w:t>
      </w:r>
    </w:p>
    <w:p>
      <w:pPr>
        <w:pStyle w:val="Compact"/>
        <w:numPr>
          <w:ilvl w:val="0"/>
          <w:numId w:val="1002"/>
        </w:numPr>
      </w:pPr>
      <w:r>
        <w:t xml:space="preserve">ASSESSMENT OF PROBLEMS AND NEED TO ACT ……………………………………………………………………………… 217</w:t>
      </w:r>
      <w:r>
        <w:t xml:space="preserve"> </w:t>
      </w:r>
      <w:r>
        <w:t xml:space="preserve">3.1.</w:t>
      </w:r>
      <w:r>
        <w:t xml:space="preserve"> </w:t>
      </w:r>
      <w:r>
        <w:t xml:space="preserve">PROBLEM DEFINITION AND DESCRIPTION OF CURRENT STATE-OF-PLAY …………………………………………. 217</w:t>
      </w:r>
      <w:r>
        <w:t xml:space="preserve"> </w:t>
      </w:r>
      <w:r>
        <w:t xml:space="preserve">3.2.</w:t>
      </w:r>
      <w:r>
        <w:t xml:space="preserve"> </w:t>
      </w:r>
      <w:r>
        <w:t xml:space="preserve">PROBLEM DRIVERS………………………………………………………………………………………………………………… 219</w:t>
      </w:r>
    </w:p>
    <w:p>
      <w:pPr>
        <w:pStyle w:val="Compact"/>
        <w:numPr>
          <w:ilvl w:val="0"/>
          <w:numId w:val="1002"/>
        </w:numPr>
      </w:pPr>
      <w:r>
        <w:t xml:space="preserve">OBJECTIVES …………………………………………………………………………………………………………………………….. 240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…………………………………………………………………………………………………………… 240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…………………………………………………………………………………………………………….. 240</w:t>
      </w:r>
    </w:p>
    <w:p>
      <w:pPr>
        <w:pStyle w:val="Compact"/>
        <w:numPr>
          <w:ilvl w:val="0"/>
          <w:numId w:val="1002"/>
        </w:numPr>
      </w:pPr>
      <w:r>
        <w:t xml:space="preserve">POLICY OPTIONS AND ASSESSMENT …………………………………………………………………………………………….. 242</w:t>
      </w:r>
      <w:r>
        <w:t xml:space="preserve"> </w:t>
      </w:r>
      <w:r>
        <w:t xml:space="preserve">5.1.</w:t>
      </w:r>
      <w:r>
        <w:t xml:space="preserve"> </w:t>
      </w:r>
      <w:r>
        <w:t xml:space="preserve">POLICY OPTIONS RELATED TO THE CSDR …………………………………………………………………………………. 242</w:t>
      </w:r>
      <w:r>
        <w:t xml:space="preserve"> </w:t>
      </w:r>
      <w:r>
        <w:t xml:space="preserve">5.2.</w:t>
      </w:r>
      <w:r>
        <w:t xml:space="preserve"> </w:t>
      </w:r>
      <w:r>
        <w:t xml:space="preserve">POLICY OPTIONS RELATED TO THE SFD ……………………………………………………………………………………. 247</w:t>
      </w:r>
    </w:p>
    <w:p>
      <w:pPr>
        <w:pStyle w:val="Compact"/>
        <w:numPr>
          <w:ilvl w:val="0"/>
          <w:numId w:val="1002"/>
        </w:numPr>
      </w:pPr>
      <w:r>
        <w:t xml:space="preserve">IMPACT OF THE POLICY OPTIONS …………………………………………………………………………………………………. 251</w:t>
      </w:r>
      <w:r>
        <w:t xml:space="preserve"> </w:t>
      </w:r>
      <w:r>
        <w:t xml:space="preserve">6.1.</w:t>
      </w:r>
      <w:r>
        <w:t xml:space="preserve"> </w:t>
      </w:r>
      <w:r>
        <w:t xml:space="preserve">IMPACT OF THE POLICY OPTIONS REGARDING THE CSDR ……………………………………………………………. 251</w:t>
      </w:r>
      <w:r>
        <w:t xml:space="preserve"> </w:t>
      </w:r>
      <w:r>
        <w:t xml:space="preserve">6.2.</w:t>
      </w:r>
      <w:r>
        <w:t xml:space="preserve"> </w:t>
      </w:r>
      <w:r>
        <w:t xml:space="preserve">IMPACT OF THE POLICY OPTIONS REGARDING THE SFD ………………………………………………………………. 265</w:t>
      </w:r>
    </w:p>
    <w:p>
      <w:pPr>
        <w:pStyle w:val="Compact"/>
        <w:numPr>
          <w:ilvl w:val="0"/>
          <w:numId w:val="1002"/>
        </w:numPr>
      </w:pPr>
      <w:r>
        <w:t xml:space="preserve">MONITORING …………………………………………………………………………………………………………………………… 280</w:t>
      </w:r>
      <w:r>
        <w:t xml:space="preserve"> </w:t>
      </w:r>
      <w:r>
        <w:t xml:space="preserve">ANNEX 9: SECTORAL ANNEX ON ASSET MANAGEMENT ……………………………………………………………. 282</w:t>
      </w:r>
    </w:p>
    <w:p>
      <w:pPr>
        <w:pStyle w:val="Compact"/>
        <w:numPr>
          <w:ilvl w:val="0"/>
          <w:numId w:val="1002"/>
        </w:numPr>
      </w:pPr>
      <w:r>
        <w:t xml:space="preserve">INTRODUCTION ………………………………………………………………………………………………………………………… 282</w:t>
      </w:r>
    </w:p>
    <w:p>
      <w:pPr>
        <w:pStyle w:val="Compact"/>
        <w:numPr>
          <w:ilvl w:val="0"/>
          <w:numId w:val="1002"/>
        </w:numPr>
      </w:pPr>
      <w:r>
        <w:t xml:space="preserve">THE EU ASSET MANAGEMENT SECTOR AND LEGAL FRAMEWORK …………………………………………………….. 283</w:t>
      </w:r>
      <w:r>
        <w:t xml:space="preserve"> </w:t>
      </w:r>
      <w:r>
        <w:t xml:space="preserve">2.1.</w:t>
      </w:r>
      <w:r>
        <w:t xml:space="preserve"> </w:t>
      </w:r>
      <w:r>
        <w:t xml:space="preserve">SIGNIFICANT GROWTH BUT RELATIVE DECLINE GLOBALLY………………………………………………………….. 283</w:t>
      </w:r>
      <w:r>
        <w:t xml:space="preserve"> </w:t>
      </w:r>
      <w:r>
        <w:t xml:space="preserve">2.2.</w:t>
      </w:r>
      <w:r>
        <w:t xml:space="preserve"> </w:t>
      </w:r>
      <w:r>
        <w:t xml:space="preserve">UNEVEN DEVELOPMENT OF FUND MARKETS ACROSS THE EU ………………………………………………………. 285</w:t>
      </w:r>
      <w:r>
        <w:t xml:space="preserve"> </w:t>
      </w:r>
      <w:r>
        <w:t xml:space="preserve">2.3.</w:t>
      </w:r>
      <w:r>
        <w:t xml:space="preserve"> </w:t>
      </w:r>
      <w:r>
        <w:t xml:space="preserve">LIMITED CROSS-BORDER PROVISION OF INVESTMENT FUNDS ……………………………………………………….. 286</w:t>
      </w:r>
      <w:r>
        <w:t xml:space="preserve"> </w:t>
      </w:r>
      <w:r>
        <w:t xml:space="preserve">2.4.</w:t>
      </w:r>
      <w:r>
        <w:t xml:space="preserve"> </w:t>
      </w:r>
      <w:r>
        <w:t xml:space="preserve">FRAGMENTED INVESTMENT FUND MARKETS ……………………………………………………………………………… 287</w:t>
      </w:r>
      <w:r>
        <w:t xml:space="preserve"> </w:t>
      </w:r>
      <w:r>
        <w:t xml:space="preserve">2.5.</w:t>
      </w:r>
      <w:r>
        <w:t xml:space="preserve"> </w:t>
      </w:r>
      <w:r>
        <w:t xml:space="preserve">LARGE PARTS OF DEPOSITARY SERVICES MARKETS ARE UNDER-SERVED OR HIGHLY CONCENTRATED .. 290</w:t>
      </w:r>
      <w:r>
        <w:t xml:space="preserve"> </w:t>
      </w:r>
      <w:r>
        <w:t xml:space="preserve">2.6.</w:t>
      </w:r>
      <w:r>
        <w:t xml:space="preserve"> </w:t>
      </w:r>
      <w:r>
        <w:t xml:space="preserve">FRAGMENTATION IN THE EU ASSET MANAGEMENT MARKET STRUCTURE AND OPERATIONS …………….. 290</w:t>
      </w:r>
    </w:p>
    <w:p>
      <w:pPr>
        <w:pStyle w:val="Compact"/>
        <w:numPr>
          <w:ilvl w:val="0"/>
          <w:numId w:val="1002"/>
        </w:numPr>
      </w:pPr>
      <w:r>
        <w:t xml:space="preserve">ASSESSMENT OF PROBLEMS AND NEED TO ACT ……………………………………………………………………………… 291</w:t>
      </w:r>
      <w:r>
        <w:t xml:space="preserve"> </w:t>
      </w:r>
      <w:r>
        <w:t xml:space="preserve">3.1.</w:t>
      </w:r>
      <w:r>
        <w:t xml:space="preserve"> </w:t>
      </w:r>
      <w:r>
        <w:t xml:space="preserve">PROBLEM DEFINITION – BARRIERS TO CROSS-BORDER ACTIVITIES OF THE EU FUND VALUE CHAIN …… 291</w:t>
      </w:r>
      <w:r>
        <w:t xml:space="preserve"> </w:t>
      </w:r>
      <w:r>
        <w:t xml:space="preserve">3.2.</w:t>
      </w:r>
      <w:r>
        <w:t xml:space="preserve"> </w:t>
      </w:r>
      <w:r>
        <w:t xml:space="preserve">BARRIERS TO CROSS-BORDER ACTIVITIES OF INVESTMENT FUNDS ………………………………………………… 292</w:t>
      </w:r>
      <w:r>
        <w:t xml:space="preserve"> </w:t>
      </w:r>
      <w:r>
        <w:t xml:space="preserve">3.3.</w:t>
      </w:r>
      <w:r>
        <w:t xml:space="preserve"> </w:t>
      </w:r>
      <w:r>
        <w:t xml:space="preserve">BARRIERS TO CROSS-BORDER ACTIVITIES FOR DEPOSITARY SERVICES …………………………………………… 296</w:t>
      </w:r>
      <w:r>
        <w:t xml:space="preserve"> </w:t>
      </w:r>
      <w:r>
        <w:t xml:space="preserve">3.4.</w:t>
      </w:r>
      <w:r>
        <w:t xml:space="preserve"> </w:t>
      </w:r>
      <w:r>
        <w:t xml:space="preserve">BARRIERS TO CROSS-BORDER ACTIVITIES FOR ASSET MANAGERS …………………………………………………. 298</w:t>
      </w:r>
      <w:r>
        <w:t xml:space="preserve"> </w:t>
      </w:r>
      <w:r>
        <w:t xml:space="preserve">3.5.</w:t>
      </w:r>
      <w:r>
        <w:t xml:space="preserve"> </w:t>
      </w:r>
      <w:r>
        <w:t xml:space="preserve">OTHER BARRIERS TO THE GROWTH OF INVESTMENT FUNDS …………………………………………………………. 300</w:t>
      </w:r>
    </w:p>
    <w:p>
      <w:pPr>
        <w:pStyle w:val="Compact"/>
        <w:numPr>
          <w:ilvl w:val="0"/>
          <w:numId w:val="1002"/>
        </w:numPr>
      </w:pPr>
      <w:r>
        <w:t xml:space="preserve">OBJECTIVES: ENABLE MARKET INTEGRATION AND SCALE EFFECTS IN CROSS-BORDER ACTIVITIES FOR THE</w:t>
      </w:r>
      <w:r>
        <w:t xml:space="preserve"> </w:t>
      </w:r>
      <w:r>
        <w:t xml:space="preserve">EU FUND MARKET VALUE CHAIN …………………………………………………………………………………………………………… 300</w:t>
      </w:r>
      <w:r>
        <w:t xml:space="preserve"> </w:t>
      </w:r>
      <w:r>
        <w:t xml:space="preserve">4.1.</w:t>
      </w:r>
      <w:r>
        <w:t xml:space="preserve"> </w:t>
      </w:r>
      <w:r>
        <w:t xml:space="preserve">REDUCTION OF COSTS AND BURDENS STEMMING FROM THE UNNECESSARY ADMINISTRATIVE BARRIERS</w:t>
      </w:r>
    </w:p>
    <w:p>
      <w:pPr>
        <w:pStyle w:val="FirstParagraph"/>
      </w:pPr>
      <w:r>
        <w:t xml:space="preserve">300</w:t>
      </w:r>
      <w:r>
        <w:t xml:space="preserve"> </w:t>
      </w:r>
      <w:r>
        <w:t xml:space="preserve">5.</w:t>
      </w:r>
      <w:r>
        <w:t xml:space="preserve"> </w:t>
      </w:r>
      <w:r>
        <w:t xml:space="preserve">POLICY OPTIONS ………………………………………………………………………………………………………………………. 305</w:t>
      </w:r>
      <w:r>
        <w:t xml:space="preserve"> </w:t>
      </w:r>
      <w:r>
        <w:t xml:space="preserve">5.1.</w:t>
      </w:r>
      <w:r>
        <w:t xml:space="preserve"> </w:t>
      </w:r>
      <w:r>
        <w:t xml:space="preserve">POLICY OPTIONS FOR INVESTMENT FUNDS ………………………………………………………………………………… 305</w:t>
      </w:r>
      <w:r>
        <w:t xml:space="preserve"> </w:t>
      </w:r>
      <w:r>
        <w:t xml:space="preserve">5.2.</w:t>
      </w:r>
      <w:r>
        <w:t xml:space="preserve"> </w:t>
      </w:r>
      <w:r>
        <w:t xml:space="preserve">POLICY OPTIONS FOR DEPOSITARIES ………………………………………………………………………………………… 309</w:t>
      </w:r>
      <w:r>
        <w:t xml:space="preserve"> </w:t>
      </w:r>
      <w:r>
        <w:t xml:space="preserve">5.3.</w:t>
      </w:r>
      <w:r>
        <w:t xml:space="preserve"> </w:t>
      </w:r>
      <w:r>
        <w:t xml:space="preserve">POLICY OPTIONS FOR ASSET MANAGERS …………………………………………………………………………………… 310</w:t>
      </w:r>
      <w:r>
        <w:t xml:space="preserve"> </w:t>
      </w:r>
      <w:r>
        <w:t xml:space="preserve">5.4.</w:t>
      </w:r>
      <w:r>
        <w:t xml:space="preserve"> </w:t>
      </w:r>
      <w:r>
        <w:t xml:space="preserve">POLICY OPTIONS FOR OTHER BARRIERS TO THE GROWTH OF THE INVESTMENT FUND SECTOR……………. 313</w:t>
      </w:r>
      <w:r>
        <w:t xml:space="preserve"> </w:t>
      </w:r>
      <w:r>
        <w:t xml:space="preserve">6.</w:t>
      </w:r>
      <w:r>
        <w:t xml:space="preserve"> </w:t>
      </w:r>
      <w:r>
        <w:t xml:space="preserve">IMPACT OF POLICY OPTIONS ……………………………………………………………………………………………………….. 314</w:t>
      </w:r>
      <w:r>
        <w:t xml:space="preserve"> </w:t>
      </w:r>
      <w:r>
        <w:t xml:space="preserve">6.1.</w:t>
      </w:r>
      <w:r>
        <w:t xml:space="preserve"> </w:t>
      </w:r>
      <w:r>
        <w:t xml:space="preserve">IMPACT OF THE POLICY OPTIONS REGARDING INVESTMENT FUNDS ……………………………………………….. 314</w:t>
      </w:r>
      <w:r>
        <w:t xml:space="preserve"> </w:t>
      </w:r>
      <w:r>
        <w:t xml:space="preserve">6.2.</w:t>
      </w:r>
      <w:r>
        <w:t xml:space="preserve"> </w:t>
      </w:r>
      <w:r>
        <w:t xml:space="preserve">IMPACT OF THE POLICY OPTIONS REGARDING DEPOSITARY SERVICES ……………………………………………. 316</w:t>
      </w:r>
      <w:r>
        <w:t xml:space="preserve"> </w:t>
      </w:r>
      <w:r>
        <w:t xml:space="preserve">6.3.</w:t>
      </w:r>
      <w:r>
        <w:t xml:space="preserve"> </w:t>
      </w:r>
      <w:r>
        <w:t xml:space="preserve">IMPACT OF THE POLICY OPTIONS REGARDING ASSET MANAGERS ………………………………………………….. 317</w:t>
      </w:r>
      <w:r>
        <w:t xml:space="preserve"> </w:t>
      </w:r>
      <w:r>
        <w:t xml:space="preserve">6.4.</w:t>
      </w:r>
      <w:r>
        <w:t xml:space="preserve"> </w:t>
      </w:r>
      <w:r>
        <w:t xml:space="preserve">IMPACT OF THE POLICY OPTIONS REGARDING OTHER BARRIERS TO THE GROWTH OF INVESTMENT FUNDS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APPENDIX A – LIST OF NATIONAL DISCRETIONS …………………………………………………………………………………… 323</w:t>
      </w:r>
      <w:r>
        <w:t xml:space="preserve"> </w:t>
      </w:r>
      <w:r>
        <w:t xml:space="preserve">ANNEX 10: SECTORAL ANNEX ON INNOVATION (DLTPR) …………………………………………………………… 327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………………………………………………………………………………………………………………………… 327</w:t>
      </w:r>
      <w:r>
        <w:t xml:space="preserve"> </w:t>
      </w:r>
      <w:r>
        <w:t xml:space="preserve">2.</w:t>
      </w:r>
      <w:r>
        <w:t xml:space="preserve"> </w:t>
      </w:r>
      <w:r>
        <w:t xml:space="preserve">DESCRIPTION OF MARKET AND ENVIRONMENT ……………………………………………………………………………… 327</w:t>
      </w:r>
      <w:r>
        <w:t xml:space="preserve"> </w:t>
      </w:r>
      <w:r>
        <w:t xml:space="preserve">3.</w:t>
      </w:r>
      <w:r>
        <w:t xml:space="preserve"> </w:t>
      </w:r>
      <w:r>
        <w:t xml:space="preserve">ASSESSMENT OF PROBLEMS AND NEED TO ACT ……………………………………………………………………………… 329</w:t>
      </w:r>
      <w:r>
        <w:t xml:space="preserve"> </w:t>
      </w:r>
      <w:r>
        <w:t xml:space="preserve">3.1.</w:t>
      </w:r>
      <w:r>
        <w:t xml:space="preserve"> </w:t>
      </w:r>
      <w:r>
        <w:t xml:space="preserve">PROBLEM DEFINITION AND DESCRIPTION OF CURRENT STATE-OF-PLAY …………………………………………. 329</w:t>
      </w:r>
      <w:r>
        <w:t xml:space="preserve"> </w:t>
      </w:r>
      <w:r>
        <w:t xml:space="preserve">3.2.</w:t>
      </w:r>
      <w:r>
        <w:t xml:space="preserve"> </w:t>
      </w:r>
      <w:r>
        <w:t xml:space="preserve">PROBLEM DRIVERS………………………………………………………………………………………………………………… 337</w:t>
      </w:r>
      <w:r>
        <w:t xml:space="preserve"> </w:t>
      </w:r>
      <w:r>
        <w:t xml:space="preserve">4.</w:t>
      </w:r>
      <w:r>
        <w:t xml:space="preserve"> </w:t>
      </w:r>
      <w:r>
        <w:t xml:space="preserve">OBJECTIVES …………………………………………………………………………………………………………………………….. 341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 …………………………………………………………………………………………………………….. 341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…………………………………………………………………………………………………………….. 342</w:t>
      </w:r>
      <w:r>
        <w:t xml:space="preserve"> </w:t>
      </w:r>
      <w:r>
        <w:t xml:space="preserve">5.</w:t>
      </w:r>
      <w:r>
        <w:t xml:space="preserve"> </w:t>
      </w:r>
      <w:r>
        <w:t xml:space="preserve">POLICY OPTIONS AND ASSESSMENT …………………………………………………………………………………………….. 344</w:t>
      </w:r>
      <w:r>
        <w:t xml:space="preserve"> </w:t>
      </w:r>
      <w:r>
        <w:t xml:space="preserve">5.1.</w:t>
      </w:r>
      <w:r>
        <w:t xml:space="preserve"> </w:t>
      </w:r>
      <w:r>
        <w:t xml:space="preserve">SPECIFIC OBJECTIVE 1: ENSURE THAT DLTPR LAYS DOWN PROPORTIONATE AND FLEXIBLE REGULATORY</w:t>
      </w:r>
      <w:r>
        <w:t xml:space="preserve"> </w:t>
      </w:r>
      <w:r>
        <w:t xml:space="preserve">REQUIREMENTS FOR BUSINESSES PARTICIPATING IN THE PILOT ………………………………………………………………. 344</w:t>
      </w:r>
      <w:r>
        <w:t xml:space="preserve"> </w:t>
      </w:r>
      <w:r>
        <w:t xml:space="preserve">5.2.</w:t>
      </w:r>
      <w:r>
        <w:t xml:space="preserve"> </w:t>
      </w:r>
      <w:r>
        <w:t xml:space="preserve">SPECIFIC OBJECTIVE 2: REMOVE REGULATORY BARRIERS TO ACHIEVING SCALE AND SCOPE OF PROJECTS</w:t>
      </w:r>
      <w:r>
        <w:t xml:space="preserve"> </w:t>
      </w:r>
      <w:r>
        <w:t xml:space="preserve">AND ACTIVITIES UNDER THE PILOT …………………………………………………………………………………………………….. 347</w:t>
      </w:r>
      <w:r>
        <w:t xml:space="preserve"> </w:t>
      </w:r>
      <w:r>
        <w:t xml:space="preserve">5.3.</w:t>
      </w:r>
      <w:r>
        <w:t xml:space="preserve"> </w:t>
      </w:r>
      <w:r>
        <w:t xml:space="preserve">COMPARISON OF POLICY OPTIONS ……………………………………………………………………………………………. 352</w:t>
      </w:r>
      <w:r>
        <w:t xml:space="preserve"> </w:t>
      </w:r>
      <w:r>
        <w:t xml:space="preserve">ANNEX 11: SECTORAL ANNEX ON SUPERVISION …………………………………………………………………………. 356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……………………………………………………………………………………………………………………………. 356</w:t>
      </w:r>
      <w:r>
        <w:t xml:space="preserve"> </w:t>
      </w:r>
      <w:r>
        <w:t xml:space="preserve">2.</w:t>
      </w:r>
      <w:r>
        <w:t xml:space="preserve"> </w:t>
      </w:r>
      <w:r>
        <w:t xml:space="preserve">DESCRIPTION OF MARKET / ENVIRONMENT ………………………………………………………………………………………. 357</w:t>
      </w:r>
      <w:r>
        <w:t xml:space="preserve"> </w:t>
      </w:r>
      <w:r>
        <w:t xml:space="preserve">3.</w:t>
      </w:r>
      <w:r>
        <w:t xml:space="preserve"> </w:t>
      </w:r>
      <w:r>
        <w:t xml:space="preserve">ASSESSMENT OF PROBLEMS AND NEED TO ACT …………………………………………………………………………………. 359</w:t>
      </w:r>
      <w:r>
        <w:t xml:space="preserve"> </w:t>
      </w:r>
      <w:r>
        <w:t xml:space="preserve">3.1.</w:t>
      </w:r>
      <w:r>
        <w:t xml:space="preserve"> </w:t>
      </w:r>
      <w:r>
        <w:t xml:space="preserve">DESCRIPTION OF CURRENT STATE OF PLAY ……………………………………………………………………………….. 359</w:t>
      </w:r>
      <w:r>
        <w:t xml:space="preserve"> </w:t>
      </w:r>
      <w:r>
        <w:t xml:space="preserve">3.2.</w:t>
      </w:r>
      <w:r>
        <w:t xml:space="preserve"> </w:t>
      </w:r>
      <w:r>
        <w:t xml:space="preserve">PROBLEM DEFINITION – FRAGMENTED, LESS EFFICIENT AND INEFFECTIVE SUPERVISION ………………….. 366</w:t>
      </w:r>
      <w:r>
        <w:t xml:space="preserve"> </w:t>
      </w:r>
      <w:r>
        <w:t xml:space="preserve">3.3.</w:t>
      </w:r>
      <w:r>
        <w:t xml:space="preserve"> </w:t>
      </w:r>
      <w:r>
        <w:t xml:space="preserve">PROBLEM DRIVERS (WHAT CAUSES THESE PROBLEMS) ……………………………………………………………….. 368</w:t>
      </w:r>
      <w:r>
        <w:t xml:space="preserve"> </w:t>
      </w:r>
      <w:r>
        <w:t xml:space="preserve">3.4.</w:t>
      </w:r>
      <w:r>
        <w:t xml:space="preserve"> </w:t>
      </w:r>
      <w:r>
        <w:t xml:space="preserve">OBJECTIVE (WHAT DO WE WANT TO ACHIEVE) …………………………………………………………………………… 379</w:t>
      </w:r>
      <w:r>
        <w:t xml:space="preserve"> </w:t>
      </w:r>
      <w:r>
        <w:t xml:space="preserve">4.</w:t>
      </w:r>
      <w:r>
        <w:t xml:space="preserve"> </w:t>
      </w:r>
      <w:r>
        <w:t xml:space="preserve">POLICY OPTIONS AND ASSESSMENT ………………………………………………………………………………………………… 380</w:t>
      </w:r>
      <w:r>
        <w:t xml:space="preserve"> </w:t>
      </w:r>
      <w:r>
        <w:t xml:space="preserve">4.1.</w:t>
      </w:r>
      <w:r>
        <w:t xml:space="preserve"> </w:t>
      </w:r>
      <w:r>
        <w:t xml:space="preserve">OPTION 1 – NO POLICY ACTION ……………………………………………………………………………………………….. 381</w:t>
      </w:r>
      <w:r>
        <w:t xml:space="preserve"> </w:t>
      </w:r>
      <w:r>
        <w:t xml:space="preserve">4.2.</w:t>
      </w:r>
      <w:r>
        <w:t xml:space="preserve"> </w:t>
      </w:r>
      <w:r>
        <w:t xml:space="preserve">OPTION 2 - IMPROVED SUPERVISORY CONVERGENCE AND ENHANCED ROLE FOR ESMA IN SUPERVISION</w:t>
      </w:r>
    </w:p>
    <w:p>
      <w:pPr>
        <w:pStyle w:val="BodyText"/>
      </w:pPr>
      <w:r>
        <w:t xml:space="preserve">383</w:t>
      </w:r>
      <w:r>
        <w:t xml:space="preserve"> </w:t>
      </w:r>
      <w:r>
        <w:t xml:space="preserve">4.3.</w:t>
      </w:r>
      <w:r>
        <w:t xml:space="preserve"> </w:t>
      </w:r>
      <w:r>
        <w:t xml:space="preserve">OPTION 3 – ESMA SINGLE SUPERVISOR FOR ALL EU TRADING VENUES, POST TRADING, ASSET MANAGERS</w:t>
      </w:r>
      <w:r>
        <w:t xml:space="preserve"> </w:t>
      </w:r>
      <w:r>
        <w:t xml:space="preserve">AND CRYPTO ASSET SERVICE PROVIDERS …………………………………………………………………………………………….. 396</w:t>
      </w:r>
      <w:r>
        <w:t xml:space="preserve"> </w:t>
      </w:r>
      <w:r>
        <w:t xml:space="preserve">4.4.</w:t>
      </w:r>
      <w:r>
        <w:t xml:space="preserve"> </w:t>
      </w:r>
      <w:r>
        <w:t xml:space="preserve">ASSESSMENT OF THE IMPACT OF OPTION 2 ……………………………………………………………………………….. 397</w:t>
      </w:r>
      <w:r>
        <w:t xml:space="preserve"> </w:t>
      </w:r>
      <w:r>
        <w:t xml:space="preserve">4.5.</w:t>
      </w:r>
      <w:r>
        <w:t xml:space="preserve"> </w:t>
      </w:r>
      <w:r>
        <w:t xml:space="preserve">ASSESSMENT OF THE IMPACT OF OPTION 3 ……………………………………………………………………………….. 403</w:t>
      </w:r>
      <w:r>
        <w:t xml:space="preserve"> </w:t>
      </w:r>
      <w:r>
        <w:t xml:space="preserve">5.</w:t>
      </w:r>
      <w:r>
        <w:t xml:space="preserve"> </w:t>
      </w:r>
      <w:r>
        <w:t xml:space="preserve">MONITORING ………………………………………………………………………………………………………………………………. 405</w:t>
      </w:r>
      <w:r>
        <w:t xml:space="preserve"> </w:t>
      </w:r>
      <w:r>
        <w:t xml:space="preserve">ANNEX 12: MEMBER-STATE-SPECIFIC EVIDENCE ON MARKET CONTEXT ……………………………… 407</w:t>
      </w:r>
      <w:r>
        <w:t xml:space="preserve"> </w:t>
      </w:r>
      <w:r>
        <w:t xml:space="preserve">1.1</w:t>
      </w:r>
      <w:r>
        <w:t xml:space="preserve"> </w:t>
      </w:r>
      <w:r>
        <w:t xml:space="preserve">SAVINGS-INVESTMENTS BALANCE IN THE EU/EA …………………………………………………………………………. 408</w:t>
      </w:r>
      <w:r>
        <w:t xml:space="preserve"> </w:t>
      </w:r>
      <w:r>
        <w:t xml:space="preserve">1.2</w:t>
      </w:r>
      <w:r>
        <w:t xml:space="preserve"> </w:t>
      </w:r>
      <w:r>
        <w:t xml:space="preserve">MEMBER STATE SPECIFIC EVIDENCE ON CAPITAL MARKETS …………………………………………………………….. 410</w:t>
      </w:r>
      <w:r>
        <w:t xml:space="preserve"> </w:t>
      </w:r>
      <w:r>
        <w:t xml:space="preserve">1.3</w:t>
      </w:r>
      <w:r>
        <w:t xml:space="preserve"> </w:t>
      </w:r>
      <w:r>
        <w:t xml:space="preserve">AUSTRIA …………………………………………………………………………………………………………………………………. 410</w:t>
      </w:r>
      <w:r>
        <w:t xml:space="preserve"> </w:t>
      </w:r>
      <w:r>
        <w:t xml:space="preserve">1.4</w:t>
      </w:r>
      <w:r>
        <w:t xml:space="preserve"> </w:t>
      </w:r>
      <w:r>
        <w:t xml:space="preserve">BELGIUM ………………………………………………………………………………………………………………………………… 413</w:t>
      </w:r>
      <w:r>
        <w:t xml:space="preserve"> </w:t>
      </w:r>
      <w:r>
        <w:t xml:space="preserve">1.5</w:t>
      </w:r>
      <w:r>
        <w:t xml:space="preserve"> </w:t>
      </w:r>
      <w:r>
        <w:t xml:space="preserve">BULGARIA ………………………………………………………………………………………………………………………………. 416</w:t>
      </w:r>
      <w:r>
        <w:t xml:space="preserve"> </w:t>
      </w:r>
      <w:r>
        <w:t xml:space="preserve">1.6</w:t>
      </w:r>
      <w:r>
        <w:t xml:space="preserve"> </w:t>
      </w:r>
      <w:r>
        <w:t xml:space="preserve">CROATIA …………………………………………………………………………………………………………………………………. 419</w:t>
      </w:r>
      <w:r>
        <w:t xml:space="preserve"> </w:t>
      </w:r>
      <w:r>
        <w:t xml:space="preserve">1.7</w:t>
      </w:r>
      <w:r>
        <w:t xml:space="preserve"> </w:t>
      </w:r>
      <w:r>
        <w:t xml:space="preserve">CYPRUS ………………………………………………………………………………………………………………………………….. 423</w:t>
      </w:r>
      <w:r>
        <w:t xml:space="preserve"> </w:t>
      </w:r>
      <w:r>
        <w:t xml:space="preserve">1.8</w:t>
      </w:r>
      <w:r>
        <w:t xml:space="preserve"> </w:t>
      </w:r>
      <w:r>
        <w:t xml:space="preserve">CZECH REPUBLIC ……………………………………………………………………………………………………………………… 427</w:t>
      </w:r>
      <w:r>
        <w:t xml:space="preserve"> </w:t>
      </w:r>
      <w:r>
        <w:t xml:space="preserve">1.9</w:t>
      </w:r>
      <w:r>
        <w:t xml:space="preserve"> </w:t>
      </w:r>
      <w:r>
        <w:t xml:space="preserve">DENMARK ……………………………………………………………………………………………………………………………….. 431</w:t>
      </w:r>
      <w:r>
        <w:t xml:space="preserve"> </w:t>
      </w:r>
      <w:r>
        <w:t xml:space="preserve">1.10 ESTONIA …………………………………………………………………………………………………………………………………. 435</w:t>
      </w:r>
      <w:r>
        <w:t xml:space="preserve"> </w:t>
      </w:r>
      <w:r>
        <w:t xml:space="preserve">1.11 FINLAND …………………………………………………………………………………………………………………………………. 439</w:t>
      </w:r>
      <w:r>
        <w:t xml:space="preserve"> </w:t>
      </w:r>
      <w:r>
        <w:t xml:space="preserve">1.12 FRANCE …………………………………………………………………………………………………………………………………… 443</w:t>
      </w:r>
      <w:r>
        <w:t xml:space="preserve"> </w:t>
      </w:r>
      <w:r>
        <w:t xml:space="preserve">1.13 GERMANY ……………………………………………………………………………………………………………………………….. 446</w:t>
      </w:r>
      <w:r>
        <w:t xml:space="preserve"> </w:t>
      </w:r>
      <w:r>
        <w:t xml:space="preserve">1.14 GREECE …………………………………………………………………………………………………………………………………… 450</w:t>
      </w:r>
      <w:r>
        <w:t xml:space="preserve"> </w:t>
      </w:r>
      <w:r>
        <w:t xml:space="preserve">1.15 HUNGARY ……………………………………………………………………………………………………………………………….. 453</w:t>
      </w:r>
      <w:r>
        <w:t xml:space="preserve"> </w:t>
      </w:r>
      <w:r>
        <w:t xml:space="preserve">1.16 IRELAND …………………………………………………………………………………………………………………………………. 456</w:t>
      </w:r>
      <w:r>
        <w:t xml:space="preserve"> </w:t>
      </w:r>
      <w:r>
        <w:t xml:space="preserve">1.17 ITALY ……………………………………………………………………………………………………………………………………… 460</w:t>
      </w:r>
      <w:r>
        <w:t xml:space="preserve"> </w:t>
      </w:r>
      <w:r>
        <w:t xml:space="preserve">1.18 LATVIA …………………………………………………………………………………………………………………………………… 463</w:t>
      </w:r>
      <w:r>
        <w:t xml:space="preserve"> </w:t>
      </w:r>
      <w:r>
        <w:t xml:space="preserve">1.19 LITHUANIA ………………………………………………………………………………………………………………………………. 466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1.20 LUXEMBOURG ………………………………………………………………………………………………………………………….. 470</w:t>
      </w:r>
      <w:r>
        <w:t xml:space="preserve"> </w:t>
      </w:r>
      <w:r>
        <w:t xml:space="preserve">1.21 MALTA……………………………………………………………………………………………………………………………………. 473</w:t>
      </w:r>
      <w:r>
        <w:t xml:space="preserve"> </w:t>
      </w:r>
      <w:r>
        <w:t xml:space="preserve">1.22 NETHERLANDS …………………………………………………………………………………………………………………………. 476</w:t>
      </w:r>
      <w:r>
        <w:t xml:space="preserve"> </w:t>
      </w:r>
      <w:r>
        <w:t xml:space="preserve">1.23 POLAND ………………………………………………………………………………………………………………………………….. 479</w:t>
      </w:r>
      <w:r>
        <w:t xml:space="preserve"> </w:t>
      </w:r>
      <w:r>
        <w:t xml:space="preserve">1.24 PORTUGAL ………………………………………………………………………………………………………………………………. 482</w:t>
      </w:r>
      <w:r>
        <w:t xml:space="preserve"> </w:t>
      </w:r>
      <w:r>
        <w:t xml:space="preserve">1.25 ROMANIA ………………………………………………………………………………………………………………………………… 485</w:t>
      </w:r>
      <w:r>
        <w:t xml:space="preserve"> </w:t>
      </w:r>
      <w:r>
        <w:t xml:space="preserve">1.26 SLOVAKIA ……………………………………………………………………………………………………………………………….. 489</w:t>
      </w:r>
      <w:r>
        <w:t xml:space="preserve"> </w:t>
      </w:r>
      <w:r>
        <w:t xml:space="preserve">1.27 SLOVENIA ……………………………………………………………………………………………………………………………….. 492</w:t>
      </w:r>
      <w:r>
        <w:t xml:space="preserve"> </w:t>
      </w:r>
      <w:r>
        <w:t xml:space="preserve">1.28 SPAIN ……………………………………………………………………………………………………………………………………… 495</w:t>
      </w:r>
      <w:r>
        <w:t xml:space="preserve"> </w:t>
      </w:r>
      <w:r>
        <w:t xml:space="preserve">1.29 SWEDEN ………………………………………………………………………………………………………………………………….. 498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AIF</w:t>
      </w:r>
      <w:r>
        <w:t xml:space="preserve"> </w:t>
      </w:r>
      <w:r>
        <w:t xml:space="preserve">Alternative Investment Fund</w:t>
      </w:r>
      <w:r>
        <w:t xml:space="preserve"> </w:t>
      </w:r>
      <w:r>
        <w:t xml:space="preserve">AIFM</w:t>
      </w:r>
      <w:r>
        <w:t xml:space="preserve"> </w:t>
      </w:r>
      <w:r>
        <w:t xml:space="preserve">Alternative Investment Fund Manager</w:t>
      </w:r>
      <w:r>
        <w:t xml:space="preserve"> </w:t>
      </w:r>
      <w:r>
        <w:t xml:space="preserve">AIFMD</w:t>
      </w:r>
      <w:r>
        <w:t xml:space="preserve"> </w:t>
      </w:r>
      <w:r>
        <w:t xml:space="preserve">Directive 2011/61/EU of the European Parliament and of the Council of 8 June</w:t>
      </w:r>
      <w:r>
        <w:t xml:space="preserve"> </w:t>
      </w:r>
      <w:r>
        <w:t xml:space="preserve">2011 on Alternative Investment Fund Managers</w:t>
      </w:r>
      <w:r>
        <w:br/>
      </w:r>
      <w:r>
        <w:t xml:space="preserve">AuM</w:t>
      </w:r>
      <w:r>
        <w:t xml:space="preserve"> </w:t>
      </w:r>
      <w:r>
        <w:t xml:space="preserve">Assets under Management</w:t>
      </w:r>
      <w:r>
        <w:t xml:space="preserve"> </w:t>
      </w:r>
      <w:r>
        <w:t xml:space="preserve">CBDD</w:t>
      </w:r>
      <w:r>
        <w:t xml:space="preserve"> </w:t>
      </w:r>
      <w:r>
        <w:t xml:space="preserve">Directive (EU) 2019/1160 of the European Parliament and of the Council</w:t>
      </w:r>
      <w:r>
        <w:br/>
      </w:r>
      <w:r>
        <w:t xml:space="preserve">of 20 June 2019 amending Directives 2009/65/EC and 2011/61/EU with regard</w:t>
      </w:r>
      <w:r>
        <w:t xml:space="preserve"> </w:t>
      </w:r>
      <w:r>
        <w:t xml:space="preserve">to cross-border distribution of collective investment undertakings</w:t>
      </w:r>
      <w:r>
        <w:t xml:space="preserve"> </w:t>
      </w:r>
      <w:r>
        <w:t xml:space="preserve">CBDR</w:t>
      </w:r>
      <w:r>
        <w:t xml:space="preserve"> </w:t>
      </w:r>
      <w:r>
        <w:t xml:space="preserve">Regulation (EU) 2019/1156 of the European Parliament and of the Council</w:t>
      </w:r>
      <w:r>
        <w:br/>
      </w:r>
      <w:r>
        <w:t xml:space="preserve">of 20 June 2019 on facilitating cross-border distribution of collective investment</w:t>
      </w:r>
      <w:r>
        <w:t xml:space="preserve"> </w:t>
      </w:r>
      <w:r>
        <w:t xml:space="preserve">undertakings</w:t>
      </w:r>
      <w:r>
        <w:t xml:space="preserve"> </w:t>
      </w:r>
      <w:r>
        <w:t xml:space="preserve">CBD framework Refers collectively to the CBDD and the CBDR</w:t>
      </w:r>
      <w:r>
        <w:t xml:space="preserve"> </w:t>
      </w:r>
      <w:r>
        <w:t xml:space="preserve">Central</w:t>
      </w:r>
      <w:r>
        <w:t xml:space="preserve"> </w:t>
      </w:r>
      <w:r>
        <w:t xml:space="preserve">counterparty</w:t>
      </w:r>
      <w:r>
        <w:t xml:space="preserve"> </w:t>
      </w:r>
      <w:r>
        <w:t xml:space="preserve">(‘CCP’)</w:t>
      </w:r>
    </w:p>
    <w:p>
      <w:pPr>
        <w:pStyle w:val="BodyText"/>
      </w:pPr>
      <w:r>
        <w:t xml:space="preserve">An entity that interposes itself, in one or more markets, between</w:t>
      </w:r>
      <w:r>
        <w:br/>
      </w:r>
      <w:r>
        <w:t xml:space="preserve">the counterparties to the contracts traded, becoming the buyer to every seller</w:t>
      </w:r>
      <w:r>
        <w:t xml:space="preserve"> </w:t>
      </w:r>
      <w:r>
        <w:t xml:space="preserve">and the seller to every buyer and thereby guaranteeing the performance of open</w:t>
      </w:r>
      <w:r>
        <w:t xml:space="preserve"> </w:t>
      </w:r>
      <w:r>
        <w:t xml:space="preserve">contracts.</w:t>
      </w:r>
      <w:r>
        <w:br/>
      </w:r>
      <w:r>
        <w:t xml:space="preserve">CRD</w:t>
      </w:r>
      <w:r>
        <w:t xml:space="preserve"> </w:t>
      </w:r>
      <w:r>
        <w:t xml:space="preserve">Directive 2013/36/EU of the European Parliament and of the Council of 26 June</w:t>
      </w:r>
      <w:r>
        <w:t xml:space="preserve"> </w:t>
      </w:r>
      <w:r>
        <w:t xml:space="preserve">2013 on access to the activity of credit institutions and the prudential</w:t>
      </w:r>
      <w:r>
        <w:t xml:space="preserve"> </w:t>
      </w:r>
      <w:r>
        <w:t xml:space="preserve">supervision of credit institutions and investment firms.</w:t>
      </w:r>
      <w:r>
        <w:t xml:space="preserve"> </w:t>
      </w:r>
      <w:r>
        <w:t xml:space="preserve">CSD</w:t>
      </w:r>
      <w:r>
        <w:br/>
      </w:r>
      <w:r>
        <w:t xml:space="preserve">Central Securities Depository. A legal person that operates a securities</w:t>
      </w:r>
      <w:r>
        <w:t xml:space="preserve"> </w:t>
      </w:r>
      <w:r>
        <w:t xml:space="preserve">settlement system and provides at least a notary service or a central maintenance</w:t>
      </w:r>
      <w:r>
        <w:t xml:space="preserve"> </w:t>
      </w:r>
      <w:r>
        <w:t xml:space="preserve">service.</w:t>
      </w:r>
      <w:r>
        <w:br/>
      </w:r>
      <w:r>
        <w:t xml:space="preserve">CSDR</w:t>
      </w:r>
    </w:p>
    <w:p>
      <w:pPr>
        <w:pStyle w:val="BodyText"/>
      </w:pPr>
      <w:r>
        <w:t xml:space="preserve">Regulation (EU) No 909/2014 of the European Parliament and of the Council</w:t>
      </w:r>
      <w:r>
        <w:t xml:space="preserve"> </w:t>
      </w:r>
      <w:r>
        <w:t xml:space="preserve">on improving securities settlement in the EU and on central securities</w:t>
      </w:r>
      <w:r>
        <w:t xml:space="preserve"> </w:t>
      </w:r>
      <w:r>
        <w:t xml:space="preserve">depositories.</w:t>
      </w:r>
      <w:r>
        <w:br/>
      </w:r>
      <w:r>
        <w:t xml:space="preserve">Distributed</w:t>
      </w:r>
      <w:r>
        <w:t xml:space="preserve"> </w:t>
      </w:r>
      <w:r>
        <w:t xml:space="preserve">ledger</w:t>
      </w:r>
      <w:r>
        <w:t xml:space="preserve"> </w:t>
      </w:r>
      <w:r>
        <w:t xml:space="preserve">technology</w:t>
      </w:r>
      <w:r>
        <w:t xml:space="preserve"> </w:t>
      </w:r>
      <w:r>
        <w:t xml:space="preserve">(‘DLT’)</w:t>
      </w:r>
      <w:r>
        <w:br/>
      </w:r>
      <w:r>
        <w:t xml:space="preserve">Distributed ledger is used to describe a decentralised dataset architecture which</w:t>
      </w:r>
      <w:r>
        <w:t xml:space="preserve"> </w:t>
      </w:r>
      <w:r>
        <w:t xml:space="preserve">allows the keeping and sharing of records in a synchronised way, while ensuring</w:t>
      </w:r>
      <w:r>
        <w:t xml:space="preserve"> </w:t>
      </w:r>
      <w:r>
        <w:t xml:space="preserve">their integrity through the use of consensus-based validation protocols and</w:t>
      </w:r>
      <w:r>
        <w:t xml:space="preserve"> </w:t>
      </w:r>
      <w:r>
        <w:t xml:space="preserve">cryptographic signatures.</w:t>
      </w:r>
      <w:r>
        <w:br/>
      </w:r>
      <w:r>
        <w:t xml:space="preserve">DLT pilot</w:t>
      </w:r>
      <w:r>
        <w:t xml:space="preserve"> </w:t>
      </w:r>
      <w:r>
        <w:t xml:space="preserve">regulation</w:t>
      </w:r>
      <w:r>
        <w:t xml:space="preserve"> </w:t>
      </w:r>
      <w:r>
        <w:t xml:space="preserve">(‘DLTPR’)</w:t>
      </w:r>
      <w:r>
        <w:t xml:space="preserve"> </w:t>
      </w:r>
      <w:r>
        <w:t xml:space="preserve">Regulation (EU) 2022/858 of the European Parliament and of the Council</w:t>
      </w:r>
      <w:r>
        <w:br/>
      </w:r>
      <w:r>
        <w:t xml:space="preserve">of 30 May 2022 on a pilot regime for market infrastructures based on distributed</w:t>
      </w:r>
      <w:r>
        <w:t xml:space="preserve"> </w:t>
      </w:r>
      <w:r>
        <w:t xml:space="preserve">ledger technology</w:t>
      </w:r>
      <w:r>
        <w:t xml:space="preserve"> </w:t>
      </w:r>
      <w:r>
        <w:t xml:space="preserve">DORA</w:t>
      </w:r>
      <w:r>
        <w:t xml:space="preserve"> </w:t>
      </w:r>
      <w:r>
        <w:t xml:space="preserve">Digital Operational Resilience Act</w:t>
      </w:r>
      <w:r>
        <w:t xml:space="preserve"> </w:t>
      </w:r>
      <w:r>
        <w:t xml:space="preserve">EFAMA</w:t>
      </w:r>
      <w:r>
        <w:t xml:space="preserve"> </w:t>
      </w:r>
      <w:r>
        <w:t xml:space="preserve">European Fund and Asset Management Association</w:t>
      </w:r>
      <w:r>
        <w:t xml:space="preserve"> </w:t>
      </w:r>
      <w:r>
        <w:t xml:space="preserve">ELTIF</w:t>
      </w:r>
      <w:r>
        <w:t xml:space="preserve"> </w:t>
      </w:r>
      <w:r>
        <w:t xml:space="preserve">European Long Term Investment Fund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ESMA</w:t>
      </w:r>
      <w:r>
        <w:br/>
      </w:r>
      <w:r>
        <w:t xml:space="preserve">European Securities and Market Authority</w:t>
      </w:r>
      <w:r>
        <w:br/>
      </w:r>
      <w:r>
        <w:t xml:space="preserve">EuSEF</w:t>
      </w:r>
      <w:r>
        <w:t xml:space="preserve"> </w:t>
      </w:r>
      <w:r>
        <w:t xml:space="preserve">European Social Entrepreneurship Fund</w:t>
      </w:r>
      <w:r>
        <w:t xml:space="preserve"> </w:t>
      </w:r>
      <w:r>
        <w:t xml:space="preserve">EuVECA</w:t>
      </w:r>
      <w:r>
        <w:t xml:space="preserve"> </w:t>
      </w:r>
      <w:r>
        <w:t xml:space="preserve">European Venture Capital Fund</w:t>
      </w:r>
      <w:r>
        <w:t xml:space="preserve"> </w:t>
      </w:r>
      <w:r>
        <w:t xml:space="preserve">MiCA</w:t>
      </w:r>
      <w:r>
        <w:t xml:space="preserve"> </w:t>
      </w:r>
      <w:r>
        <w:t xml:space="preserve">Regulation (EU) 2023/1114 of the European Parliament and of the Council</w:t>
      </w:r>
      <w:r>
        <w:br/>
      </w:r>
      <w:r>
        <w:t xml:space="preserve">of 31 May 2023 on markets in crypto-assets.</w:t>
      </w:r>
      <w:r>
        <w:t xml:space="preserve"> </w:t>
      </w:r>
      <w:r>
        <w:t xml:space="preserve">MiFID</w:t>
      </w:r>
      <w:r>
        <w:t xml:space="preserve"> </w:t>
      </w:r>
      <w:r>
        <w:t xml:space="preserve">Directive 2014/65/EU of the European Parliament and of the Council of 15 May</w:t>
      </w:r>
      <w:r>
        <w:t xml:space="preserve"> </w:t>
      </w:r>
      <w:r>
        <w:t xml:space="preserve">2014 on markets in financial instruments.</w:t>
      </w:r>
      <w:r>
        <w:t xml:space="preserve"> </w:t>
      </w:r>
      <w:r>
        <w:t xml:space="preserve">MiFIR</w:t>
      </w:r>
      <w:r>
        <w:t xml:space="preserve"> </w:t>
      </w:r>
      <w:r>
        <w:t xml:space="preserve">Regulation (EU) No 600/2014 of the European Parliament and of the Council</w:t>
      </w:r>
      <w:r>
        <w:t xml:space="preserve"> </w:t>
      </w:r>
      <w:r>
        <w:t xml:space="preserve">of 15 May 2014 on markets in financial instruments.</w:t>
      </w:r>
      <w:r>
        <w:t xml:space="preserve"> </w:t>
      </w:r>
      <w:r>
        <w:t xml:space="preserve">Multilateral</w:t>
      </w:r>
      <w:r>
        <w:t xml:space="preserve"> </w:t>
      </w:r>
      <w:r>
        <w:t xml:space="preserve">trading facility</w:t>
      </w:r>
      <w:r>
        <w:t xml:space="preserve"> </w:t>
      </w:r>
      <w:r>
        <w:t xml:space="preserve">(‘MTF’)</w:t>
      </w:r>
      <w:r>
        <w:t xml:space="preserve"> </w:t>
      </w:r>
      <w:r>
        <w:t xml:space="preserve">A multilateral system, operated by an investment firm or a market operator,</w:t>
      </w:r>
      <w:r>
        <w:t xml:space="preserve"> </w:t>
      </w:r>
      <w:r>
        <w:t xml:space="preserve">which brings together multiple third-party buying and selling interests</w:t>
      </w:r>
      <w:r>
        <w:br/>
      </w:r>
      <w:r>
        <w:t xml:space="preserve">in</w:t>
      </w:r>
      <w:r>
        <w:t xml:space="preserve"> </w:t>
      </w:r>
      <w:r>
        <w:t xml:space="preserve">financial</w:t>
      </w:r>
      <w:r>
        <w:t xml:space="preserve"> </w:t>
      </w:r>
      <w:r>
        <w:t xml:space="preserve">instruments</w:t>
      </w:r>
      <w:r>
        <w:t xml:space="preserve"> </w:t>
      </w:r>
      <w:r>
        <w:t xml:space="preserve">–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br/>
      </w:r>
      <w:r>
        <w:t xml:space="preserve">with non-discretionary rules – in a way that results in a contract.</w:t>
      </w:r>
      <w:r>
        <w:t xml:space="preserve"> </w:t>
      </w:r>
      <w:r>
        <w:t xml:space="preserve">NAV</w:t>
      </w:r>
      <w:r>
        <w:t xml:space="preserve"> </w:t>
      </w:r>
      <w:r>
        <w:t xml:space="preserve">Net Asset Value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Organised</w:t>
      </w:r>
      <w:r>
        <w:t xml:space="preserve"> </w:t>
      </w:r>
      <w:r>
        <w:t xml:space="preserve">trading facility</w:t>
      </w:r>
      <w:r>
        <w:t xml:space="preserve"> </w:t>
      </w:r>
      <w:r>
        <w:t xml:space="preserve">(‘OTF’)</w:t>
      </w:r>
      <w:r>
        <w:t xml:space="preserve"> </w:t>
      </w:r>
      <w:r>
        <w:t xml:space="preserve">A multilateral system which is not a regulated market or an MTF and in which</w:t>
      </w:r>
      <w:r>
        <w:t xml:space="preserve"> </w:t>
      </w:r>
      <w:r>
        <w:t xml:space="preserve">multiple third-party buying and selling interests in bonds, structured finance</w:t>
      </w:r>
      <w:r>
        <w:t xml:space="preserve"> </w:t>
      </w:r>
      <w:r>
        <w:t xml:space="preserve">products, emission allowances or derivatives are able to interact in the system</w:t>
      </w:r>
      <w:r>
        <w:t xml:space="preserve"> </w:t>
      </w:r>
      <w:r>
        <w:t xml:space="preserve">in a way that results in a contract.</w:t>
      </w:r>
      <w:r>
        <w:t xml:space="preserve"> </w:t>
      </w:r>
      <w:r>
        <w:t xml:space="preserve">PEMO</w:t>
      </w:r>
      <w:r>
        <w:t xml:space="preserve"> </w:t>
      </w:r>
      <w:r>
        <w:t xml:space="preserve">Pan-European Market Operator</w:t>
      </w:r>
      <w:r>
        <w:t xml:space="preserve"> </w:t>
      </w:r>
      <w:r>
        <w:t xml:space="preserve">Regulated market</w:t>
      </w:r>
      <w:r>
        <w:t xml:space="preserve"> </w:t>
      </w:r>
      <w:r>
        <w:t xml:space="preserve">(‘RM’)</w:t>
      </w:r>
      <w:r>
        <w:t xml:space="preserve"> </w:t>
      </w:r>
      <w:r>
        <w:t xml:space="preserve">A multilateral system operated and/or managed by a market operator, which</w:t>
      </w:r>
      <w:r>
        <w:t xml:space="preserve"> </w:t>
      </w:r>
      <w:r>
        <w:t xml:space="preserve">brings together or facilitates the bringing together of multiple third-party buying</w:t>
      </w:r>
      <w:r>
        <w:t xml:space="preserve"> </w:t>
      </w:r>
      <w:r>
        <w:t xml:space="preserve">and selling interests in financial instruments – in the system and in accordance</w:t>
      </w:r>
      <w:r>
        <w:t xml:space="preserve"> </w:t>
      </w:r>
      <w:r>
        <w:t xml:space="preserve">with its non-discretionary rules – in a way that results in a contract, in respect</w:t>
      </w:r>
      <w:r>
        <w:t xml:space="preserve"> </w:t>
      </w:r>
      <w:r>
        <w:t xml:space="preserve">of the financial instruments admitted to trading under its rules and/or systems,</w:t>
      </w:r>
      <w:r>
        <w:t xml:space="preserve"> </w:t>
      </w:r>
      <w:r>
        <w:t xml:space="preserve">and which is authorised and functions regularly.</w:t>
      </w:r>
      <w:r>
        <w:t xml:space="preserve"> </w:t>
      </w:r>
      <w:r>
        <w:t xml:space="preserve">SIU</w:t>
      </w:r>
      <w:r>
        <w:t xml:space="preserve"> </w:t>
      </w:r>
      <w:r>
        <w:t xml:space="preserve">Savings and Investments Union</w:t>
      </w:r>
      <w:r>
        <w:t xml:space="preserve"> </w:t>
      </w:r>
      <w:r>
        <w:t xml:space="preserve">T2S</w:t>
      </w:r>
    </w:p>
    <w:p>
      <w:pPr>
        <w:pStyle w:val="BodyText"/>
      </w:pPr>
      <w:r>
        <w:t xml:space="preserve">Target2 Securities. The Eurosystem’s single technical platform enabling CSDs</w:t>
      </w:r>
      <w:r>
        <w:t xml:space="preserve"> </w:t>
      </w:r>
      <w:r>
        <w:t xml:space="preserve">and national central banks to provide core, borderless and neutral securities</w:t>
      </w:r>
      <w:r>
        <w:t xml:space="preserve"> </w:t>
      </w:r>
      <w:r>
        <w:t xml:space="preserve">settlement services in central bank money in Europe.</w:t>
      </w:r>
      <w:r>
        <w:br/>
      </w:r>
      <w:r>
        <w:t xml:space="preserve">UCITS</w:t>
      </w:r>
      <w:r>
        <w:t xml:space="preserve"> </w:t>
      </w:r>
      <w:r>
        <w:t xml:space="preserve">Undertakings for Collective Investment in Transferable Securities</w:t>
      </w:r>
      <w:r>
        <w:t xml:space="preserve"> </w:t>
      </w:r>
      <w:r>
        <w:t xml:space="preserve">UCITSD or</w:t>
      </w:r>
      <w:r>
        <w:t xml:space="preserve"> </w:t>
      </w:r>
      <w:r>
        <w:t xml:space="preserve">UCITS Directive</w:t>
      </w:r>
      <w:r>
        <w:t xml:space="preserve"> </w:t>
      </w:r>
      <w:r>
        <w:t xml:space="preserve">Directive 2009/65/EC of the European Parliament and of the Council of 13 July</w:t>
      </w:r>
      <w:r>
        <w:t xml:space="preserve"> </w:t>
      </w:r>
      <w:r>
        <w:t xml:space="preserve">2009 on the coordination of laws, regulations and administrative provisions</w:t>
      </w:r>
      <w:r>
        <w:t xml:space="preserve"> </w:t>
      </w:r>
      <w:r>
        <w:t xml:space="preserve">relating to undertakings for collective investment in transferable securities.</w:t>
      </w:r>
    </w:p>
    <w:p>
      <w:pPr>
        <w:pStyle w:val="BodyText"/>
      </w:pPr>
      <w:r>
        <w:t xml:space="preserve">8</w:t>
      </w:r>
    </w:p>
    <w:p>
      <w:pPr>
        <w:pStyle w:val="Compact"/>
        <w:numPr>
          <w:ilvl w:val="0"/>
          <w:numId w:val="1003"/>
        </w:numPr>
      </w:pPr>
      <w:r>
        <w:t xml:space="preserve">INTRODUCTION</w:t>
      </w:r>
      <w:r>
        <w:t xml:space="preserve"> </w:t>
      </w:r>
      <w:r>
        <w:t xml:space="preserve">In the rapidly evolving global landscape, the European Union should strengthen its competitive</w:t>
      </w:r>
      <w:r>
        <w:t xml:space="preserve"> </w:t>
      </w:r>
      <w:r>
        <w:t xml:space="preserve">edge, bringing widespread benefits to its citizens and businesses. Revitalising the EU’s economy</w:t>
      </w:r>
      <w:r>
        <w:t xml:space="preserve"> </w:t>
      </w:r>
      <w:r>
        <w:t xml:space="preserve">and strengthening its international position are central to the European Commission’s mandate.</w:t>
      </w:r>
      <w:r>
        <w:t xml:space="preserve"> </w:t>
      </w:r>
      <w:r>
        <w:t xml:space="preserve">Europe’s economy has been underperforming in recent years due to structural barriers and</w:t>
      </w:r>
      <w:r>
        <w:t xml:space="preserve"> </w:t>
      </w:r>
      <w:r>
        <w:t xml:space="preserve">weaknesses that hold it back. To address these challenges, it is crucial to reform how Europe’s</w:t>
      </w:r>
      <w:r>
        <w:t xml:space="preserve"> </w:t>
      </w:r>
      <w:r>
        <w:t xml:space="preserve">capital markets operate.</w:t>
      </w:r>
      <w:r>
        <w:t xml:space="preserve"> </w:t>
      </w:r>
      <w:r>
        <w:t xml:space="preserve">In March 2025, the Commission unveiled its Savings and Investments Union (SIU) strategy1</w:t>
      </w:r>
      <w:r>
        <w:br/>
      </w:r>
      <w:r>
        <w:t xml:space="preserve">to make it easier for citizens to grow their wealth by investing in capital markets, to increase the</w:t>
      </w:r>
      <w:r>
        <w:t xml:space="preserve"> </w:t>
      </w:r>
      <w:r>
        <w:t xml:space="preserve">investment capacity in the EU, and to integrate the EU’s capital markets. By breaking down</w:t>
      </w:r>
      <w:r>
        <w:t xml:space="preserve"> </w:t>
      </w:r>
      <w:r>
        <w:t xml:space="preserve">barriers in financial markets and facilitating cross-border capital flows, the strategy can support</w:t>
      </w:r>
      <w:r>
        <w:t xml:space="preserve"> </w:t>
      </w:r>
      <w:r>
        <w:t xml:space="preserve">the EU economy, stimulate job creation, and enhance competitiveness.2</w:t>
      </w:r>
      <w:r>
        <w:br/>
      </w:r>
      <w:r>
        <w:t xml:space="preserve">Implementing the Savings and Investments Union involves comprehensive policy measures</w:t>
      </w:r>
      <w:r>
        <w:t xml:space="preserve"> </w:t>
      </w:r>
      <w:r>
        <w:t xml:space="preserve">impacting various aspects of the EU’s financial system, with a holistic approach that encompasses</w:t>
      </w:r>
      <w:r>
        <w:t xml:space="preserve"> </w:t>
      </w:r>
      <w:r>
        <w:t xml:space="preserve">capital markets and the banking sector. These measures are grouped into four interconnected</w:t>
      </w:r>
      <w:r>
        <w:t xml:space="preserve"> </w:t>
      </w:r>
      <w:r>
        <w:t xml:space="preserve">pillars: citizens and savings, investments and financing, market integration and scale, and efficient</w:t>
      </w:r>
      <w:r>
        <w:t xml:space="preserve"> </w:t>
      </w:r>
      <w:r>
        <w:t xml:space="preserve">supervision.</w:t>
      </w:r>
      <w:r>
        <w:br/>
      </w:r>
      <w:r>
        <w:t xml:space="preserve">Measures on “citizens and savings” seek to enable EU citizens to build their wealth by investing</w:t>
      </w:r>
      <w:r>
        <w:t xml:space="preserve"> </w:t>
      </w:r>
      <w:r>
        <w:t xml:space="preserve">in capital markets, thereby also increasing funding for the EU economy. Measures on “investment</w:t>
      </w:r>
      <w:r>
        <w:t xml:space="preserve"> </w:t>
      </w:r>
      <w:r>
        <w:t xml:space="preserve">and financing” aim to make it easier for companies to access diversified sources of finance,</w:t>
      </w:r>
      <w:r>
        <w:t xml:space="preserve"> </w:t>
      </w:r>
      <w:r>
        <w:t xml:space="preserve">including cross-border options in the EU, so that they can raise the funds they need to grow</w:t>
      </w:r>
      <w:r>
        <w:br/>
      </w:r>
      <w:r>
        <w:t xml:space="preserve">and create jobs in Europe. The effectiveness of both these pillars requires well-functioning</w:t>
      </w:r>
      <w:r>
        <w:t xml:space="preserve"> </w:t>
      </w:r>
      <w:r>
        <w:t xml:space="preserve">financial markets and supervision. Deeper and more integrated capital markets will also enable</w:t>
      </w:r>
      <w:r>
        <w:t xml:space="preserve"> </w:t>
      </w:r>
      <w:r>
        <w:t xml:space="preserve">companies operating under the upcoming 28th regime to fully benefit from accessing finance across</w:t>
      </w:r>
      <w:r>
        <w:t xml:space="preserve"> </w:t>
      </w:r>
      <w:r>
        <w:t xml:space="preserve">the Single Market.</w:t>
      </w:r>
      <w:r>
        <w:t xml:space="preserve"> </w:t>
      </w:r>
      <w:r>
        <w:t xml:space="preserve">Therefore, this initiative and impact assessment focus on the market integration and scale</w:t>
      </w:r>
      <w:r>
        <w:br/>
      </w:r>
      <w:r>
        <w:t xml:space="preserve">and efficient supervision pillars of the SIU strategy. Challenges arising from market fragmentation</w:t>
      </w:r>
      <w:r>
        <w:t xml:space="preserve"> </w:t>
      </w:r>
      <w:r>
        <w:t xml:space="preserve">are significant, as shown by various prior analyses and impact assessments3, with differences</w:t>
      </w:r>
      <w:r>
        <w:br/>
      </w:r>
      <w:r>
        <w:t xml:space="preserve">in regulatory and supervisory practices across Member States identified as key barriers hindering</w:t>
      </w:r>
      <w:r>
        <w:t xml:space="preserve"> </w:t>
      </w:r>
      <w:r>
        <w:t xml:space="preserve">EU capital market integration.</w:t>
      </w:r>
      <w:r>
        <w:br/>
      </w:r>
      <w:r>
        <w:t xml:space="preserve">This initiative focuses on three essential sectors for the smooth and efficient functioning of EU</w:t>
      </w:r>
      <w:r>
        <w:t xml:space="preserve"> </w:t>
      </w:r>
      <w:r>
        <w:t xml:space="preserve">capital markets: trading, post-trading, and asset management. Trading is where buyers and sellers</w:t>
      </w:r>
      <w:r>
        <w:t xml:space="preserve"> </w:t>
      </w:r>
      <w:r>
        <w:t xml:space="preserve">meet, setting prices, providing liquidity, and channelling capital to its most productive use. Post-</w:t>
      </w:r>
      <w:r>
        <w:t xml:space="preserve"> </w:t>
      </w:r>
      <w:r>
        <w:t xml:space="preserve">trading encompasses activities after a trade is executed: clearing, settlement, and custody.</w:t>
      </w:r>
      <w:r>
        <w:br/>
      </w:r>
      <w:r>
        <w:t xml:space="preserve">It ensures the actual transfer of financial instruments and the discharge of associated obligations</w:t>
      </w:r>
      <w:r>
        <w:t xml:space="preserve"> </w:t>
      </w:r>
      <w:r>
        <w:t xml:space="preserve">(e.g. payment in cash against the delivery of securities), manages counterparty risk, and maintains</w:t>
      </w:r>
    </w:p>
    <w:p>
      <w:pPr>
        <w:pStyle w:val="FirstParagraph"/>
      </w:pPr>
      <w:r>
        <w:t xml:space="preserve">1 COM/2025/124 final</w:t>
      </w:r>
      <w:r>
        <w:t xml:space="preserve"> </w:t>
      </w:r>
      <w:r>
        <w:t xml:space="preserve">2 It is therefore considered to be a key enabler of EU economic competitiveness in the Commission’s Competitiveness</w:t>
      </w:r>
      <w:r>
        <w:t xml:space="preserve"> </w:t>
      </w:r>
      <w:r>
        <w:t xml:space="preserve">Compass.</w:t>
      </w:r>
      <w:r>
        <w:t xml:space="preserve"> </w:t>
      </w:r>
      <w:r>
        <w:t xml:space="preserve">3 See for example Giovannini reports and the European Post-trade Forum (EPTF) report, the impact assessments on</w:t>
      </w:r>
      <w:r>
        <w:t xml:space="preserve"> </w:t>
      </w:r>
      <w:r>
        <w:t xml:space="preserve">the cross-border distribution of funds initiative, the 2020 COM “Study on the costs of compliance for the financial</w:t>
      </w:r>
      <w:r>
        <w:t xml:space="preserve"> </w:t>
      </w:r>
      <w:r>
        <w:t xml:space="preserve">sector”, the 2025 “Study on consolidation and reducing fragmentation in trading and post-trading infrastructures in</w:t>
      </w:r>
      <w:r>
        <w:t xml:space="preserve"> </w:t>
      </w:r>
      <w:r>
        <w:t xml:space="preserve">Europe”.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accurate records of ownership and asset servicing. Asset management enables investors to pool</w:t>
      </w:r>
      <w:r>
        <w:t xml:space="preserve"> </w:t>
      </w:r>
      <w:r>
        <w:t xml:space="preserve">and allocate their money into these markets to grow wealth and achieve investment objectives.</w:t>
      </w:r>
      <w:r>
        <w:t xml:space="preserve"> </w:t>
      </w:r>
      <w:r>
        <w:t xml:space="preserve">Together, these three sectors form the backbone of our capital markets. Achieving a more</w:t>
      </w:r>
      <w:r>
        <w:t xml:space="preserve"> </w:t>
      </w:r>
      <w:r>
        <w:t xml:space="preserve">integrated and efficient capital market will require removing the existing cross-border regulatory</w:t>
      </w:r>
      <w:r>
        <w:t xml:space="preserve"> </w:t>
      </w:r>
      <w:r>
        <w:t xml:space="preserve">and supervisory barriers in the trading, post trading and asset management sectors.</w:t>
      </w:r>
      <w:r>
        <w:br/>
      </w:r>
      <w:r>
        <w:t xml:space="preserve">The initiative also emphasises the importance of innovation in the financial sector, specifically</w:t>
      </w:r>
      <w:r>
        <w:t xml:space="preserve"> </w:t>
      </w:r>
      <w:r>
        <w:t xml:space="preserve">through Distributed Ledger Technology (DLT), which underpins crypto asset markets</w:t>
      </w:r>
      <w:r>
        <w:br/>
      </w:r>
      <w:r>
        <w:t xml:space="preserve">and the tokenisation of assets. These innovations have the potential to improve financial services</w:t>
      </w:r>
      <w:r>
        <w:t xml:space="preserve"> </w:t>
      </w:r>
      <w:r>
        <w:t xml:space="preserve">for citizens and businesses. Therefore, it is crucial to remove barriers and complexities hindering</w:t>
      </w:r>
      <w:r>
        <w:t xml:space="preserve"> </w:t>
      </w:r>
      <w:r>
        <w:t xml:space="preserve">the uptake of these innovations in the EU financial sector.</w:t>
      </w:r>
      <w:r>
        <w:t xml:space="preserve"> </w:t>
      </w:r>
      <w:r>
        <w:t xml:space="preserve">Beyond regulatory barriers, it is also important to address supervisory barriers that are hindering</w:t>
      </w:r>
      <w:r>
        <w:t xml:space="preserve"> </w:t>
      </w:r>
      <w:r>
        <w:t xml:space="preserve">market integration. An integrated capital market requires integrated EU supervision. Existing non-</w:t>
      </w:r>
      <w:r>
        <w:t xml:space="preserve"> </w:t>
      </w:r>
      <w:r>
        <w:t xml:space="preserve">aligned supervisory approaches and weak governance tools at EU level add to the costs of doing</w:t>
      </w:r>
      <w:r>
        <w:t xml:space="preserve"> </w:t>
      </w:r>
      <w:r>
        <w:t xml:space="preserve">business, create legal uncertainty and an unlevel playing field, and make investing in the EU more</w:t>
      </w:r>
      <w:r>
        <w:t xml:space="preserve"> </w:t>
      </w:r>
      <w:r>
        <w:t xml:space="preserve">difficult and more expensive.</w:t>
      </w:r>
      <w:r>
        <w:t xml:space="preserve"> </w:t>
      </w:r>
      <w:r>
        <w:t xml:space="preserve">By removing regulatory and supervisory barriers that are hindering the integration of and</w:t>
      </w:r>
      <w:r>
        <w:t xml:space="preserve"> </w:t>
      </w:r>
      <w:r>
        <w:t xml:space="preserve">innovation in capital markets, this package aims to enable financial market participants to grow</w:t>
      </w:r>
      <w:r>
        <w:t xml:space="preserve"> </w:t>
      </w:r>
      <w:r>
        <w:t xml:space="preserve">efficiently across the EU, lower costs of financial services for businesses and citizens, while</w:t>
      </w:r>
      <w:r>
        <w:t xml:space="preserve"> </w:t>
      </w:r>
      <w:r>
        <w:t xml:space="preserve">ensuring strong supervision, and safeguarding the stability and integrity of EU capital markets.</w:t>
      </w:r>
      <w:r>
        <w:t xml:space="preserve"> </w:t>
      </w:r>
      <w:r>
        <w:t xml:space="preserve">The scope of this impact assessment is complex and multifaceted. To assist the reader, the impact</w:t>
      </w:r>
      <w:r>
        <w:t xml:space="preserve"> </w:t>
      </w:r>
      <w:r>
        <w:t xml:space="preserve">assessment is organised with a main part presenting the overall summary assessment and analysis</w:t>
      </w:r>
      <w:r>
        <w:t xml:space="preserve"> </w:t>
      </w:r>
      <w:r>
        <w:t xml:space="preserve">of the most significant problems, options and impacts, further supported by Annexes 1 to 6, which</w:t>
      </w:r>
      <w:r>
        <w:t xml:space="preserve"> </w:t>
      </w:r>
      <w:r>
        <w:t xml:space="preserve">enrich the overall analysis. Additionally, sector-specific Annexes 7 to 11 provide in-depth</w:t>
      </w:r>
      <w:r>
        <w:t xml:space="preserve"> </w:t>
      </w:r>
      <w:r>
        <w:t xml:space="preserve">examinations of the key sectors and areas covered in this impact assessment: trading, post-trading,</w:t>
      </w:r>
      <w:r>
        <w:t xml:space="preserve"> </w:t>
      </w:r>
      <w:r>
        <w:t xml:space="preserve">asset management, innovation, and supervision. Annex 12 provides country-specific information</w:t>
      </w:r>
      <w:r>
        <w:t xml:space="preserve"> </w:t>
      </w:r>
      <w:r>
        <w:t xml:space="preserve">as regards the state of capital markets across different EU Member States.</w:t>
      </w:r>
      <w:r>
        <w:t xml:space="preserve"> </w:t>
      </w:r>
      <w:r>
        <w:t xml:space="preserve">1.1. POLITICAL CONTEXT</w:t>
      </w:r>
      <w:r>
        <w:t xml:space="preserve"> </w:t>
      </w:r>
      <w:r>
        <w:t xml:space="preserve">The Commission’s Competitiveness Compass4 outlines a comprehensive plan to enhance the EU’s</w:t>
      </w:r>
      <w:r>
        <w:t xml:space="preserve"> </w:t>
      </w:r>
      <w:r>
        <w:t xml:space="preserve">economic strength and fully harness its vast potential. The SIU is one of the five horizontal</w:t>
      </w:r>
      <w:r>
        <w:t xml:space="preserve"> </w:t>
      </w:r>
      <w:r>
        <w:t xml:space="preserve">enablers of the Compass, as achieving this vision requires significant financing.</w:t>
      </w:r>
      <w:r>
        <w:br/>
      </w:r>
      <w:r>
        <w:t xml:space="preserve">In her State of the Union address, Commission President Ursula von der Leyen highlighted the</w:t>
      </w:r>
      <w:r>
        <w:t xml:space="preserve"> </w:t>
      </w:r>
      <w:r>
        <w:t xml:space="preserve">opportunity cost Europeans face due to gaps in the single market. The President specifically</w:t>
      </w:r>
      <w:r>
        <w:t xml:space="preserve"> </w:t>
      </w:r>
      <w:r>
        <w:t xml:space="preserve">identified finance as a key area where persistent barriers are holding back progress.</w:t>
      </w:r>
      <w:r>
        <w:br/>
      </w:r>
      <w:r>
        <w:t xml:space="preserve">The EU has vast investment needs in strategic sectors such as defence, space, biotech, cleantech,</w:t>
      </w:r>
      <w:r>
        <w:t xml:space="preserve"> </w:t>
      </w:r>
      <w:r>
        <w:t xml:space="preserve">and artificial intelligence. While rich in talent and ideas, the EU lacks the financing ecosystem</w:t>
      </w:r>
      <w:r>
        <w:t xml:space="preserve"> </w:t>
      </w:r>
      <w:r>
        <w:t xml:space="preserve">needed to transform these assets into global champions. The issue is not capacity – EU</w:t>
      </w:r>
      <w:r>
        <w:t xml:space="preserve"> </w:t>
      </w:r>
      <w:r>
        <w:t xml:space="preserve">entrepreneurs are among the best in the world – but rather opportunity. Too often, insufficient risk</w:t>
      </w:r>
      <w:r>
        <w:t xml:space="preserve"> </w:t>
      </w:r>
      <w:r>
        <w:t xml:space="preserve">capital forces innovators to rely on foreign investors and relocate abroad. This results in the EU</w:t>
      </w:r>
      <w:r>
        <w:t xml:space="preserve"> </w:t>
      </w:r>
      <w:r>
        <w:t xml:space="preserve">losing businesses, jobs, innovative capacity, and overall competitiveness.</w:t>
      </w:r>
    </w:p>
    <w:p>
      <w:pPr>
        <w:pStyle w:val="BodyText"/>
      </w:pPr>
      <w:r>
        <w:t xml:space="preserve">4 COM(2025) 30 final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The urgency to act has been widely recognised at the highest political level. In 2024, at the request</w:t>
      </w:r>
      <w:r>
        <w:t xml:space="preserve"> </w:t>
      </w:r>
      <w:r>
        <w:t xml:space="preserve">of the European Council and the President of the European Commission respectively, Enrico Letta</w:t>
      </w:r>
      <w:r>
        <w:t xml:space="preserve"> </w:t>
      </w:r>
      <w:r>
        <w:t xml:space="preserve">and Mario Draghi delivered landmark reports recommending measures to improve capital market</w:t>
      </w:r>
      <w:r>
        <w:t xml:space="preserve"> </w:t>
      </w:r>
      <w:r>
        <w:t xml:space="preserve">integration and supervision.5 In addition, the Eurogroup6 and the European Council7,8 have urged</w:t>
      </w:r>
      <w:r>
        <w:t xml:space="preserve"> </w:t>
      </w:r>
      <w:r>
        <w:t xml:space="preserve">steps towards integrated EU capital markets accessible to all citizens and businesses across</w:t>
      </w:r>
      <w:r>
        <w:br/>
      </w:r>
      <w:r>
        <w:t xml:space="preserve">the EU. This objective is shared between across EU institutions and enjoys widespread support</w:t>
      </w:r>
      <w:r>
        <w:t xml:space="preserve"> </w:t>
      </w:r>
      <w:r>
        <w:t xml:space="preserve">throughout EU capitals.</w:t>
      </w:r>
      <w:r>
        <w:br/>
      </w:r>
      <w:r>
        <w:t xml:space="preserve">For example, the Euro Summit of March 2025 emphasised the urgency and shared responsibility</w:t>
      </w:r>
      <w:r>
        <w:t xml:space="preserve"> </w:t>
      </w:r>
      <w:r>
        <w:t xml:space="preserve">for rapid progress on creating the SIU.9 The European Parliament asserted that capital markets</w:t>
      </w:r>
      <w:r>
        <w:t xml:space="preserve"> </w:t>
      </w:r>
      <w:r>
        <w:t xml:space="preserve">integration is a necessary pillar of the EU’s investment strategy and supported the Commission’s</w:t>
      </w:r>
      <w:r>
        <w:t xml:space="preserve"> </w:t>
      </w:r>
      <w:r>
        <w:t xml:space="preserve">intention to propose measures to strengthen supervisory convergence tools and achieve more</w:t>
      </w:r>
      <w:r>
        <w:t xml:space="preserve"> </w:t>
      </w:r>
      <w:r>
        <w:t xml:space="preserve">unified direct supervision of capital markets.10 The European Central Bank (‘ECB’) has also been</w:t>
      </w:r>
      <w:r>
        <w:t xml:space="preserve"> </w:t>
      </w:r>
      <w:r>
        <w:t xml:space="preserve">vocal in its support for the project.11</w:t>
      </w:r>
      <w:r>
        <w:br/>
      </w:r>
      <w:r>
        <w:t xml:space="preserve">Beyond Europe, international organisations such as the International Monetary Fund (‘IMF’)12,</w:t>
      </w:r>
      <w:r>
        <w:t xml:space="preserve"> </w:t>
      </w:r>
      <w:r>
        <w:t xml:space="preserve">and the Organisation for Economic Cooperation and Development (‘OECD’)13 have called</w:t>
      </w:r>
      <w:r>
        <w:br/>
      </w:r>
      <w:r>
        <w:t xml:space="preserve">for action to address remaining barriers to EU financial market integration.</w:t>
      </w:r>
      <w:r>
        <w:br/>
      </w:r>
      <w:r>
        <w:t xml:space="preserve">In summary, calls from both within and outside the EU point to the same response: creating a more</w:t>
      </w:r>
      <w:r>
        <w:t xml:space="preserve"> </w:t>
      </w:r>
      <w:r>
        <w:t xml:space="preserve">integrated EU capital market is now a necessity, not just a desirable goal.</w:t>
      </w:r>
      <w:r>
        <w:br/>
      </w:r>
      <w:r>
        <w:t xml:space="preserve">1.2. LEGAL CONTEXT</w:t>
      </w:r>
      <w:r>
        <w:t xml:space="preserve"> </w:t>
      </w:r>
      <w:r>
        <w:t xml:space="preserve">This section presents the legal context and current EU legal framework of the trading, post-trading</w:t>
      </w:r>
      <w:r>
        <w:t xml:space="preserve"> </w:t>
      </w:r>
      <w:r>
        <w:t xml:space="preserve">asset management sector and innovation (1.2.1), as well as on the supervision of these sectors</w:t>
      </w:r>
      <w:r>
        <w:t xml:space="preserve"> </w:t>
      </w:r>
      <w:r>
        <w:t xml:space="preserve">(1.2.2).</w:t>
      </w:r>
    </w:p>
    <w:p>
      <w:pPr>
        <w:pStyle w:val="BodyText"/>
      </w:pPr>
      <w:r>
        <w:t xml:space="preserve">5 E. Letta “Report on the Future of the Single Market”. Available here: https://single-market-</w:t>
      </w:r>
      <w:r>
        <w:t xml:space="preserve"> </w:t>
      </w:r>
      <w:r>
        <w:t xml:space="preserve">economy.ec.europa.eu/news/enrico-lettas-report-future-single-market-2024-04-10_en; Mario Draghi, ‘The Future of</w:t>
      </w:r>
      <w:r>
        <w:t xml:space="preserve"> </w:t>
      </w:r>
      <w:r>
        <w:t xml:space="preserve">European Competitiveness,’ 2025. https://commission.europa.eu/topics/eu-competitiveness/draghi-report_en</w:t>
      </w:r>
      <w:r>
        <w:t xml:space="preserve"> </w:t>
      </w:r>
      <w:r>
        <w:t xml:space="preserve">6 https://www.consilium.europa.eu/en/press/press-releases/2024/03/11/statement-of-the-eurogroup-in-inclusive-</w:t>
      </w:r>
      <w:r>
        <w:t xml:space="preserve"> </w:t>
      </w:r>
      <w:r>
        <w:t xml:space="preserve">format-on-the-future-of-capital-markets-union/</w:t>
      </w:r>
      <w:r>
        <w:t xml:space="preserve"> </w:t>
      </w:r>
      <w:r>
        <w:t xml:space="preserve">7 https://www.consilium.europa.eu/media/m5jlwe0p/euco-conclusions-20240417-18-en.pdf</w:t>
      </w:r>
      <w:r>
        <w:br/>
      </w:r>
      <w:r>
        <w:t xml:space="preserve">8 https://www.consilium.europa.eu/media/viyhc2m4/20250320-european-council-conclusions-en.pdf</w:t>
      </w:r>
      <w:r>
        <w:t xml:space="preserve"> </w:t>
      </w:r>
      <w:r>
        <w:t xml:space="preserve">9 “We underline the sense of urgency and the shared responsibility for fast and decisive progress on a Savings and</w:t>
      </w:r>
      <w:r>
        <w:t xml:space="preserve"> </w:t>
      </w:r>
      <w:r>
        <w:t xml:space="preserve">Investments Union with a particular focus on the Capital Markets Union to mobilise savings and unlock the financing</w:t>
      </w:r>
      <w:r>
        <w:t xml:space="preserve"> </w:t>
      </w:r>
      <w:r>
        <w:t xml:space="preserve">of necessary investments to support EU competitiveness”. See EU Summit meeting (20 March 2025) – Statement –</w:t>
      </w:r>
      <w:r>
        <w:t xml:space="preserve"> </w:t>
      </w:r>
      <w:r>
        <w:t xml:space="preserve">page 1, https://www.consilium.europa.eu/media/ce3fkikz/20250320-euro-summit-statement-en.pdf</w:t>
      </w:r>
      <w:r>
        <w:t xml:space="preserve"> </w:t>
      </w:r>
      <w:r>
        <w:t xml:space="preserve">10 https://www.europarl.europa.eu/doceo/document/TA-10-2025-0185_EN.pdf</w:t>
      </w:r>
      <w:r>
        <w:t xml:space="preserve"> </w:t>
      </w:r>
      <w:r>
        <w:t xml:space="preserve">11 European Central Bank: “Capital markets union: a deep dive”. Revised May 2025. Available here:</w:t>
      </w:r>
      <w:r>
        <w:t xml:space="preserve"> </w:t>
      </w:r>
      <w:r>
        <w:t xml:space="preserve">https://www.ecb.europa.eu/pub/pdf/scpops/ecb.op369~246a103ed8.en.pdf?503a501a41fd4b4659d3b0616c405190</w:t>
      </w:r>
      <w:r>
        <w:br/>
      </w:r>
      <w:r>
        <w:t xml:space="preserve">12 International Monetary Fund: “A Recovery Short of Europe’s Full Potential”, 24 October 2024. Available</w:t>
      </w:r>
      <w:r>
        <w:t xml:space="preserve"> </w:t>
      </w:r>
      <w:r>
        <w:t xml:space="preserve">here: https://www.imf.org/en/Publications/REO/EU/Issues/2024/10/24/regional-economic-outlook-Europe-october-</w:t>
      </w:r>
      <w:r>
        <w:t xml:space="preserve"> </w:t>
      </w:r>
      <w:r>
        <w:t xml:space="preserve">2024</w:t>
      </w:r>
      <w:r>
        <w:t xml:space="preserve"> </w:t>
      </w:r>
      <w:r>
        <w:t xml:space="preserve">13 OECD, Economic Surveys: European Union and Euro Area 2025, July 2025, Available here:</w:t>
      </w:r>
      <w:r>
        <w:t xml:space="preserve"> </w:t>
      </w:r>
      <w:r>
        <w:t xml:space="preserve">https://www.oecd.org/content/dam/oecd/en/publications/reports/2025/07/oecd-economic-surveys-european-union-</w:t>
      </w:r>
      <w:r>
        <w:t xml:space="preserve"> </w:t>
      </w:r>
      <w:r>
        <w:t xml:space="preserve">and-euro-area-2025_af6b738a/5ec8dcc2-en.pdf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1.2.1. Trading, post-trading, asset management and innovation</w:t>
      </w:r>
      <w:r>
        <w:br/>
      </w:r>
      <w:r>
        <w:t xml:space="preserve">In the trading sector, the EU has developed a comprehensive legislative framework to regulate</w:t>
      </w:r>
      <w:r>
        <w:t xml:space="preserve"> </w:t>
      </w:r>
      <w:r>
        <w:t xml:space="preserve">financial markets, enhance investor protection and ensure market transparency and stability.</w:t>
      </w:r>
      <w:r>
        <w:t xml:space="preserve"> </w:t>
      </w:r>
      <w:r>
        <w:t xml:space="preserve">Central to this framework are the Markets in Financial Instruments Directive II (‘MiFID II’)</w:t>
      </w:r>
      <w:r>
        <w:br/>
      </w:r>
      <w:r>
        <w:t xml:space="preserve">and the Markets in Financial Instruments Regulation (‘MiFIR’). These two legislative instruments</w:t>
      </w:r>
      <w:r>
        <w:t xml:space="preserve"> </w:t>
      </w:r>
      <w:r>
        <w:t xml:space="preserve">are the cornerstone of EU’s legislation for trading venues and investment firms. MiFID II and</w:t>
      </w:r>
      <w:r>
        <w:t xml:space="preserve"> </w:t>
      </w:r>
      <w:r>
        <w:t xml:space="preserve">MiFIR regulate the provision of investment services and activities by investment firms14 and</w:t>
      </w:r>
      <w:r>
        <w:t xml:space="preserve"> </w:t>
      </w:r>
      <w:r>
        <w:t xml:space="preserve">govern the operation of trading venues.</w:t>
      </w:r>
      <w:r>
        <w:br/>
      </w:r>
      <w:r>
        <w:t xml:space="preserve">Under MiFID II, there are three types of trading venues: regulated markets (‘RMs’/exchanges),</w:t>
      </w:r>
      <w:r>
        <w:t xml:space="preserve"> </w:t>
      </w:r>
      <w:r>
        <w:t xml:space="preserve">multilateral trading facilities (‘MTFs’) and organised trading facilities (‘OTFs’). All are</w:t>
      </w:r>
      <w:r>
        <w:t xml:space="preserve"> </w:t>
      </w:r>
      <w:r>
        <w:t xml:space="preserve">multilateral systems that bring together multiple third-party buying and selling interests. RMs are</w:t>
      </w:r>
      <w:r>
        <w:t xml:space="preserve"> </w:t>
      </w:r>
      <w:r>
        <w:t xml:space="preserve">operated by a market operator. RMs are essentially regulated as a market infrastructure, as opposed</w:t>
      </w:r>
      <w:r>
        <w:t xml:space="preserve"> </w:t>
      </w:r>
      <w:r>
        <w:t xml:space="preserve">to the operation of an MTF or an OTF, which is an investment activity under MiFID II. MTFs and</w:t>
      </w:r>
      <w:r>
        <w:t xml:space="preserve"> </w:t>
      </w:r>
      <w:r>
        <w:t xml:space="preserve">OTFs there can also be performed by an investment firm. The MiFID II rulebook only explicitly</w:t>
      </w:r>
      <w:r>
        <w:t xml:space="preserve"> </w:t>
      </w:r>
      <w:r>
        <w:t xml:space="preserve">foresees the possibility for RMs to set up ‘trading arrangements’ to accommodate remote access</w:t>
      </w:r>
      <w:r>
        <w:t xml:space="preserve"> </w:t>
      </w:r>
      <w:r>
        <w:t xml:space="preserve">of members through trading screens to facilitate access to and trading on those markets by remote</w:t>
      </w:r>
      <w:r>
        <w:t xml:space="preserve"> </w:t>
      </w:r>
      <w:r>
        <w:t xml:space="preserve">members or participants.15 However, unlike for investment firms operating MTFs or</w:t>
      </w:r>
      <w:r>
        <w:t xml:space="preserve"> </w:t>
      </w:r>
      <w:r>
        <w:t xml:space="preserve">OTFs who benefit from a comprehensive passporting mechanism under MiFID II, which is</w:t>
      </w:r>
      <w:r>
        <w:t xml:space="preserve"> </w:t>
      </w:r>
      <w:r>
        <w:t xml:space="preserve">supporting their freedom to provide services (Article 34 for investment firms) or the establishment</w:t>
      </w:r>
      <w:r>
        <w:t xml:space="preserve"> </w:t>
      </w:r>
      <w:r>
        <w:t xml:space="preserve">of a branch (Article 35 for investment firms), beyond the above mentioned ‘trading arrangements’,</w:t>
      </w:r>
      <w:r>
        <w:t xml:space="preserve"> </w:t>
      </w:r>
      <w:r>
        <w:t xml:space="preserve">the framework applicable to RMs does not contain any explicit provisions relating to the rights</w:t>
      </w:r>
      <w:r>
        <w:br/>
      </w:r>
      <w:r>
        <w:t xml:space="preserve">of RMs as regards the provision of cross-border services in the EU on the basis of their initial</w:t>
      </w:r>
      <w:r>
        <w:t xml:space="preserve"> </w:t>
      </w:r>
      <w:r>
        <w:t xml:space="preserve">licence. In addition, the current MiFID II framework requires each RM to be subject to an</w:t>
      </w:r>
      <w:r>
        <w:t xml:space="preserve"> </w:t>
      </w:r>
      <w:r>
        <w:t xml:space="preserve">individual licence in the Member State where it is operated, and therefore to be subject to the</w:t>
      </w:r>
      <w:r>
        <w:t xml:space="preserve"> </w:t>
      </w:r>
      <w:r>
        <w:t xml:space="preserve">supervision of each individual competent authority. There is currently no possibility for a market</w:t>
      </w:r>
      <w:r>
        <w:t xml:space="preserve"> </w:t>
      </w:r>
      <w:r>
        <w:t xml:space="preserve">operator, to operate several trading venues in different Member States on the basis of a single</w:t>
      </w:r>
      <w:r>
        <w:t xml:space="preserve"> </w:t>
      </w:r>
      <w:r>
        <w:t xml:space="preserve">licence.</w:t>
      </w:r>
      <w:r>
        <w:t xml:space="preserve"> </w:t>
      </w:r>
      <w:r>
        <w:t xml:space="preserve">MiFID II establishes organisational requirements for trading venues, notably to ensure fit-for-</w:t>
      </w:r>
      <w:r>
        <w:t xml:space="preserve"> </w:t>
      </w:r>
      <w:r>
        <w:t xml:space="preserve">purpose governance, investor protection, solid processes and effective risk management. In</w:t>
      </w:r>
      <w:r>
        <w:t xml:space="preserve"> </w:t>
      </w:r>
      <w:r>
        <w:t xml:space="preserve">addition, the Directive mandates that trading venues must operate under a system that promotes</w:t>
      </w:r>
      <w:r>
        <w:t xml:space="preserve"> </w:t>
      </w:r>
      <w:r>
        <w:t xml:space="preserve">fair and orderly trading and ensures non-discriminatory access to market participants. Further,</w:t>
      </w:r>
      <w:r>
        <w:t xml:space="preserve"> </w:t>
      </w:r>
      <w:r>
        <w:t xml:space="preserve">MiFIR governs how trading works in the EU, mainly focusing on trade transparency and</w:t>
      </w:r>
      <w:r>
        <w:t xml:space="preserve"> </w:t>
      </w:r>
      <w:r>
        <w:t xml:space="preserve">transaction reporting.</w:t>
      </w:r>
      <w:r>
        <w:br/>
      </w:r>
      <w:r>
        <w:t xml:space="preserve">While trading venues constitute multilateral trading systems under MiFID II/MiFIR, it is worth</w:t>
      </w:r>
      <w:r>
        <w:t xml:space="preserve"> </w:t>
      </w:r>
      <w:r>
        <w:t xml:space="preserve">mentioning that trading also takes place in the bilateral/off-venue space. Under MiFID II/MiFIR,</w:t>
      </w:r>
    </w:p>
    <w:p>
      <w:pPr>
        <w:pStyle w:val="BodyText"/>
      </w:pPr>
      <w:r>
        <w:t xml:space="preserve">14 An investment firm is a legal person (and in certain cases other undertakings that are not legal person) whose regular</w:t>
      </w:r>
      <w:r>
        <w:t xml:space="preserve"> </w:t>
      </w:r>
      <w:r>
        <w:t xml:space="preserve">occupation or business is the provision of one or more investment services to third parties and/or the performance</w:t>
      </w:r>
      <w:r>
        <w:br/>
      </w:r>
      <w:r>
        <w:t xml:space="preserve">of one or more investment activities on a professional basis. The list of investment services and activities includes:</w:t>
      </w:r>
      <w:r>
        <w:t xml:space="preserve"> </w:t>
      </w:r>
      <w:r>
        <w:t xml:space="preserve">reception and transmission of orders in relation to one or more financial instruments; execution of orders on behalf</w:t>
      </w:r>
      <w:r>
        <w:br/>
      </w:r>
      <w:r>
        <w:t xml:space="preserve">of clients; dealing on own account; portfolio management; investment advice; underwriting of financial instruments</w:t>
      </w:r>
      <w:r>
        <w:t xml:space="preserve"> </w:t>
      </w:r>
      <w:r>
        <w:t xml:space="preserve">and/or placing of financial instruments on a firm commitment basis; placing of financial instruments without a firm</w:t>
      </w:r>
      <w:r>
        <w:t xml:space="preserve"> </w:t>
      </w:r>
      <w:r>
        <w:t xml:space="preserve">commitment basis; operation of an MTF; operation of an OTF.</w:t>
      </w:r>
      <w:r>
        <w:t xml:space="preserve"> </w:t>
      </w:r>
      <w:r>
        <w:t xml:space="preserve">15 See Article 53(6) MiFID: “Member States shall, without further legal or administrative requirements, allow RMs</w:t>
      </w:r>
      <w:r>
        <w:t xml:space="preserve"> </w:t>
      </w:r>
      <w:r>
        <w:t xml:space="preserve">from other Member States to provide appropriate arrangements on their territory so as to facilitate access to and trading</w:t>
      </w:r>
      <w:r>
        <w:t xml:space="preserve"> </w:t>
      </w:r>
      <w:r>
        <w:t xml:space="preserve">on those markets by remote members or participants established in their territory”.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most bilateral/off-venue execution by investment firms is regulated as an investment service.</w:t>
      </w:r>
      <w:r>
        <w:br/>
      </w:r>
      <w:r>
        <w:t xml:space="preserve">Since MiFID I, investors also have the possibility to trade with ‘systematic internalisers’ (‘SIs’),</w:t>
      </w:r>
      <w:r>
        <w:t xml:space="preserve"> </w:t>
      </w:r>
      <w:r>
        <w:t xml:space="preserve">i.e. investment banks that act as dealers and trade bilaterally using their own funds. Annex 7</w:t>
      </w:r>
      <w:r>
        <w:t xml:space="preserve"> </w:t>
      </w:r>
      <w:r>
        <w:t xml:space="preserve">provides a more detailed analysis of the legal framework and the specific provisions</w:t>
      </w:r>
      <w:r>
        <w:br/>
      </w:r>
      <w:r>
        <w:t xml:space="preserve">of relevance to this initiative.</w:t>
      </w:r>
      <w:r>
        <w:br/>
      </w:r>
      <w:r>
        <w:t xml:space="preserve">In the post-trading sector, clearing is governed by the European Market Infrastructure Regulation</w:t>
      </w:r>
      <w:r>
        <w:t xml:space="preserve"> </w:t>
      </w:r>
      <w:r>
        <w:t xml:space="preserve">(‘EMIR’), which aims to make derivatives markets safer and more transparent, in particular</w:t>
      </w:r>
      <w:r>
        <w:t xml:space="preserve"> </w:t>
      </w:r>
      <w:r>
        <w:t xml:space="preserve">mandating standardised over-the-counter (‘OTC’) derivatives to be centrally cleared through</w:t>
      </w:r>
      <w:r>
        <w:t xml:space="preserve"> </w:t>
      </w:r>
      <w:r>
        <w:t xml:space="preserve">central counterparties (‘CCPs’), imposing risk mitigation rules for non-cleared trades, and</w:t>
      </w:r>
      <w:r>
        <w:t xml:space="preserve"> </w:t>
      </w:r>
      <w:r>
        <w:t xml:space="preserve">mandating reporting of derivatives activity to trade repositories (‘TRs’).16 Settlement in the EU</w:t>
      </w:r>
      <w:r>
        <w:br/>
      </w:r>
      <w:r>
        <w:t xml:space="preserve">is governed by a legislative framework mainly composed of the Central Securities Depositories</w:t>
      </w:r>
      <w:r>
        <w:t xml:space="preserve"> </w:t>
      </w:r>
      <w:r>
        <w:t xml:space="preserve">Regulation (‘CSDR’), the Settlement Finality Directive (‘SFD’) and the Financial Collateral</w:t>
      </w:r>
      <w:r>
        <w:t xml:space="preserve"> </w:t>
      </w:r>
      <w:r>
        <w:t xml:space="preserve">Directive (‘FCD’). These measures collectively address the legal, prudential, operational, and</w:t>
      </w:r>
      <w:r>
        <w:t xml:space="preserve"> </w:t>
      </w:r>
      <w:r>
        <w:t xml:space="preserve">systemic risks associated with securities settlement (i.e. the completion of a securities transaction</w:t>
      </w:r>
      <w:r>
        <w:t xml:space="preserve"> </w:t>
      </w:r>
      <w:r>
        <w:t xml:space="preserve">through the transfer of cash, securities, or both) and collateral arrangements (i.e. the use of assets</w:t>
      </w:r>
      <w:r>
        <w:t xml:space="preserve"> </w:t>
      </w:r>
      <w:r>
        <w:t xml:space="preserve">as security to support financial transactions) in the EU’s financial system.</w:t>
      </w:r>
      <w:r>
        <w:t xml:space="preserve"> </w:t>
      </w:r>
      <w:r>
        <w:t xml:space="preserve">The CSDR establishes uniform requirements for the settlement of financial instruments and the</w:t>
      </w:r>
      <w:r>
        <w:t xml:space="preserve"> </w:t>
      </w:r>
      <w:r>
        <w:t xml:space="preserve">operations of central securities depositories (‘CSDs’) across the EU. A CSD is a specialized</w:t>
      </w:r>
      <w:r>
        <w:t xml:space="preserve"> </w:t>
      </w:r>
      <w:r>
        <w:t xml:space="preserve">financial institution that executes transfer orders in relation to securities transactions and provides</w:t>
      </w:r>
      <w:r>
        <w:t xml:space="preserve"> </w:t>
      </w:r>
      <w:r>
        <w:t xml:space="preserve">at least one of the following two services: initial recording of securities and provision and</w:t>
      </w:r>
      <w:r>
        <w:t xml:space="preserve"> </w:t>
      </w:r>
      <w:r>
        <w:t xml:space="preserve">maintenance of securities accounts. CSDs play a crucial role in financial markets by enabling the</w:t>
      </w:r>
      <w:r>
        <w:t xml:space="preserve"> </w:t>
      </w:r>
      <w:r>
        <w:t xml:space="preserve">transfer of securities and ensuring the finality of settlement. The CSDR sets out the procedure</w:t>
      </w:r>
      <w:r>
        <w:br/>
      </w:r>
      <w:r>
        <w:t xml:space="preserve">of authorisation and supervision of CSDs and imposes prudential, organisational, and conduct</w:t>
      </w:r>
      <w:r>
        <w:br/>
      </w:r>
      <w:r>
        <w:t xml:space="preserve">of business requirements. It also contains rules on access and interoperability between CSDs and</w:t>
      </w:r>
      <w:r>
        <w:t xml:space="preserve"> </w:t>
      </w:r>
      <w:r>
        <w:t xml:space="preserve">trading venues, thereby fostering competition and integration in the trading and post-trading</w:t>
      </w:r>
      <w:r>
        <w:t xml:space="preserve"> </w:t>
      </w:r>
      <w:r>
        <w:t xml:space="preserve">markets. In addition, it provides a passporting regime that allows authorised CSDs to offer services</w:t>
      </w:r>
      <w:r>
        <w:t xml:space="preserve"> </w:t>
      </w:r>
      <w:r>
        <w:t xml:space="preserve">in other Member States.</w:t>
      </w:r>
      <w:r>
        <w:br/>
      </w:r>
      <w:r>
        <w:t xml:space="preserve">The SFD plays a key role in the legal certainty of payment and securities settlement systems within</w:t>
      </w:r>
      <w:r>
        <w:t xml:space="preserve"> </w:t>
      </w:r>
      <w:r>
        <w:t xml:space="preserve">the EU. It aims to minimise systemic risk arising from the insolvency of a participant in those</w:t>
      </w:r>
      <w:r>
        <w:t xml:space="preserve"> </w:t>
      </w:r>
      <w:r>
        <w:t xml:space="preserve">systems. It does so by ensuring that transfer orders entered into systems designated by Member</w:t>
      </w:r>
      <w:r>
        <w:t xml:space="preserve"> </w:t>
      </w:r>
      <w:r>
        <w:t xml:space="preserve">States are legally enforceable and irrevocable once correctly entered into such systems.</w:t>
      </w:r>
      <w:r>
        <w:br/>
      </w:r>
      <w:r>
        <w:t xml:space="preserve">It also safeguards the netting and collateral arrangements within those systems from being</w:t>
      </w:r>
      <w:r>
        <w:t xml:space="preserve"> </w:t>
      </w:r>
      <w:r>
        <w:t xml:space="preserve">unwound or affected by insolvency proceedings. This legal certainty is vital for maintaining</w:t>
      </w:r>
      <w:r>
        <w:t xml:space="preserve"> </w:t>
      </w:r>
      <w:r>
        <w:t xml:space="preserve">confidence in settlement processes, particularly during periods of financial stress. For participants</w:t>
      </w:r>
      <w:r>
        <w:t xml:space="preserve"> </w:t>
      </w:r>
      <w:r>
        <w:t xml:space="preserve">in such systems, this means they can trust that their transactions entered into the system</w:t>
      </w:r>
      <w:r>
        <w:br/>
      </w:r>
      <w:r>
        <w:t xml:space="preserve">will be executed and settled as planned, even if one of the parties involved in the transactions faces</w:t>
      </w:r>
      <w:r>
        <w:t xml:space="preserve"> </w:t>
      </w:r>
      <w:r>
        <w:t xml:space="preserve">financial difficulties, thereby reducing the risk of financial loss for the participants protected under</w:t>
      </w:r>
      <w:r>
        <w:t xml:space="preserve"> </w:t>
      </w:r>
      <w:r>
        <w:t xml:space="preserve">the SFD and promoting stability in the financial market.</w:t>
      </w:r>
      <w:r>
        <w:t xml:space="preserve"> </w:t>
      </w:r>
      <w:r>
        <w:t xml:space="preserve">The FCD complements the SFD by providing a framework for the use of financial collateral</w:t>
      </w:r>
      <w:r>
        <w:br/>
      </w:r>
      <w:r>
        <w:t xml:space="preserve">in transactions between market participants (e.g. between two banks), thereby reducing complexity</w:t>
      </w:r>
      <w:r>
        <w:t xml:space="preserve"> </w:t>
      </w:r>
      <w:r>
        <w:t xml:space="preserve">and costs for the parties engaged in such transactions. Overall, the FCD simplifies the process</w:t>
      </w:r>
      <w:r>
        <w:br/>
      </w:r>
      <w:r>
        <w:t xml:space="preserve">of taking and enforcing collateral in the form of cash, financial instruments, or credit claims.</w:t>
      </w:r>
      <w:r>
        <w:br/>
      </w:r>
      <w:r>
        <w:t xml:space="preserve">It also eliminates certain formal requirements, such as notarisation, and ensures the enforceability</w:t>
      </w:r>
    </w:p>
    <w:p>
      <w:pPr>
        <w:pStyle w:val="BodyText"/>
      </w:pPr>
      <w:r>
        <w:t xml:space="preserve">16 The scope of the proposals related to clearing outlined in this document are limited to the supervision of CCPs.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of close-out netting arrangements and title transfer collateral agreements. Annex 8 provides</w:t>
      </w:r>
      <w:r>
        <w:br/>
      </w:r>
      <w:r>
        <w:t xml:space="preserve">a detailed overview of the legal framework for post-trading and the relevant provisions for this</w:t>
      </w:r>
      <w:r>
        <w:t xml:space="preserve"> </w:t>
      </w:r>
      <w:r>
        <w:t xml:space="preserve">assessment.</w:t>
      </w:r>
      <w:r>
        <w:br/>
      </w:r>
      <w:r>
        <w:t xml:space="preserve">The EU asset management sector is largely governed by the Alternative Investment Fund</w:t>
      </w:r>
      <w:r>
        <w:t xml:space="preserve"> </w:t>
      </w:r>
      <w:r>
        <w:t xml:space="preserve">Managers Directive (‘AIFMD’), the Undertakings for Collective Investment in Transferable</w:t>
      </w:r>
      <w:r>
        <w:t xml:space="preserve"> </w:t>
      </w:r>
      <w:r>
        <w:t xml:space="preserve">Securities Directive (‘UCITSD’ or ‘UCITS Directive’), and the Cross-Border Distribution</w:t>
      </w:r>
      <w:r>
        <w:br/>
      </w:r>
      <w:r>
        <w:t xml:space="preserve">of Funds Regulation (‘CBDR’). Together, these instruments aim to ensure investor protection,</w:t>
      </w:r>
      <w:r>
        <w:t xml:space="preserve"> </w:t>
      </w:r>
      <w:r>
        <w:t xml:space="preserve">market integrity and the efficient functioning of the single market for investment funds.</w:t>
      </w:r>
      <w:r>
        <w:br/>
      </w:r>
      <w:r>
        <w:t xml:space="preserve">The UCITS Directive provides a regulatory regime for collective investment undertakings</w:t>
      </w:r>
      <w:r>
        <w:br/>
      </w:r>
      <w:r>
        <w:t xml:space="preserve">(mutual funds) that invest in transferable securities17 and provides common rules covering inter</w:t>
      </w:r>
      <w:r>
        <w:t xml:space="preserve"> </w:t>
      </w:r>
      <w:r>
        <w:t xml:space="preserve">alia marketing, investor protection, supervision, diversification and risk management.</w:t>
      </w:r>
      <w:r>
        <w:br/>
      </w:r>
      <w:r>
        <w:t xml:space="preserve">UCITS funds are primarily meant as retail investment vehicles, though also in demand</w:t>
      </w:r>
      <w:r>
        <w:br/>
      </w:r>
      <w:r>
        <w:t xml:space="preserve">by institutional investors and are subject to restrictions and transparency requirements to safeguard</w:t>
      </w:r>
      <w:r>
        <w:t xml:space="preserve"> </w:t>
      </w:r>
      <w:r>
        <w:t xml:space="preserve">retail investors’ interests. UCITS management companies must meet detailed organisational,</w:t>
      </w:r>
      <w:r>
        <w:t xml:space="preserve"> </w:t>
      </w:r>
      <w:r>
        <w:t xml:space="preserve">conduct and risk management requirements. These include obligations to act in the best interests</w:t>
      </w:r>
      <w:r>
        <w:t xml:space="preserve"> </w:t>
      </w:r>
      <w:r>
        <w:t xml:space="preserve">of investors, maintain adequate capital and implement the necessary internal control mechanisms.</w:t>
      </w:r>
      <w:r>
        <w:t xml:space="preserve"> </w:t>
      </w:r>
      <w:r>
        <w:t xml:space="preserve">It also imposes strict rules on liquidity management and leverage, and mandates comprehensive</w:t>
      </w:r>
      <w:r>
        <w:t xml:space="preserve"> </w:t>
      </w:r>
      <w:r>
        <w:t xml:space="preserve">disclosure requirements to investors, including through the provision of a key investor information.</w:t>
      </w:r>
      <w:r>
        <w:br/>
      </w:r>
      <w:r>
        <w:t xml:space="preserve">The UCITSD grants management companies and UCITS funds a passport, allowing them to</w:t>
      </w:r>
      <w:r>
        <w:t xml:space="preserve"> </w:t>
      </w:r>
      <w:r>
        <w:t xml:space="preserve">manage and market UCITS across the EU once authorised in one Member State, without the need</w:t>
      </w:r>
      <w:r>
        <w:t xml:space="preserve"> </w:t>
      </w:r>
      <w:r>
        <w:t xml:space="preserve">for additional local licenses. However, in practice, the notification process and review of fund</w:t>
      </w:r>
      <w:r>
        <w:t xml:space="preserve"> </w:t>
      </w:r>
      <w:r>
        <w:t xml:space="preserve">marketing documents by the host Member States where the UCITS is marketed can be a heavy</w:t>
      </w:r>
      <w:r>
        <w:t xml:space="preserve"> </w:t>
      </w:r>
      <w:r>
        <w:t xml:space="preserve">process, with divergences in Member State requirements. The depositary regime ensures that each</w:t>
      </w:r>
      <w:r>
        <w:t xml:space="preserve"> </w:t>
      </w:r>
      <w:r>
        <w:t xml:space="preserve">UCITS appoints a single independent depositary responsible for the safekeeping of assets,</w:t>
      </w:r>
      <w:r>
        <w:t xml:space="preserve"> </w:t>
      </w:r>
      <w:r>
        <w:t xml:space="preserve">oversight of fund operations, and monitoring cash flows to protect investors.</w:t>
      </w:r>
      <w:r>
        <w:t xml:space="preserve"> </w:t>
      </w:r>
      <w:r>
        <w:t xml:space="preserve">In parallel, the AIFMD regulates managers of alternative investment funds (‘AIFs’), which</w:t>
      </w:r>
      <w:r>
        <w:t xml:space="preserve"> </w:t>
      </w:r>
      <w:r>
        <w:t xml:space="preserve">encompass a wide variety of non-UCITS funds, including hedge funds, private equity funds,</w:t>
      </w:r>
      <w:r>
        <w:br/>
      </w:r>
      <w:r>
        <w:t xml:space="preserve">real estate funds and infrastructure funds. Unlike UCITS funds, AIFs are typically targeted at</w:t>
      </w:r>
      <w:r>
        <w:t xml:space="preserve"> </w:t>
      </w:r>
      <w:r>
        <w:t xml:space="preserve">professional investors, though some AIFs may also be sold to retail investors if Member States</w:t>
      </w:r>
      <w:r>
        <w:t xml:space="preserve"> </w:t>
      </w:r>
      <w:r>
        <w:t xml:space="preserve">decide so. The AIFMD establishes requirements for the authorisation, operation and transparency</w:t>
      </w:r>
      <w:r>
        <w:t xml:space="preserve"> </w:t>
      </w:r>
      <w:r>
        <w:t xml:space="preserve">of AIF managers (‘AIFMs’), particularly in the areas of risk management, valuation, delegation</w:t>
      </w:r>
      <w:r>
        <w:br/>
      </w:r>
      <w:r>
        <w:t xml:space="preserve">of AIFM functions to third parties, such as portfolio or risk management to specialised service</w:t>
      </w:r>
      <w:r>
        <w:t xml:space="preserve"> </w:t>
      </w:r>
      <w:r>
        <w:t xml:space="preserve">providers or external asset managers, liquidity management and remuneration policies. AIFMs</w:t>
      </w:r>
      <w:r>
        <w:t xml:space="preserve"> </w:t>
      </w:r>
      <w:r>
        <w:t xml:space="preserve">must also disclose detailed information to both investors and regulators, including data on portfolio</w:t>
      </w:r>
      <w:r>
        <w:t xml:space="preserve"> </w:t>
      </w:r>
      <w:r>
        <w:t xml:space="preserve">composition, leverage and systemic risk indicators. While the AIFMD does not harmonise</w:t>
      </w:r>
      <w:r>
        <w:br/>
      </w:r>
      <w:r>
        <w:t xml:space="preserve">the structure or marketing of AIFs themselves, it grants authorised EU AIFMs a passport</w:t>
      </w:r>
      <w:r>
        <w:br/>
      </w:r>
      <w:r>
        <w:t xml:space="preserve">to manage EU AIFs and market EU AIFs to professional investors across the EU subject</w:t>
      </w:r>
      <w:r>
        <w:br/>
      </w:r>
      <w:r>
        <w:t xml:space="preserve">to a notification process. The depositary regime also applies to AIFs.</w:t>
      </w:r>
    </w:p>
    <w:p>
      <w:pPr>
        <w:pStyle w:val="BodyText"/>
      </w:pPr>
      <w:r>
        <w:t xml:space="preserve">17 According to Article 2(1)(n) of the UCITS Directive, transferable securities are (i) shares in companies and other</w:t>
      </w:r>
      <w:r>
        <w:t xml:space="preserve"> </w:t>
      </w:r>
      <w:r>
        <w:t xml:space="preserve">securities equivalent to shares in companies (shares), (ii) bonds and other forms of securitised debt (debt securities)</w:t>
      </w:r>
      <w:r>
        <w:t xml:space="preserve"> </w:t>
      </w:r>
      <w:r>
        <w:t xml:space="preserve">or (iii) any other negotiable securities which carry the right to acquire any such transferable securities by subscription</w:t>
      </w:r>
      <w:r>
        <w:t xml:space="preserve"> </w:t>
      </w:r>
      <w:r>
        <w:t xml:space="preserve">or exchange.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To complement these frameworks, the CBDR aims to facilitate the smoother cross-border</w:t>
      </w:r>
      <w:r>
        <w:t xml:space="preserve"> </w:t>
      </w:r>
      <w:r>
        <w:t xml:space="preserve">marketing of UCITS funds and AIFs. The CBDR introduced principle-based requirements</w:t>
      </w:r>
      <w:r>
        <w:br/>
      </w:r>
      <w:r>
        <w:t xml:space="preserve">for marketing communications, ensuring that they are fair, clear and not misleading.</w:t>
      </w:r>
      <w:r>
        <w:br/>
      </w:r>
      <w:r>
        <w:t xml:space="preserve">It also enhanced transparency regarding regulatory fees and streamlined notification procedures</w:t>
      </w:r>
      <w:r>
        <w:t xml:space="preserve"> </w:t>
      </w:r>
      <w:r>
        <w:t xml:space="preserve">for cross-border marketing. Annex 9 presents the legal framework and the related specific issues</w:t>
      </w:r>
      <w:r>
        <w:t xml:space="preserve"> </w:t>
      </w:r>
      <w:r>
        <w:t xml:space="preserve">for the asset management sector in more detail.</w:t>
      </w:r>
      <w:r>
        <w:br/>
      </w:r>
      <w:r>
        <w:t xml:space="preserve">In the area of innovation, distributed ledgers are a key technology which is being developed</w:t>
      </w:r>
      <w:r>
        <w:br/>
      </w:r>
      <w:r>
        <w:t xml:space="preserve">to lower the costs and realise efficiencies in trading and post-trading. The Distributed Ledger</w:t>
      </w:r>
      <w:r>
        <w:t xml:space="preserve"> </w:t>
      </w:r>
      <w:r>
        <w:t xml:space="preserve">Technology Pilot Regulation (‘DLTPR’), which aims to create a legal framework to foster the use</w:t>
      </w:r>
      <w:r>
        <w:t xml:space="preserve"> </w:t>
      </w:r>
      <w:r>
        <w:t xml:space="preserve">of this technology in financial markets, came into force in March 2023. It enables market</w:t>
      </w:r>
      <w:r>
        <w:t xml:space="preserve"> </w:t>
      </w:r>
      <w:r>
        <w:t xml:space="preserve">participants to derogate from certain provisions applicable to trading venues and CSDs.</w:t>
      </w:r>
      <w:r>
        <w:br/>
      </w:r>
      <w:r>
        <w:t xml:space="preserve">The main objectives of the DLTPR are to support innovation in DLT by attracting businesses</w:t>
      </w:r>
      <w:r>
        <w:br/>
      </w:r>
      <w:r>
        <w:t xml:space="preserve">to deploy their solutions within an adapted and clearly delimited framework, and to integrate</w:t>
      </w:r>
      <w:r>
        <w:br/>
      </w:r>
      <w:r>
        <w:t xml:space="preserve">the learnings obtained from the industry into further changes to the common rulebook.</w:t>
      </w:r>
      <w:r>
        <w:br/>
      </w:r>
      <w:r>
        <w:t xml:space="preserve">The CSDR was devised before DLT or other disruptive technologies were developed and thus</w:t>
      </w:r>
      <w:r>
        <w:t xml:space="preserve"> </w:t>
      </w:r>
      <w:r>
        <w:t xml:space="preserve">relies on “legacy” systems at its core. For example, the assumptions about intermediary roles</w:t>
      </w:r>
      <w:r>
        <w:br/>
      </w:r>
      <w:r>
        <w:t xml:space="preserve">and functions, definitions of certain key notions and other requirements embedded in the CSDR</w:t>
      </w:r>
      <w:r>
        <w:t xml:space="preserve"> </w:t>
      </w:r>
      <w:r>
        <w:t xml:space="preserve">may act as a barrier to the uptake of this technology. The aim of the DLTPR is precisely to create</w:t>
      </w:r>
      <w:r>
        <w:t xml:space="preserve"> </w:t>
      </w:r>
      <w:r>
        <w:t xml:space="preserve">an adapted framework within which participants can test and develop their solutions</w:t>
      </w:r>
      <w:r>
        <w:br/>
      </w:r>
      <w:r>
        <w:t xml:space="preserve">for the issuance, recording, trading and transfer of financial instruments using DLT.</w:t>
      </w:r>
      <w:r>
        <w:t xml:space="preserve"> </w:t>
      </w:r>
      <w:r>
        <w:t xml:space="preserve">In addition, the Markets in Crypto-Assets Regulation (‘MiCA’) has created a comprehensive legal</w:t>
      </w:r>
      <w:r>
        <w:t xml:space="preserve"> </w:t>
      </w:r>
      <w:r>
        <w:t xml:space="preserve">framework for crypto-assets, including stablecoins and e-money tokens. MiCA’s primary goals</w:t>
      </w:r>
      <w:r>
        <w:br/>
      </w:r>
      <w:r>
        <w:t xml:space="preserve">is to improve consumer protection, enhance market integrity, and provide legal clarity for issuers</w:t>
      </w:r>
      <w:r>
        <w:t xml:space="preserve"> </w:t>
      </w:r>
      <w:r>
        <w:t xml:space="preserve">and service providers.18 MiCA entered into full application on 30 December 2024 but crypto-asset</w:t>
      </w:r>
      <w:r>
        <w:t xml:space="preserve"> </w:t>
      </w:r>
      <w:r>
        <w:t xml:space="preserve">service providers (‘CASPs’) that were providing services in accordance with the applicable</w:t>
      </w:r>
      <w:r>
        <w:t xml:space="preserve"> </w:t>
      </w:r>
      <w:r>
        <w:t xml:space="preserve">national law before that date may continue to provide their services without additional MiCA</w:t>
      </w:r>
      <w:r>
        <w:t xml:space="preserve"> </w:t>
      </w:r>
      <w:r>
        <w:t xml:space="preserve">authorisation until 01 July 2026, in accordance with various transitional periods set by the Member</w:t>
      </w:r>
      <w:r>
        <w:t xml:space="preserve"> </w:t>
      </w:r>
      <w:r>
        <w:t xml:space="preserve">States to improve consumer protection, enhance market integrity, and provide legal clarity</w:t>
      </w:r>
      <w:r>
        <w:br/>
      </w:r>
      <w:r>
        <w:t xml:space="preserve">for issuers and service providers.</w:t>
      </w:r>
      <w:r>
        <w:t xml:space="preserve"> </w:t>
      </w:r>
      <w:r>
        <w:t xml:space="preserve">1.2.2. Supervision</w:t>
      </w:r>
      <w:r>
        <w:br/>
      </w:r>
      <w:r>
        <w:t xml:space="preserve">The supervision of entities and activities in trading19, post-trading20, asset management21 and</w:t>
      </w:r>
      <w:r>
        <w:t xml:space="preserve"> </w:t>
      </w:r>
      <w:r>
        <w:t xml:space="preserve">crypto-asset services22 in the EU is carried out by national competent authorities (‘NCAs’),</w:t>
      </w:r>
    </w:p>
    <w:p>
      <w:pPr>
        <w:pStyle w:val="BodyText"/>
      </w:pPr>
      <w:r>
        <w:t xml:space="preserve">18 The scope of the measures related to MiCA outlined in this document are limited to the supervision of CASPs.</w:t>
      </w:r>
      <w:r>
        <w:t xml:space="preserve"> </w:t>
      </w:r>
      <w:r>
        <w:t xml:space="preserve">19 In general, each Member State designates one national competent authority. However, in some Member States</w:t>
      </w:r>
      <w:r>
        <w:t xml:space="preserve"> </w:t>
      </w:r>
      <w:r>
        <w:t xml:space="preserve">multiple supervisors co-exist for different reasons.</w:t>
      </w:r>
      <w:r>
        <w:t xml:space="preserve"> </w:t>
      </w:r>
      <w:r>
        <w:t xml:space="preserve">20 There are 25 CSDs authorised in the EU under the CSD Regulation (‘CSDR’). CSDR Refit introduced a college</w:t>
      </w:r>
      <w:r>
        <w:br/>
      </w:r>
      <w:r>
        <w:t xml:space="preserve">of supervisors for CSDs of substantial importance in at least two host Member States, which is comprised of NCAs,</w:t>
      </w:r>
      <w:r>
        <w:t xml:space="preserve"> </w:t>
      </w:r>
      <w:r>
        <w:t xml:space="preserve">ESMA and of relevant authorities, including the European System of Central Banks (ESCB). There are 14 CCPs that</w:t>
      </w:r>
      <w:r>
        <w:t xml:space="preserve"> </w:t>
      </w:r>
      <w:r>
        <w:t xml:space="preserve">have been authorised in the EU under the European Market Infrastructure Regulation (EMIR). For key decisions</w:t>
      </w:r>
      <w:r>
        <w:t xml:space="preserve"> </w:t>
      </w:r>
      <w:r>
        <w:t xml:space="preserve">(authorisation, risk model changes, etc.), NCAs must consult a college of supervisors.</w:t>
      </w:r>
      <w:r>
        <w:t xml:space="preserve"> </w:t>
      </w:r>
      <w:r>
        <w:t xml:space="preserve">21 Each UCITS fund must be authorised and supervised by the NCA of the Member State where it is domiciled.</w:t>
      </w:r>
      <w:r>
        <w:br/>
      </w:r>
      <w:r>
        <w:t xml:space="preserve">The home NCA of the UCITS is responsible for supervising the management company in relation to the UCITS.</w:t>
      </w:r>
      <w:r>
        <w:t xml:space="preserve"> </w:t>
      </w:r>
      <w:r>
        <w:t xml:space="preserve">22 Beyond its regular coordination role, ESMA has a limited role in the supervision of CASPs designated</w:t>
      </w:r>
      <w:r>
        <w:br/>
      </w:r>
      <w:r>
        <w:t xml:space="preserve">as “significant” (i.e. having at least 15 million users in the EU).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sometimes including the National Central Banks (‘NCBs’). More details on supervisory set up can</w:t>
      </w:r>
      <w:r>
        <w:t xml:space="preserve"> </w:t>
      </w:r>
      <w:r>
        <w:t xml:space="preserve">be found in the Annex on Supervision.</w:t>
      </w:r>
      <w:r>
        <w:t xml:space="preserve"> </w:t>
      </w:r>
      <w:r>
        <w:t xml:space="preserve">At EU level, the European Securities Markets Authority (‘ESMA’)23 is responsible for ensuring</w:t>
      </w:r>
      <w:r>
        <w:t xml:space="preserve"> </w:t>
      </w:r>
      <w:r>
        <w:t xml:space="preserve">the integrity, transparency, and efficiency of financial markets and fostering consumer and investor</w:t>
      </w:r>
      <w:r>
        <w:t xml:space="preserve"> </w:t>
      </w:r>
      <w:r>
        <w:t xml:space="preserve">protection.24 ESMA’s founding regulation25 sets out ESMA’s objectives, tasks, and powers as well</w:t>
      </w:r>
      <w:r>
        <w:t xml:space="preserve"> </w:t>
      </w:r>
      <w:r>
        <w:t xml:space="preserve">as its responsibility for coordinating the supervision of EU financial markets and the enforcement</w:t>
      </w:r>
      <w:r>
        <w:t xml:space="preserve"> </w:t>
      </w:r>
      <w:r>
        <w:t xml:space="preserve">of EU market and investment rules.26</w:t>
      </w:r>
      <w:r>
        <w:br/>
      </w:r>
      <w:r>
        <w:t xml:space="preserve">ESMA plays a key role in promoting consistency and convergence in supervision across the EU</w:t>
      </w:r>
      <w:r>
        <w:t xml:space="preserve"> </w:t>
      </w:r>
      <w:r>
        <w:t xml:space="preserve">and has a range of tools at its disposal, such as issuing guidelines, making recommendations,</w:t>
      </w:r>
      <w:r>
        <w:t xml:space="preserve"> </w:t>
      </w:r>
      <w:r>
        <w:t xml:space="preserve">conducting peer reviews, investigating suspected breaches of Union law by national authorities</w:t>
      </w:r>
      <w:r>
        <w:t xml:space="preserve"> </w:t>
      </w:r>
      <w:r>
        <w:t xml:space="preserve">and resolving disputes between supervisors through binding mediation.27 Most of these powers</w:t>
      </w:r>
      <w:r>
        <w:t xml:space="preserve"> </w:t>
      </w:r>
      <w:r>
        <w:t xml:space="preserve">are, however, soft in nature and therefore do not allow ESMA to fully ensure supervisory</w:t>
      </w:r>
      <w:r>
        <w:t xml:space="preserve"> </w:t>
      </w:r>
      <w:r>
        <w:t xml:space="preserve">convergence. As a result, significant divergences and national supervisory approaches prevail (see</w:t>
      </w:r>
      <w:r>
        <w:t xml:space="preserve"> </w:t>
      </w:r>
      <w:r>
        <w:t xml:space="preserve">problem definition).</w:t>
      </w:r>
      <w:r>
        <w:t xml:space="preserve"> </w:t>
      </w:r>
      <w:r>
        <w:t xml:space="preserve">While the other European Supervisory Authorities (‘ESAs’), such as the European Insurance</w:t>
      </w:r>
      <w:r>
        <w:br/>
      </w:r>
      <w:r>
        <w:t xml:space="preserve">and Occupational Pensions Authority (‘EIOPA’) and the European Banking Authority (‘EBA’)</w:t>
      </w:r>
      <w:r>
        <w:t xml:space="preserve"> </w:t>
      </w:r>
      <w:r>
        <w:t xml:space="preserve">also play a role in integrating capital markets, they are not directly overseeing the sectors that</w:t>
      </w:r>
      <w:r>
        <w:br/>
      </w:r>
      <w:r>
        <w:t xml:space="preserve">are in scope of this impact assessment.28 For this reason, this impact assessment focuses on ESMA.</w:t>
      </w:r>
      <w:r>
        <w:t xml:space="preserve"> </w:t>
      </w:r>
      <w:r>
        <w:t xml:space="preserve">This does not preclude the possibility that, in the future, broader reforms may also consider</w:t>
      </w:r>
      <w:r>
        <w:br/>
      </w:r>
      <w:r>
        <w:t xml:space="preserve">the roles of the other ESAs as part of further efforts to strengthen financial supervision in the EU</w:t>
      </w:r>
      <w:r>
        <w:t xml:space="preserve"> </w:t>
      </w:r>
      <w:r>
        <w:t xml:space="preserve">if specific problems are identified.</w:t>
      </w:r>
    </w:p>
    <w:p>
      <w:pPr>
        <w:pStyle w:val="BodyText"/>
      </w:pPr>
      <w:r>
        <w:t xml:space="preserve">23 See Article 1 REGULATION (EU) No 1095/2010 of 24 November 2010 establishing a European Supervisory</w:t>
      </w:r>
      <w:r>
        <w:t xml:space="preserve"> </w:t>
      </w:r>
      <w:r>
        <w:t xml:space="preserve">Authority (European Securities and Markets Authority), (OJ L 331 15.12.2010, p. 84).</w:t>
      </w:r>
      <w:r>
        <w:t xml:space="preserve"> </w:t>
      </w:r>
      <w:r>
        <w:t xml:space="preserve">24 ESMA, together with the European Banking Authority (‘EBA’), the European Insurance and Occupational Pensions</w:t>
      </w:r>
      <w:r>
        <w:t xml:space="preserve"> </w:t>
      </w:r>
      <w:r>
        <w:t xml:space="preserve">Authority (‘EIOPA’), and the European Systemic Risk Board (‘ESRB’), form the European System of Financial</w:t>
      </w:r>
      <w:r>
        <w:t xml:space="preserve"> </w:t>
      </w:r>
      <w:r>
        <w:t xml:space="preserve">Supervision (‘ESFS’), a framework for supervising and regulating the EU’s financial system. Within this framework,</w:t>
      </w:r>
      <w:r>
        <w:t xml:space="preserve"> </w:t>
      </w:r>
      <w:r>
        <w:t xml:space="preserve">ESMA’s competences are focused on financial markets, including securities and investment services, while EBA and</w:t>
      </w:r>
      <w:r>
        <w:t xml:space="preserve"> </w:t>
      </w:r>
      <w:r>
        <w:t xml:space="preserve">EIOPA</w:t>
      </w:r>
      <w:r>
        <w:t xml:space="preserve"> </w:t>
      </w:r>
      <w:r>
        <w:t xml:space="preserve">oversee</w:t>
      </w:r>
      <w:r>
        <w:t xml:space="preserve"> </w:t>
      </w:r>
      <w:r>
        <w:t xml:space="preserve">banking</w:t>
      </w:r>
      <w:r>
        <w:t xml:space="preserve"> </w:t>
      </w:r>
      <w:r>
        <w:t xml:space="preserve">and</w:t>
      </w:r>
      <w:r>
        <w:t xml:space="preserve"> </w:t>
      </w:r>
      <w:r>
        <w:t xml:space="preserve">insurance/pensions,</w:t>
      </w:r>
      <w:r>
        <w:t xml:space="preserve"> </w:t>
      </w:r>
      <w:r>
        <w:t xml:space="preserve">respectively,</w:t>
      </w:r>
      <w:r>
        <w:t xml:space="preserve"> </w:t>
      </w:r>
      <w:r>
        <w:t xml:space="preserve">allowing</w:t>
      </w:r>
      <w:r>
        <w:t xml:space="preserve"> </w:t>
      </w:r>
      <w:r>
        <w:t xml:space="preserve">for</w:t>
      </w:r>
      <w:r>
        <w:t xml:space="preserve"> </w:t>
      </w:r>
      <w:r>
        <w:t xml:space="preserve">specialized</w:t>
      </w:r>
      <w:r>
        <w:t xml:space="preserve"> </w:t>
      </w:r>
      <w:r>
        <w:t xml:space="preserve">expertise</w:t>
      </w:r>
      <w:r>
        <w:br/>
      </w:r>
      <w:r>
        <w:t xml:space="preserve">and a coordinated approach to financial supervision across the EU.</w:t>
      </w:r>
      <w:r>
        <w:t xml:space="preserve"> </w:t>
      </w:r>
      <w:r>
        <w:t xml:space="preserve">25 Regulation (EU) No 1095/2010 of the European Parliament and of the Council.</w:t>
      </w:r>
      <w:r>
        <w:t xml:space="preserve"> </w:t>
      </w:r>
      <w:r>
        <w:t xml:space="preserve">26 In certain limited areas, ESMA exercises direct supervisory powers, i.e. with regard to credit rating agencies</w:t>
      </w:r>
      <w:r>
        <w:br/>
      </w:r>
      <w:r>
        <w:t xml:space="preserve">and trade repositories, CCPs established in third countries deemed to be of substantial systemic importance</w:t>
      </w:r>
      <w:r>
        <w:br/>
      </w:r>
      <w:r>
        <w:t xml:space="preserve">and operating in the EU (such as LCH Ltd (UK CCP) and ICE EU (UK CCP)), recognised third-country benchmark</w:t>
      </w:r>
      <w:r>
        <w:t xml:space="preserve"> </w:t>
      </w:r>
      <w:r>
        <w:t xml:space="preserve">administrators and third-country benchmarks endorsed in the EU, securitisation repositories, and EU Green Bonds</w:t>
      </w:r>
      <w:r>
        <w:t xml:space="preserve"> </w:t>
      </w:r>
      <w:r>
        <w:t xml:space="preserve">external reviewers and ESG rating providers. Under the MiFIR framework, ESMA is also granted direct</w:t>
      </w:r>
      <w:r>
        <w:t xml:space="preserve"> </w:t>
      </w:r>
      <w:r>
        <w:t xml:space="preserve">responsibilities regarding the authorisation and supervision of certain Data Reporting Services Providers.</w:t>
      </w:r>
      <w:r>
        <w:br/>
      </w:r>
      <w:r>
        <w:t xml:space="preserve">27 Binding mediation is a conflict-resolution mechanism used when there is a dispute between two or more NCAs</w:t>
      </w:r>
      <w:r>
        <w:t xml:space="preserve"> </w:t>
      </w:r>
      <w:r>
        <w:t xml:space="preserve">particularly in cases specified in legislative acts. ESMA resolves disputes by issuing a legally binding decision that</w:t>
      </w:r>
      <w:r>
        <w:t xml:space="preserve"> </w:t>
      </w:r>
      <w:r>
        <w:t xml:space="preserve">all parties must follow and may eventually also adopt individual binding decisions applicable to market participants</w:t>
      </w:r>
      <w:r>
        <w:t xml:space="preserve"> </w:t>
      </w:r>
      <w:r>
        <w:t xml:space="preserve">(Article 19 ESMA Regulation).</w:t>
      </w:r>
      <w:r>
        <w:t xml:space="preserve"> </w:t>
      </w:r>
      <w:r>
        <w:t xml:space="preserve">28 In case of MiCA, EBA has been given direct supervision of issuers of significant asset-referenced tokens</w:t>
      </w:r>
      <w:r>
        <w:br/>
      </w:r>
      <w:r>
        <w:t xml:space="preserve">and e-money tokens.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1.3. MARKET CONTEXT</w:t>
      </w:r>
      <w:r>
        <w:t xml:space="preserve"> </w:t>
      </w:r>
      <w:r>
        <w:t xml:space="preserve">As confirmed by a large body of literature, EU capital markets are underdeveloped in both size</w:t>
      </w:r>
      <w:r>
        <w:t xml:space="preserve"> </w:t>
      </w:r>
      <w:r>
        <w:t xml:space="preserve">and depth,29,30 and there are significant differences in capital market development across Member</w:t>
      </w:r>
      <w:r>
        <w:t xml:space="preserve"> </w:t>
      </w:r>
      <w:r>
        <w:t xml:space="preserve">States (see Annex 12 for Member State specific evidence on capital market developments).</w:t>
      </w:r>
      <w:r>
        <w:br/>
      </w:r>
      <w:r>
        <w:t xml:space="preserve">Figure 1 illustrates that total (traded and untraded) equity market capitalisation amounted</w:t>
      </w:r>
      <w:r>
        <w:br/>
      </w:r>
      <w:r>
        <w:t xml:space="preserve">to 73% of GDP in the EU in 2024, compared to 130% in the UK and 270% in the US</w:t>
      </w:r>
      <w:r>
        <w:br/>
      </w:r>
      <w:r>
        <w:t xml:space="preserve">(see also e.g. ECB (2025)31). Over the past 15 years, major stock markets have grown significantly</w:t>
      </w:r>
      <w:r>
        <w:t xml:space="preserve"> </w:t>
      </w:r>
      <w:r>
        <w:t xml:space="preserve">but unevenly across jurisdictions: the US S&amp;P 500 index increased by more than 350%, the Asia</w:t>
      </w:r>
      <w:r>
        <w:t xml:space="preserve"> </w:t>
      </w:r>
      <w:r>
        <w:t xml:space="preserve">Nikkei 225 by more than 200%, the STOXX Europe 600 by about 100% and the UK FTSE 100</w:t>
      </w:r>
      <w:r>
        <w:t xml:space="preserve"> </w:t>
      </w:r>
      <w:r>
        <w:t xml:space="preserve">by about 50%. The US share of global free-float market capitalisation therefore rose from about</w:t>
      </w:r>
      <w:r>
        <w:t xml:space="preserve"> </w:t>
      </w:r>
      <w:r>
        <w:t xml:space="preserve">40% after the global financial crisis to over 60% by early 2025.32</w:t>
      </w:r>
      <w:r>
        <w:br/>
      </w:r>
      <w:r>
        <w:t xml:space="preserve">Other indicators also show the relative underdevelopment of EU capital markets. For example,</w:t>
      </w:r>
      <w:r>
        <w:br/>
      </w:r>
      <w:r>
        <w:t xml:space="preserve">the number of IPOs (initial public offerings) in the US has been more than triple the number</w:t>
      </w:r>
      <w:r>
        <w:br/>
      </w:r>
      <w:r>
        <w:t xml:space="preserve">in the EU over the last decade (on average 107 IPOs in the EU annually versus 360 IPOs</w:t>
      </w:r>
      <w:r>
        <w:br/>
      </w:r>
      <w:r>
        <w:t xml:space="preserve">in the US) (Figure 2). However, EU IPOs still exceeded the number of IPOs in the UK</w:t>
      </w:r>
      <w:r>
        <w:br/>
      </w:r>
      <w:r>
        <w:t xml:space="preserve">(59 on average). A significant number of EU companies have moved their primary listing</w:t>
      </w:r>
      <w:r>
        <w:br/>
      </w:r>
      <w:r>
        <w:t xml:space="preserve">to the US market, where new listings – including IPOs, direct listings, and listing via Special</w:t>
      </w:r>
      <w:r>
        <w:t xml:space="preserve"> </w:t>
      </w:r>
      <w:r>
        <w:t xml:space="preserve">Purpose Acquisition Companies (SPACs) – account for nearly 90% of relocations.33</w:t>
      </w:r>
    </w:p>
    <w:p>
      <w:pPr>
        <w:pStyle w:val="BodyText"/>
      </w:pPr>
      <w:r>
        <w:t xml:space="preserve">29 Market depth refers to the ability of a market to absorb large orders without significantly impacting the price</w:t>
      </w:r>
      <w:r>
        <w:br/>
      </w:r>
      <w:r>
        <w:t xml:space="preserve">of a security, hence showing strong liquidity.</w:t>
      </w:r>
      <w:r>
        <w:t xml:space="preserve"> </w:t>
      </w:r>
      <w:r>
        <w:t xml:space="preserve">30 See for example: IMF, September 2019, “A Capital Market Union for Europe”; New Financial, January 2024,</w:t>
      </w:r>
      <w:r>
        <w:t xml:space="preserve"> </w:t>
      </w:r>
      <w:r>
        <w:t xml:space="preserve">“Searching for Growth: the Future of EU Capital Markets”; New Financial, January 2019, “The New Financial Global</w:t>
      </w:r>
      <w:r>
        <w:t xml:space="preserve"> </w:t>
      </w:r>
      <w:r>
        <w:t xml:space="preserve">Capital Markets Growth Index: Analysis of the size, depth &amp; growth potential of capital markets in 60 economies</w:t>
      </w:r>
      <w:r>
        <w:t xml:space="preserve"> </w:t>
      </w:r>
      <w:r>
        <w:t xml:space="preserve">around the world”; AFME, November 2024, “Capital Markets Union – Key performance indicators seventh edition”;</w:t>
      </w:r>
      <w:r>
        <w:t xml:space="preserve"> </w:t>
      </w:r>
      <w:r>
        <w:t xml:space="preserve">Bruegel, June 2021, “Europe should not neglect its capital markets union”; European Investment Bank, March 2025,</w:t>
      </w:r>
      <w:r>
        <w:t xml:space="preserve"> </w:t>
      </w:r>
      <w:r>
        <w:t xml:space="preserve">“Investment Report 2024/2025: Innovation, integration and simplification in Europe”.</w:t>
      </w:r>
      <w:r>
        <w:t xml:space="preserve"> </w:t>
      </w:r>
      <w:r>
        <w:t xml:space="preserve">31 Capital markets union: a deep dive - Five measures to foster a single market for capital, ECB Occasional paper</w:t>
      </w:r>
      <w:r>
        <w:t xml:space="preserve"> </w:t>
      </w:r>
      <w:r>
        <w:t xml:space="preserve">Series, May 2025.</w:t>
      </w:r>
      <w:r>
        <w:t xml:space="preserve"> </w:t>
      </w:r>
      <w:r>
        <w:t xml:space="preserve">32 See pages 22-23 of European Financial Stability and Integration Review 2025. The sector composition of the EU</w:t>
      </w:r>
      <w:r>
        <w:t xml:space="preserve"> </w:t>
      </w:r>
      <w:r>
        <w:t xml:space="preserve">and US indexes diverges significantly. DG FISMA calculations illustrate that sector weighting alone does not account</w:t>
      </w:r>
      <w:r>
        <w:t xml:space="preserve"> </w:t>
      </w:r>
      <w:r>
        <w:t xml:space="preserve">for the return disparities. Even if the EU index would match the US index’s sector composition, it would still</w:t>
      </w:r>
      <w:r>
        <w:t xml:space="preserve"> </w:t>
      </w:r>
      <w:r>
        <w:t xml:space="preserve">significantly underperform.</w:t>
      </w:r>
      <w:r>
        <w:t xml:space="preserve"> </w:t>
      </w:r>
      <w:r>
        <w:t xml:space="preserve">33 The proportion of European IPOs listing in the US has tripled since 2015 to 22% of all IPOs by European companies</w:t>
      </w:r>
      <w:r>
        <w:t xml:space="preserve"> </w:t>
      </w:r>
      <w:r>
        <w:t xml:space="preserve">by value. In particular in the biotech sector, over a quarter of European biotech companies that did an IPO</w:t>
      </w:r>
      <w:r>
        <w:br/>
      </w:r>
      <w:r>
        <w:t xml:space="preserve">over the past decade listed in the US market, representing nearly two thirds of the value of IPOs by European biotech</w:t>
      </w:r>
      <w:r>
        <w:t xml:space="preserve"> </w:t>
      </w:r>
      <w:r>
        <w:t xml:space="preserve">companies. New Financial, April 2025, “A reality check on international listings”.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Figure 1: Total market capitalisation relative to</w:t>
      </w:r>
      <w:r>
        <w:t xml:space="preserve"> </w:t>
      </w:r>
      <w:r>
        <w:t xml:space="preserve">total domestic GDP in 2024</w:t>
      </w:r>
      <w:r>
        <w:t xml:space="preserve"> </w:t>
      </w:r>
      <w:r>
        <w:t xml:space="preserve">Figure 2: Number of IPOs by region of IPO</w:t>
      </w:r>
      <w:r>
        <w:t xml:space="preserve"> </w:t>
      </w:r>
      <w:r>
        <w:t xml:space="preserve">exchange – 2015-2024 average</w:t>
      </w:r>
      <w:r>
        <w:t xml:space="preserve"> </w:t>
      </w:r>
      <w:r>
        <w:t xml:space="preserve">Source: S&amp;P Capital IQ, OECD, DG FISMA calculations</w:t>
      </w:r>
      <w:r>
        <w:t xml:space="preserve"> </w:t>
      </w:r>
      <w:r>
        <w:t xml:space="preserve">Note: Company level market capitalisation is calculated</w:t>
      </w:r>
      <w:r>
        <w:br/>
      </w:r>
      <w:r>
        <w:t xml:space="preserve">as aggregate market capitalization of all issues of common</w:t>
      </w:r>
      <w:r>
        <w:t xml:space="preserve"> </w:t>
      </w:r>
      <w:r>
        <w:t xml:space="preserve">equity</w:t>
      </w:r>
      <w:r>
        <w:t xml:space="preserve"> </w:t>
      </w:r>
      <w:r>
        <w:t xml:space="preserve">whether</w:t>
      </w:r>
      <w:r>
        <w:t xml:space="preserve"> </w:t>
      </w:r>
      <w:r>
        <w:t xml:space="preserve">traded</w:t>
      </w:r>
      <w:r>
        <w:t xml:space="preserve"> </w:t>
      </w:r>
      <w:r>
        <w:t xml:space="preserve">or</w:t>
      </w:r>
      <w:r>
        <w:t xml:space="preserve"> </w:t>
      </w:r>
      <w:r>
        <w:t xml:space="preserve">non-traded.</w:t>
      </w:r>
      <w:r>
        <w:t xml:space="preserve"> </w:t>
      </w:r>
      <w:r>
        <w:t xml:space="preserve">If</w:t>
      </w:r>
      <w:r>
        <w:t xml:space="preserve"> </w:t>
      </w:r>
      <w:r>
        <w:t xml:space="preserve">pricing</w:t>
      </w:r>
      <w:r>
        <w:br/>
      </w:r>
      <w:r>
        <w:t xml:space="preserve">is not available for secondary classes, the price of the</w:t>
      </w:r>
      <w:r>
        <w:t xml:space="preserve"> </w:t>
      </w:r>
      <w:r>
        <w:t xml:space="preserve">primary class is applied. Total market capitalisation is</w:t>
      </w:r>
      <w:r>
        <w:t xml:space="preserve"> </w:t>
      </w:r>
      <w:r>
        <w:t xml:space="preserve">calculated as the sum of company level market</w:t>
      </w:r>
      <w:r>
        <w:t xml:space="preserve"> </w:t>
      </w:r>
      <w:r>
        <w:t xml:space="preserve">capitalisation of all companies with their domicile in the</w:t>
      </w:r>
      <w:r>
        <w:t xml:space="preserve"> </w:t>
      </w:r>
      <w:r>
        <w:t xml:space="preserve">respective region at end-of year 2024. Relative market</w:t>
      </w:r>
      <w:r>
        <w:t xml:space="preserve"> </w:t>
      </w:r>
      <w:r>
        <w:t xml:space="preserve">capitalisation is calculated by dividing the values</w:t>
      </w:r>
      <w:r>
        <w:br/>
      </w:r>
      <w:r>
        <w:t xml:space="preserve">by the regional GDP.</w:t>
      </w:r>
      <w:r>
        <w:br/>
      </w:r>
      <w:r>
        <w:t xml:space="preserve">Source: S&amp;P Capital IQ, DG FISMA calculations</w:t>
      </w:r>
      <w:r>
        <w:t xml:space="preserve"> </w:t>
      </w:r>
      <w:r>
        <w:t xml:space="preserve">Note: Number of IPOs by location of IPO stock exchange</w:t>
      </w:r>
      <w:r>
        <w:t xml:space="preserve"> </w:t>
      </w:r>
      <w:r>
        <w:t xml:space="preserve">(indicates the best of exchange where the company</w:t>
      </w:r>
      <w:r>
        <w:br/>
      </w:r>
      <w:r>
        <w:t xml:space="preserve">got listed/will list pursuant to the IPO or the exchange</w:t>
      </w:r>
      <w:r>
        <w:t xml:space="preserve"> </w:t>
      </w:r>
      <w:r>
        <w:t xml:space="preserve">where it is currently trading. If there is no exchange</w:t>
      </w:r>
      <w:r>
        <w:t xml:space="preserve"> </w:t>
      </w:r>
      <w:r>
        <w:t xml:space="preserve">indicated in the IPO filings, it will indicate the current</w:t>
      </w:r>
      <w:r>
        <w:t xml:space="preserve"> </w:t>
      </w:r>
      <w:r>
        <w:t xml:space="preserve">exchange for the primary listing of the company.).</w:t>
      </w:r>
    </w:p>
    <w:p>
      <w:pPr>
        <w:pStyle w:val="BodyText"/>
      </w:pPr>
      <w:r>
        <w:t xml:space="preserve">The lack of capital market development also shows in corporate funding structures. European</w:t>
      </w:r>
      <w:r>
        <w:br/>
      </w:r>
      <w:r>
        <w:t xml:space="preserve">non-financial corporations (‘NFCs’) are much more reliant on bank loans than market funding,</w:t>
      </w:r>
      <w:r>
        <w:br/>
      </w:r>
      <w:r>
        <w:t xml:space="preserve">i.e. debt securities and listed shares, compared to NFCs in the UK and the US. As shown</w:t>
      </w:r>
      <w:r>
        <w:br/>
      </w:r>
      <w:r>
        <w:t xml:space="preserve">in Figure 3, debt securities and listed shares make up just 3% and 14% of NFC liabilities</w:t>
      </w:r>
      <w:r>
        <w:br/>
      </w:r>
      <w:r>
        <w:t xml:space="preserve">in the EU whereas they respectively account for 7% and 31% in the UK and 6% and 38%</w:t>
      </w:r>
      <w:r>
        <w:br/>
      </w:r>
      <w:r>
        <w:t xml:space="preserve">in the US.</w:t>
      </w:r>
      <w:r>
        <w:t xml:space="preserve"> </w:t>
      </w:r>
      <w:r>
        <w:t xml:space="preserve">While the development of capital markets depends on many different demand and supply factors,</w:t>
      </w:r>
      <w:r>
        <w:t xml:space="preserve"> </w:t>
      </w:r>
      <w:r>
        <w:t xml:space="preserve">one key driving factor is the market fragmentation which is at the heart of this impact assessment.</w:t>
      </w:r>
      <w:r>
        <w:t xml:space="preserve"> </w:t>
      </w:r>
      <w:r>
        <w:t xml:space="preserve">Figure 4 illustrates the development of financial integration in the euro area between 2000-2025.</w:t>
      </w:r>
      <w:r>
        <w:t xml:space="preserve"> </w:t>
      </w:r>
      <w:r>
        <w:t xml:space="preserve">Financial integration indicators fell sharply due to the combined impact of the 2008 Global</w:t>
      </w:r>
      <w:r>
        <w:t xml:space="preserve"> </w:t>
      </w:r>
      <w:r>
        <w:t xml:space="preserve">Financial Crisis (‘GFC’) and 2010-2012 euro-area sovereign debt crisis. Since reaching a low point</w:t>
      </w:r>
      <w:r>
        <w:t xml:space="preserve"> </w:t>
      </w:r>
      <w:r>
        <w:t xml:space="preserve">in 2012, both the price-based and quantity-based composite indicators of financial integration have</w:t>
      </w:r>
      <w:r>
        <w:t xml:space="preserve"> </w:t>
      </w:r>
      <w:r>
        <w:t xml:space="preserve">been slowly recovering. By the end of 2024, the quantity-based indicator of financial integration,</w:t>
      </w:r>
      <w:r>
        <w:t xml:space="preserve"> </w:t>
      </w:r>
      <w:r>
        <w:t xml:space="preserve">which reflects increased cross-border holdings of financial assets, has finally reached its 2006</w:t>
      </w:r>
      <w:r>
        <w:br/>
      </w:r>
      <w:r>
        <w:t xml:space="preserve">pre-crisis value again. The more volatile price-based index, which increases with reduced</w:t>
      </w:r>
      <w:r>
        <w:t xml:space="preserve"> </w:t>
      </w:r>
      <w:r>
        <w:t xml:space="preserve">dispersion in asset prices or returns across borders, indicates that financial markets have been</w:t>
      </w:r>
      <w:r>
        <w:t xml:space="preserve"> </w:t>
      </w:r>
      <w:r>
        <w:t xml:space="preserve">gradually pricing assets more uniformly across the euro area, but has not yet reached its pre-GFC</w:t>
      </w:r>
      <w:r>
        <w:t xml:space="preserve"> </w:t>
      </w:r>
      <w:r>
        <w:t xml:space="preserve">level. The slow progress and protracted recovery towards past levels of financial integration</w:t>
      </w:r>
      <w:r>
        <w:t xml:space="preserve"> </w:t>
      </w:r>
      <w:r>
        <w:t xml:space="preserve">suggests that persistent fragmentation continues to hinder efforts to fully integrate the financial</w:t>
      </w:r>
      <w:r>
        <w:t xml:space="preserve"> </w:t>
      </w:r>
      <w:r>
        <w:t xml:space="preserve">system, thereby preventing the EU from fully realising the advantages of the single market.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Figure 3: NCF financial liabilities breakdown as</w:t>
      </w:r>
      <w:r>
        <w:t xml:space="preserve"> </w:t>
      </w:r>
      <w:r>
        <w:t xml:space="preserve">share of total liabilities in 2024</w:t>
      </w:r>
      <w:r>
        <w:t xml:space="preserve"> </w:t>
      </w:r>
      <w:r>
        <w:t xml:space="preserve">Figure 4: Price-based and quantity-based</w:t>
      </w:r>
      <w:r>
        <w:t xml:space="preserve"> </w:t>
      </w:r>
      <w:r>
        <w:t xml:space="preserve">composite indicators of euro area financial</w:t>
      </w:r>
      <w:r>
        <w:t xml:space="preserve"> </w:t>
      </w:r>
      <w:r>
        <w:t xml:space="preserve">integration</w:t>
      </w:r>
      <w:r>
        <w:t xml:space="preserve"> </w:t>
      </w:r>
      <w:r>
        <w:t xml:space="preserve">Source: Eurostat, OECD, DG FISMA calculations</w:t>
      </w:r>
      <w:r>
        <w:t xml:space="preserve"> </w:t>
      </w:r>
      <w:r>
        <w:t xml:space="preserve">Note: NFC financial liabilities based on non-consolidated annual</w:t>
      </w:r>
      <w:r>
        <w:t xml:space="preserve"> </w:t>
      </w:r>
      <w:r>
        <w:t xml:space="preserve">sector accounts. The following categories are not included:</w:t>
      </w:r>
      <w:r>
        <w:t xml:space="preserve"> </w:t>
      </w:r>
      <w:r>
        <w:t xml:space="preserve">currency and deposits, investment fund shares/units,</w:t>
      </w:r>
      <w:r>
        <w:t xml:space="preserve"> </w:t>
      </w:r>
      <w:r>
        <w:t xml:space="preserve">unlisted shares, life insurance and annuity entitlements,</w:t>
      </w:r>
      <w:r>
        <w:t xml:space="preserve"> </w:t>
      </w:r>
      <w:r>
        <w:t xml:space="preserve">pension entitlements, claims of pension funds on pension</w:t>
      </w:r>
      <w:r>
        <w:t xml:space="preserve"> </w:t>
      </w:r>
      <w:r>
        <w:t xml:space="preserve">managers and entitlements to non-pension benefits, other</w:t>
      </w:r>
      <w:r>
        <w:t xml:space="preserve"> </w:t>
      </w:r>
      <w:r>
        <w:t xml:space="preserve">equity, non-life insurance technical reserves, provisions</w:t>
      </w:r>
      <w:r>
        <w:br/>
      </w:r>
      <w:r>
        <w:t xml:space="preserve">for</w:t>
      </w:r>
      <w:r>
        <w:t xml:space="preserve"> </w:t>
      </w:r>
      <w:r>
        <w:t xml:space="preserve">calls</w:t>
      </w:r>
      <w:r>
        <w:t xml:space="preserve"> </w:t>
      </w:r>
      <w:r>
        <w:t xml:space="preserve">under</w:t>
      </w:r>
      <w:r>
        <w:t xml:space="preserve"> </w:t>
      </w:r>
      <w:r>
        <w:t xml:space="preserve">standardised</w:t>
      </w:r>
      <w:r>
        <w:t xml:space="preserve"> </w:t>
      </w:r>
      <w:r>
        <w:t xml:space="preserve">guarantees,</w:t>
      </w:r>
      <w:r>
        <w:t xml:space="preserve"> </w:t>
      </w:r>
      <w:r>
        <w:t xml:space="preserve">financial</w:t>
      </w:r>
      <w:r>
        <w:t xml:space="preserve"> </w:t>
      </w:r>
      <w:r>
        <w:t xml:space="preserve">derivatives and employee stock options and other accounts</w:t>
      </w:r>
      <w:r>
        <w:t xml:space="preserve"> </w:t>
      </w:r>
      <w:r>
        <w:t xml:space="preserve">receivable/payable.</w:t>
      </w:r>
      <w:r>
        <w:t xml:space="preserve"> </w:t>
      </w:r>
      <w:r>
        <w:t xml:space="preserve">Source: ECB</w:t>
      </w:r>
      <w:r>
        <w:t xml:space="preserve"> </w:t>
      </w:r>
      <w:r>
        <w:t xml:space="preserve">Note: The price-based composite indicator aggregates 10</w:t>
      </w:r>
      <w:r>
        <w:t xml:space="preserve"> </w:t>
      </w:r>
      <w:r>
        <w:t xml:space="preserve">indicators. The quantity-based composite indicator</w:t>
      </w:r>
      <w:r>
        <w:t xml:space="preserve"> </w:t>
      </w:r>
      <w:r>
        <w:t xml:space="preserve">aggregates 5 indicators. A value of 1 corresponds</w:t>
      </w:r>
      <w:r>
        <w:br/>
      </w:r>
      <w:r>
        <w:t xml:space="preserve">to the highest degree of integration. The quantity-based</w:t>
      </w:r>
      <w:r>
        <w:t xml:space="preserve"> </w:t>
      </w:r>
      <w:r>
        <w:t xml:space="preserve">indicator</w:t>
      </w:r>
      <w:r>
        <w:t xml:space="preserve"> </w:t>
      </w:r>
      <w:r>
        <w:t xml:space="preserve">uses</w:t>
      </w:r>
      <w:r>
        <w:t xml:space="preserve"> </w:t>
      </w:r>
      <w:r>
        <w:t xml:space="preserve">quarterly</w:t>
      </w:r>
      <w:r>
        <w:t xml:space="preserve"> </w:t>
      </w:r>
      <w:r>
        <w:t xml:space="preserve">data</w:t>
      </w:r>
      <w:r>
        <w:t xml:space="preserve"> </w:t>
      </w:r>
      <w:r>
        <w:t xml:space="preserve">between</w:t>
      </w:r>
      <w:r>
        <w:t xml:space="preserve"> </w:t>
      </w:r>
      <w:r>
        <w:t xml:space="preserve">Q1 1999</w:t>
      </w:r>
      <w:r>
        <w:br/>
      </w:r>
      <w:r>
        <w:t xml:space="preserve">and Q4 2024. The price-based indicator uses monthly data</w:t>
      </w:r>
      <w:r>
        <w:t xml:space="preserve"> </w:t>
      </w:r>
      <w:r>
        <w:t xml:space="preserve">(converted into quarterly values) between Q1 1999</w:t>
      </w:r>
      <w:r>
        <w:br/>
      </w:r>
      <w:r>
        <w:t xml:space="preserve">and Q4 2024.</w:t>
      </w:r>
    </w:p>
    <w:p>
      <w:pPr>
        <w:pStyle w:val="BodyText"/>
      </w:pPr>
      <w:r>
        <w:t xml:space="preserve">Against this wider context, this impact assessment specifically looks at fragmentation in the EU</w:t>
      </w:r>
      <w:r>
        <w:t xml:space="preserve"> </w:t>
      </w:r>
      <w:r>
        <w:t xml:space="preserve">trading, post-trading and asset management sector.</w:t>
      </w:r>
      <w:r>
        <w:br/>
      </w:r>
      <w:r>
        <w:t xml:space="preserve">The “Study on consolidation and reducing fragmentation in trading and post-trading</w:t>
      </w:r>
      <w:r>
        <w:t xml:space="preserve"> </w:t>
      </w:r>
      <w:r>
        <w:t xml:space="preserve">infrastructures in Europe” (henceforth referred to as the “study on trading and post-trading”)34,</w:t>
      </w:r>
      <w:r>
        <w:br/>
      </w:r>
      <w:r>
        <w:t xml:space="preserve">has been prepared for the Commission to support this assessment (see also Annex 4 and references</w:t>
      </w:r>
      <w:r>
        <w:t xml:space="preserve"> </w:t>
      </w:r>
      <w:r>
        <w:t xml:space="preserve">throughout this report). It analyses the evolution of the structure and ownership of EU market</w:t>
      </w:r>
      <w:r>
        <w:t xml:space="preserve"> </w:t>
      </w:r>
      <w:r>
        <w:t xml:space="preserve">infrastructures over the past 50 years until today. As shown in Figure 5, taken from the study, there</w:t>
      </w:r>
      <w:r>
        <w:t xml:space="preserve"> </w:t>
      </w:r>
      <w:r>
        <w:t xml:space="preserve">is no common pattern in the development of EU capital market infrastructure. Two main types</w:t>
      </w:r>
      <w:r>
        <w:br/>
      </w:r>
      <w:r>
        <w:t xml:space="preserve">of market structure emerged at national level: horizontal (where stock exchanges and CSDs</w:t>
      </w:r>
      <w:r>
        <w:br/>
      </w:r>
      <w:r>
        <w:t xml:space="preserve">are under different ownership), and vertical (where stock exchanges and CSDs share common</w:t>
      </w:r>
      <w:r>
        <w:t xml:space="preserve"> </w:t>
      </w:r>
      <w:r>
        <w:t xml:space="preserve">ownership). There is also a distinct difference between northern and western Europe,</w:t>
      </w:r>
      <w:r>
        <w:br/>
      </w:r>
      <w:r>
        <w:t xml:space="preserve">which features numerous cross-border groups and operations, and eastern and southern Europe,</w:t>
      </w:r>
      <w:r>
        <w:t xml:space="preserve"> </w:t>
      </w:r>
      <w:r>
        <w:t xml:space="preserve">where market infrastructures operate almost entirely within national borders (indicated by grey</w:t>
      </w:r>
      <w:r>
        <w:t xml:space="preserve"> </w:t>
      </w:r>
      <w:r>
        <w:t xml:space="preserve">areas).</w:t>
      </w:r>
    </w:p>
    <w:p>
      <w:pPr>
        <w:pStyle w:val="BodyText"/>
      </w:pPr>
      <w:r>
        <w:t xml:space="preserve">34 https://op.europa.eu/en/publication/doi/10.2874/2649452.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Figure 5: Ownership of exchanges and CSDs in Europe (end-2024)</w:t>
      </w:r>
    </w:p>
    <w:p>
      <w:pPr>
        <w:pStyle w:val="BodyText"/>
      </w:pPr>
      <w:r>
        <w:t xml:space="preserve">Source: Study on consolidation and reducing fragmentation in trading and post-trading markets infrastructures</w:t>
      </w:r>
      <w:r>
        <w:br/>
      </w:r>
      <w:r>
        <w:t xml:space="preserve">in Europe.</w:t>
      </w:r>
      <w:r>
        <w:t xml:space="preserve"> </w:t>
      </w:r>
      <w:r>
        <w:t xml:space="preserve">In the EU trading sector, there is a proliferation of execution venues where financial instruments</w:t>
      </w:r>
      <w:r>
        <w:t xml:space="preserve"> </w:t>
      </w:r>
      <w:r>
        <w:t xml:space="preserve">can be traded. More precisely, there are 314 trading venues35, of which 119 RMs , 165 MTFs</w:t>
      </w:r>
      <w:r>
        <w:br/>
      </w:r>
      <w:r>
        <w:t xml:space="preserve">and 30 OTFs. In addition to these trading venues, there are 167 authorised SIs in the EU.</w:t>
      </w:r>
      <w:r>
        <w:br/>
      </w:r>
      <w:r>
        <w:t xml:space="preserve">Consequently, EU trading venues remain smaller and less liquid than their international peers,</w:t>
      </w:r>
      <w:r>
        <w:t xml:space="preserve"> </w:t>
      </w:r>
      <w:r>
        <w:t xml:space="preserve">notably in the US. The market capitalisation of trading venues in the EU was about USD 12 trillion</w:t>
      </w:r>
      <w:r>
        <w:t xml:space="preserve"> </w:t>
      </w:r>
      <w:r>
        <w:t xml:space="preserve">(60% of EU GDP) in 2024 whereas the two largest stock exchanges in the US had a combined</w:t>
      </w:r>
      <w:r>
        <w:t xml:space="preserve"> </w:t>
      </w:r>
      <w:r>
        <w:t xml:space="preserve">market capitalisation of USD 60 trillion, or over 200 of domestic GDP highlighting significantly</w:t>
      </w:r>
      <w:r>
        <w:t xml:space="preserve"> </w:t>
      </w:r>
      <w:r>
        <w:t xml:space="preserve">greater market depth compared to the EU. This lack of depth and liquidity and fragmented</w:t>
      </w:r>
      <w:r>
        <w:t xml:space="preserve"> </w:t>
      </w:r>
      <w:r>
        <w:t xml:space="preserve">infrastructure discourage company listings as it indirectly increases their cost of financing</w:t>
      </w:r>
    </w:p>
    <w:p>
      <w:pPr>
        <w:pStyle w:val="BodyText"/>
      </w:pPr>
      <w:r>
        <w:t xml:space="preserve">35 In the context of this analysis, trading venues are identified at segment Market Identifier Code (MIC) level. Segment</w:t>
      </w:r>
      <w:r>
        <w:t xml:space="preserve"> </w:t>
      </w:r>
      <w:r>
        <w:t xml:space="preserve">different MICs are often used to distinguish trading systems. This allows for a precise identification of trading facilities</w:t>
      </w:r>
      <w:r>
        <w:t xml:space="preserve"> </w:t>
      </w:r>
      <w:r>
        <w:t xml:space="preserve">by market type, in instances in which the same market operator runs both a RM or a multilateral trading facility, for</w:t>
      </w:r>
      <w:r>
        <w:t xml:space="preserve"> </w:t>
      </w:r>
      <w:r>
        <w:t xml:space="preserve">example.</w:t>
      </w:r>
      <w:r>
        <w:t xml:space="preserve"> </w:t>
      </w:r>
      <w:r>
        <w:t xml:space="preserve">Euronext</w:t>
      </w:r>
      <w:r>
        <w:t xml:space="preserve"> </w:t>
      </w:r>
      <w:r>
        <w:t xml:space="preserve">Euroclear</w:t>
      </w:r>
      <w:r>
        <w:t xml:space="preserve"> </w:t>
      </w:r>
      <w:r>
        <w:t xml:space="preserve">Nasdaq</w:t>
      </w:r>
      <w:r>
        <w:t xml:space="preserve"> </w:t>
      </w:r>
      <w:r>
        <w:t xml:space="preserve">SIS/BME</w:t>
      </w:r>
      <w:r>
        <w:t xml:space="preserve"> </w:t>
      </w:r>
      <w:r>
        <w:t xml:space="preserve">Wiener Börse</w:t>
      </w:r>
      <w:r>
        <w:t xml:space="preserve"> </w:t>
      </w:r>
      <w:r>
        <w:t xml:space="preserve">Zagreb SE</w:t>
      </w:r>
      <w:r>
        <w:t xml:space="preserve"> </w:t>
      </w:r>
      <w:r>
        <w:t xml:space="preserve">Exchange</w:t>
      </w:r>
      <w:r>
        <w:t xml:space="preserve"> </w:t>
      </w:r>
      <w:r>
        <w:t xml:space="preserve">CSD</w:t>
      </w:r>
      <w:r>
        <w:t xml:space="preserve"> </w:t>
      </w:r>
      <w:r>
        <w:t xml:space="preserve">Non-aligned</w:t>
      </w:r>
      <w:r>
        <w:t xml:space="preserve"> </w:t>
      </w:r>
      <w:r>
        <w:t xml:space="preserve">Vertical market</w:t>
      </w:r>
      <w:r>
        <w:t xml:space="preserve"> </w:t>
      </w:r>
      <w:r>
        <w:t xml:space="preserve">structure (ie exchange</w:t>
      </w:r>
      <w:r>
        <w:t xml:space="preserve"> </w:t>
      </w:r>
      <w:r>
        <w:t xml:space="preserve">and CSD under</w:t>
      </w:r>
      <w:r>
        <w:t xml:space="preserve"> </w:t>
      </w:r>
      <w:r>
        <w:t xml:space="preserve">common ownership)</w:t>
      </w:r>
      <w:r>
        <w:t xml:space="preserve"> </w:t>
      </w:r>
      <w:r>
        <w:t xml:space="preserve">Horizontal market</w:t>
      </w:r>
      <w:r>
        <w:t xml:space="preserve"> </w:t>
      </w:r>
      <w:r>
        <w:t xml:space="preserve">structure (ie exchange</w:t>
      </w:r>
      <w:r>
        <w:t xml:space="preserve"> </w:t>
      </w:r>
      <w:r>
        <w:t xml:space="preserve">and CSD under different</w:t>
      </w:r>
      <w:r>
        <w:t xml:space="preserve"> </w:t>
      </w:r>
      <w:r>
        <w:t xml:space="preserve">ownership)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and deters investors from investing into EU markets as they face higher transaction costs</w:t>
      </w:r>
      <w:r>
        <w:br/>
      </w:r>
      <w:r>
        <w:t xml:space="preserve">and risks.36,37,38</w:t>
      </w:r>
      <w:r>
        <w:br/>
      </w:r>
      <w:r>
        <w:t xml:space="preserve">The large number of RMs in the EU is a direct heritage of national contexts, where each EU</w:t>
      </w:r>
      <w:r>
        <w:t xml:space="preserve"> </w:t>
      </w:r>
      <w:r>
        <w:t xml:space="preserve">Member State usually has a local RM providing listing services for local issuers. Despite around</w:t>
      </w:r>
      <w:r>
        <w:t xml:space="preserve"> </w:t>
      </w:r>
      <w:r>
        <w:t xml:space="preserve">20 years of regulatory changes aimed at fostering competition in market operations, primary</w:t>
      </w:r>
      <w:r>
        <w:t xml:space="preserve"> </w:t>
      </w:r>
      <w:r>
        <w:t xml:space="preserve">listings remain highly concentrated, with 4 exchange groups accounting for over 90% of market</w:t>
      </w:r>
      <w:r>
        <w:t xml:space="preserve"> </w:t>
      </w:r>
      <w:r>
        <w:t xml:space="preserve">capitalisation.39 Vertical integration among exchange groups is also highly prevalent, with many</w:t>
      </w:r>
      <w:r>
        <w:t xml:space="preserve"> </w:t>
      </w:r>
      <w:r>
        <w:t xml:space="preserve">providers owning two or all three parts of the market infrastructure value chain (trading, clearing,</w:t>
      </w:r>
      <w:r>
        <w:t xml:space="preserve"> </w:t>
      </w:r>
      <w:r>
        <w:t xml:space="preserve">settlement). Conversely, market trading has experienced substantial shifts in market structure, with</w:t>
      </w:r>
      <w:r>
        <w:t xml:space="preserve"> </w:t>
      </w:r>
      <w:r>
        <w:t xml:space="preserve">numerous new entrants and trading flows increasingly moving to alternative venues.40 This shift</w:t>
      </w:r>
      <w:r>
        <w:t xml:space="preserve"> </w:t>
      </w:r>
      <w:r>
        <w:t xml:space="preserve">has yielded significant benefits, in particular lower transaction fees and liquidity gains (including</w:t>
      </w:r>
      <w:r>
        <w:t xml:space="preserve"> </w:t>
      </w:r>
      <w:r>
        <w:t xml:space="preserve">via competition in the quality and speed of matching engines). However, the resulting</w:t>
      </w:r>
      <w:r>
        <w:t xml:space="preserve"> </w:t>
      </w:r>
      <w:r>
        <w:t xml:space="preserve">fragmentation has simultaneously increased other costs for market participants, particularly those</w:t>
      </w:r>
      <w:r>
        <w:t xml:space="preserve"> </w:t>
      </w:r>
      <w:r>
        <w:t xml:space="preserve">associated with determining where and when the best trading opportunities exist.41</w:t>
      </w:r>
      <w:r>
        <w:br/>
      </w:r>
      <w:r>
        <w:t xml:space="preserve">In the post-trading sector, there are 14 CCPs and 32 CSDs operating in the EU. 25 CSDs are</w:t>
      </w:r>
      <w:r>
        <w:t xml:space="preserve"> </w:t>
      </w:r>
      <w:r>
        <w:t xml:space="preserve">authorised under the CSDR, including two international CSDs (‘ICSDs’)42, Euroclear Bank and</w:t>
      </w:r>
      <w:r>
        <w:t xml:space="preserve"> </w:t>
      </w:r>
      <w:r>
        <w:t xml:space="preserve">Clearstream Banking SA, and 7 CSDs benefit from the public authorities’ exemption under Art.</w:t>
      </w:r>
      <w:r>
        <w:t xml:space="preserve"> </w:t>
      </w:r>
      <w:r>
        <w:t xml:space="preserve">1(4) CSDR. In contrast, the US market is more concentrated and specialised, in particular with</w:t>
      </w:r>
      <w:r>
        <w:t xml:space="preserve"> </w:t>
      </w:r>
      <w:r>
        <w:t xml:space="preserve">respect to settlement, with 2 CSDs and 8 CCPs.43 The fact that EU CSDs are the market</w:t>
      </w:r>
      <w:r>
        <w:t xml:space="preserve"> </w:t>
      </w:r>
      <w:r>
        <w:t xml:space="preserve">infrastructures most segmented along national lines is primarily due to historical developments</w:t>
      </w:r>
      <w:r>
        <w:t xml:space="preserve"> </w:t>
      </w:r>
      <w:r>
        <w:t xml:space="preserve">and established practices. National CSDs were established to serve local market needs to provide</w:t>
      </w:r>
      <w:r>
        <w:t xml:space="preserve"> </w:t>
      </w:r>
      <w:r>
        <w:t xml:space="preserve">for the safe custody of securities and for the efficient settlement of securities transactions at a time</w:t>
      </w:r>
      <w:r>
        <w:t xml:space="preserve"> </w:t>
      </w:r>
      <w:r>
        <w:t xml:space="preserve">when cross-border transactions involving securities were limited.</w:t>
      </w:r>
    </w:p>
    <w:p>
      <w:pPr>
        <w:pStyle w:val="BodyText"/>
      </w:pPr>
      <w:r>
        <w:t xml:space="preserve">36 International Monetary Fund (‘IMF’), June 2025, FINANCE &amp; DEVELOPMENT: “Europe’s integration</w:t>
      </w:r>
      <w:r>
        <w:t xml:space="preserve"> </w:t>
      </w:r>
      <w:r>
        <w:t xml:space="preserve">imperative”.</w:t>
      </w:r>
      <w:r>
        <w:t xml:space="preserve"> </w:t>
      </w:r>
      <w:r>
        <w:t xml:space="preserve">37 Relation between liquidity and cost of equity see: Stock Market Liquidity and the Cost of Issuing Equity, A. Butler,</w:t>
      </w:r>
      <w:r>
        <w:t xml:space="preserve"> </w:t>
      </w:r>
      <w:r>
        <w:t xml:space="preserve">G. Grullon and J. P. Weston, Journal of Financial and Quantitative Analysis, 2005, vol. 40, issue 2, 331-348 – Link</w:t>
      </w:r>
      <w:r>
        <w:t xml:space="preserve"> </w:t>
      </w:r>
      <w:r>
        <w:t xml:space="preserve">&amp; Liquidity and the implied cost of equity capital, M. Saad, A. Same, Journal of International Financial Markets,</w:t>
      </w:r>
      <w:r>
        <w:t xml:space="preserve"> </w:t>
      </w:r>
      <w:r>
        <w:t xml:space="preserve">Institutions and Money, Volume 51, 2017 – Link; et.al.</w:t>
      </w:r>
      <w:r>
        <w:t xml:space="preserve"> </w:t>
      </w:r>
      <w:r>
        <w:t xml:space="preserve">38 Relation between liquidity and risks see: Stock Market Liquidity: A Literature Review, P. Naik, Y.V Reddy, Sage</w:t>
      </w:r>
      <w:r>
        <w:t xml:space="preserve"> </w:t>
      </w:r>
      <w:r>
        <w:t xml:space="preserve">Open, 11(1), 2021 – Link ; Market liquidity: theory, evidence, and policy, T. Foucault, M. Pagano, A. Röell, Oxford</w:t>
      </w:r>
      <w:r>
        <w:t xml:space="preserve"> </w:t>
      </w:r>
      <w:r>
        <w:t xml:space="preserve">University Press, 2023; et.al.</w:t>
      </w:r>
      <w:r>
        <w:br/>
      </w:r>
      <w:r>
        <w:t xml:space="preserve">39 ‘Capital Market Infrastructure: Preparing the Financial Railway Tracks to Unlock the Untapped Potential of EU</w:t>
      </w:r>
      <w:r>
        <w:t xml:space="preserve"> </w:t>
      </w:r>
      <w:r>
        <w:t xml:space="preserve">Capital Markets’, Implement Consulting Group, June 2025 (pre-release version shared with COM – to be updated</w:t>
      </w:r>
      <w:r>
        <w:t xml:space="preserve"> </w:t>
      </w:r>
      <w:r>
        <w:t xml:space="preserve">once published).</w:t>
      </w:r>
      <w:r>
        <w:t xml:space="preserve"> </w:t>
      </w:r>
      <w:r>
        <w:t xml:space="preserve">40 See for example ‘Evolution of EEA share market structure since MiFID II’, ESMA, October 2023 – Link</w:t>
      </w:r>
      <w:r>
        <w:br/>
      </w:r>
      <w:r>
        <w:t xml:space="preserve">41 Other jurisdictions are also characterised by a multiplicity of listing exchanges. In the US, the so-called ‘Reg. NMS’</w:t>
      </w:r>
      <w:r>
        <w:t xml:space="preserve"> </w:t>
      </w:r>
      <w:r>
        <w:t xml:space="preserve">has, twenty years ago, intended to address the inefficiencies stemming from the existence of several stock exchanges</w:t>
      </w:r>
      <w:r>
        <w:t xml:space="preserve"> </w:t>
      </w:r>
      <w:r>
        <w:t xml:space="preserve">in the US, and (indirectly) mandated the interconnection of all such exchanges. In China, the ‘Stock Connect’ system,</w:t>
      </w:r>
      <w:r>
        <w:t xml:space="preserve"> </w:t>
      </w:r>
      <w:r>
        <w:t xml:space="preserve">which amounts to a mutual market access program for the Shenzhen, Hong Kong and Shanghai stock exchanges,</w:t>
      </w:r>
      <w:r>
        <w:t xml:space="preserve"> </w:t>
      </w:r>
      <w:r>
        <w:t xml:space="preserve">sought to make the Chinese stock markets more interoperable and reduce effects of fragmentation by allowing</w:t>
      </w:r>
      <w:r>
        <w:t xml:space="preserve"> </w:t>
      </w:r>
      <w:r>
        <w:t xml:space="preserve">members of one of such exchanges to trade on the other ones. In Europe, the open access provisions included in MiFIR</w:t>
      </w:r>
      <w:r>
        <w:t xml:space="preserve"> </w:t>
      </w:r>
      <w:r>
        <w:t xml:space="preserve">pursue a similar regulatory objective. See Regulation (EU) No 600/2014 (MiFIR), Article 35&amp;36.</w:t>
      </w:r>
      <w:r>
        <w:t xml:space="preserve"> </w:t>
      </w:r>
      <w:r>
        <w:t xml:space="preserve">42 ICSDs are CSDs that provide services for international securities, such as Eurobonds.</w:t>
      </w:r>
      <w:r>
        <w:t xml:space="preserve"> </w:t>
      </w:r>
      <w:r>
        <w:t xml:space="preserve">43 In the US corporate bonds and equities are settled through the Depository Trust and Clearing Corporation (DTCC)</w:t>
      </w:r>
      <w:r>
        <w:t xml:space="preserve"> </w:t>
      </w:r>
      <w:r>
        <w:t xml:space="preserve">while government securities and related entities are settled through Fedwire Securities Service, which is operated by</w:t>
      </w:r>
      <w:r>
        <w:t xml:space="preserve"> </w:t>
      </w:r>
      <w:r>
        <w:t xml:space="preserve">the Federal Reserve System. The CCPs in the US are: ICE Clear Credit, ICE Clear US, the Chicago Mercantile</w:t>
      </w:r>
      <w:r>
        <w:t xml:space="preserve"> </w:t>
      </w:r>
      <w:r>
        <w:t xml:space="preserve">Exchange (CME), the National Securities Clearing Corporation (NSCC), the Fixed Income Clearing Corporation</w:t>
      </w:r>
      <w:r>
        <w:t xml:space="preserve"> </w:t>
      </w:r>
      <w:r>
        <w:t xml:space="preserve">(FICC), the Options Clearing Corporation (OCC), Nodal Clear, and MIAX Futures Exchange.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In 202444, EU CSDs handled approximately 606 million securities settlement instructions worth</w:t>
      </w:r>
      <w:r>
        <w:t xml:space="preserve"> </w:t>
      </w:r>
      <w:r>
        <w:t xml:space="preserve">over EUR 70 trillion in value of securities and representing a total turnover of securities of over</w:t>
      </w:r>
      <w:r>
        <w:t xml:space="preserve"> </w:t>
      </w:r>
      <w:r>
        <w:t xml:space="preserve">EUR 2 770 trillion. These figures have increased annually by 20%, 25%, and 105%, respectively</w:t>
      </w:r>
      <w:r>
        <w:t xml:space="preserve"> </w:t>
      </w:r>
      <w:r>
        <w:t xml:space="preserve">since 2020. This activity however is not spread evenly across all EU CSDs. In fact, in 2024,</w:t>
      </w:r>
      <w:r>
        <w:br/>
      </w:r>
      <w:r>
        <w:t xml:space="preserve">the four largest EU CSDs held over 76% of all securities in the EU.</w:t>
      </w:r>
      <w:r>
        <w:br/>
      </w:r>
      <w:r>
        <w:t xml:space="preserve">There has been limited development in the provision of cross-border CSD services within the</w:t>
      </w:r>
      <w:r>
        <w:t xml:space="preserve"> </w:t>
      </w:r>
      <w:r>
        <w:t xml:space="preserve">EU.45 By 2024, the volume and value of cross-CSD settlement represented, respectively,</w:t>
      </w:r>
      <w:r>
        <w:br/>
      </w:r>
      <w:r>
        <w:t xml:space="preserve">only 1.61% and 3.45% of the total volume and value of settlement in TARGET2-Securities (‘T2S’)</w:t>
      </w:r>
      <w:r>
        <w:t xml:space="preserve"> </w:t>
      </w:r>
      <w:r>
        <w:t xml:space="preserve">- a platform launched in 2015 and operated by the Eurosystem that offers harmonised</w:t>
      </w:r>
      <w:r>
        <w:br/>
      </w:r>
      <w:r>
        <w:t xml:space="preserve">and streamlined securities settlement in central bank money to facilitate cross-CSD settlement.</w:t>
      </w:r>
      <w:r>
        <w:t xml:space="preserve"> </w:t>
      </w:r>
      <w:r>
        <w:t xml:space="preserve">The volume of settlement processed in T2S averaged 700,000 transactions daily with an average</w:t>
      </w:r>
      <w:r>
        <w:t xml:space="preserve"> </w:t>
      </w:r>
      <w:r>
        <w:t xml:space="preserve">daily value of EUR 790 billion in 2023. This was equivalent to 75% of the number of transactions</w:t>
      </w:r>
      <w:r>
        <w:t xml:space="preserve"> </w:t>
      </w:r>
      <w:r>
        <w:t xml:space="preserve">processed by T2S-participating CSDs and 50% of their value, suggesting that T2S is not capturing</w:t>
      </w:r>
      <w:r>
        <w:t xml:space="preserve"> </w:t>
      </w:r>
      <w:r>
        <w:t xml:space="preserve">all the settlement (including both domestic and cross-border) activity of its participating CSDs.46</w:t>
      </w:r>
      <w:r>
        <w:t xml:space="preserve"> </w:t>
      </w:r>
      <w:r>
        <w:t xml:space="preserve">The EU asset management sector has grown significantly, with net assets under management</w:t>
      </w:r>
      <w:r>
        <w:t xml:space="preserve"> </w:t>
      </w:r>
      <w:r>
        <w:t xml:space="preserve">almost doubling (+95%) to EUR 20.5 trillion between 2014 and 2024 (see Table 1). The EU is the</w:t>
      </w:r>
      <w:r>
        <w:t xml:space="preserve"> </w:t>
      </w:r>
      <w:r>
        <w:t xml:space="preserve">second-largest asset management market worldwide, accounting for around 29% of global net</w:t>
      </w:r>
      <w:r>
        <w:t xml:space="preserve"> </w:t>
      </w:r>
      <w:r>
        <w:t xml:space="preserve">asset value in 2024, according to the European Fund and Asset Management Association</w:t>
      </w:r>
      <w:r>
        <w:t xml:space="preserve"> </w:t>
      </w:r>
      <w:r>
        <w:t xml:space="preserve">(EFAMA).47 The sector is diverse, with approximately 65,000 funds (30,000 UCITS funds</w:t>
      </w:r>
      <w:r>
        <w:br/>
      </w:r>
      <w:r>
        <w:t xml:space="preserve">and 35,000 AIFs) and low market concentration. Ongoing costs of investing in key EU financial</w:t>
      </w:r>
      <w:r>
        <w:t xml:space="preserve"> </w:t>
      </w:r>
      <w:r>
        <w:t xml:space="preserve">products have gradually declined, although these costs were already at high levels and costs in the</w:t>
      </w:r>
      <w:r>
        <w:t xml:space="preserve"> </w:t>
      </w:r>
      <w:r>
        <w:t xml:space="preserve">EU remain high by international standards. Although total assets are smaller than in the US</w:t>
      </w:r>
      <w:r>
        <w:br/>
      </w:r>
      <w:r>
        <w:t xml:space="preserve">(see Annex 12 for the share of investment funds in households’ financial asset holdings in EU</w:t>
      </w:r>
      <w:r>
        <w:t xml:space="preserve"> </w:t>
      </w:r>
      <w:r>
        <w:t xml:space="preserve">Member States), the EU shows a much larger number of investment funds and asset managers.</w:t>
      </w:r>
      <w:r>
        <w:t xml:space="preserve"> </w:t>
      </w:r>
      <w:r>
        <w:t xml:space="preserve">The average fund size in the EU is correspondingly significantly lower than in the US</w:t>
      </w:r>
      <w:r>
        <w:br/>
      </w:r>
      <w:r>
        <w:t xml:space="preserve">(and the UK), as further discussed in Section 2 as part of the problem definition. According to an</w:t>
      </w:r>
      <w:r>
        <w:t xml:space="preserve"> </w:t>
      </w:r>
      <w:r>
        <w:t xml:space="preserve">ESMA study on costs, the small size of funds in the EU has generally been associated with</w:t>
      </w:r>
      <w:r>
        <w:br/>
      </w:r>
      <w:r>
        <w:t xml:space="preserve">the comparatively high levels of costs and charges, in line with the logic of economies of scale,</w:t>
      </w:r>
      <w:r>
        <w:t xml:space="preserve"> </w:t>
      </w:r>
      <w:r>
        <w:t xml:space="preserve">i.e. larger funds may benefit from economies of scale, potentially lowering expense ratios as fixed</w:t>
      </w:r>
      <w:r>
        <w:t xml:space="preserve"> </w:t>
      </w:r>
      <w:r>
        <w:t xml:space="preserve">costs are spread over a larger asset base.48 This is supported by data in an ESMA Market report</w:t>
      </w:r>
      <w:r>
        <w:br/>
      </w:r>
      <w:r>
        <w:t xml:space="preserve">on costs, which provides that total costs of smaller equity, bond and mixed funds are higher</w:t>
      </w:r>
      <w:r>
        <w:br/>
      </w:r>
      <w:r>
        <w:t xml:space="preserve">by respectively 14%, 27% and 17% than the total costs of larger funds.49</w:t>
      </w:r>
    </w:p>
    <w:p>
      <w:pPr>
        <w:pStyle w:val="BodyText"/>
      </w:pPr>
      <w:r>
        <w:t xml:space="preserve">44 Securities settlement statistics on the ECB securities trading, clearing and settlement database.</w:t>
      </w:r>
      <w:r>
        <w:br/>
      </w:r>
      <w:r>
        <w:t xml:space="preserve">See: https://data.ecb.europa.eu/publications/payments-statistics/3032564</w:t>
      </w:r>
      <w:r>
        <w:br/>
      </w:r>
      <w:r>
        <w:t xml:space="preserve">45 “Provision of cross-border services by CSDs and handling of applications under Article 23 of CSDR from 2020</w:t>
      </w:r>
      <w:r>
        <w:br/>
      </w:r>
      <w:r>
        <w:t xml:space="preserve">to 2022”, European Securities and Markets Authority, ESMA74-2119945925-1568, 31 January 2024.</w:t>
      </w:r>
      <w:r>
        <w:br/>
      </w:r>
      <w:r>
        <w:t xml:space="preserve">46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fragmentation</w:t>
      </w:r>
      <w:r>
        <w:t xml:space="preserve"> </w:t>
      </w:r>
      <w:r>
        <w:t xml:space="preserve">in</w:t>
      </w:r>
      <w:r>
        <w:t xml:space="preserve"> </w:t>
      </w:r>
      <w:r>
        <w:t xml:space="preserve">trading</w:t>
      </w:r>
      <w:r>
        <w:t xml:space="preserve"> </w:t>
      </w:r>
      <w:r>
        <w:t xml:space="preserve">and</w:t>
      </w:r>
      <w:r>
        <w:t xml:space="preserve"> </w:t>
      </w:r>
      <w:r>
        <w:t xml:space="preserve">post-trading</w:t>
      </w:r>
      <w:r>
        <w:t xml:space="preserve"> </w:t>
      </w:r>
      <w:r>
        <w:t xml:space="preserve">markets</w:t>
      </w:r>
      <w:r>
        <w:t xml:space="preserve"> </w:t>
      </w:r>
      <w:r>
        <w:t xml:space="preserve">infrastructures</w:t>
      </w:r>
      <w:r>
        <w:t xml:space="preserve"> </w:t>
      </w:r>
      <w:r>
        <w:t xml:space="preserve">in</w:t>
      </w:r>
      <w:r>
        <w:t xml:space="preserve"> </w:t>
      </w:r>
      <w:r>
        <w:t xml:space="preserve">Europe:</w:t>
      </w:r>
      <w:r>
        <w:t xml:space="preserve"> </w:t>
      </w:r>
      <w:r>
        <w:t xml:space="preserve">https://op.europa.eu/en/publication/doi/10.2874/2649452</w:t>
      </w:r>
      <w:r>
        <w:br/>
      </w:r>
      <w:r>
        <w:t xml:space="preserve">47 EFAMA Factbook 2025, available here: https://www.efama.org/sites/default/files/fact-book-2025_lowres.pdf</w:t>
      </w:r>
      <w:r>
        <w:t xml:space="preserve"> </w:t>
      </w:r>
      <w:r>
        <w:t xml:space="preserve">48 ESMA Study, The scale factor: Impact of size on EU fund cost structures, available here: ESMA50-524821-3575</w:t>
      </w:r>
      <w:r>
        <w:t xml:space="preserve"> </w:t>
      </w:r>
      <w:r>
        <w:t xml:space="preserve">The scale factor: Impact of size on EU fund cost structures</w:t>
      </w:r>
      <w:r>
        <w:br/>
      </w:r>
      <w:r>
        <w:t xml:space="preserve">49 ESMA Market report on Costs and Performance of EU Retail Investment Products 2024, available here: ESMA50-</w:t>
      </w:r>
      <w:r>
        <w:t xml:space="preserve"> </w:t>
      </w:r>
      <w:r>
        <w:t xml:space="preserve">524821-3525 Market Report on the Costs and Performance of EU Retail Investment Products 2024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Table 1: Characteristics of the asset management market in the EU, US, and UK</w:t>
      </w:r>
      <w:r>
        <w:t xml:space="preserve"> </w:t>
      </w:r>
      <w:r>
        <w:t xml:space="preserve">Indicator</w:t>
      </w:r>
      <w:r>
        <w:t xml:space="preserve"> </w:t>
      </w:r>
      <w:r>
        <w:t xml:space="preserve">EU</w:t>
      </w:r>
      <w:r>
        <w:t xml:space="preserve"> </w:t>
      </w:r>
      <w:r>
        <w:t xml:space="preserve">US</w:t>
      </w:r>
      <w:r>
        <w:t xml:space="preserve"> </w:t>
      </w:r>
      <w:r>
        <w:t xml:space="preserve">UK</w:t>
      </w:r>
      <w:r>
        <w:t xml:space="preserve"> </w:t>
      </w:r>
      <w:r>
        <w:t xml:space="preserve">Total net assets (2024)</w:t>
      </w:r>
      <w:r>
        <w:t xml:space="preserve"> </w:t>
      </w:r>
      <w:r>
        <w:t xml:space="preserve">EUR 20.5 trillion</w:t>
      </w:r>
      <w:r>
        <w:t xml:space="preserve"> </w:t>
      </w:r>
      <w:r>
        <w:t xml:space="preserve">~EUR 37.7 trillion1</w:t>
      </w:r>
      <w:r>
        <w:t xml:space="preserve"> </w:t>
      </w:r>
      <w:r>
        <w:t xml:space="preserve">~EUR 2.2 trillion2</w:t>
      </w:r>
      <w:r>
        <w:t xml:space="preserve"> </w:t>
      </w:r>
      <w:r>
        <w:t xml:space="preserve">Average fund size (2024)</w:t>
      </w:r>
      <w:r>
        <w:t xml:space="preserve"> </w:t>
      </w:r>
      <w:r>
        <w:t xml:space="preserve">~EUR 313 million4</w:t>
      </w:r>
      <w:r>
        <w:br/>
      </w:r>
      <w:r>
        <w:t xml:space="preserve">~EUR 2.3 billion</w:t>
      </w:r>
      <w:r>
        <w:t xml:space="preserve"> </w:t>
      </w:r>
      <w:r>
        <w:t xml:space="preserve">~EUR 660 million</w:t>
      </w:r>
      <w:r>
        <w:t xml:space="preserve"> </w:t>
      </w:r>
      <w:r>
        <w:t xml:space="preserve">Number of funds (2024)</w:t>
      </w:r>
      <w:r>
        <w:br/>
      </w:r>
      <w:r>
        <w:t xml:space="preserve">~65,0003</w:t>
      </w:r>
      <w:r>
        <w:br/>
      </w:r>
      <w:r>
        <w:t xml:space="preserve">~7,500</w:t>
      </w:r>
      <w:r>
        <w:t xml:space="preserve"> </w:t>
      </w:r>
      <w:r>
        <w:t xml:space="preserve">~3,300</w:t>
      </w:r>
      <w:r>
        <w:t xml:space="preserve"> </w:t>
      </w:r>
      <w:r>
        <w:t xml:space="preserve">Number of asset managers</w:t>
      </w:r>
      <w:r>
        <w:t xml:space="preserve"> </w:t>
      </w:r>
      <w:r>
        <w:t xml:space="preserve">(2024)</w:t>
      </w:r>
      <w:r>
        <w:t xml:space="preserve"> </w:t>
      </w:r>
      <w:r>
        <w:t xml:space="preserve">6,2005</w:t>
      </w:r>
      <w:r>
        <w:t xml:space="preserve"> </w:t>
      </w:r>
      <w:r>
        <w:t xml:space="preserve">N/A (*)</w:t>
      </w:r>
      <w:r>
        <w:t xml:space="preserve"> </w:t>
      </w:r>
      <w:r>
        <w:t xml:space="preserve">~1000</w:t>
      </w:r>
      <w:r>
        <w:t xml:space="preserve"> </w:t>
      </w:r>
      <w:r>
        <w:t xml:space="preserve">Growth in net assets (2014 –</w:t>
      </w:r>
      <w:r>
        <w:t xml:space="preserve"> </w:t>
      </w:r>
      <w:r>
        <w:t xml:space="preserve">2024)</w:t>
      </w:r>
      <w:r>
        <w:t xml:space="preserve"> </w:t>
      </w:r>
      <w:r>
        <w:t xml:space="preserve">95%</w:t>
      </w:r>
      <w:r>
        <w:t xml:space="preserve"> </w:t>
      </w:r>
      <w:r>
        <w:t xml:space="preserve">~120%</w:t>
      </w:r>
      <w:r>
        <w:t xml:space="preserve"> </w:t>
      </w:r>
      <w:r>
        <w:t xml:space="preserve">~110%</w:t>
      </w:r>
    </w:p>
    <w:p>
      <w:pPr>
        <w:pStyle w:val="BodyText"/>
      </w:pPr>
      <w:r>
        <w:t xml:space="preserve">Source: ESMA data 2024, EFAMA 2024, Morningstar data, ICI (2024 Fact Book, for US data and on the growth of the AM sector),</w:t>
      </w:r>
      <w:r>
        <w:br/>
      </w:r>
      <w:r>
        <w:t xml:space="preserve">the Investment Association (Investment Management in the UK 2023-2024)</w:t>
      </w:r>
      <w:r>
        <w:t xml:space="preserve"> </w:t>
      </w:r>
      <w:r>
        <w:t xml:space="preserve">Note: 1 USD ~39.2 trillion; 2 GBP ~2.4 trillion; 3 Of which approximately 30,000 are UCITS and approximately 35,000 are AIFs; 4 ~EUR</w:t>
      </w:r>
      <w:r>
        <w:t xml:space="preserve"> </w:t>
      </w:r>
      <w:r>
        <w:t xml:space="preserve">420 million for UCITS and ~EUR 224 million for AIFs 5 of which 1,700 are UCITS management companies and 4,500 are AIFMs.</w:t>
      </w:r>
      <w:r>
        <w:t xml:space="preserve"> </w:t>
      </w:r>
      <w:r>
        <w:t xml:space="preserve">(*) The structure of the US financial industry is centred on financial advisors, a concept that differs substantially from that of asset managers</w:t>
      </w:r>
      <w:r>
        <w:t xml:space="preserve"> </w:t>
      </w:r>
      <w:r>
        <w:t xml:space="preserve">in the EU regulatory framework.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br/>
      </w:r>
      <w:r>
        <w:t xml:space="preserve">This initiative seeks to remove specific barriers stemming from the lack of harmonisation of EU</w:t>
      </w:r>
      <w:r>
        <w:t xml:space="preserve"> </w:t>
      </w:r>
      <w:r>
        <w:t xml:space="preserve">rules and supervisory approaches that give rise to the fragmentation and underperformance of EU</w:t>
      </w:r>
      <w:r>
        <w:t xml:space="preserve"> </w:t>
      </w:r>
      <w:r>
        <w:t xml:space="preserve">capital markets. These barriers hinder market-driven efforts to expand business and build scale</w:t>
      </w:r>
      <w:r>
        <w:t xml:space="preserve"> </w:t>
      </w:r>
      <w:r>
        <w:t xml:space="preserve">across the single market in the area of trading, post-trading and asset management services,</w:t>
      </w:r>
      <w:r>
        <w:br/>
      </w:r>
      <w:r>
        <w:t xml:space="preserve">also using innovative digital technologies.</w:t>
      </w:r>
      <w:r>
        <w:br/>
      </w:r>
      <w:r>
        <w:t xml:space="preserve">For analytical clarity, the assessment is structured around three interrelated problems, as illustrated</w:t>
      </w:r>
      <w:r>
        <w:t xml:space="preserve"> </w:t>
      </w:r>
      <w:r>
        <w:t xml:space="preserve">in the below stylised problem tree, the assessment is structured around three interrelated problems:</w:t>
      </w:r>
      <w:r>
        <w:t xml:space="preserve"> </w:t>
      </w:r>
      <w:r>
        <w:t xml:space="preserve">1) the fragmentation and lack of scale in the provision of trading, post-trading and asset</w:t>
      </w:r>
      <w:r>
        <w:t xml:space="preserve"> </w:t>
      </w:r>
      <w:r>
        <w:t xml:space="preserve">management services; 2) the fragmented and, as a result, less efficient and effective supervision</w:t>
      </w:r>
      <w:r>
        <w:t xml:space="preserve"> </w:t>
      </w:r>
      <w:r>
        <w:t xml:space="preserve">of those services; and 3) regulatory obstacles to the uptake of innovative digital technologies,</w:t>
      </w:r>
      <w:r>
        <w:br/>
      </w:r>
      <w:r>
        <w:t xml:space="preserve">in particular DLT in trading and post-trading.</w:t>
      </w:r>
      <w:r>
        <w:br/>
      </w:r>
      <w:r>
        <w:t xml:space="preserve">These problems impede the efficient functioning of EU capital markets, ultimately resulting</w:t>
      </w:r>
      <w:r>
        <w:br/>
      </w:r>
      <w:r>
        <w:t xml:space="preserve">in higher costs and less investment opportunities for investors; higher costs and reduced financing</w:t>
      </w:r>
      <w:r>
        <w:t xml:space="preserve"> </w:t>
      </w:r>
      <w:r>
        <w:t xml:space="preserve">opportunities for firms; and other wider consequences that have long been associated with the</w:t>
      </w:r>
      <w:r>
        <w:t xml:space="preserve"> </w:t>
      </w:r>
      <w:r>
        <w:t xml:space="preserve">underdevelopment and fragmentation of EU capital markets, such as overall lower size and depth</w:t>
      </w:r>
      <w:r>
        <w:t xml:space="preserve"> </w:t>
      </w:r>
      <w:r>
        <w:t xml:space="preserve">of EU capital markets, lower economic growth, limited risk sharing and shock resilience.</w:t>
      </w:r>
      <w:r>
        <w:br/>
      </w:r>
      <w:r>
        <w:t xml:space="preserve">While the focus is on the specific regulatory and supervisory barriers (the problem drivers) that</w:t>
      </w:r>
      <w:r>
        <w:t xml:space="preserve"> </w:t>
      </w:r>
      <w:r>
        <w:t xml:space="preserve">negatively affect the provision of trading, post-trading and asset management services, and the</w:t>
      </w:r>
      <w:r>
        <w:t xml:space="preserve"> </w:t>
      </w:r>
      <w:r>
        <w:t xml:space="preserve">uptake of innovative technologies, there are a myriad of other factors that continue to impede EU</w:t>
      </w:r>
      <w:r>
        <w:t xml:space="preserve"> </w:t>
      </w:r>
      <w:r>
        <w:t xml:space="preserve">capital market development and integration. Whereas some of these other factors can and are being</w:t>
      </w:r>
      <w:r>
        <w:t xml:space="preserve"> </w:t>
      </w:r>
      <w:r>
        <w:t xml:space="preserve">addressed in other initiatives under the SIU strategy (e.g. measures on financial literacy, pensions,</w:t>
      </w:r>
      <w:r>
        <w:t xml:space="preserve"> </w:t>
      </w:r>
      <w:r>
        <w:t xml:space="preserve">access to finance), others lie outside the financial services regulatory and supervisory framework</w:t>
      </w:r>
      <w:r>
        <w:t xml:space="preserve"> </w:t>
      </w:r>
      <w:r>
        <w:t xml:space="preserve">(e.g. differences across Member States in tax, company and insolvency law) or are non-legal in</w:t>
      </w:r>
      <w:r>
        <w:t xml:space="preserve"> </w:t>
      </w:r>
      <w:r>
        <w:t xml:space="preserve">nature (e.g. differences across Member States in culture, preferences, habits, risk-taking behaviour,</w:t>
      </w:r>
      <w:r>
        <w:t xml:space="preserve"> </w:t>
      </w:r>
      <w:r>
        <w:t xml:space="preserve">language, or wider macroeconomic conditions).</w:t>
      </w:r>
      <w:r>
        <w:br/>
      </w:r>
      <w:r>
        <w:t xml:space="preserve">The general problems and wider consequences of the fragmentation and underdevelopment of EU</w:t>
      </w:r>
      <w:r>
        <w:t xml:space="preserve"> </w:t>
      </w:r>
      <w:r>
        <w:t xml:space="preserve">capital markets have been well-documented. Hence, to keep this assessment targeted,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proportionate and manageable, references are introduced to existing studies and reports</w:t>
      </w:r>
      <w:r>
        <w:t xml:space="preserve"> </w:t>
      </w:r>
      <w:r>
        <w:t xml:space="preserve">documenting the magnitude of the general problems. The assessment is focused on the specific</w:t>
      </w:r>
      <w:r>
        <w:t xml:space="preserve"> </w:t>
      </w:r>
      <w:r>
        <w:t xml:space="preserve">problems and underlying problem drivers that are in scope of this initiative, explaining to the extent</w:t>
      </w:r>
      <w:r>
        <w:t xml:space="preserve"> </w:t>
      </w:r>
      <w:r>
        <w:t xml:space="preserve">possible their relation to and relative impact on the wider problem.</w:t>
      </w:r>
      <w:r>
        <w:br/>
      </w:r>
      <w:r>
        <w:t xml:space="preserve">As further explained below and in Annex 4, quantifying the relative importance of the specific</w:t>
      </w:r>
      <w:r>
        <w:t xml:space="preserve"> </w:t>
      </w:r>
      <w:r>
        <w:t xml:space="preserve">problems is challenging, given the many external factors at play that cannot be easily controlled</w:t>
      </w:r>
      <w:r>
        <w:t xml:space="preserve"> </w:t>
      </w:r>
      <w:r>
        <w:t xml:space="preserve">for and the data limitations to model how the specific factors influence market outcomes.</w:t>
      </w:r>
      <w:r>
        <w:br/>
      </w:r>
      <w:r>
        <w:t xml:space="preserve">The assessment therefore comprises quantitative and qualitative evidence, drawing also from</w:t>
      </w:r>
      <w:r>
        <w:t xml:space="preserve"> </w:t>
      </w:r>
      <w:r>
        <w:t xml:space="preserve">various sources, including the “Study on trading and post-trading” and the “Study of barriers</w:t>
      </w:r>
      <w:r>
        <w:br/>
      </w:r>
      <w:r>
        <w:t xml:space="preserve">to, and drivers of, the scaling-up of funds investing in innovative and growth companies”</w:t>
      </w:r>
      <w:r>
        <w:t xml:space="preserve"> </w:t>
      </w:r>
      <w:r>
        <w:t xml:space="preserve">conducted on behalf of the Commission.</w:t>
      </w:r>
      <w:r>
        <w:br/>
      </w:r>
      <w:r>
        <w:t xml:space="preserve">This section provides the more high-level summary assessment of the problems, with the more</w:t>
      </w:r>
      <w:r>
        <w:t xml:space="preserve"> </w:t>
      </w:r>
      <w:r>
        <w:t xml:space="preserve">granular and technical assessment of specific barriers and resulting problems in the different</w:t>
      </w:r>
      <w:r>
        <w:t xml:space="preserve"> </w:t>
      </w:r>
      <w:r>
        <w:t xml:space="preserve">sectors described in the separate annexes (indicated by cross-references in the text).</w:t>
      </w:r>
    </w:p>
    <w:p>
      <w:pPr>
        <w:pStyle w:val="BodyText"/>
      </w:pPr>
      <w:r>
        <w:t xml:space="preserve">2.1. WHAT ARE THE PROBLEMS?</w:t>
      </w:r>
      <w:r>
        <w:t xml:space="preserve"> </w:t>
      </w:r>
      <w:r>
        <w:t xml:space="preserve">2.1.1. Lack of market integration and scale</w:t>
      </w:r>
      <w:r>
        <w:t xml:space="preserve"> </w:t>
      </w:r>
      <w:r>
        <w:t xml:space="preserve">The provision of trading, post-trading and asset management services in the EU are fragmented</w:t>
      </w:r>
      <w:r>
        <w:t xml:space="preserve"> </w:t>
      </w:r>
      <w:r>
        <w:t xml:space="preserve">and lack scale. This is illustrated by the larger number of entities and the smaller size compared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to other well integrated markets (e.g. the US), and indicated in Section 1.3 on the market context.50</w:t>
      </w:r>
      <w:r>
        <w:t xml:space="preserve"> </w:t>
      </w:r>
      <w:r>
        <w:t xml:space="preserve">Operating across-borders in such a fragmented environment results into higher transaction costs</w:t>
      </w:r>
      <w:r>
        <w:t xml:space="preserve"> </w:t>
      </w:r>
      <w:r>
        <w:t xml:space="preserve">and fees for financial market participants and, ultimately, higher costs for investors and companies</w:t>
      </w:r>
      <w:r>
        <w:t xml:space="preserve"> </w:t>
      </w:r>
      <w:r>
        <w:t xml:space="preserve">seeking financing. Fragmented markets mean European firms have a narrower investor base</w:t>
      </w:r>
      <w:r>
        <w:br/>
      </w:r>
      <w:r>
        <w:t xml:space="preserve">and less liquid markets, which increases their cost of issuing equity or debt, as investors demand</w:t>
      </w:r>
      <w:r>
        <w:t xml:space="preserve"> </w:t>
      </w:r>
      <w:r>
        <w:t xml:space="preserve">a higher return to compensate for lower liquidity and higher information costs.</w:t>
      </w:r>
      <w:r>
        <w:br/>
      </w:r>
      <w:r>
        <w:t xml:space="preserve">The majority of stakeholders (especially relevant stakeholders and associations of the sectors</w:t>
      </w:r>
      <w:r>
        <w:t xml:space="preserve"> </w:t>
      </w:r>
      <w:r>
        <w:t xml:space="preserve">covered in this initiative) supported removing cross-border operational and regulatory obstacles</w:t>
      </w:r>
      <w:r>
        <w:t xml:space="preserve"> </w:t>
      </w:r>
      <w:r>
        <w:t xml:space="preserve">and duplicative requirements, called for more interoperability between market infrastructures,</w:t>
      </w:r>
      <w:r>
        <w:br/>
      </w:r>
      <w:r>
        <w:t xml:space="preserve">and underlined the need to modernise EU rules on trading, clearing and settlement, to achieve</w:t>
      </w:r>
      <w:r>
        <w:t xml:space="preserve"> </w:t>
      </w:r>
      <w:r>
        <w:t xml:space="preserve">greater efficiency and scale. In the area of asset management, relevant industry associations and</w:t>
      </w:r>
      <w:r>
        <w:t xml:space="preserve"> </w:t>
      </w:r>
      <w:r>
        <w:t xml:space="preserve">market players stressed the need to reduce gold-plating and simplify rules on marketing,</w:t>
      </w:r>
      <w:r>
        <w:t xml:space="preserve"> </w:t>
      </w:r>
      <w:r>
        <w:t xml:space="preserve">disclosures and enhance funds’ passporting. Many financial institutions and market operators</w:t>
      </w:r>
      <w:r>
        <w:t xml:space="preserve"> </w:t>
      </w:r>
      <w:r>
        <w:t xml:space="preserve">favoured a technology-neutral regulatory approach that accommodates innovation, including</w:t>
      </w:r>
      <w:r>
        <w:t xml:space="preserve"> </w:t>
      </w:r>
      <w:r>
        <w:t xml:space="preserve">distributed ledger technologies. Stakeholders also warned that harmonisation must</w:t>
      </w:r>
      <w:r>
        <w:br/>
      </w:r>
      <w:r>
        <w:t xml:space="preserve">not compromise flexibility or investor protection and cautioned that integration should preserve</w:t>
      </w:r>
      <w:r>
        <w:t xml:space="preserve"> </w:t>
      </w:r>
      <w:r>
        <w:t xml:space="preserve">competitiveness and diversity across Member States. A recurring theme was the need</w:t>
      </w:r>
      <w:r>
        <w:br/>
      </w:r>
      <w:r>
        <w:t xml:space="preserve">for regulatory coherence, legal certainty and predictability. Other stakeholders, including</w:t>
      </w:r>
      <w:r>
        <w:t xml:space="preserve"> </w:t>
      </w:r>
      <w:r>
        <w:t xml:space="preserve">professional bodies, law firms and chambers of commerce, stressed the importance</w:t>
      </w:r>
      <w:r>
        <w:br/>
      </w:r>
      <w:r>
        <w:t xml:space="preserve">of harmonisation in post-trade processes and legal clarity in areas such as settlement finality</w:t>
      </w:r>
      <w:r>
        <w:br/>
      </w:r>
      <w:r>
        <w:t xml:space="preserve">and collateral and securities law. They called for proportionality in regulatory reforms and</w:t>
      </w:r>
      <w:r>
        <w:t xml:space="preserve"> </w:t>
      </w:r>
      <w:r>
        <w:t xml:space="preserve">alignment with accounting and tax frameworks to reduce cross-border frictions.</w:t>
      </w:r>
      <w:r>
        <w:t xml:space="preserve"> </w:t>
      </w:r>
      <w:r>
        <w:t xml:space="preserve">Trading in Europe exhibits a high degree of fragmentation. As noted in Section 1.3., there are more</w:t>
      </w:r>
      <w:r>
        <w:t xml:space="preserve"> </w:t>
      </w:r>
      <w:r>
        <w:t xml:space="preserve">than 300 trading venues which offer similar or overlapping services in trade execution / matching</w:t>
      </w:r>
      <w:r>
        <w:t xml:space="preserve"> </w:t>
      </w:r>
      <w:r>
        <w:t xml:space="preserve">(see figure 4). In addition, there is fragmentation across lit (pre-trade transparent) and dark (non-</w:t>
      </w:r>
      <w:r>
        <w:t xml:space="preserve"> </w:t>
      </w:r>
      <w:r>
        <w:t xml:space="preserve">pre-trade transparent) execution protocols. This latter split is, to a large extent, demand driven and</w:t>
      </w:r>
      <w:r>
        <w:t xml:space="preserve"> </w:t>
      </w:r>
      <w:r>
        <w:t xml:space="preserve">arises from different priorities of market participants at different times, notably speed of execution</w:t>
      </w:r>
      <w:r>
        <w:t xml:space="preserve"> </w:t>
      </w:r>
      <w:r>
        <w:t xml:space="preserve">(lit venues will offer faster matching) and market impact of execution (dark venues will not ‘leak’</w:t>
      </w:r>
      <w:r>
        <w:t xml:space="preserve"> </w:t>
      </w:r>
      <w:r>
        <w:t xml:space="preserve">information on trading interest to the market). Increased competition between trading venues has</w:t>
      </w:r>
      <w:r>
        <w:t xml:space="preserve"> </w:t>
      </w:r>
      <w:r>
        <w:t xml:space="preserve">reduced the direct costs of trade execution in the EU and benefited liquidity. However, an</w:t>
      </w:r>
      <w:r>
        <w:t xml:space="preserve"> </w:t>
      </w:r>
      <w:r>
        <w:t xml:space="preserve">excessive degree of fragmentation also tends to raise other costs for market participants.</w:t>
      </w:r>
      <w:r>
        <w:br/>
      </w:r>
      <w:r>
        <w:t xml:space="preserve">For example, order book data needs to be collected from multiple markets to find the best execution</w:t>
      </w:r>
      <w:r>
        <w:t xml:space="preserve"> </w:t>
      </w:r>
      <w:r>
        <w:t xml:space="preserve">conditions. In addition, increased speed in order entry and matching (arising from competition</w:t>
      </w:r>
      <w:r>
        <w:t xml:space="preserve"> </w:t>
      </w:r>
      <w:r>
        <w:t xml:space="preserve">effects), while decreasing bid-ask spreads, implies that market participants require more</w:t>
      </w:r>
      <w:r>
        <w:t xml:space="preserve"> </w:t>
      </w:r>
      <w:r>
        <w:t xml:space="preserve">sophisticated IT and hardware (thereby increasing costs) to address quotes and act on incoming</w:t>
      </w:r>
      <w:r>
        <w:t xml:space="preserve"> </w:t>
      </w:r>
      <w:r>
        <w:t xml:space="preserve">market data. An increased number of trading venues can also lead to more arbitrage opportunities</w:t>
      </w:r>
      <w:r>
        <w:t xml:space="preserve"> </w:t>
      </w:r>
      <w:r>
        <w:t xml:space="preserve">and heightened adverse selection for liquidity providers. Liquidity providers engage in arbitrage</w:t>
      </w:r>
      <w:r>
        <w:t xml:space="preserve"> </w:t>
      </w:r>
      <w:r>
        <w:t xml:space="preserve">trades to profit from small price differences across venues, thereby keeping prices aligned,</w:t>
      </w:r>
      <w:r>
        <w:br/>
      </w:r>
      <w:r>
        <w:t xml:space="preserve">but with a large number of venues it becomes increasingly difficult to source and aggregate pricing</w:t>
      </w:r>
    </w:p>
    <w:p>
      <w:pPr>
        <w:pStyle w:val="BodyText"/>
      </w:pPr>
      <w:r>
        <w:t xml:space="preserve">50 At the same time, it should be acknowledged that extreme forms of consolidation (e.g. where only one or two players</w:t>
      </w:r>
      <w:r>
        <w:t xml:space="preserve"> </w:t>
      </w:r>
      <w:r>
        <w:t xml:space="preserve">remain) may lead to a worse-off outcome by reducing competitive pressure on players and, consequently, potentially</w:t>
      </w:r>
      <w:r>
        <w:t xml:space="preserve"> </w:t>
      </w:r>
      <w:r>
        <w:t xml:space="preserve">leading to higher prices and lower quality of services. Hence, any measures seeking increasing integration should be</w:t>
      </w:r>
      <w:r>
        <w:t xml:space="preserve"> </w:t>
      </w:r>
      <w:r>
        <w:t xml:space="preserve">taken in knowledge of their impact on competition, to ensure that a careful balance between consolidation and</w:t>
      </w:r>
      <w:r>
        <w:t xml:space="preserve"> </w:t>
      </w:r>
      <w:r>
        <w:t xml:space="preserve">competition is preserved.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information at the high speeds necessary to compete. This in turn can lead to reduced liquidity</w:t>
      </w:r>
      <w:r>
        <w:t xml:space="preserve"> </w:t>
      </w:r>
      <w:r>
        <w:t xml:space="preserve">provision and an increase in spreads51 thus decreasing overall market efficiency.</w:t>
      </w:r>
      <w:r>
        <w:br/>
      </w:r>
      <w:r>
        <w:t xml:space="preserve">Fragmentation effects are normally not linear. For instance, effects can be positive for large caps</w:t>
      </w:r>
      <w:r>
        <w:t xml:space="preserve"> </w:t>
      </w:r>
      <w:r>
        <w:t xml:space="preserve">but negative for less traded small caps.52 This makes it difficult to determine what market structure</w:t>
      </w:r>
      <w:r>
        <w:t xml:space="preserve"> </w:t>
      </w:r>
      <w:r>
        <w:t xml:space="preserve">would maximise downstream user benefits. Stakeholder input received, the external market study</w:t>
      </w:r>
      <w:r>
        <w:t xml:space="preserve"> </w:t>
      </w:r>
      <w:r>
        <w:t xml:space="preserve">conducted for the Commission as well as other reports53 point to significant increases in indirect</w:t>
      </w:r>
      <w:r>
        <w:t xml:space="preserve"> </w:t>
      </w:r>
      <w:r>
        <w:t xml:space="preserve">costs due to fragmentation in trading in the EU. This lowers efficiencies, regardless of optimal</w:t>
      </w:r>
      <w:r>
        <w:t xml:space="preserve"> </w:t>
      </w:r>
      <w:r>
        <w:t xml:space="preserve">market structures. At the same time, there is little evidence that benefits of further fragmentation</w:t>
      </w:r>
      <w:r>
        <w:t xml:space="preserve"> </w:t>
      </w:r>
      <w:r>
        <w:t xml:space="preserve">(e.g. lower fees) can outweigh these costs.54 Stakeholders also often note disproportionate negative</w:t>
      </w:r>
      <w:r>
        <w:t xml:space="preserve"> </w:t>
      </w:r>
      <w:r>
        <w:t xml:space="preserve">effects of fragmentation on small and micro caps.55 Comparison with the US reveals that a high</w:t>
      </w:r>
      <w:r>
        <w:t xml:space="preserve"> </w:t>
      </w:r>
      <w:r>
        <w:t xml:space="preserve">level of concentration enables US operators to exploit scale effects that benefit downstream users</w:t>
      </w:r>
      <w:r>
        <w:t xml:space="preserve"> </w:t>
      </w:r>
      <w:r>
        <w:t xml:space="preserve">through lower costs and indirect liquidity effects, reducing capital costs (see also Section 2.3. on</w:t>
      </w:r>
      <w:r>
        <w:t xml:space="preserve"> </w:t>
      </w:r>
      <w:r>
        <w:t xml:space="preserve">consequences). Data shows that the top five US venues account for 74 % of on-exchange share</w:t>
      </w:r>
      <w:r>
        <w:t xml:space="preserve"> </w:t>
      </w:r>
      <w:r>
        <w:t xml:space="preserve">turn-over whereas in the EU it is only the top 10 venues that capture a similar share (+-75%).56 At</w:t>
      </w:r>
      <w:r>
        <w:t xml:space="preserve"> </w:t>
      </w:r>
      <w:r>
        <w:t xml:space="preserve">the same time, at aggregate level, the average daily value traded is more than 4 times higher in the</w:t>
      </w:r>
      <w:r>
        <w:t xml:space="preserve"> </w:t>
      </w:r>
      <w:r>
        <w:t xml:space="preserve">US than in Europe (EUR 288bn vs EUR 65bn in 202357). According to some figures, liquidity on</w:t>
      </w:r>
      <w:r>
        <w:t xml:space="preserve"> </w:t>
      </w:r>
      <w:r>
        <w:t xml:space="preserve">US regulated markets alone is more than double the total liquidity across all channels in Europe.58</w:t>
      </w:r>
      <w:r>
        <w:t xml:space="preserve"> </w:t>
      </w:r>
      <w:r>
        <w:t xml:space="preserve">It is difficult to compare EU-US direct transactions costs across operators, different asset classes</w:t>
      </w:r>
      <w:r>
        <w:t xml:space="preserve"> </w:t>
      </w:r>
      <w:r>
        <w:t xml:space="preserve">and professional / retail clients given factors such as detailed pricing schedules, rebates and trade-</w:t>
      </w:r>
      <w:r>
        <w:t xml:space="preserve"> </w:t>
      </w:r>
      <w:r>
        <w:t xml:space="preserve">external costs (e.g. one study finds that settlement costs are on average 65% higher in Europe59).</w:t>
      </w:r>
      <w:r>
        <w:t xml:space="preserve"> </w:t>
      </w:r>
      <w:r>
        <w:t xml:space="preserve">There are however indications that indirect costs (lower bid-ask spreads due to higher liquidity)</w:t>
      </w:r>
      <w:r>
        <w:t xml:space="preserve"> </w:t>
      </w:r>
      <w:r>
        <w:t xml:space="preserve">are lower in the US.</w:t>
      </w:r>
      <w:r>
        <w:br/>
      </w:r>
      <w:r>
        <w:t xml:space="preserve">EU operators are typically structured across groups and market operating entities (see Figure 5).</w:t>
      </w:r>
      <w:r>
        <w:t xml:space="preserve"> </w:t>
      </w:r>
      <w:r>
        <w:t xml:space="preserve">This organisational structure allows operators to generate some, though limited, synergies at group</w:t>
      </w:r>
      <w:r>
        <w:t xml:space="preserve"> </w:t>
      </w:r>
      <w:r>
        <w:t xml:space="preserve">level while navigating persistent barriers at national level. The national factor remains crucial for</w:t>
      </w:r>
      <w:r>
        <w:t xml:space="preserve"> </w:t>
      </w:r>
      <w:r>
        <w:t xml:space="preserve">multiple reasons, notably differences in (i) interpretation and transposition of EU law, (ii)</w:t>
      </w:r>
      <w:r>
        <w:t xml:space="preserve"> </w:t>
      </w:r>
      <w:r>
        <w:t xml:space="preserve">supervisory approaches, and (iii) other national legal frameworks (such as securities law, company</w:t>
      </w:r>
      <w:r>
        <w:t xml:space="preserve"> </w:t>
      </w:r>
      <w:r>
        <w:t xml:space="preserve">law, transparency, and taxation). This initiative focuses only on the first two factors. Stakeholder</w:t>
      </w:r>
      <w:r>
        <w:t xml:space="preserve"> </w:t>
      </w:r>
      <w:r>
        <w:t xml:space="preserve">feedback also points to the fact that local presence, and the perception of markets being linked to</w:t>
      </w:r>
      <w:r>
        <w:t xml:space="preserve"> </w:t>
      </w:r>
      <w:r>
        <w:t xml:space="preserve">national ecosystems, plays a strong role in maintaining separate markets at local level, especially</w:t>
      </w:r>
    </w:p>
    <w:p>
      <w:pPr>
        <w:pStyle w:val="BodyText"/>
      </w:pPr>
      <w:r>
        <w:t xml:space="preserve">51 See for example ‘Trading in Fragmented Markets’, M. Baldauf, L. Mollner, Journal of Financial and Quantitative</w:t>
      </w:r>
      <w:r>
        <w:t xml:space="preserve"> </w:t>
      </w:r>
      <w:r>
        <w:t xml:space="preserve">Analysis 2021;56(1):93-121, June 2020.</w:t>
      </w:r>
      <w:r>
        <w:t xml:space="preserve"> </w:t>
      </w:r>
      <w:r>
        <w:t xml:space="preserve">52 See ‘Drivers and Effects of Stock Market Fragmentation – Insights on SME Stocks’, J. Lausen, Jens, B. Clapham,</w:t>
      </w:r>
      <w:r>
        <w:t xml:space="preserve"> </w:t>
      </w:r>
      <w:r>
        <w:t xml:space="preserve">P. Gomber, M. Bender, SAFE Working Paper No. 367, March 2022 – Link</w:t>
      </w:r>
      <w:r>
        <w:br/>
      </w:r>
      <w:r>
        <w:t xml:space="preserve">53 E.g. ‘There’s No Market in Market Data’, Market Structure Partners, January 2025.</w:t>
      </w:r>
      <w:r>
        <w:t xml:space="preserve"> </w:t>
      </w:r>
      <w:r>
        <w:t xml:space="preserve">54 Initial fragmentation (pre-MiFID national monopolies) to a structure with competing alternative venues operators</w:t>
      </w:r>
      <w:r>
        <w:t xml:space="preserve"> </w:t>
      </w:r>
      <w:r>
        <w:t xml:space="preserve">had strong positive impacts on costs and bid-ask spreads initially but these effects tend to reduce in size with increasing</w:t>
      </w:r>
      <w:r>
        <w:t xml:space="preserve"> </w:t>
      </w:r>
      <w:r>
        <w:t xml:space="preserve">fragmentation.</w:t>
      </w:r>
      <w:r>
        <w:br/>
      </w:r>
      <w:r>
        <w:t xml:space="preserve">55 One likely explanation is that low trading volumes are insufficient to attract other large market makers which could</w:t>
      </w:r>
      <w:r>
        <w:t xml:space="preserve"> </w:t>
      </w:r>
      <w:r>
        <w:t xml:space="preserve">bridge fragmentation across markets more efficiently and would boost liquidity. Absence of efficient hedging products</w:t>
      </w:r>
      <w:r>
        <w:t xml:space="preserve"> </w:t>
      </w:r>
      <w:r>
        <w:t xml:space="preserve">is a further factor which increases risks for market makers. Large caps tend to face less problems due to high trading</w:t>
      </w:r>
      <w:r>
        <w:t xml:space="preserve"> </w:t>
      </w:r>
      <w:r>
        <w:t xml:space="preserve">interests.</w:t>
      </w:r>
      <w:r>
        <w:br/>
      </w:r>
      <w:r>
        <w:t xml:space="preserve">56 Evolution of EEA share market structure since MiFID II, ESMA, October 2023</w:t>
      </w:r>
      <w:r>
        <w:t xml:space="preserve"> </w:t>
      </w:r>
      <w:r>
        <w:t xml:space="preserve">57 Figure for all companies above €250m market cap; Source: Demystifying the liquidity gap between European and</w:t>
      </w:r>
      <w:r>
        <w:t xml:space="preserve"> </w:t>
      </w:r>
      <w:r>
        <w:t xml:space="preserve">US equities, Euronext, March 2024 – Link</w:t>
      </w:r>
      <w:r>
        <w:br/>
      </w:r>
      <w:r>
        <w:t xml:space="preserve">58Oliver Wyman, The Liquidity Matrix - Addressing fragmentation in European equity markets, July 2025 – Link</w:t>
      </w:r>
      <w:r>
        <w:t xml:space="preserve"> </w:t>
      </w:r>
      <w:r>
        <w:t xml:space="preserve">59 See ‘Analysis of CSD Fees in Major European Markets’ – AFME – Link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for listing purposes. An additional demand-driven factor for local presence is that some investors</w:t>
      </w:r>
      <w:r>
        <w:t xml:space="preserve"> </w:t>
      </w:r>
      <w:r>
        <w:t xml:space="preserve">(e.g. public pension funds) may wish to invest in companies on a domestic market.</w:t>
      </w:r>
      <w:r>
        <w:br/>
      </w:r>
      <w:r>
        <w:t xml:space="preserve">Figure 4: Fragmentation across different</w:t>
      </w:r>
      <w:r>
        <w:t xml:space="preserve"> </w:t>
      </w:r>
      <w:r>
        <w:t xml:space="preserve">execution venues</w:t>
      </w:r>
      <w:r>
        <w:br/>
      </w:r>
      <w:r>
        <w:t xml:space="preserve">Figure 5: Example on-exchange market structure</w:t>
      </w:r>
    </w:p>
    <w:p>
      <w:pPr>
        <w:pStyle w:val="BodyText"/>
      </w:pPr>
      <w:r>
        <w:t xml:space="preserve">Source: Oliver Wyman, The Liquidity Matrix - Addressing fragmentation</w:t>
      </w:r>
      <w:r>
        <w:t xml:space="preserve"> </w:t>
      </w:r>
      <w:r>
        <w:t xml:space="preserve">in European equity markets – Link</w:t>
      </w:r>
      <w:r>
        <w:t xml:space="preserve"> </w:t>
      </w:r>
      <w:r>
        <w:t xml:space="preserve">Note: Liquidity fragmentation at the single-stock level - Share of total</w:t>
      </w:r>
      <w:r>
        <w:t xml:space="preserve"> </w:t>
      </w:r>
      <w:r>
        <w:t xml:space="preserve">traded notional, %, Jan–May 2025.</w:t>
      </w:r>
    </w:p>
    <w:p>
      <w:pPr>
        <w:pStyle w:val="BodyText"/>
      </w:pPr>
      <w:r>
        <w:t xml:space="preserve">Source: ESMA</w:t>
      </w:r>
      <w:r>
        <w:t xml:space="preserve"> </w:t>
      </w:r>
      <w:r>
        <w:t xml:space="preserve">Note: ‘market segments’ may be better labelled as ‘trading venue’ (which</w:t>
      </w:r>
      <w:r>
        <w:t xml:space="preserve"> </w:t>
      </w:r>
      <w:r>
        <w:t xml:space="preserve">operate multiple segments) depending on setup.</w:t>
      </w:r>
    </w:p>
    <w:p>
      <w:pPr>
        <w:pStyle w:val="BodyText"/>
      </w:pPr>
      <w:r>
        <w:t xml:space="preserve">Market operators have reported incurring extra costs linked to diverging practices of how the</w:t>
      </w:r>
      <w:r>
        <w:t xml:space="preserve"> </w:t>
      </w:r>
      <w:r>
        <w:t xml:space="preserve">trading platform operates, and additional procedures not required in EU legislation, amounting to</w:t>
      </w:r>
      <w:r>
        <w:t xml:space="preserve"> </w:t>
      </w:r>
      <w:r>
        <w:t xml:space="preserve">an estimated EUR 1 million per group-level changes (e.g. approval of change of trading platform</w:t>
      </w:r>
      <w:r>
        <w:t xml:space="preserve"> </w:t>
      </w:r>
      <w:r>
        <w:t xml:space="preserve">such as function of order types or microstructure setup / matching process). Different supervisory</w:t>
      </w:r>
      <w:r>
        <w:t xml:space="preserve"> </w:t>
      </w:r>
      <w:r>
        <w:t xml:space="preserve">approaches and the lack of a single licence to operate markets cross-border in all EU Member</w:t>
      </w:r>
      <w:r>
        <w:t xml:space="preserve"> </w:t>
      </w:r>
      <w:r>
        <w:t xml:space="preserve">States add further administrative and other compliance costs.</w:t>
      </w:r>
    </w:p>
    <w:p>
      <w:pPr>
        <w:pStyle w:val="BodyText"/>
      </w:pPr>
      <w:r>
        <w:t xml:space="preserve">Problems at the trading level are exacerbated by similar fragmentation issues in EU post-trade</w:t>
      </w:r>
      <w:r>
        <w:t xml:space="preserve"> </w:t>
      </w:r>
      <w:r>
        <w:t xml:space="preserve">infrastructures. Users, particularly smaller brokers, are often not able to navigate the EU trading</w:t>
      </w:r>
      <w:r>
        <w:t xml:space="preserve"> </w:t>
      </w:r>
      <w:r>
        <w:t xml:space="preserve">infrastructure as a single, integrated pool of liquidity, which limits their ability to operate</w:t>
      </w:r>
      <w:r>
        <w:t xml:space="preserve"> </w:t>
      </w:r>
      <w:r>
        <w:t xml:space="preserve">efficiently and effectively across the EU. There is a significant discrepancy in the fees brokers</w:t>
      </w:r>
      <w:r>
        <w:t xml:space="preserve"> </w:t>
      </w:r>
      <w:r>
        <w:t xml:space="preserve">charge for executing transactions on their domestic markets, as opposed to those in other Member</w:t>
      </w:r>
      <w:r>
        <w:t xml:space="preserve"> </w:t>
      </w:r>
      <w:r>
        <w:t xml:space="preserve">States. A key reason for these high costs is higher clearing and settlement fees. Clearing and</w:t>
      </w:r>
      <w:r>
        <w:t xml:space="preserve"> </w:t>
      </w:r>
      <w:r>
        <w:t xml:space="preserve">settlement of equity transaction across national borders have been found to be two to six times</w:t>
      </w:r>
      <w:r>
        <w:t xml:space="preserve"> </w:t>
      </w:r>
      <w:r>
        <w:t xml:space="preserve">more expensive than an equivalent transaction cleared and settled domestically.60 Multiple brokers</w:t>
      </w:r>
      <w:r>
        <w:t xml:space="preserve"> </w:t>
      </w:r>
      <w:r>
        <w:t xml:space="preserve">across different Member States impose fees that are up to three times higher for executing trades</w:t>
      </w:r>
      <w:r>
        <w:t xml:space="preserve"> </w:t>
      </w:r>
      <w:r>
        <w:t xml:space="preserve">in other markets in the EU compared to their domestic market, and often these fees exceed what</w:t>
      </w:r>
      <w:r>
        <w:t xml:space="preserve"> </w:t>
      </w:r>
      <w:r>
        <w:t xml:space="preserve">the same broker charges for trading US securities. Out of a sample of brokers and neo-brokers</w:t>
      </w:r>
      <w:r>
        <w:t xml:space="preserve"> </w:t>
      </w:r>
      <w:r>
        <w:t xml:space="preserve">located in 5 Member States, it was evidenced that trading securities from another Member State</w:t>
      </w:r>
    </w:p>
    <w:p>
      <w:pPr>
        <w:pStyle w:val="BodyText"/>
      </w:pPr>
      <w:r>
        <w:t xml:space="preserve">60 From Giovannini barriers to Capital Markets Union – Bank of Finland Bulletin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was systematically as least as expensive, and usually significantly more expensive, than trading</w:t>
      </w:r>
      <w:r>
        <w:t xml:space="preserve"> </w:t>
      </w:r>
      <w:r>
        <w:t xml:space="preserve">US securities.61</w:t>
      </w:r>
      <w:r>
        <w:br/>
      </w:r>
      <w:r>
        <w:t xml:space="preserve">These higher costs stem from the need to interact with multiple national systems and comply with</w:t>
      </w:r>
      <w:r>
        <w:t xml:space="preserve"> </w:t>
      </w:r>
      <w:r>
        <w:t xml:space="preserve">varied procedures and national laws. The presence of multiple CCPs and CSDs implies higher</w:t>
      </w:r>
      <w:r>
        <w:t xml:space="preserve"> </w:t>
      </w:r>
      <w:r>
        <w:t xml:space="preserve">transaction costs for cross-border investors, which in turn translates into less cross-border</w:t>
      </w:r>
      <w:r>
        <w:t xml:space="preserve"> </w:t>
      </w:r>
      <w:r>
        <w:t xml:space="preserve">investment in securities. The average total settlement cost to a CSD client in Europe is EUR 0.53</w:t>
      </w:r>
      <w:r>
        <w:t xml:space="preserve"> </w:t>
      </w:r>
      <w:r>
        <w:t xml:space="preserve">per transaction, with approximately EUR 0.10 attributed to pass-through of T2S charges. For T2S</w:t>
      </w:r>
      <w:r>
        <w:t xml:space="preserve"> </w:t>
      </w:r>
      <w:r>
        <w:t xml:space="preserve">CSDs, the average settlement instruction fee is EUR 0.34, including T2S charges.62 This compares</w:t>
      </w:r>
      <w:r>
        <w:t xml:space="preserve"> </w:t>
      </w:r>
      <w:r>
        <w:t xml:space="preserve">unfavourably with the US, where the average total settlement cost per transaction is EUR 0.25.63</w:t>
      </w:r>
      <w:r>
        <w:br/>
      </w:r>
      <w:r>
        <w:t xml:space="preserve">In 2022, cross-border settlement constituted less than 20% of total settlement.64 The domestic</w:t>
      </w:r>
      <w:r>
        <w:t xml:space="preserve"> </w:t>
      </w:r>
      <w:r>
        <w:t xml:space="preserve">nature of settlement infrastructure creates technical complexities and increased operational risk</w:t>
      </w:r>
      <w:r>
        <w:t xml:space="preserve"> </w:t>
      </w:r>
      <w:r>
        <w:t xml:space="preserve">because of market participants having to connect to different systems to access different national</w:t>
      </w:r>
      <w:r>
        <w:t xml:space="preserve"> </w:t>
      </w:r>
      <w:r>
        <w:t xml:space="preserve">markets. This effectively means that there are technical and legal barriers inhibiting</w:t>
      </w:r>
      <w:r>
        <w:br/>
      </w:r>
      <w:r>
        <w:t xml:space="preserve">the development of a truly European post-trade landscape, with implications for the</w:t>
      </w:r>
      <w:r>
        <w:t xml:space="preserve"> </w:t>
      </w:r>
      <w:r>
        <w:t xml:space="preserve">straightforward availability of investment opportunities for investors. Due to its operational</w:t>
      </w:r>
      <w:r>
        <w:t xml:space="preserve"> </w:t>
      </w:r>
      <w:r>
        <w:t xml:space="preserve">complexity, the settlement infrastructure in the EU (i.e. CSDs, including T2S costs passed on by</w:t>
      </w:r>
      <w:r>
        <w:t xml:space="preserve"> </w:t>
      </w:r>
      <w:r>
        <w:t xml:space="preserve">CSDs, but not including the ICSDs) is estimated to cost the industry around EUR 1bn annually,</w:t>
      </w:r>
      <w:r>
        <w:t xml:space="preserve"> </w:t>
      </w:r>
      <w:r>
        <w:t xml:space="preserve">roughly double the cost of the two CSDs in the USA (DTCC for Securities, Fedwire Securities</w:t>
      </w:r>
      <w:r>
        <w:t xml:space="preserve"> </w:t>
      </w:r>
      <w:r>
        <w:t xml:space="preserve">Services for Treasuries).65</w:t>
      </w:r>
      <w:r>
        <w:t xml:space="preserve"> </w:t>
      </w:r>
      <w:r>
        <w:t xml:space="preserve">The market fragmentation prevents financial intermediaries from exploiting potential economies</w:t>
      </w:r>
      <w:r>
        <w:t xml:space="preserve"> </w:t>
      </w:r>
      <w:r>
        <w:t xml:space="preserve">of scale, thereby limiting their ability to achieve efficiency gains by increasing cross-border</w:t>
      </w:r>
      <w:r>
        <w:t xml:space="preserve"> </w:t>
      </w:r>
      <w:r>
        <w:t xml:space="preserve">activity. For example, Figure 4 from the study carried out for the Commission shows that revenue</w:t>
      </w:r>
      <w:r>
        <w:t xml:space="preserve"> </w:t>
      </w:r>
      <w:r>
        <w:t xml:space="preserve">per transaction, and consequently costs for the clients, decreases as the number of settled</w:t>
      </w:r>
      <w:r>
        <w:t xml:space="preserve"> </w:t>
      </w:r>
      <w:r>
        <w:t xml:space="preserve">transactions increases, clearly pointing to economies of scale. These economies of scale occur</w:t>
      </w:r>
      <w:r>
        <w:t xml:space="preserve"> </w:t>
      </w:r>
      <w:r>
        <w:t xml:space="preserve">when the fixed cost associated with building and maintaining the necessary technical infrastructure</w:t>
      </w:r>
      <w:r>
        <w:t xml:space="preserve"> </w:t>
      </w:r>
      <w:r>
        <w:t xml:space="preserve">and ensuring regulatory compliance can be spread over a larger number of transactions. Currently,</w:t>
      </w:r>
      <w:r>
        <w:t xml:space="preserve"> </w:t>
      </w:r>
      <w:r>
        <w:t xml:space="preserve">regulatory barriers hinder efficiency gains enabled by a market structure with higher concentration</w:t>
      </w:r>
      <w:r>
        <w:t xml:space="preserve"> </w:t>
      </w:r>
      <w:r>
        <w:t xml:space="preserve">of trading and clearing activities.</w:t>
      </w:r>
    </w:p>
    <w:p>
      <w:pPr>
        <w:pStyle w:val="BodyText"/>
      </w:pPr>
      <w:r>
        <w:t xml:space="preserve">61 Information based on internal analysis of the publicly available fee schedules of a representative sample of neo-</w:t>
      </w:r>
      <w:r>
        <w:t xml:space="preserve"> </w:t>
      </w:r>
      <w:r>
        <w:t xml:space="preserve">brokers and banks active in 8 Member States. See Annex 7 ‘Trading’ for more details.</w:t>
      </w:r>
      <w:r>
        <w:t xml:space="preserve"> </w:t>
      </w:r>
      <w:r>
        <w:t xml:space="preserve">62 AFME (2025) “Analysis of CSD Fees in Major European Markets”.</w:t>
      </w:r>
      <w:r>
        <w:t xml:space="preserve"> </w:t>
      </w:r>
      <w:r>
        <w:t xml:space="preserve">63 Study on consolidation and reducing fragmentation in trading and post-trading infrastructures in Europe:</w:t>
      </w:r>
      <w:r>
        <w:t xml:space="preserve"> </w:t>
      </w:r>
      <w:r>
        <w:t xml:space="preserve">https://op.europa.eu/en/publication/doi/10.2874/2649452</w:t>
      </w:r>
      <w:r>
        <w:br/>
      </w:r>
      <w:r>
        <w:t xml:space="preserve">64 Based on ESMA data for cross-border activity (ESMA74-2119945925-1568) and the total value of settlement</w:t>
      </w:r>
      <w:r>
        <w:t xml:space="preserve"> </w:t>
      </w:r>
      <w:r>
        <w:t xml:space="preserve">instructions from the ECB securities trading, clearing and settlement data base.</w:t>
      </w:r>
      <w:r>
        <w:br/>
      </w:r>
      <w:r>
        <w:t xml:space="preserve">65 Ibid.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Figure 6:66 Economies of scale in CSDs (2023)67</w:t>
      </w:r>
    </w:p>
    <w:p>
      <w:pPr>
        <w:pStyle w:val="BodyText"/>
      </w:pPr>
      <w:r>
        <w:t xml:space="preserve">Source: ECSDA database, annual reports of DTC, DTCC and FRB</w:t>
      </w:r>
      <w:r>
        <w:t xml:space="preserve"> </w:t>
      </w:r>
      <w:r>
        <w:t xml:space="preserve">The EU asset management sector has experienced significant growth while also reducing ongoing</w:t>
      </w:r>
      <w:r>
        <w:t xml:space="preserve"> </w:t>
      </w:r>
      <w:r>
        <w:t xml:space="preserve">costs (see Section 1.3). As the world’s second-largest market, it holds 29% of global assets and</w:t>
      </w:r>
      <w:r>
        <w:t xml:space="preserve"> </w:t>
      </w:r>
      <w:r>
        <w:t xml:space="preserve">encompasses approximately 65,000 funds. However, despite this growth, regulatory barriers and</w:t>
      </w:r>
      <w:r>
        <w:t xml:space="preserve"> </w:t>
      </w:r>
      <w:r>
        <w:t xml:space="preserve">other challenges hinder its optimal development, leading to unfavourable market outcomes.</w:t>
      </w:r>
      <w:r>
        <w:t xml:space="preserve"> </w:t>
      </w:r>
      <w:r>
        <w:t xml:space="preserve">First, the EU asset management market is highly fragmented, which restricts investor choice,</w:t>
      </w:r>
      <w:r>
        <w:t xml:space="preserve"> </w:t>
      </w:r>
      <w:r>
        <w:t xml:space="preserve">hinders fund competition68, and prevents the creation of a true single market. Although there are</w:t>
      </w:r>
      <w:r>
        <w:t xml:space="preserve"> </w:t>
      </w:r>
      <w:r>
        <w:t xml:space="preserve">many funds available, most are only sold in one country69 and almost none are marketed in all 27</w:t>
      </w:r>
      <w:r>
        <w:t xml:space="preserve"> </w:t>
      </w:r>
      <w:r>
        <w:t xml:space="preserve">Member States. In addition, funds that are distributed on a cross-border basis are typically</w:t>
      </w:r>
      <w:r>
        <w:t xml:space="preserve"> </w:t>
      </w:r>
      <w:r>
        <w:t xml:space="preserve">available in only a few countries (see Table 2). As a result, these funds have limited market</w:t>
      </w:r>
      <w:r>
        <w:t xml:space="preserve"> </w:t>
      </w:r>
      <w:r>
        <w:t xml:space="preserve">penetration outside their home country. This restricts investor choice, falling short of what a</w:t>
      </w:r>
      <w:r>
        <w:t xml:space="preserve"> </w:t>
      </w:r>
      <w:r>
        <w:t xml:space="preserve">genuine single market should offer. Furthermore, this fragmentation also affects the funds</w:t>
      </w:r>
      <w:r>
        <w:t xml:space="preserve"> </w:t>
      </w:r>
      <w:r>
        <w:t xml:space="preserve">themselves, as being available in multiple national markets would give them access to more</w:t>
      </w:r>
      <w:r>
        <w:t xml:space="preserve"> </w:t>
      </w:r>
      <w:r>
        <w:t xml:space="preserve">investors and enable them to achieve economies of scale.</w:t>
      </w:r>
    </w:p>
    <w:p>
      <w:pPr>
        <w:pStyle w:val="BodyText"/>
      </w:pPr>
      <w:r>
        <w:t xml:space="preserve">66 Final report of the High Level Forum on the Capital Markets Union (p. 69).</w:t>
      </w:r>
      <w:r>
        <w:t xml:space="preserve"> </w:t>
      </w:r>
      <w:r>
        <w:t xml:space="preserve">67 From the Study on consolidation and reducing fragmentation in trading and post-trading infrastructures in Europe:</w:t>
      </w:r>
      <w:r>
        <w:t xml:space="preserve"> </w:t>
      </w:r>
      <w:r>
        <w:t xml:space="preserve">https://op.europa.eu/en/publication/doi/10.2874/2649452</w:t>
      </w:r>
      <w:r>
        <w:br/>
      </w:r>
      <w:r>
        <w:t xml:space="preserve">68 Economic research shows that new entry impacts incumbents through price and quantity competition, with the effect</w:t>
      </w:r>
      <w:r>
        <w:t xml:space="preserve"> </w:t>
      </w:r>
      <w:r>
        <w:t xml:space="preserve">of new funds entering depending on competition intensity in the market. Incumbents facing high competitive intensity</w:t>
      </w:r>
      <w:r>
        <w:t xml:space="preserve"> </w:t>
      </w:r>
      <w:r>
        <w:t xml:space="preserve">engage in price competition by reducing management fees. It should be noted that this research also concludes that</w:t>
      </w:r>
      <w:r>
        <w:t xml:space="preserve"> </w:t>
      </w:r>
      <w:r>
        <w:t xml:space="preserve">investors did not benefit from the price competition in terms of lower fees as the lower management fees were offset</w:t>
      </w:r>
      <w:r>
        <w:t xml:space="preserve"> </w:t>
      </w:r>
      <w:r>
        <w:t xml:space="preserve">by an increase in distribution fees. However, where funds enter the market and face low levels of competition for</w:t>
      </w:r>
      <w:r>
        <w:t xml:space="preserve"> </w:t>
      </w:r>
      <w:r>
        <w:t xml:space="preserve">incumbents, investors still profit from increased diversification opportunities. This is particularly the case for the</w:t>
      </w:r>
      <w:r>
        <w:t xml:space="preserve"> </w:t>
      </w:r>
      <w:r>
        <w:t xml:space="preserve">smaller markets that currently benefit less from the cross-border distribution of funds. For further details, see Wahal,</w:t>
      </w:r>
      <w:r>
        <w:t xml:space="preserve"> </w:t>
      </w:r>
      <w:r>
        <w:t xml:space="preserve">S., &amp; Wang, A. Y. (2011). Competition among mutual funds. Journal of Financial Economics, 99(1), 40-59.</w:t>
      </w:r>
      <w:r>
        <w:t xml:space="preserve"> </w:t>
      </w:r>
      <w:r>
        <w:t xml:space="preserve">69 According to ESMA (2025), most UCITS funds are sold domestically. However, practices differ across countries.</w:t>
      </w:r>
      <w:r>
        <w:t xml:space="preserve"> </w:t>
      </w:r>
      <w:r>
        <w:t xml:space="preserve">Some countries mainly sell domestic funds, while others predominantly market their funds abroad. ESMA, ESMA</w:t>
      </w:r>
      <w:r>
        <w:t xml:space="preserve"> </w:t>
      </w:r>
      <w:r>
        <w:t xml:space="preserve">Market report on costs and performance of EU Retail Investment Products 2024, ESMA50-524821-3525, 14 January</w:t>
      </w:r>
      <w:r>
        <w:t xml:space="preserve"> </w:t>
      </w:r>
      <w:r>
        <w:t xml:space="preserve">2025.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https://www.esma.europa.eu/sites/default/files/2025-01/ESMA50-524821-</w:t>
      </w:r>
      <w:r>
        <w:t xml:space="preserve"> </w:t>
      </w:r>
      <w:r>
        <w:t xml:space="preserve">3525_ESMA_Market_Report_-_Costs_and_Performance_of_EU_Retail_Investment_Products.pdf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Table 2: Cross-border distribution of UCITS funds in the EU</w:t>
      </w:r>
      <w:r>
        <w:t xml:space="preserve"> </w:t>
      </w:r>
      <w:r>
        <w:t xml:space="preserve">Range</w:t>
      </w:r>
      <w:r>
        <w:br/>
      </w:r>
      <w:r>
        <w:t xml:space="preserve">UCITS Domicile</w:t>
      </w:r>
      <w:r>
        <w:t xml:space="preserve"> </w:t>
      </w:r>
      <w:r>
        <w:t xml:space="preserve">Average number of Member</w:t>
      </w:r>
      <w:r>
        <w:t xml:space="preserve"> </w:t>
      </w:r>
      <w:r>
        <w:t xml:space="preserve">States where UCITS funds are</w:t>
      </w:r>
      <w:r>
        <w:t xml:space="preserve"> </w:t>
      </w:r>
      <w:r>
        <w:t xml:space="preserve">marketed cross-border</w:t>
      </w:r>
      <w:r>
        <w:t xml:space="preserve"> </w:t>
      </w:r>
      <w:r>
        <w:t xml:space="preserve">More than 4</w:t>
      </w:r>
      <w:r>
        <w:t xml:space="preserve"> </w:t>
      </w:r>
      <w:r>
        <w:t xml:space="preserve">Luxembourg, Lithuania</w:t>
      </w:r>
      <w:r>
        <w:br/>
      </w:r>
      <w:r>
        <w:t xml:space="preserve">4.8</w:t>
      </w:r>
      <w:r>
        <w:t xml:space="preserve"> </w:t>
      </w:r>
      <w:r>
        <w:t xml:space="preserve">Ireland</w:t>
      </w:r>
      <w:r>
        <w:t xml:space="preserve"> </w:t>
      </w:r>
      <w:r>
        <w:t xml:space="preserve">4.1</w:t>
      </w:r>
      <w:r>
        <w:t xml:space="preserve"> </w:t>
      </w:r>
      <w:r>
        <w:t xml:space="preserve">Between 2 and 4</w:t>
      </w:r>
      <w:r>
        <w:t xml:space="preserve"> </w:t>
      </w:r>
      <w:r>
        <w:t xml:space="preserve">Estonia</w:t>
      </w:r>
      <w:r>
        <w:t xml:space="preserve"> </w:t>
      </w:r>
      <w:r>
        <w:t xml:space="preserve">3.3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2.4</w:t>
      </w:r>
      <w:r>
        <w:t xml:space="preserve"> </w:t>
      </w:r>
      <w:r>
        <w:t xml:space="preserve">Less than 2</w:t>
      </w:r>
      <w:r>
        <w:t xml:space="preserve"> </w:t>
      </w:r>
      <w:r>
        <w:t xml:space="preserve">France</w:t>
      </w:r>
      <w:r>
        <w:t xml:space="preserve"> </w:t>
      </w:r>
      <w:r>
        <w:t xml:space="preserve">1.7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1.6</w:t>
      </w:r>
      <w:r>
        <w:t xml:space="preserve"> </w:t>
      </w:r>
      <w:r>
        <w:t xml:space="preserve">Belgium, Netherlands, Sweden</w:t>
      </w:r>
      <w:r>
        <w:t xml:space="preserve"> </w:t>
      </w:r>
      <w:r>
        <w:t xml:space="preserve">1.5</w:t>
      </w:r>
      <w:r>
        <w:t xml:space="preserve"> </w:t>
      </w:r>
      <w:r>
        <w:t xml:space="preserve">Austria, Germany, Latvia</w:t>
      </w:r>
      <w:r>
        <w:t xml:space="preserve"> </w:t>
      </w:r>
      <w:r>
        <w:t xml:space="preserve">1.3</w:t>
      </w:r>
      <w:r>
        <w:t xml:space="preserve"> </w:t>
      </w:r>
      <w:r>
        <w:t xml:space="preserve">Denmark</w:t>
      </w:r>
      <w:r>
        <w:t xml:space="preserve"> </w:t>
      </w:r>
      <w:r>
        <w:t xml:space="preserve">1.1</w:t>
      </w:r>
    </w:p>
    <w:p>
      <w:pPr>
        <w:pStyle w:val="BodyText"/>
      </w:pPr>
      <w:r>
        <w:t xml:space="preserve">Italy, Poland, Portugal, Spain</w:t>
      </w:r>
      <w:r>
        <w:t xml:space="preserve"> </w:t>
      </w:r>
      <w:r>
        <w:t xml:space="preserve">1.0</w:t>
      </w:r>
      <w:r>
        <w:t xml:space="preserve"> </w:t>
      </w:r>
      <w:r>
        <w:t xml:space="preserve">Average across EU Member</w:t>
      </w:r>
      <w:r>
        <w:t xml:space="preserve"> </w:t>
      </w:r>
      <w:r>
        <w:t xml:space="preserve">States</w:t>
      </w:r>
      <w:r>
        <w:t xml:space="preserve"> </w:t>
      </w:r>
      <w:r>
        <w:t xml:space="preserve">2.0</w:t>
      </w:r>
      <w:r>
        <w:t xml:space="preserve"> </w:t>
      </w:r>
      <w:r>
        <w:t xml:space="preserve">Source: Morningstar; DG FISMA calculations.</w:t>
      </w:r>
    </w:p>
    <w:p>
      <w:pPr>
        <w:pStyle w:val="BodyText"/>
      </w:pPr>
      <w:r>
        <w:t xml:space="preserve">Significant obstacles to fund consolidation across Europe, including regulatory inconsistencies and</w:t>
      </w:r>
      <w:r>
        <w:t xml:space="preserve"> </w:t>
      </w:r>
      <w:r>
        <w:t xml:space="preserve">local distribution agreements, contribute to the prevailing fragmentation.70 Moreover, funds</w:t>
      </w:r>
      <w:r>
        <w:t xml:space="preserve"> </w:t>
      </w:r>
      <w:r>
        <w:t xml:space="preserve">marketed in multiple EU countries tend to have higher ongoing costs, partly due to the local</w:t>
      </w:r>
      <w:r>
        <w:t xml:space="preserve"> </w:t>
      </w:r>
      <w:r>
        <w:t xml:space="preserve">requirements and market practices imposed by host Member States on the marketing of cross-</w:t>
      </w:r>
      <w:r>
        <w:t xml:space="preserve"> </w:t>
      </w:r>
      <w:r>
        <w:t xml:space="preserve">border funds.71</w:t>
      </w:r>
      <w:r>
        <w:br/>
      </w:r>
      <w:r>
        <w:t xml:space="preserve">These findings are corroborated by stakeholders’ feedback provided in interviews conducted in a</w:t>
      </w:r>
      <w:r>
        <w:t xml:space="preserve"> </w:t>
      </w:r>
      <w:r>
        <w:t xml:space="preserve">recent study72 that was commissioned by the European Commission. Interview respondents often</w:t>
      </w:r>
      <w:r>
        <w:t xml:space="preserve"> </w:t>
      </w:r>
      <w:r>
        <w:t xml:space="preserve">highlighted that national requirements on marketing and fees significantly diverge across Member</w:t>
      </w:r>
      <w:r>
        <w:t xml:space="preserve"> </w:t>
      </w:r>
      <w:r>
        <w:t xml:space="preserve">States. Consequently, fund managers often limit marketing to home or familiar jurisdictions. In</w:t>
      </w:r>
      <w:r>
        <w:t xml:space="preserve"> </w:t>
      </w:r>
      <w:r>
        <w:t xml:space="preserve">addition, in the targeted consultation accompanying this initiative, a majority of respondents</w:t>
      </w:r>
      <w:r>
        <w:t xml:space="preserve"> </w:t>
      </w:r>
      <w:r>
        <w:t xml:space="preserve">(mainly large asset managers and investment associations) considered fees and charges levied by</w:t>
      </w:r>
      <w:r>
        <w:t xml:space="preserve"> </w:t>
      </w:r>
      <w:r>
        <w:t xml:space="preserve">approximately 17 host NCAs to be a significant barrier to the distribution of investment funds.</w:t>
      </w:r>
      <w:r>
        <w:t xml:space="preserve"> </w:t>
      </w:r>
      <w:r>
        <w:t xml:space="preserve">They pointed out that these fees can discourage fund managers, particularly smaller or newer</w:t>
      </w:r>
      <w:r>
        <w:t xml:space="preserve"> </w:t>
      </w:r>
      <w:r>
        <w:t xml:space="preserve">market entrants, from pursuing cross-border notifications, particularly for smaller markets. It is</w:t>
      </w:r>
      <w:r>
        <w:t xml:space="preserve"> </w:t>
      </w:r>
      <w:r>
        <w:t xml:space="preserve">especially the cumulative effect of regulatory fees and the complexity of some fee structures that</w:t>
      </w:r>
      <w:r>
        <w:t xml:space="preserve"> </w:t>
      </w:r>
      <w:r>
        <w:t xml:space="preserve">affect the decisions of fund managers. This issue is closely linked to the problem of fragmented</w:t>
      </w:r>
      <w:r>
        <w:t xml:space="preserve"> </w:t>
      </w:r>
      <w:r>
        <w:t xml:space="preserve">supervision (see Section 2.1.2) where funds in the EU often have the same investment strategy,</w:t>
      </w:r>
      <w:r>
        <w:t xml:space="preserve"> </w:t>
      </w:r>
      <w:r>
        <w:t xml:space="preserve">portfolio composition and management team, but are domiciled and authorised/supervised</w:t>
      </w:r>
      <w:r>
        <w:t xml:space="preserve"> </w:t>
      </w:r>
      <w:r>
        <w:t xml:space="preserve">separately in different Member States.</w:t>
      </w:r>
      <w:r>
        <w:t xml:space="preserve"> </w:t>
      </w:r>
      <w:r>
        <w:t xml:space="preserve">Respondents to the consultation reported that, for both UCITS and AIFs, regulatory fees are a</w:t>
      </w:r>
      <w:r>
        <w:t xml:space="preserve"> </w:t>
      </w:r>
      <w:r>
        <w:t xml:space="preserve">barrier to the distribution of investment funds in the single market, with almost half reporting it as</w:t>
      </w:r>
    </w:p>
    <w:p>
      <w:pPr>
        <w:pStyle w:val="BodyText"/>
      </w:pPr>
      <w:r>
        <w:t xml:space="preserve">70 EFAMA, Beyond fund consolidation: a more promising strategy for bigger funds and faster cost declines in Europe,</w:t>
      </w:r>
      <w:r>
        <w:t xml:space="preserve"> </w:t>
      </w:r>
      <w:r>
        <w:t xml:space="preserve">Market Insights 20, February 2025. Available here: https://www.efama.org/sites/default/files/files/market-insights-</w:t>
      </w:r>
      <w:r>
        <w:t xml:space="preserve"> </w:t>
      </w:r>
      <w:r>
        <w:t xml:space="preserve">20-beyond-fund-consolidation.pdf</w:t>
      </w:r>
      <w:r>
        <w:t xml:space="preserve"> </w:t>
      </w:r>
      <w:r>
        <w:t xml:space="preserve">71 For further details, see Investment Company Institute (ICI), Cross-Border Frictions Within EU Capital Markets Can</w:t>
      </w:r>
      <w:r>
        <w:t xml:space="preserve"> </w:t>
      </w:r>
      <w:r>
        <w:t xml:space="preserve">Drive Up Costs, June 2023.</w:t>
      </w:r>
      <w:r>
        <w:t xml:space="preserve"> </w:t>
      </w:r>
      <w:r>
        <w:t xml:space="preserve">72 Study of barriers to, and drivers of, the scaling-up of funds investing in innovative and growth companies (2025).</w:t>
      </w:r>
      <w:r>
        <w:t xml:space="preserve"> </w:t>
      </w:r>
      <w:r>
        <w:t xml:space="preserve">Annex 9 also contains case studies on costs associated with the cross-border distribution of funds.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 “significant” barrier73, while also noting that information on such fees is not easily available.</w:t>
      </w:r>
      <w:r>
        <w:t xml:space="preserve"> </w:t>
      </w:r>
      <w:r>
        <w:t xml:space="preserve">One large asset manager noted that the CBDR sought to enhance transparency, particularly around</w:t>
      </w:r>
      <w:r>
        <w:t xml:space="preserve"> </w:t>
      </w:r>
      <w:r>
        <w:t xml:space="preserve">regulatory fees, and to limit burdensome or opaque practices, with one key measure requiring</w:t>
      </w:r>
      <w:r>
        <w:t xml:space="preserve"> </w:t>
      </w:r>
      <w:r>
        <w:t xml:space="preserve">NCAs to publish applicable fees online. However, it noted that in practice, fee transparency</w:t>
      </w:r>
      <w:r>
        <w:t xml:space="preserve"> </w:t>
      </w:r>
      <w:r>
        <w:t xml:space="preserve">remains limited and, in many cases, fees are not clearly presented or easily accessible on NCA</w:t>
      </w:r>
      <w:r>
        <w:t xml:space="preserve"> </w:t>
      </w:r>
      <w:r>
        <w:t xml:space="preserve">websites, with fund managers often only becoming aware of the full cost late in the registration</w:t>
      </w:r>
      <w:r>
        <w:t xml:space="preserve"> </w:t>
      </w:r>
      <w:r>
        <w:t xml:space="preserve">process. This uncertainty can often result in the need to engage local counsel for advice. Case</w:t>
      </w:r>
      <w:r>
        <w:t xml:space="preserve"> </w:t>
      </w:r>
      <w:r>
        <w:t xml:space="preserve">Study 2 in Annex 9 highlights a cost of EUR 65,000 associated with the payment of regulatory</w:t>
      </w:r>
      <w:r>
        <w:t xml:space="preserve"> </w:t>
      </w:r>
      <w:r>
        <w:t xml:space="preserve">fees for just one AIF marketing on a pan-EU basis, which includes the appointment of a local agent</w:t>
      </w:r>
      <w:r>
        <w:t xml:space="preserve"> </w:t>
      </w:r>
      <w:r>
        <w:t xml:space="preserve">in some Member States to arrange the payment.</w:t>
      </w:r>
      <w:r>
        <w:br/>
      </w:r>
      <w:r>
        <w:t xml:space="preserve">In addition, individual funds in the EU asset management industry are small. The average UCITS</w:t>
      </w:r>
      <w:r>
        <w:t xml:space="preserve"> </w:t>
      </w:r>
      <w:r>
        <w:t xml:space="preserve">fund size is EUR 420 million, significantly smaller than the average size of US funds, which is</w:t>
      </w:r>
      <w:r>
        <w:t xml:space="preserve"> </w:t>
      </w:r>
      <w:r>
        <w:t xml:space="preserve">approximately EUR 2.3 billion. This is a long-standing issue74, with the difference between the</w:t>
      </w:r>
      <w:r>
        <w:t xml:space="preserve"> </w:t>
      </w:r>
      <w:r>
        <w:t xml:space="preserve">EU and US industry widening over time (see Figure 5). In addition, only 13% of all UCITS funds</w:t>
      </w:r>
      <w:r>
        <w:t xml:space="preserve"> </w:t>
      </w:r>
      <w:r>
        <w:t xml:space="preserve">(3,500 funds) manage at least EUR 2 billion, while 38% (11,400 funds) manage less than EUR</w:t>
      </w:r>
      <w:r>
        <w:t xml:space="preserve"> </w:t>
      </w:r>
      <w:r>
        <w:t xml:space="preserve">100 million75, indicating that many funds in the EU tend to be small in size.</w:t>
      </w:r>
      <w:r>
        <w:br/>
      </w:r>
      <w:r>
        <w:t xml:space="preserve">This lack of scale results in higher costs, with UCITS fees remaining above US levels. The asset-</w:t>
      </w:r>
      <w:r>
        <w:t xml:space="preserve"> </w:t>
      </w:r>
      <w:r>
        <w:t xml:space="preserve">weighted average product cost of US mutual funds is significantly lower than that of UCITS,</w:t>
      </w:r>
      <w:r>
        <w:t xml:space="preserve"> </w:t>
      </w:r>
      <w:r>
        <w:t xml:space="preserve">0.65% for active funds and 0.05% for index equity mutual funds, according to EFAMA.</w:t>
      </w:r>
    </w:p>
    <w:p>
      <w:pPr>
        <w:pStyle w:val="BodyText"/>
      </w:pPr>
      <w:r>
        <w:t xml:space="preserve">73 Question 34 of the consultation asked: “are fees/charges, currently levied by some host NCAs, a significant barrier</w:t>
      </w:r>
      <w:r>
        <w:t xml:space="preserve"> </w:t>
      </w:r>
      <w:r>
        <w:t xml:space="preserve">to the distribution of investment funds in the single market?”. Of the 28 responses to this question, 13 answered yes,</w:t>
      </w:r>
      <w:r>
        <w:t xml:space="preserve"> </w:t>
      </w:r>
      <w:r>
        <w:t xml:space="preserve">8 were neutral and 7 answered no. Of those that answered neutral and no, many qualified their reply to say that while</w:t>
      </w:r>
      <w:r>
        <w:t xml:space="preserve"> </w:t>
      </w:r>
      <w:r>
        <w:t xml:space="preserve">not a “significant” barrier, the fees levied by host NCAs vary considerably and can discourage some managers from</w:t>
      </w:r>
      <w:r>
        <w:t xml:space="preserve"> </w:t>
      </w:r>
      <w:r>
        <w:t xml:space="preserve">pursuing cross-border notifications, particularly for smaller markets or limited distribution efforts.</w:t>
      </w:r>
      <w:r>
        <w:t xml:space="preserve"> </w:t>
      </w:r>
      <w:r>
        <w:t xml:space="preserve">74 See e.g. Otten, R and Schweitzer, M. (2002), Comparison between the European and the US Mutual Fund Industry.</w:t>
      </w:r>
      <w:r>
        <w:t xml:space="preserve"> </w:t>
      </w:r>
      <w:r>
        <w:t xml:space="preserve">Managerial Finance, 28(1), 14-35; EFAMA, Beyond fund consolidation: a more promising strategy for bigger funds</w:t>
      </w:r>
      <w:r>
        <w:t xml:space="preserve"> </w:t>
      </w:r>
      <w:r>
        <w:t xml:space="preserve">and faster cost declines in Europe, Market Insights 20, February 2025; or Ferreira, M., Keswani, A., Miguel, A., and</w:t>
      </w:r>
      <w:r>
        <w:t xml:space="preserve"> </w:t>
      </w:r>
      <w:r>
        <w:t xml:space="preserve">Ramos, S. (2013), The determinants of mutual fund performance: A cross-country study. Review of Finance, 17(2),</w:t>
      </w:r>
      <w:r>
        <w:t xml:space="preserve"> </w:t>
      </w:r>
      <w:r>
        <w:t xml:space="preserve">483-525.</w:t>
      </w:r>
      <w:r>
        <w:t xml:space="preserve"> </w:t>
      </w:r>
      <w:r>
        <w:t xml:space="preserve">75 Source: Morningstar; DG FISMA calculations.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Figure 5: Average size: EU equity UCITS vs US</w:t>
      </w:r>
      <w:r>
        <w:t xml:space="preserve"> </w:t>
      </w:r>
      <w:r>
        <w:t xml:space="preserve">equity mutual funds</w:t>
      </w:r>
      <w:r>
        <w:t xml:space="preserve"> </w:t>
      </w:r>
      <w:r>
        <w:t xml:space="preserve">Figure 6: EU UCITS average size: domestic vs</w:t>
      </w:r>
      <w:r>
        <w:t xml:space="preserve"> </w:t>
      </w:r>
      <w:r>
        <w:t xml:space="preserve">cross-border distributed funds</w:t>
      </w:r>
    </w:p>
    <w:p>
      <w:pPr>
        <w:pStyle w:val="BodyText"/>
      </w:pPr>
      <w:r>
        <w:t xml:space="preserve">Source: EFAMA, Beyond fund consolidation: a more promising</w:t>
      </w:r>
      <w:r>
        <w:t xml:space="preserve"> </w:t>
      </w:r>
      <w:r>
        <w:t xml:space="preserve">strategy for bigger funds and faster cost declines in</w:t>
      </w:r>
      <w:r>
        <w:t xml:space="preserve"> </w:t>
      </w:r>
      <w:r>
        <w:t xml:space="preserve">Europe, Market Insights 20, February 2025.</w:t>
      </w:r>
      <w:r>
        <w:t xml:space="preserve"> </w:t>
      </w:r>
      <w:r>
        <w:t xml:space="preserve">Note: Figures for equity UCITS in EUR millions. Figures for US</w:t>
      </w:r>
      <w:r>
        <w:t xml:space="preserve"> </w:t>
      </w:r>
      <w:r>
        <w:t xml:space="preserve">equity mutual funds in USD millions.</w:t>
      </w:r>
      <w:r>
        <w:t xml:space="preserve"> </w:t>
      </w:r>
      <w:r>
        <w:t xml:space="preserve">Source: ESMA, ESMA Market report on costs and</w:t>
      </w:r>
      <w:r>
        <w:t xml:space="preserve"> </w:t>
      </w:r>
      <w:r>
        <w:t xml:space="preserve">performance of EU Retail Investment Products 2024,</w:t>
      </w:r>
      <w:r>
        <w:t xml:space="preserve"> </w:t>
      </w:r>
      <w:r>
        <w:t xml:space="preserve">ESMA50-524821-3525, 14 January 2025.</w:t>
      </w:r>
      <w:r>
        <w:t xml:space="preserve"> </w:t>
      </w:r>
      <w:r>
        <w:t xml:space="preserve">Note: Number of domestic and registered and cross-border EU27</w:t>
      </w:r>
      <w:r>
        <w:t xml:space="preserve"> </w:t>
      </w:r>
      <w:r>
        <w:t xml:space="preserve">UCITS. Registered are funds registered to be sold beyond</w:t>
      </w:r>
      <w:r>
        <w:t xml:space="preserve"> </w:t>
      </w:r>
      <w:r>
        <w:t xml:space="preserve">domicile’s borders. Cross-border are defined as funds</w:t>
      </w:r>
      <w:r>
        <w:t xml:space="preserve"> </w:t>
      </w:r>
      <w:r>
        <w:t xml:space="preserve">distributed at least in three countries including their</w:t>
      </w:r>
      <w:r>
        <w:t xml:space="preserve"> </w:t>
      </w:r>
      <w:r>
        <w:t xml:space="preserve">domicile. Figures are in EUR million.</w:t>
      </w:r>
    </w:p>
    <w:p>
      <w:pPr>
        <w:pStyle w:val="BodyText"/>
      </w:pPr>
      <w:r>
        <w:t xml:space="preserve">The small average fund size implies that EU funds are not benefiting from economies of scale.</w:t>
      </w:r>
      <w:r>
        <w:br/>
      </w:r>
      <w:r>
        <w:t xml:space="preserve">In general, economies of scale occur when average product costs decline as output increases.</w:t>
      </w:r>
      <w:r>
        <w:t xml:space="preserve"> </w:t>
      </w:r>
      <w:r>
        <w:t xml:space="preserve">Research76 suggests that such economies may exist in the fund industry, as corroborated by</w:t>
      </w:r>
      <w:r>
        <w:t xml:space="preserve"> </w:t>
      </w:r>
      <w:r>
        <w:t xml:space="preserve">empirical findings.77 As a result, fund size influences a fund’s cost structure by spreading fixed</w:t>
      </w:r>
      <w:r>
        <w:t xml:space="preserve"> </w:t>
      </w:r>
      <w:r>
        <w:t xml:space="preserve">costs over a broader pool of managed assets.78 To operate efficiently, funds need to attain sufficient</w:t>
      </w:r>
      <w:r>
        <w:t xml:space="preserve"> </w:t>
      </w:r>
      <w:r>
        <w:t xml:space="preserve">scale as many funds operating costs, including accounting, IT and compliance costs, are largely</w:t>
      </w:r>
      <w:r>
        <w:t xml:space="preserve"> </w:t>
      </w:r>
      <w:r>
        <w:t xml:space="preserve">fixed.</w:t>
      </w:r>
      <w:r>
        <w:br/>
      </w:r>
      <w:r>
        <w:t xml:space="preserve">A comparison of the average fund size of domestic and cross-border-marketed funds show that</w:t>
      </w:r>
      <w:r>
        <w:t xml:space="preserve"> </w:t>
      </w:r>
      <w:r>
        <w:t xml:space="preserve">domestic funds tend to be significantly smaller (see Figure 6). In addition, fixed costs of cross-</w:t>
      </w:r>
      <w:r>
        <w:t xml:space="preserve"> </w:t>
      </w:r>
      <w:r>
        <w:t xml:space="preserve">border funds tend to be higher than for single-country funds (see Figure 8). The average ongoing</w:t>
      </w:r>
      <w:r>
        <w:t xml:space="preserve"> </w:t>
      </w:r>
      <w:r>
        <w:t xml:space="preserve">charge for cross-border equity funds in 2021 was 1.36 percent compared with 1.23 percent for</w:t>
      </w:r>
      <w:r>
        <w:t xml:space="preserve"> </w:t>
      </w:r>
      <w:r>
        <w:t xml:space="preserve">single-country equity funds (see Figure 7), and 0.96 percent against 0.77 percent for a fixed income</w:t>
      </w:r>
      <w:r>
        <w:t xml:space="preserve"> </w:t>
      </w:r>
      <w:r>
        <w:t xml:space="preserve">fund, illustrating that cross-border funds face cost disadvantages, among others due to additional</w:t>
      </w:r>
      <w:r>
        <w:t xml:space="preserve"> </w:t>
      </w:r>
      <w:r>
        <w:t xml:space="preserve">marketing and registration costs.</w:t>
      </w:r>
    </w:p>
    <w:p>
      <w:pPr>
        <w:pStyle w:val="BodyText"/>
      </w:pPr>
      <w:r>
        <w:t xml:space="preserve">76 Sirri, E.R. and Tufano, P. (1993). Competition and change in the mutual fund industry, in: Hayes, S. (ed.), Financial</w:t>
      </w:r>
      <w:r>
        <w:t xml:space="preserve"> </w:t>
      </w:r>
      <w:r>
        <w:t xml:space="preserve">Services: Perspectives and Challenges, pp. 181-214. Harvard business school press.</w:t>
      </w:r>
      <w:r>
        <w:t xml:space="preserve"> </w:t>
      </w:r>
      <w:r>
        <w:t xml:space="preserve">77 See e.g., Dermine, J., &amp; Röller, L. H. (1992). Economies of scale and scope in French mutual funds. Journal</w:t>
      </w:r>
      <w:r>
        <w:br/>
      </w:r>
      <w:r>
        <w:t xml:space="preserve">of Financial Intermediation, 2(1), 83-93; Mauerer, R., &amp; Schaefer, A. (2009). Does size matter? Economies of scale</w:t>
      </w:r>
      <w:r>
        <w:t xml:space="preserve"> </w:t>
      </w:r>
      <w:r>
        <w:t xml:space="preserve">in the German mutual fund industry, Working Paper 201 for Germany; or ESMA, ESMA Market report on costs</w:t>
      </w:r>
      <w:r>
        <w:br/>
      </w:r>
      <w:r>
        <w:t xml:space="preserve">and performance of EU retail investment products 2024, ESMA50-524821-3525, 14 January 2025.</w:t>
      </w:r>
      <w:r>
        <w:t xml:space="preserve"> </w:t>
      </w:r>
      <w:r>
        <w:t xml:space="preserve">78 Indro, D. C., Jiang, C. X., Hu, M. Y., &amp; Lee, W. Y. (1999). Mutual fund performance: does fund size matter?.</w:t>
      </w:r>
      <w:r>
        <w:t xml:space="preserve"> </w:t>
      </w:r>
      <w:r>
        <w:t xml:space="preserve">Financial Analysts Journal, 55(3), 74-87.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Figure 7: Average ongoing costs: EU cross-border</w:t>
      </w:r>
      <w:r>
        <w:t xml:space="preserve"> </w:t>
      </w:r>
      <w:r>
        <w:t xml:space="preserve">vs single-country funds</w:t>
      </w:r>
    </w:p>
    <w:p>
      <w:pPr>
        <w:pStyle w:val="BodyText"/>
      </w:pPr>
      <w:r>
        <w:t xml:space="preserve">Figure 8: Fixed costs: domestic vs cross-border</w:t>
      </w:r>
      <w:r>
        <w:t xml:space="preserve"> </w:t>
      </w:r>
      <w:r>
        <w:t xml:space="preserve">distributed funds</w:t>
      </w:r>
    </w:p>
    <w:p>
      <w:pPr>
        <w:pStyle w:val="BodyText"/>
      </w:pPr>
      <w:r>
        <w:t xml:space="preserve">Source: EFAMA, Beyond fund consolidation: a more promising</w:t>
      </w:r>
      <w:r>
        <w:t xml:space="preserve"> </w:t>
      </w:r>
      <w:r>
        <w:t xml:space="preserve">strategy for bigger funds and faster cost declines in</w:t>
      </w:r>
      <w:r>
        <w:t xml:space="preserve"> </w:t>
      </w:r>
      <w:r>
        <w:t xml:space="preserve">Europe, Market Insights 20, February 2025.</w:t>
      </w:r>
      <w:r>
        <w:t xml:space="preserve"> </w:t>
      </w:r>
      <w:r>
        <w:t xml:space="preserve">Note: Figures are for 2021 and expressed as percent. Cross-border</w:t>
      </w:r>
      <w:r>
        <w:t xml:space="preserve"> </w:t>
      </w:r>
      <w:r>
        <w:t xml:space="preserve">funds are cross-border distributed equity funds, defined as</w:t>
      </w:r>
      <w:r>
        <w:t xml:space="preserve"> </w:t>
      </w:r>
      <w:r>
        <w:t xml:space="preserve">those funds registered and available for sale in three or more</w:t>
      </w:r>
      <w:r>
        <w:t xml:space="preserve"> </w:t>
      </w:r>
      <w:r>
        <w:t xml:space="preserve">countries. Single-country funds are single-country equity</w:t>
      </w:r>
      <w:r>
        <w:t xml:space="preserve"> </w:t>
      </w:r>
      <w:r>
        <w:t xml:space="preserve">funds and include funds registered and available for sale in</w:t>
      </w:r>
      <w:r>
        <w:t xml:space="preserve"> </w:t>
      </w:r>
      <w:r>
        <w:t xml:space="preserve">one country and round-trip funds.79</w:t>
      </w:r>
      <w:r>
        <w:t xml:space="preserve"> </w:t>
      </w:r>
      <w:r>
        <w:t xml:space="preserve">Source: ICI, ICI Perspective 30(10), December 2024.</w:t>
      </w:r>
      <w:r>
        <w:t xml:space="preserve"> </w:t>
      </w:r>
      <w:r>
        <w:t xml:space="preserve">Note: Figures are expressed as percent. CB funds are cross-border</w:t>
      </w:r>
      <w:r>
        <w:t xml:space="preserve"> </w:t>
      </w:r>
      <w:r>
        <w:t xml:space="preserve">distributed equity funds, defined as those funds registered</w:t>
      </w:r>
      <w:r>
        <w:t xml:space="preserve"> </w:t>
      </w:r>
      <w:r>
        <w:t xml:space="preserve">and available for sale in three or more countries. Single</w:t>
      </w:r>
      <w:r>
        <w:t xml:space="preserve"> </w:t>
      </w:r>
      <w:r>
        <w:t xml:space="preserve">country refers to single-country equity funds and include</w:t>
      </w:r>
      <w:r>
        <w:t xml:space="preserve"> </w:t>
      </w:r>
      <w:r>
        <w:t xml:space="preserve">funds registered and available for sale in one country and</w:t>
      </w:r>
      <w:r>
        <w:t xml:space="preserve"> </w:t>
      </w:r>
      <w:r>
        <w:t xml:space="preserve">round-trip funds. Fixed costs are estimated as the difference</w:t>
      </w:r>
      <w:r>
        <w:t xml:space="preserve"> </w:t>
      </w:r>
      <w:r>
        <w:t xml:space="preserve">between the simple average ongoing charge and the simple</w:t>
      </w:r>
      <w:r>
        <w:t xml:space="preserve"> </w:t>
      </w:r>
      <w:r>
        <w:t xml:space="preserve">average management cost. Data exclude funds with</w:t>
      </w:r>
      <w:r>
        <w:t xml:space="preserve"> </w:t>
      </w:r>
      <w:r>
        <w:t xml:space="preserve">performance fees and exchange-traded funds.</w:t>
      </w:r>
    </w:p>
    <w:p>
      <w:pPr>
        <w:pStyle w:val="BodyText"/>
      </w:pPr>
      <w:r>
        <w:t xml:space="preserve">If funds experience economics of scale, investors benefit from incurring lower expense ratios if</w:t>
      </w:r>
      <w:r>
        <w:t xml:space="preserve"> </w:t>
      </w:r>
      <w:r>
        <w:t xml:space="preserve">cost savings are passed on to them.80 A recent study81 by ESMA evidenced that in the EU and US</w:t>
      </w:r>
      <w:r>
        <w:t xml:space="preserve"> </w:t>
      </w:r>
      <w:r>
        <w:t xml:space="preserve">fund markets, larger share classes and parent companies have lower expense ratios, confirming the</w:t>
      </w:r>
      <w:r>
        <w:t xml:space="preserve"> </w:t>
      </w:r>
      <w:r>
        <w:t xml:space="preserve">impact of economies of scale. Economic research thus shows that size and economies of scale</w:t>
      </w:r>
      <w:r>
        <w:t xml:space="preserve"> </w:t>
      </w:r>
      <w:r>
        <w:t xml:space="preserve">indeed drive down expense ratios82, in line with the more general conclusion that larger funds have</w:t>
      </w:r>
      <w:r>
        <w:t xml:space="preserve"> </w:t>
      </w:r>
      <w:r>
        <w:t xml:space="preserve">lower costs.83 In line with this, some NCAs reported in the 2021 Common Supervisory Action</w:t>
      </w:r>
      <w:r>
        <w:br/>
      </w:r>
      <w:r>
        <w:t xml:space="preserve">on costs and fees84 that smaller entities constituted the largest part of the funds with extraordinarily</w:t>
      </w:r>
      <w:r>
        <w:t xml:space="preserve"> </w:t>
      </w:r>
      <w:r>
        <w:t xml:space="preserve">high costs, attributed to the smaller amount of assets under management and the higher impact</w:t>
      </w:r>
      <w:r>
        <w:br/>
      </w:r>
      <w:r>
        <w:t xml:space="preserve">of fixed costs.</w:t>
      </w:r>
    </w:p>
    <w:p>
      <w:pPr>
        <w:pStyle w:val="BodyText"/>
      </w:pPr>
      <w:r>
        <w:t xml:space="preserve">79 Funds domiciled in one country but primarily intended for sale in a different country.</w:t>
      </w:r>
      <w:r>
        <w:t xml:space="preserve"> </w:t>
      </w:r>
      <w:r>
        <w:t xml:space="preserve">80 Latzko, D. A. (1999), Economies of scale in mutual fund administration, Journal of financial research, 22(3), 331-</w:t>
      </w:r>
      <w:r>
        <w:t xml:space="preserve"> </w:t>
      </w:r>
      <w:r>
        <w:t xml:space="preserve">339.</w:t>
      </w:r>
      <w:r>
        <w:t xml:space="preserve"> </w:t>
      </w:r>
      <w:r>
        <w:t xml:space="preserve">81 ESMA50-524821-3575 The scale factor: Impact of size on EU fund cost structures</w:t>
      </w:r>
      <w:r>
        <w:t xml:space="preserve"> </w:t>
      </w:r>
      <w:r>
        <w:t xml:space="preserve">82 Khorana, A., Servaes, H., and Tufano, P. (2009), Mutual fund fees around the world, The review of financial studies,</w:t>
      </w:r>
      <w:r>
        <w:t xml:space="preserve"> </w:t>
      </w:r>
      <w:r>
        <w:t xml:space="preserve">22(3), 1279-1310; ESMA, ESMA Market report on costs and performance of EU Retail Investment Products 2024,</w:t>
      </w:r>
      <w:r>
        <w:t xml:space="preserve"> </w:t>
      </w:r>
      <w:r>
        <w:t xml:space="preserve">ESMA50-524821-3525, 14 January 2025.</w:t>
      </w:r>
      <w:r>
        <w:t xml:space="preserve"> </w:t>
      </w:r>
      <w:r>
        <w:t xml:space="preserve">83 ESMA, ESMA Market report on costs and performance of EU retail investment products 2024, ESMA50-524821-</w:t>
      </w:r>
      <w:r>
        <w:t xml:space="preserve"> </w:t>
      </w:r>
      <w:r>
        <w:t xml:space="preserve">3525, 14 January 2025; EFAMA, The cost of UCITS available to retail investors, Markets Insights 15, March 2024;</w:t>
      </w:r>
      <w:r>
        <w:t xml:space="preserve"> </w:t>
      </w:r>
      <w:r>
        <w:t xml:space="preserve">EFAMA, Beyond fund consolidation: a more promising strategy for bigger funds and faster cost declines in Europe,</w:t>
      </w:r>
      <w:r>
        <w:t xml:space="preserve"> </w:t>
      </w:r>
      <w:r>
        <w:t xml:space="preserve">Market Insights 20, February 2025.</w:t>
      </w:r>
      <w:r>
        <w:t xml:space="preserve"> </w:t>
      </w:r>
      <w:r>
        <w:t xml:space="preserve">84 ESMA, Final report on the 2021 CSA on costs and fees, ESMA34-45-1673, 31 May 2022. Available at:</w:t>
      </w:r>
      <w:r>
        <w:t xml:space="preserve"> </w:t>
      </w:r>
      <w:r>
        <w:t xml:space="preserve">https://www.esma.europa.eu/sites/default/files/library/esma34-45-1673_final_report_on_the_2021_csa_on_costs_and_fees.pdf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Overall, research findings support the conclusion in ESMA (2025:11) that “[…] a single market</w:t>
      </w:r>
      <w:r>
        <w:t xml:space="preserve"> </w:t>
      </w:r>
      <w:r>
        <w:t xml:space="preserve">with less fragmentation and larger funds can –assuming unimpaired competition – bring efficiency</w:t>
      </w:r>
      <w:r>
        <w:t xml:space="preserve"> </w:t>
      </w:r>
      <w:r>
        <w:t xml:space="preserve">gains to the EU fund sector […]”. This will also ultimately lower investor costs and provide greater</w:t>
      </w:r>
      <w:r>
        <w:t xml:space="preserve"> </w:t>
      </w:r>
      <w:r>
        <w:t xml:space="preserve">value for money if benefits are effectively passed on to retail investors. In addition, one of the</w:t>
      </w:r>
      <w:r>
        <w:t xml:space="preserve"> </w:t>
      </w:r>
      <w:r>
        <w:t xml:space="preserve">more general overall consequences is that slower growth85 in the asset management sector could</w:t>
      </w:r>
      <w:r>
        <w:t xml:space="preserve"> </w:t>
      </w:r>
      <w:r>
        <w:t xml:space="preserve">mean less capital available for European business, potentially stifling innovation and growth and</w:t>
      </w:r>
      <w:r>
        <w:t xml:space="preserve"> </w:t>
      </w:r>
      <w:r>
        <w:t xml:space="preserve">limiting the sector’s contribution to attaining the SIU objectives. Lack of industry-wide growth</w:t>
      </w:r>
      <w:r>
        <w:t xml:space="preserve"> </w:t>
      </w:r>
      <w:r>
        <w:t xml:space="preserve">(industry-level scale up) hampers the benefits to the real economy that the EU asset management</w:t>
      </w:r>
      <w:r>
        <w:t xml:space="preserve"> </w:t>
      </w:r>
      <w:r>
        <w:t xml:space="preserve">sector could bring. The EU asset management sector may thus play a smaller role in channelling</w:t>
      </w:r>
      <w:r>
        <w:t xml:space="preserve"> </w:t>
      </w:r>
      <w:r>
        <w:t xml:space="preserve">savings into productive investments.</w:t>
      </w:r>
      <w:r>
        <w:t xml:space="preserve"> </w:t>
      </w:r>
      <w:r>
        <w:t xml:space="preserve">2.1.2. Fragmented, less efficient and ineffective supervision</w:t>
      </w:r>
      <w:r>
        <w:br/>
      </w:r>
      <w:r>
        <w:t xml:space="preserve">Companies with cross-border activities face multiple national supervisors, and different</w:t>
      </w:r>
      <w:r>
        <w:t xml:space="preserve"> </w:t>
      </w:r>
      <w:r>
        <w:t xml:space="preserve">supervisory practices and outcomes for the same activities, which results in supervisory</w:t>
      </w:r>
      <w:r>
        <w:t xml:space="preserve"> </w:t>
      </w:r>
      <w:r>
        <w:t xml:space="preserve">inefficiencies, adds to the costs of running a business in the EU and erodes stakeholders’ trust.</w:t>
      </w:r>
      <w:r>
        <w:br/>
      </w:r>
      <w:r>
        <w:t xml:space="preserve">As Beck et al (2025) point out “[…] only if investors can trust governance and enforcement of</w:t>
      </w:r>
      <w:r>
        <w:t xml:space="preserve"> </w:t>
      </w:r>
      <w:r>
        <w:t xml:space="preserve">rules, will they be willing to invest”.86 Financial market participants should receive equal treatment</w:t>
      </w:r>
      <w:r>
        <w:t xml:space="preserve"> </w:t>
      </w:r>
      <w:r>
        <w:t xml:space="preserve">and decision-making by supervisors should be consistent, regardless of their location within the</w:t>
      </w:r>
      <w:r>
        <w:t xml:space="preserve"> </w:t>
      </w:r>
      <w:r>
        <w:t xml:space="preserve">EU. Divergent supervisory approaches and inconsistent enforcement across the EU raise the costs</w:t>
      </w:r>
      <w:r>
        <w:t xml:space="preserve"> </w:t>
      </w:r>
      <w:r>
        <w:t xml:space="preserve">of doing cross-border business and contribute to market fragmentation along national lines.87</w:t>
      </w:r>
      <w:r>
        <w:br/>
      </w:r>
      <w:r>
        <w:t xml:space="preserve">In addition, the IMF highlights that in the EU “[…]the existing supervisory ecosystem is complex</w:t>
      </w:r>
      <w:r>
        <w:t xml:space="preserve"> </w:t>
      </w:r>
      <w:r>
        <w:t xml:space="preserve">and may lead to potential risks being overlooked, in particular, in relation to the emergence of</w:t>
      </w:r>
      <w:r>
        <w:t xml:space="preserve"> </w:t>
      </w:r>
      <w:r>
        <w:t xml:space="preserve">cross-border risks which may not be fully internalized by national authorities”.88 National</w:t>
      </w:r>
      <w:r>
        <w:t xml:space="preserve"> </w:t>
      </w:r>
      <w:r>
        <w:t xml:space="preserve">supervisors lack oversight of the cross-border operations of companies in the capital markets</w:t>
      </w:r>
      <w:r>
        <w:t xml:space="preserve"> </w:t>
      </w:r>
      <w:r>
        <w:t xml:space="preserve">because they can only see the activity that occurs within their own jurisdiction. This means that</w:t>
      </w:r>
      <w:r>
        <w:t xml:space="preserve"> </w:t>
      </w:r>
      <w:r>
        <w:t xml:space="preserve">national supervisors cannot ensure that there is a uniform application of the rules. Moreover,</w:t>
      </w:r>
      <w:r>
        <w:t xml:space="preserve"> </w:t>
      </w:r>
      <w:r>
        <w:t xml:space="preserve">companies have an incentive to engage in supervisory arbitrage since some supervisors may</w:t>
      </w:r>
      <w:r>
        <w:t xml:space="preserve"> </w:t>
      </w:r>
      <w:r>
        <w:t xml:space="preserve">interpret rules more leniently than others. Overall, this fragmented supervisory landscape results</w:t>
      </w:r>
      <w:r>
        <w:t xml:space="preserve"> </w:t>
      </w:r>
      <w:r>
        <w:t xml:space="preserve">in a system that does not protect investors consistently across jurisdictions despite being subject</w:t>
      </w:r>
      <w:r>
        <w:t xml:space="preserve"> </w:t>
      </w:r>
      <w:r>
        <w:t xml:space="preserve">to a similar rulebook.</w:t>
      </w:r>
      <w:r>
        <w:br/>
      </w:r>
      <w:r>
        <w:t xml:space="preserve">These views are also supported by research from the landmark reports by Enrico Letta89 and Mario</w:t>
      </w:r>
      <w:r>
        <w:t xml:space="preserve"> </w:t>
      </w:r>
      <w:r>
        <w:t xml:space="preserve">Draghi90 on the future of EU capital markets and European competitiveness, respectively. Policy</w:t>
      </w:r>
      <w:r>
        <w:t xml:space="preserve"> </w:t>
      </w:r>
      <w:r>
        <w:t xml:space="preserve">papers and academic literature as well argue that institutional reform of capital markets supervision</w:t>
      </w:r>
      <w:r>
        <w:t xml:space="preserve"> </w:t>
      </w:r>
      <w:r>
        <w:t xml:space="preserve">in Europe is necessary to improve financing conditions, maintain supervisory efficiency and avoid</w:t>
      </w:r>
    </w:p>
    <w:p>
      <w:pPr>
        <w:pStyle w:val="BodyText"/>
      </w:pPr>
      <w:r>
        <w:t xml:space="preserve">85 EU asset management growth is subdued compared to other markets. For instance, in the reference period (2014-</w:t>
      </w:r>
      <w:r>
        <w:t xml:space="preserve"> </w:t>
      </w:r>
      <w:r>
        <w:t xml:space="preserve">2024), the US market grew faster, by 120%, to approximately EUR 37.7 trillion compared to 95% for the EU.</w:t>
      </w:r>
      <w:r>
        <w:t xml:space="preserve"> </w:t>
      </w:r>
      <w:r>
        <w:t xml:space="preserve">86 Beck, T., B. Bruno and E. Carletti, 2024. “Can the Banking Union foster market integration, and what lessons does</w:t>
      </w:r>
      <w:r>
        <w:t xml:space="preserve"> </w:t>
      </w:r>
      <w:r>
        <w:t xml:space="preserve">this hold for Capital Markets Union?”, Briefing paper for the ECON Committee at the European Parliament.</w:t>
      </w:r>
      <w:r>
        <w:t xml:space="preserve"> </w:t>
      </w:r>
      <w:r>
        <w:t xml:space="preserve">87 See OECD, OECD Economic Surveys: European Union and Euro Area 2025 July 2025 Volume 2025/19.</w:t>
      </w:r>
      <w:r>
        <w:br/>
      </w:r>
      <w:r>
        <w:t xml:space="preserve">88 IMF, Euro Area: Publication of Financial Sector Assessment Program Documentation-Technical Note on Capital</w:t>
      </w:r>
      <w:r>
        <w:t xml:space="preserve"> </w:t>
      </w:r>
      <w:r>
        <w:t xml:space="preserve">Markets Union-Implications for Supervision and Institutional Arrangements, IMF Staff Country Reports, Volume</w:t>
      </w:r>
      <w:r>
        <w:t xml:space="preserve"> </w:t>
      </w:r>
      <w:r>
        <w:t xml:space="preserve">2025: Issue 214, p.18.</w:t>
      </w:r>
      <w:r>
        <w:t xml:space="preserve"> </w:t>
      </w:r>
      <w:r>
        <w:t xml:space="preserve">89 https://www.consilium.europa.eu/media/ny3j24sm/much-more-than-a-market-report-by-enrico-letta.pdf.</w:t>
      </w:r>
      <w:r>
        <w:br/>
      </w:r>
      <w:r>
        <w:t xml:space="preserve">90 https://commission.europa.eu/topics/eu-competitiveness/draghi-report_en.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regulatory ‘racing’.91 Those policy papers also argue that the current dual national/EU supervisory</w:t>
      </w:r>
      <w:r>
        <w:t xml:space="preserve"> </w:t>
      </w:r>
      <w:r>
        <w:t xml:space="preserve">architecture is ineffective and that only pooling supervision at the EU level offers a realistic route</w:t>
      </w:r>
      <w:r>
        <w:t xml:space="preserve"> </w:t>
      </w:r>
      <w:r>
        <w:t xml:space="preserve">to integrated, consistent oversight for capital markets.92</w:t>
      </w:r>
      <w:r>
        <w:t xml:space="preserve"> </w:t>
      </w:r>
      <w:r>
        <w:t xml:space="preserve">Stakeholders from the relevant sectors consistently highlight that fragmentation of EU financial</w:t>
      </w:r>
      <w:r>
        <w:t xml:space="preserve"> </w:t>
      </w:r>
      <w:r>
        <w:t xml:space="preserve">markets, resulting from inconsistent supervision and varying levels of implementation</w:t>
      </w:r>
      <w:r>
        <w:br/>
      </w:r>
      <w:r>
        <w:t xml:space="preserve">and interpretation of EU rules, poses significant barriers to market integration. Some of these</w:t>
      </w:r>
      <w:r>
        <w:t xml:space="preserve"> </w:t>
      </w:r>
      <w:r>
        <w:t xml:space="preserve">barriers include duplicative compliance efforts, additional administrative costs, and uncertainty</w:t>
      </w:r>
      <w:r>
        <w:t xml:space="preserve"> </w:t>
      </w:r>
      <w:r>
        <w:t xml:space="preserve">about how new products or business models will be treated in different jurisdictions. These issues</w:t>
      </w:r>
      <w:r>
        <w:t xml:space="preserve"> </w:t>
      </w:r>
      <w:r>
        <w:t xml:space="preserve">are further underscored by the consultation feedback, which has identified a range of specific</w:t>
      </w:r>
      <w:r>
        <w:t xml:space="preserve"> </w:t>
      </w:r>
      <w:r>
        <w:t xml:space="preserve">supervision-related challenges across various sectors.</w:t>
      </w:r>
      <w:r>
        <w:t xml:space="preserve"> </w:t>
      </w:r>
      <w:r>
        <w:t xml:space="preserve">Stakeholders from the trading venue sector complain about inconsistent supervisory expectations</w:t>
      </w:r>
      <w:r>
        <w:t xml:space="preserve"> </w:t>
      </w:r>
      <w:r>
        <w:t xml:space="preserve">and operational complexity, notably due to the divergent application of MiFID II by national</w:t>
      </w:r>
      <w:r>
        <w:t xml:space="preserve"> </w:t>
      </w:r>
      <w:r>
        <w:t xml:space="preserve">authorities. In total, 21 respondents explicitly refer to MiFID, all of whom highlight such</w:t>
      </w:r>
      <w:r>
        <w:t xml:space="preserve"> </w:t>
      </w:r>
      <w:r>
        <w:t xml:space="preserve">divergences, including 7 large stakeholders from the trading-venue sector.93 This results in an</w:t>
      </w:r>
      <w:r>
        <w:t xml:space="preserve"> </w:t>
      </w:r>
      <w:r>
        <w:t xml:space="preserve">unlevel playing field. Duplicative or conflicting instructions from NCAs increase compliance costs</w:t>
      </w:r>
      <w:r>
        <w:br/>
      </w:r>
      <w:r>
        <w:t xml:space="preserve">and create uncertainty for trading venues, in particular for the groups operating trading venues</w:t>
      </w:r>
      <w:r>
        <w:br/>
      </w:r>
      <w:r>
        <w:t xml:space="preserve">in different Member States. Moreover, the fragmented pre-approval requirements delay product</w:t>
      </w:r>
      <w:r>
        <w:t xml:space="preserve"> </w:t>
      </w:r>
      <w:r>
        <w:t xml:space="preserve">launches and create opportunity costs, ultimately affecting the ability of trading venues to innovate</w:t>
      </w:r>
      <w:r>
        <w:t xml:space="preserve"> </w:t>
      </w:r>
      <w:r>
        <w:t xml:space="preserve">and compete. According to stakeholders, the additional cost burden can amount to more than</w:t>
      </w:r>
      <w:r>
        <w:br/>
      </w:r>
      <w:r>
        <w:t xml:space="preserve">a million euros for every new product that is launched.</w:t>
      </w:r>
      <w:r>
        <w:br/>
      </w:r>
      <w:r>
        <w:t xml:space="preserve">In the area of CCPs, three stakeholders, including one large cross-border CCP and a smaller</w:t>
      </w:r>
      <w:r>
        <w:t xml:space="preserve"> </w:t>
      </w:r>
      <w:r>
        <w:t xml:space="preserve">national CCP, report high and varying national supervisory fees across jurisdictions, which they</w:t>
      </w:r>
      <w:r>
        <w:t xml:space="preserve"> </w:t>
      </w:r>
      <w:r>
        <w:t xml:space="preserve">consider place EU CCPs at a competitive disadvantage.94 More importantly, the lengthy and multi-</w:t>
      </w:r>
      <w:r>
        <w:t xml:space="preserve"> </w:t>
      </w:r>
      <w:r>
        <w:t xml:space="preserve">layered EMIR approval procedures developed by national authorities delay new product launches</w:t>
      </w:r>
      <w:r>
        <w:t xml:space="preserve"> </w:t>
      </w:r>
      <w:r>
        <w:t xml:space="preserve">and reduce responsiveness. Undefined and resource-intensive pre-filing phases, duplicative</w:t>
      </w:r>
      <w:r>
        <w:t xml:space="preserve"> </w:t>
      </w:r>
      <w:r>
        <w:t xml:space="preserve">reporting requirements, and national gold-plating also increase costs and complexity. With regard</w:t>
      </w:r>
      <w:r>
        <w:t xml:space="preserve"> </w:t>
      </w:r>
      <w:r>
        <w:t xml:space="preserve">to the supervision of CSDs, two stakeholders explicitly highlight significant discrepancies in</w:t>
      </w:r>
      <w:r>
        <w:t xml:space="preserve"> </w:t>
      </w:r>
      <w:r>
        <w:t xml:space="preserve">national supervisory fees across jurisdictions, with no clear link to the size or complexity of the</w:t>
      </w:r>
    </w:p>
    <w:p>
      <w:pPr>
        <w:pStyle w:val="BodyText"/>
      </w:pPr>
      <w:r>
        <w:t xml:space="preserve">91 See for example Langenbucher, K. (2024). Rückgang börsennotierter Unternehmen: Gründe und rechtliche</w:t>
      </w:r>
      <w:r>
        <w:t xml:space="preserve"> </w:t>
      </w:r>
      <w:r>
        <w:t xml:space="preserve">Gegenmaßnahmen, Zeitschrift für Unternehmens- und Gesellschaftsrecht forthcoming, Friedrich, J. and M. Thiemann</w:t>
      </w:r>
      <w:r>
        <w:t xml:space="preserve"> </w:t>
      </w:r>
      <w:r>
        <w:t xml:space="preserve">(2017). “Capital Markets Union: the need for common laws and common supervision.” Vierteljahrshefte zur</w:t>
      </w:r>
      <w:r>
        <w:t xml:space="preserve"> </w:t>
      </w:r>
      <w:r>
        <w:t xml:space="preserve">Wirtschaftsforschung 86(2): 61-75, https://doi.org/10.3790/vjh.86.2.61 . Bebchuk, L. (1992). Federalism and the</w:t>
      </w:r>
      <w:r>
        <w:t xml:space="preserve"> </w:t>
      </w:r>
      <w:r>
        <w:t xml:space="preserve">Corporation: The Desirable Limits on State Competition in Corporate Law. Harvard Law Review 105(7): 1443-1510,</w:t>
      </w:r>
      <w:r>
        <w:t xml:space="preserve"> </w:t>
      </w:r>
      <w:r>
        <w:t xml:space="preserve">https://doi.org/10.2307/1341744 .</w:t>
      </w:r>
      <w:r>
        <w:t xml:space="preserve"> </w:t>
      </w:r>
      <w:r>
        <w:t xml:space="preserve">92 https://www.bruegel.org/sites/default/files/2025-06/Bruegel%20Blueprint%2035.pdf</w:t>
      </w:r>
      <w:r>
        <w:br/>
      </w:r>
      <w:r>
        <w:t xml:space="preserve">93 Question 4 of Part 1 Simplification and burden reduction asked: Are there any barriers that could be addressed by</w:t>
      </w:r>
      <w:r>
        <w:t xml:space="preserve"> </w:t>
      </w:r>
      <w:r>
        <w:t xml:space="preserve">turning (certain provisions of) the Alternative Investment Fund Managers Directive (AIFMD), Financial Collateral</w:t>
      </w:r>
      <w:r>
        <w:t xml:space="preserve"> </w:t>
      </w:r>
      <w:r>
        <w:t xml:space="preserve">Directive (FCD), Markets in Financial Instruments Directive (MiFID), Undertakings for Collective Investment in</w:t>
      </w:r>
      <w:r>
        <w:t xml:space="preserve"> </w:t>
      </w:r>
      <w:r>
        <w:t xml:space="preserve">Transferable Securities Directive (UCITSD), Settlement Finality Directive (SFD) into a Regulation? Please choose</w:t>
      </w:r>
      <w:r>
        <w:t xml:space="preserve"> </w:t>
      </w:r>
      <w:r>
        <w:t xml:space="preserve">from 1 (strongly agree) to 5 (strongly disagree) or ‘no opinion’. If you agree, please explain which barriers and how</w:t>
      </w:r>
      <w:r>
        <w:t xml:space="preserve"> </w:t>
      </w:r>
      <w:r>
        <w:t xml:space="preserve">a Regulation could remove the barrier.</w:t>
      </w:r>
      <w:r>
        <w:t xml:space="preserve"> </w:t>
      </w:r>
      <w:r>
        <w:t xml:space="preserve">94 Question 19 of Section 6.4.1 asked: Please estimate the regulatory compliance costs (including administrative costs</w:t>
      </w:r>
      <w:r>
        <w:t xml:space="preserve"> </w:t>
      </w:r>
      <w:r>
        <w:t xml:space="preserve">– such as staff costs, facilities costs, travel, IT technology costs; professional fees – such as legal, accounting,</w:t>
      </w:r>
      <w:r>
        <w:t xml:space="preserve"> </w:t>
      </w:r>
      <w:r>
        <w:t xml:space="preserve">consulting, etc.; and applicable fees) that arise from engagement with your current supervisor(s). Please separate any</w:t>
      </w:r>
      <w:r>
        <w:t xml:space="preserve"> </w:t>
      </w:r>
      <w:r>
        <w:t xml:space="preserve">details on costs into fees and compliance, one-off cost and on-going costs and per supervisor. Please explain your</w:t>
      </w:r>
      <w:r>
        <w:t xml:space="preserve"> </w:t>
      </w:r>
      <w:r>
        <w:t xml:space="preserve">answer providing, where possible, quantitative evidence and examples.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CSD.95 In addition, five stakeholders, including large cross-border CSD groups as well as smaller</w:t>
      </w:r>
      <w:r>
        <w:t xml:space="preserve"> </w:t>
      </w:r>
      <w:r>
        <w:t xml:space="preserve">or new entrants, point to broader supervisory inconsistencies across Member States, which create</w:t>
      </w:r>
      <w:r>
        <w:t xml:space="preserve"> </w:t>
      </w:r>
      <w:r>
        <w:t xml:space="preserve">opportunities for arbitrage and undermine the stability of the post-trade sector. For instance,</w:t>
      </w:r>
      <w:r>
        <w:t xml:space="preserve"> </w:t>
      </w:r>
      <w:r>
        <w:t xml:space="preserve">stakeholders note that group entities may be assessed independently of the wider group, resulting</w:t>
      </w:r>
      <w:r>
        <w:t xml:space="preserve"> </w:t>
      </w:r>
      <w:r>
        <w:t xml:space="preserve">in differing supervisory expectations. In addition, outsourcing requirements are not applied</w:t>
      </w:r>
      <w:r>
        <w:t xml:space="preserve"> </w:t>
      </w:r>
      <w:r>
        <w:t xml:space="preserve">consistently among EU supervisors; for example, some supervisors consider HR outsourcing as</w:t>
      </w:r>
      <w:r>
        <w:t xml:space="preserve"> </w:t>
      </w:r>
      <w:r>
        <w:t xml:space="preserve">outsourcing of a non-core service, while other supervisors consider it as a core service requiring</w:t>
      </w:r>
      <w:r>
        <w:t xml:space="preserve"> </w:t>
      </w:r>
      <w:r>
        <w:t xml:space="preserve">approval.</w:t>
      </w:r>
      <w:r>
        <w:br/>
      </w:r>
      <w:r>
        <w:t xml:space="preserve">In the asset management sector, managers and funds operating across several Member States often</w:t>
      </w:r>
      <w:r>
        <w:t xml:space="preserve"> </w:t>
      </w:r>
      <w:r>
        <w:t xml:space="preserve">face duplicated and divergent obligations and requests from multiple NCAs. Each entity within a</w:t>
      </w:r>
      <w:r>
        <w:t xml:space="preserve"> </w:t>
      </w:r>
      <w:r>
        <w:t xml:space="preserve">group is treated as an independent entity, despite their integrated group structures. For example,</w:t>
      </w:r>
      <w:r>
        <w:t xml:space="preserve"> </w:t>
      </w:r>
      <w:r>
        <w:t xml:space="preserve">risk management established in one entity of a group under the supervision of one authority might</w:t>
      </w:r>
      <w:r>
        <w:t xml:space="preserve"> </w:t>
      </w:r>
      <w:r>
        <w:t xml:space="preserve">not be accepted or might be assessed differently by the other authorities overseeing other entities</w:t>
      </w:r>
      <w:r>
        <w:t xml:space="preserve"> </w:t>
      </w:r>
      <w:r>
        <w:t xml:space="preserve">of the group.</w:t>
      </w:r>
      <w:r>
        <w:t xml:space="preserve"> </w:t>
      </w:r>
      <w:r>
        <w:t xml:space="preserve">Supervisory practices, in particular fund marketing rules and how they are applied vary widely</w:t>
      </w:r>
      <w:r>
        <w:t xml:space="preserve"> </w:t>
      </w:r>
      <w:r>
        <w:t xml:space="preserve">across jurisdictions. For example, the same fund may face different requirements for promotional</w:t>
      </w:r>
      <w:r>
        <w:t xml:space="preserve"> </w:t>
      </w:r>
      <w:r>
        <w:t xml:space="preserve">materials across the single market. EU rules allow for national discretion in adopting such national</w:t>
      </w:r>
      <w:r>
        <w:t xml:space="preserve"> </w:t>
      </w:r>
      <w:r>
        <w:t xml:space="preserve">provisions. In addition, ESMA does not have an operational role in coordinating the smooth</w:t>
      </w:r>
      <w:r>
        <w:t xml:space="preserve"> </w:t>
      </w:r>
      <w:r>
        <w:t xml:space="preserve">implementation of EU rules in this regard. in this regard.</w:t>
      </w:r>
      <w:r>
        <w:t xml:space="preserve"> </w:t>
      </w:r>
      <w:r>
        <w:t xml:space="preserve">The supervision of CASPs is hindered by variations in supervisory practices and approaches across</w:t>
      </w:r>
      <w:r>
        <w:t xml:space="preserve"> </w:t>
      </w:r>
      <w:r>
        <w:t xml:space="preserve">Member States. It is already evident during the authorisation phase, creating challenges for CASPs</w:t>
      </w:r>
      <w:r>
        <w:t xml:space="preserve"> </w:t>
      </w:r>
      <w:r>
        <w:t xml:space="preserve">operating in the EU. Differences in technical expertise, supervisory capacity, and interpretation</w:t>
      </w:r>
      <w:r>
        <w:t xml:space="preserve"> </w:t>
      </w:r>
      <w:r>
        <w:t xml:space="preserve">among NCAs risk leading to uneven supervisory outcomes once the framework becomes fully</w:t>
      </w:r>
      <w:r>
        <w:t xml:space="preserve"> </w:t>
      </w:r>
      <w:r>
        <w:t xml:space="preserve">applicable, which could in turn affect market confidence and development. This fragmented</w:t>
      </w:r>
      <w:r>
        <w:t xml:space="preserve"> </w:t>
      </w:r>
      <w:r>
        <w:t xml:space="preserve">approach prevents the emergence of a coherent supervisory framework, limits cross-border</w:t>
      </w:r>
      <w:r>
        <w:t xml:space="preserve"> </w:t>
      </w:r>
      <w:r>
        <w:t xml:space="preserve">scalability, and weakens market confidence. Ensuring supervisory consistency and a level playing</w:t>
      </w:r>
      <w:r>
        <w:t xml:space="preserve"> </w:t>
      </w:r>
      <w:r>
        <w:t xml:space="preserve">field from the outset therefore requires a harmonised application of rules and a stronger EU-level</w:t>
      </w:r>
      <w:r>
        <w:t xml:space="preserve"> </w:t>
      </w:r>
      <w:r>
        <w:t xml:space="preserve">set up, as the current decentralised system does not provide the necessary mechanisms to align</w:t>
      </w:r>
      <w:r>
        <w:t xml:space="preserve"> </w:t>
      </w:r>
      <w:r>
        <w:t xml:space="preserve">supervisory practices or resolve divergences effectively.</w:t>
      </w:r>
      <w:r>
        <w:t xml:space="preserve"> </w:t>
      </w:r>
      <w:r>
        <w:t xml:space="preserve">Current EU-level supervisory coordination tools have brought some convergence in supervisory</w:t>
      </w:r>
      <w:r>
        <w:t xml:space="preserve"> </w:t>
      </w:r>
      <w:r>
        <w:t xml:space="preserve">practices, but significant gaps remain, due to limitations in the design and the lack of incentives</w:t>
      </w:r>
      <w:r>
        <w:t xml:space="preserve"> </w:t>
      </w:r>
      <w:r>
        <w:t xml:space="preserve">within ESMA’s governance structure for using powers to remediate specific situations. ESMA’s</w:t>
      </w:r>
      <w:r>
        <w:t xml:space="preserve"> </w:t>
      </w:r>
      <w:r>
        <w:t xml:space="preserve">consensus-driven model, led by NCAs, creates conflicts of interest and discourages decisive</w:t>
      </w:r>
      <w:r>
        <w:t xml:space="preserve"> </w:t>
      </w:r>
      <w:r>
        <w:t xml:space="preserve">action, as reaching majority agreement among NCAs is necessary for converging supervisory</w:t>
      </w:r>
      <w:r>
        <w:t xml:space="preserve"> </w:t>
      </w:r>
      <w:r>
        <w:t xml:space="preserve">practices of those same authorities. In addition, the procedures involved are often long</w:t>
      </w:r>
    </w:p>
    <w:p>
      <w:pPr>
        <w:pStyle w:val="BodyText"/>
      </w:pPr>
      <w:r>
        <w:t xml:space="preserve">95 Question 9 in Section 6.3.1 asked Please estimate the regulatory compliance costs (including administrative costs –</w:t>
      </w:r>
      <w:r>
        <w:t xml:space="preserve"> </w:t>
      </w:r>
      <w:r>
        <w:t xml:space="preserve">such as staff costs, facilities costs, travel, IT technology costs –, professional fees – such as legal, accounting,</w:t>
      </w:r>
      <w:r>
        <w:t xml:space="preserve"> </w:t>
      </w:r>
      <w:r>
        <w:t xml:space="preserve">consulting, etc. –, and applicable fees) that arise from engagement with your current supervisor(s). Please separate</w:t>
      </w:r>
      <w:r>
        <w:t xml:space="preserve"> </w:t>
      </w:r>
      <w:r>
        <w:t xml:space="preserve">any details on costs into fees and compliance, one-off cost and on-going costs and per supervisor. Please explain your</w:t>
      </w:r>
      <w:r>
        <w:t xml:space="preserve"> </w:t>
      </w:r>
      <w:r>
        <w:t xml:space="preserve">answer providing, where possible, quantitative evidence and examples.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and complex: for example, a breach of Union law procedure96 might take 3 or more years until the</w:t>
      </w:r>
      <w:r>
        <w:t xml:space="preserve"> </w:t>
      </w:r>
      <w:r>
        <w:t xml:space="preserve">breach is actually stopped. The bar to use these procedures is also too high. For instance, there are</w:t>
      </w:r>
      <w:r>
        <w:t xml:space="preserve"> </w:t>
      </w:r>
      <w:r>
        <w:t xml:space="preserve">differences across sectorial acts regarding when and how binding mediation tool is triggered, such</w:t>
      </w:r>
      <w:r>
        <w:t xml:space="preserve"> </w:t>
      </w:r>
      <w:r>
        <w:t xml:space="preserve">as majority threshold, the nature of disagreement, and ESMA’s ability for to act on own initiative.</w:t>
      </w:r>
      <w:r>
        <w:t xml:space="preserve"> </w:t>
      </w:r>
      <w:r>
        <w:t xml:space="preserve">As a result, supervisory convergence tools such as the breach of Union law procedure and binding</w:t>
      </w:r>
      <w:r>
        <w:t xml:space="preserve"> </w:t>
      </w:r>
      <w:r>
        <w:t xml:space="preserve">mediation have not increased supervisory convergence. For example, binding mediation was used</w:t>
      </w:r>
      <w:r>
        <w:t xml:space="preserve"> </w:t>
      </w:r>
      <w:r>
        <w:t xml:space="preserve">only twice since ESMA was founded. Addressing these gaps by strengthening ESMA’s powers</w:t>
      </w:r>
      <w:r>
        <w:t xml:space="preserve"> </w:t>
      </w:r>
      <w:r>
        <w:t xml:space="preserve">and ensuring more effective use of convergence tools is crucial for achieving consistent EU-wide</w:t>
      </w:r>
      <w:r>
        <w:t xml:space="preserve"> </w:t>
      </w:r>
      <w:r>
        <w:t xml:space="preserve">supervision, while still preserving the vital local knowledge and cooperation of NCAs.</w:t>
      </w:r>
      <w:r>
        <w:t xml:space="preserve"> </w:t>
      </w:r>
      <w:r>
        <w:t xml:space="preserve">2.1.3. Obstacles to innovation and uptake of new technologies</w:t>
      </w:r>
      <w:r>
        <w:t xml:space="preserve"> </w:t>
      </w:r>
      <w:r>
        <w:t xml:space="preserve">As emphasised in the Draghi and Letta reports among others, embracing innovation is crucial for</w:t>
      </w:r>
      <w:r>
        <w:t xml:space="preserve"> </w:t>
      </w:r>
      <w:r>
        <w:t xml:space="preserve">the competitiveness and attractiveness of EU capital markets, and their ability to deliver the</w:t>
      </w:r>
      <w:r>
        <w:t xml:space="preserve"> </w:t>
      </w:r>
      <w:r>
        <w:t xml:space="preserve">financing that the EU needs. However, innovation in EU capital markets, and in particular the</w:t>
      </w:r>
      <w:r>
        <w:t xml:space="preserve"> </w:t>
      </w:r>
      <w:r>
        <w:t xml:space="preserve">adoption of technologies like DLT and tokenisation, faces significant hurdles.</w:t>
      </w:r>
      <w:r>
        <w:t xml:space="preserve"> </w:t>
      </w:r>
      <w:r>
        <w:t xml:space="preserve">In the past few years, DLT emerged as one of the most impactful technologies affecting market</w:t>
      </w:r>
      <w:r>
        <w:t xml:space="preserve"> </w:t>
      </w:r>
      <w:r>
        <w:t xml:space="preserve">structure. This technology underpins crypto-asset markets and has attracted increased interest from</w:t>
      </w:r>
      <w:r>
        <w:t xml:space="preserve"> </w:t>
      </w:r>
      <w:r>
        <w:t xml:space="preserve">the traditional financial industry keen on exploiting its advantages. These include: faster</w:t>
      </w:r>
      <w:r>
        <w:t xml:space="preserve"> </w:t>
      </w:r>
      <w:r>
        <w:t xml:space="preserve">settlement, which means trades can be completed more quickly; easier data reconciliation, which</w:t>
      </w:r>
      <w:r>
        <w:t xml:space="preserve"> </w:t>
      </w:r>
      <w:r>
        <w:t xml:space="preserve">helps ensure that all parties have the same information; partial disintermediation, meaning fewer</w:t>
      </w:r>
      <w:r>
        <w:t xml:space="preserve"> </w:t>
      </w:r>
      <w:r>
        <w:t xml:space="preserve">intermediaries are needed in transactions, which reduces costs; asset and transaction</w:t>
      </w:r>
      <w:r>
        <w:t xml:space="preserve"> </w:t>
      </w:r>
      <w:r>
        <w:t xml:space="preserve">programmability, which allows for more automation and customisation; flatter market structure,</w:t>
      </w:r>
      <w:r>
        <w:t xml:space="preserve"> </w:t>
      </w:r>
      <w:r>
        <w:t xml:space="preserve">which leads to more efficient communication and interaction between market participants. DLT-</w:t>
      </w:r>
      <w:r>
        <w:t xml:space="preserve"> </w:t>
      </w:r>
      <w:r>
        <w:t xml:space="preserve">based solutions can bring efficiencies to capital markets and are therefore an important market</w:t>
      </w:r>
      <w:r>
        <w:t xml:space="preserve"> </w:t>
      </w:r>
      <w:r>
        <w:t xml:space="preserve">structure element of the SIU.</w:t>
      </w:r>
      <w:r>
        <w:br/>
      </w:r>
      <w:r>
        <w:t xml:space="preserve">Tokenisation of assets, i.e. their digital representation on distributed ledgers, is a closely linked</w:t>
      </w:r>
      <w:r>
        <w:t xml:space="preserve"> </w:t>
      </w:r>
      <w:r>
        <w:t xml:space="preserve">trend. Tokenisation may enhance asset liquidity and accessibility by enabling fractional ownership</w:t>
      </w:r>
      <w:r>
        <w:t xml:space="preserve"> </w:t>
      </w:r>
      <w:r>
        <w:t xml:space="preserve">and easier transferability. It makes traditionally illiquid assets more tradable, including private</w:t>
      </w:r>
      <w:r>
        <w:t xml:space="preserve"> </w:t>
      </w:r>
      <w:r>
        <w:t xml:space="preserve">debt, corporate bonds, less liquid investment and real estate funds, SME debt and equity.97</w:t>
      </w:r>
      <w:r>
        <w:br/>
      </w:r>
      <w:r>
        <w:t xml:space="preserve">By lowering barriers to entry, fractionalisation expands the investor base and stimulates activity</w:t>
      </w:r>
      <w:r>
        <w:t xml:space="preserve"> </w:t>
      </w:r>
      <w:r>
        <w:t xml:space="preserve">in previously under-traded assets.98 DLT has the potential to migrate key components</w:t>
      </w:r>
      <w:r>
        <w:br/>
      </w:r>
      <w:r>
        <w:t xml:space="preserve">of the financial value chain – such as issuance, recording and transfer of tokenised assets -</w:t>
      </w:r>
      <w:r>
        <w:br/>
      </w:r>
      <w:r>
        <w:t xml:space="preserve">to common and interoperable platforms (distributed ledgers, blockchains) on which regulated</w:t>
      </w:r>
      <w:r>
        <w:t xml:space="preserve"> </w:t>
      </w:r>
      <w:r>
        <w:t xml:space="preserve">services are provided. Widespread adoption of DLT promises to improve the efficiency</w:t>
      </w:r>
      <w:r>
        <w:br/>
      </w:r>
      <w:r>
        <w:t xml:space="preserve">of financial markets, by reducing settlement times, establishing new markets, entering into cross-</w:t>
      </w:r>
    </w:p>
    <w:p>
      <w:pPr>
        <w:pStyle w:val="BodyText"/>
      </w:pPr>
      <w:r>
        <w:t xml:space="preserve">98 Article 17 of the ESMA’s founding regulation gives ESMA the power to investigate potential breaches of Union</w:t>
      </w:r>
      <w:r>
        <w:t xml:space="preserve"> </w:t>
      </w:r>
      <w:r>
        <w:t xml:space="preserve">law (‘BUL’) by competent authorities. This serves the goal of ensuring the application of Union law. Where ESMA</w:t>
      </w:r>
      <w:r>
        <w:t xml:space="preserve"> </w:t>
      </w:r>
      <w:r>
        <w:t xml:space="preserve">identifies a BUL, it issues a recommendation on the actions to be taken by the competent authority to rectify</w:t>
      </w:r>
      <w:r>
        <w:br/>
      </w:r>
      <w:r>
        <w:t xml:space="preserve">the situation and may also issue a binding decision in certain cases. This may lead to further action by the European</w:t>
      </w:r>
      <w:r>
        <w:t xml:space="preserve"> </w:t>
      </w:r>
      <w:r>
        <w:t xml:space="preserve">Commission (formal opinion and/or infringement).</w:t>
      </w:r>
      <w:r>
        <w:br/>
      </w:r>
      <w:r>
        <w:t xml:space="preserve">97 See: “The Impact of Distributed Ledger Technology in Capital Markets” by GFMA: https://www.gfma.org/wp-</w:t>
      </w:r>
      <w:r>
        <w:t xml:space="preserve"> </w:t>
      </w:r>
      <w:r>
        <w:t xml:space="preserve">content/uploads/2025/08/1.-full-report-impact-of-dlt-in-cap-mkts-final-1.pdf</w:t>
      </w:r>
      <w:r>
        <w:br/>
      </w:r>
      <w:r>
        <w:t xml:space="preserve">98 See OECD Business and Finance Policy Papers, No. 75, 2025 Tokenisation of assets and distributed ledger</w:t>
      </w:r>
      <w:r>
        <w:t xml:space="preserve"> </w:t>
      </w:r>
      <w:r>
        <w:t xml:space="preserve">technologies in financial markets.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border/international markets, facilitating data reconciliation and increasing programmability</w:t>
      </w:r>
      <w:r>
        <w:br/>
      </w:r>
      <w:r>
        <w:t xml:space="preserve">of financial market activities.99,100</w:t>
      </w:r>
      <w:r>
        <w:t xml:space="preserve"> </w:t>
      </w:r>
      <w:r>
        <w:t xml:space="preserve">Greater use of DLT could help overcome barriers to market integration by automating</w:t>
      </w:r>
      <w:r>
        <w:br/>
      </w:r>
      <w:r>
        <w:t xml:space="preserve">and streamlining clearing and settlement, reducing costs. Distributed ledgers can also enhance</w:t>
      </w:r>
      <w:r>
        <w:t xml:space="preserve"> </w:t>
      </w:r>
      <w:r>
        <w:t xml:space="preserve">interoperability between CSDs and other market operators where liquidity concentrates across</w:t>
      </w:r>
      <w:r>
        <w:t xml:space="preserve"> </w:t>
      </w:r>
      <w:r>
        <w:t xml:space="preserve">platforms, as they are multi-purpose platforms for asset issuance, holding, and transfer. The use of</w:t>
      </w:r>
      <w:r>
        <w:t xml:space="preserve"> </w:t>
      </w:r>
      <w:r>
        <w:t xml:space="preserve">DLT based wholesale central bank digital currency (WCBDC) could make settlement on DLT</w:t>
      </w:r>
      <w:r>
        <w:t xml:space="preserve"> </w:t>
      </w:r>
      <w:r>
        <w:t xml:space="preserve">platforms even more secure and coherent with existing settlement rules, which favour central bank</w:t>
      </w:r>
      <w:r>
        <w:t xml:space="preserve"> </w:t>
      </w:r>
      <w:r>
        <w:t xml:space="preserve">money due to its credit risk-free nature, superior liquidity, and scalability.</w:t>
      </w:r>
      <w:r>
        <w:t xml:space="preserve"> </w:t>
      </w:r>
      <w:r>
        <w:t xml:space="preserve">Although these opportunities may also bring risks that could destabilise the EU’s financial system,</w:t>
      </w:r>
      <w:r>
        <w:t xml:space="preserve"> </w:t>
      </w:r>
      <w:r>
        <w:t xml:space="preserve">including increased cyber-security vulnerabilities and operational resilience challenges,</w:t>
      </w:r>
      <w:r>
        <w:br/>
      </w:r>
      <w:r>
        <w:t xml:space="preserve">most of these risks are already addressed under the Digital Operational Resilience Act (DORA).</w:t>
      </w:r>
      <w:r>
        <w:t xml:space="preserve"> </w:t>
      </w:r>
      <w:r>
        <w:t xml:space="preserve">DORA establishes a harmonised framework requiring all financial entities to effectively withstand,</w:t>
      </w:r>
      <w:r>
        <w:t xml:space="preserve"> </w:t>
      </w:r>
      <w:r>
        <w:t xml:space="preserve">respond to, and recover from ICT-related disruptions and cyberattacks through robust risk</w:t>
      </w:r>
      <w:r>
        <w:t xml:space="preserve"> </w:t>
      </w:r>
      <w:r>
        <w:t xml:space="preserve">management, incident reporting, resilience testing, and oversight of critical third-party service</w:t>
      </w:r>
      <w:r>
        <w:t xml:space="preserve"> </w:t>
      </w:r>
      <w:r>
        <w:t xml:space="preserve">providers.</w:t>
      </w:r>
      <w:r>
        <w:br/>
      </w:r>
      <w:r>
        <w:t xml:space="preserve">Given the favourable balance of benefits to risks, it is essential to ensure that regulatory</w:t>
      </w:r>
      <w:r>
        <w:t xml:space="preserve"> </w:t>
      </w:r>
      <w:r>
        <w:t xml:space="preserve">frameworks do not pose obstacles to the adoption of DLT, which can directly support greater</w:t>
      </w:r>
      <w:r>
        <w:t xml:space="preserve"> </w:t>
      </w:r>
      <w:r>
        <w:t xml:space="preserve">integration of EU capital markets.101</w:t>
      </w:r>
      <w:r>
        <w:br/>
      </w:r>
      <w:r>
        <w:t xml:space="preserve">There are two main obstacles to DLT-related innovation in Europe.</w:t>
      </w:r>
      <w:r>
        <w:br/>
      </w:r>
      <w:r>
        <w:t xml:space="preserve">Firstly, the DLTPR, launched in 2022 to promote DLT adoption in the EU financial sector</w:t>
      </w:r>
      <w:r>
        <w:br/>
      </w:r>
      <w:r>
        <w:t xml:space="preserve">by adapting certain rules on trading and CSD services, has seen limited uptake due to its</w:t>
      </w:r>
      <w:r>
        <w:t xml:space="preserve"> </w:t>
      </w:r>
      <w:r>
        <w:t xml:space="preserve">shortcomings (see Section 2.2.1 ‘Barriers to cross-border operations and innovation’). Despite</w:t>
      </w:r>
      <w:r>
        <w:t xml:space="preserve"> </w:t>
      </w:r>
      <w:r>
        <w:t xml:space="preserve">growing industry interest and engagement with the technology, there have been only four</w:t>
      </w:r>
      <w:r>
        <w:t xml:space="preserve"> </w:t>
      </w:r>
      <w:r>
        <w:t xml:space="preserve">participants in over two years, resulting in low levels of DLT experimentation under the DLTPR.</w:t>
      </w:r>
      <w:r>
        <w:t xml:space="preserve"> </w:t>
      </w:r>
      <w:r>
        <w:t xml:space="preserve">This has stifled innovation potential in the EU. The adoption of the DLTPR has already</w:t>
      </w:r>
      <w:r>
        <w:t xml:space="preserve"> </w:t>
      </w:r>
      <w:r>
        <w:t xml:space="preserve">demonstrated the need for adaptations to the trading (MIFID) and post-trading (CSDR) rulebooks</w:t>
      </w:r>
      <w:r>
        <w:t xml:space="preserve"> </w:t>
      </w:r>
      <w:r>
        <w:t xml:space="preserve">to accommodate DLT, but the DLTP restrictive - design has failed to attract broad-based</w:t>
      </w:r>
      <w:r>
        <w:t xml:space="preserve"> </w:t>
      </w:r>
      <w:r>
        <w:t xml:space="preserve">participation.</w:t>
      </w:r>
      <w:r>
        <w:br/>
      </w:r>
      <w:r>
        <w:t xml:space="preserve">Secondly, stakeholders argue that, beyond the shortcomings of Europe’s bespoke framework</w:t>
      </w:r>
      <w:r>
        <w:br/>
      </w:r>
      <w:r>
        <w:t xml:space="preserve">for DLT, the standard (non DLTPR) regulatory frameworks, in particular post-trade legislation,</w:t>
      </w:r>
    </w:p>
    <w:p>
      <w:pPr>
        <w:pStyle w:val="BodyText"/>
      </w:pPr>
      <w:r>
        <w:t xml:space="preserve">99 See OECD on the qualitative description of benefits:</w:t>
      </w:r>
      <w:r>
        <w:t xml:space="preserve"> </w:t>
      </w:r>
      <w:r>
        <w:t xml:space="preserve">https://www.oecd.org/content/dam/oecd/en/publications/reports/2025/01/tokenisation-of-assets-and-distributed-</w:t>
      </w:r>
      <w:r>
        <w:t xml:space="preserve"> </w:t>
      </w:r>
      <w:r>
        <w:t xml:space="preserve">ledger-technologies-in-financial-markets_be149012/40e7f217-en.pdf</w:t>
      </w:r>
      <w:r>
        <w:br/>
      </w:r>
      <w:r>
        <w:t xml:space="preserve">100 The 2023 report from AFME and Boston Consulting Group gives some projections: ~$15-20 billion (USD) in</w:t>
      </w:r>
      <w:r>
        <w:t xml:space="preserve"> </w:t>
      </w:r>
      <w:r>
        <w:t xml:space="preserve">annual global infrastructure operational cost savings, ~$100+ billion (USD) annually in freed financial collateral and</w:t>
      </w:r>
      <w:r>
        <w:t xml:space="preserve"> </w:t>
      </w:r>
      <w:r>
        <w:t xml:space="preserve">balance sheet efficiencies. See page 11 at:</w:t>
      </w:r>
      <w:r>
        <w:t xml:space="preserve"> </w:t>
      </w:r>
      <w:r>
        <w:t xml:space="preserve">https://www.afme.eu/Portals/0/DispatchFeaturedImages/20230512%20GFMAImpactofDLT%20FullReport%20FIN</w:t>
      </w:r>
      <w:r>
        <w:t xml:space="preserve"> </w:t>
      </w:r>
      <w:r>
        <w:t xml:space="preserve">AL%20FULL.pdf</w:t>
      </w:r>
      <w:r>
        <w:br/>
      </w:r>
      <w:r>
        <w:t xml:space="preserve">101 For example, a permissionless blockchain such as Ethereum represents an open IT infrastructure for recording,</w:t>
      </w:r>
      <w:r>
        <w:t xml:space="preserve"> </w:t>
      </w:r>
      <w:r>
        <w:t xml:space="preserve">holding and transferring digital assets, including financial instruments issued in accordance with the applicable laws.</w:t>
      </w:r>
      <w:r>
        <w:t xml:space="preserve"> </w:t>
      </w:r>
      <w:r>
        <w:t xml:space="preserve">From a purely technical perspective, Ethereum provides certain functions that are similar to that of a CSD. Ensuring</w:t>
      </w:r>
      <w:r>
        <w:t xml:space="preserve"> </w:t>
      </w:r>
      <w:r>
        <w:t xml:space="preserve">that such platforms can be leveraged safely by market participants requires certain regulatory adaptations.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have not kept pace with technological advancements, leading to legal uncertainties for those</w:t>
      </w:r>
      <w:r>
        <w:t xml:space="preserve"> </w:t>
      </w:r>
      <w:r>
        <w:t xml:space="preserve">wishing to use DLT outside the DLTPR. These uncertainties increase compliance risks and costs</w:t>
      </w:r>
      <w:r>
        <w:t xml:space="preserve"> </w:t>
      </w:r>
      <w:r>
        <w:t xml:space="preserve">for market participants willing to explore innovative business models.</w:t>
      </w:r>
      <w:r>
        <w:br/>
      </w:r>
      <w:r>
        <w:t xml:space="preserve">Taken together, these issues significantly weaken the EU’s ability to foster a dynamic</w:t>
      </w:r>
      <w:r>
        <w:br/>
      </w:r>
      <w:r>
        <w:t xml:space="preserve">and innovative financial sector and create market inefficiencies, as entities are prevented</w:t>
      </w:r>
      <w:r>
        <w:br/>
      </w:r>
      <w:r>
        <w:t xml:space="preserve">from fully benefiting from the advantages of DLT. They also create higher costs and less</w:t>
      </w:r>
      <w:r>
        <w:t xml:space="preserve"> </w:t>
      </w:r>
      <w:r>
        <w:t xml:space="preserve">opportunities for investors and firms seeking finance, notably because of the legal uncertainty,</w:t>
      </w:r>
      <w:r>
        <w:t xml:space="preserve"> </w:t>
      </w:r>
      <w:r>
        <w:t xml:space="preserve">ultimately undermining the competitiveness of EU capital markets.</w:t>
      </w:r>
      <w:r>
        <w:t xml:space="preserve"> </w:t>
      </w:r>
      <w:r>
        <w:t xml:space="preserve">A number of important jurisdictions have already made decisive policy steps in recent years</w:t>
      </w:r>
      <w:r>
        <w:br/>
      </w:r>
      <w:r>
        <w:t xml:space="preserve">to attract DLT-based innovation. Singapore102, Switzerland103, Hong Kong104 and the UAE105 have</w:t>
      </w:r>
      <w:r>
        <w:t xml:space="preserve"> </w:t>
      </w:r>
      <w:r>
        <w:t xml:space="preserve">all developed frameworks or established targeted initiatives to attract DLT projects and markets.</w:t>
      </w:r>
      <w:r>
        <w:t xml:space="preserve"> </w:t>
      </w:r>
      <w:r>
        <w:t xml:space="preserve">Closer to the EU, the UK has set up FMI sandboxes to support use of new technologies,</w:t>
      </w:r>
      <w:r>
        <w:br/>
      </w:r>
      <w:r>
        <w:t xml:space="preserve">one of which is the Digital Securities Sandbox (‘DSS’), targeting CSD services. Thanks to its</w:t>
      </w:r>
      <w:r>
        <w:t xml:space="preserve"> </w:t>
      </w:r>
      <w:r>
        <w:t xml:space="preserve">flexibility and increased market interest, it has attracted 15 participants since its start at the</w:t>
      </w:r>
      <w:r>
        <w:br/>
      </w:r>
      <w:r>
        <w:t xml:space="preserve">end of 2024. Finally, the United States is adopting a supportive stance towards DLT, fostering</w:t>
      </w:r>
      <w:r>
        <w:br/>
      </w:r>
      <w:r>
        <w:t xml:space="preserve">a regulatory environment that encourages its development and use. The US has adopted laws</w:t>
      </w:r>
      <w:r>
        <w:br/>
      </w:r>
      <w:r>
        <w:t xml:space="preserve">to increase regulatory certainty, such as the Genius Act on stablecoins. Banking and securities</w:t>
      </w:r>
      <w:r>
        <w:t xml:space="preserve"> </w:t>
      </w:r>
      <w:r>
        <w:t xml:space="preserve">regulators are now taking a much more permissive approach to tokenisation and DLT than</w:t>
      </w:r>
      <w:r>
        <w:br/>
      </w:r>
      <w:r>
        <w:t xml:space="preserve">in the past.</w:t>
      </w:r>
      <w:r>
        <w:br/>
      </w:r>
      <w:r>
        <w:t xml:space="preserve">These developments point to an increasingly supportive stance of global policy makers</w:t>
      </w:r>
      <w:r>
        <w:br/>
      </w:r>
      <w:r>
        <w:t xml:space="preserve">and regulators to DLT and tokenisation. Without further action, this could lead to a loss of</w:t>
      </w:r>
      <w:r>
        <w:t xml:space="preserve"> </w:t>
      </w:r>
      <w:r>
        <w:t xml:space="preserve">competitiveness of EU capital markets. If DLT becomes more widely used in financial market</w:t>
      </w:r>
      <w:r>
        <w:t xml:space="preserve"> </w:t>
      </w:r>
      <w:r>
        <w:t xml:space="preserve">infrastructure, a lack of homegrown DLT solutions106 may also lead to dependencies on non-EU</w:t>
      </w:r>
      <w:r>
        <w:t xml:space="preserve"> </w:t>
      </w:r>
      <w:r>
        <w:t xml:space="preserve">providers.</w:t>
      </w:r>
    </w:p>
    <w:p>
      <w:pPr>
        <w:pStyle w:val="BodyText"/>
      </w:pPr>
      <w:r>
        <w:t xml:space="preserve">102 Project Guardian, convening the industry to support the development of DLT-based infrastructure:</w:t>
      </w:r>
      <w:r>
        <w:t xml:space="preserve"> </w:t>
      </w:r>
      <w:r>
        <w:t xml:space="preserve">https://www.mas.gov.sg/schemes-and-initiatives/project-guardian102Project Guardian, convening the industry to</w:t>
      </w:r>
      <w:r>
        <w:t xml:space="preserve"> </w:t>
      </w:r>
      <w:r>
        <w:t xml:space="preserve">support the development of DLT-based infrastructure: https://www.mas.gov.sg/schemes-and-initiatives/project-</w:t>
      </w:r>
      <w:r>
        <w:t xml:space="preserve"> </w:t>
      </w:r>
      <w:r>
        <w:t xml:space="preserve">guardian</w:t>
      </w:r>
      <w:r>
        <w:br/>
      </w:r>
      <w:r>
        <w:t xml:space="preserve">103 https://www.sif.admin.ch/en/blockchain-dlt-en</w:t>
      </w:r>
      <w:r>
        <w:br/>
      </w:r>
      <w:r>
        <w:t xml:space="preserve">104 https://gia.info.gov.hk/general/202506/26/P2025062600269_500089_1_1750909574183.pdf</w:t>
      </w:r>
      <w:r>
        <w:t xml:space="preserve"> </w:t>
      </w:r>
      <w:r>
        <w:t xml:space="preserve">105 For example, Dubai has created a bespoke regime and regulatory authority for ‘virtual assets’, which includes</w:t>
      </w:r>
      <w:r>
        <w:t xml:space="preserve"> </w:t>
      </w:r>
      <w:r>
        <w:t xml:space="preserve">tokenised financial instruments. See https://www.vara.ae/en/</w:t>
      </w:r>
      <w:r>
        <w:br/>
      </w:r>
      <w:r>
        <w:t xml:space="preserve">106 Tokenisation platforms, stablecoin issuers, digital wallet providers, application providers.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2.2. WHAT ARE THE PROBLEM DRIVERS?</w:t>
      </w:r>
      <w:r>
        <w:t xml:space="preserve"> </w:t>
      </w:r>
      <w:r>
        <w:t xml:space="preserve">2.2.1. Barriers to cross-border operations and innovation</w:t>
      </w:r>
      <w:r>
        <w:t xml:space="preserve"> </w:t>
      </w:r>
      <w:r>
        <w:t xml:space="preserve">The barriers to cross-border operations and innovation include: (i) divergent rules and burdensome</w:t>
      </w:r>
      <w:r>
        <w:t xml:space="preserve"> </w:t>
      </w:r>
      <w:r>
        <w:t xml:space="preserve">requirements in the trading, post-trading, asset management sectors and in relation to DLT</w:t>
      </w:r>
      <w:r>
        <w:t xml:space="preserve"> </w:t>
      </w:r>
      <w:r>
        <w:t xml:space="preserve">innovation and (ii) limited direct interconnections specifically in post-trading.</w:t>
      </w:r>
      <w:r>
        <w:br/>
      </w:r>
      <w:r>
        <w:t xml:space="preserve">Divergent rules and burdensome requirements</w:t>
      </w:r>
      <w:r>
        <w:t xml:space="preserve"> </w:t>
      </w:r>
      <w:r>
        <w:t xml:space="preserve">In the trading sector, markets in financial instruments are governed by MiFID II (a Directive)</w:t>
      </w:r>
      <w:r>
        <w:t xml:space="preserve"> </w:t>
      </w:r>
      <w:r>
        <w:t xml:space="preserve">and MiFIR (a Regulation). Rules governing trading venues are not fully harmonised, and subject</w:t>
      </w:r>
      <w:r>
        <w:t xml:space="preserve"> </w:t>
      </w:r>
      <w:r>
        <w:t xml:space="preserve">to a certain degree of national discretion. This is notably true of the rules regarding</w:t>
      </w:r>
      <w:r>
        <w:br/>
      </w:r>
      <w:r>
        <w:t xml:space="preserve">the authorisation and operation of RMs as well as certain rules regarding MTFs and OTFs. By way</w:t>
      </w:r>
      <w:r>
        <w:t xml:space="preserve"> </w:t>
      </w:r>
      <w:r>
        <w:t xml:space="preserve">of example, national specificities and divergences in terms of procedures to approve amendments</w:t>
      </w:r>
      <w:r>
        <w:t xml:space="preserve"> </w:t>
      </w:r>
      <w:r>
        <w:t xml:space="preserve">to exchange rulebooks have been identified between Member States. Similarly, national</w:t>
      </w:r>
      <w:r>
        <w:t xml:space="preserve"> </w:t>
      </w:r>
      <w:r>
        <w:t xml:space="preserve">approaches diverge in relation to prudential requirements.107 This leads to high compliance costs</w:t>
      </w:r>
      <w:r>
        <w:t xml:space="preserve"> </w:t>
      </w:r>
      <w:r>
        <w:t xml:space="preserve">and fails to adequately incentivise or facilitate cross-border operation of trading infrastructures</w:t>
      </w:r>
      <w:r>
        <w:br/>
      </w:r>
      <w:r>
        <w:t xml:space="preserve">in the EU. 36 respondents to the targeted consultation, including three NCAs, 11 stock exchanges</w:t>
      </w:r>
      <w:r>
        <w:t xml:space="preserve"> </w:t>
      </w:r>
      <w:r>
        <w:t xml:space="preserve">and 10 investment firms consider further harmonisation rather needed or highly needed. The</w:t>
      </w:r>
      <w:r>
        <w:t xml:space="preserve"> </w:t>
      </w:r>
      <w:r>
        <w:t xml:space="preserve">absence of full harmonisation has also allowed several Member States to impose additional</w:t>
      </w:r>
      <w:r>
        <w:t xml:space="preserve"> </w:t>
      </w:r>
      <w:r>
        <w:t xml:space="preserve">requirements linked to the entities that can operate a RM on their territory,</w:t>
      </w:r>
      <w:r>
        <w:br/>
      </w:r>
      <w:r>
        <w:t xml:space="preserve">and to introduce national laws that require RMs to be operated by an entity with a seat in and</w:t>
      </w:r>
      <w:r>
        <w:t xml:space="preserve"> </w:t>
      </w:r>
      <w:r>
        <w:t xml:space="preserve">authorised by those Member States (for more details and specific examples, see Section 2.2.</w:t>
      </w:r>
      <w:r>
        <w:br/>
      </w:r>
      <w:r>
        <w:t xml:space="preserve">of Annex 7 ‘Trading’).</w:t>
      </w:r>
      <w:r>
        <w:br/>
      </w:r>
      <w:r>
        <w:t xml:space="preserve">Another example is the passporting rights for trading venues. Unlike the clear provisions</w:t>
      </w:r>
      <w:r>
        <w:br/>
      </w:r>
      <w:r>
        <w:t xml:space="preserve">for investment firms operating an MTF or OTF, the framework applicable to RMs lacks explicit</w:t>
      </w:r>
      <w:r>
        <w:t xml:space="preserve"> </w:t>
      </w:r>
      <w:r>
        <w:t xml:space="preserve">provisions about the rights of RMs to provide cross-border services in the EU based on their initial</w:t>
      </w:r>
      <w:r>
        <w:t xml:space="preserve"> </w:t>
      </w:r>
      <w:r>
        <w:t xml:space="preserve">license. Specifically, Articles 34 and 35 of MiFID II outline the freedom for investment firms to</w:t>
      </w:r>
      <w:r>
        <w:t xml:space="preserve"> </w:t>
      </w:r>
      <w:r>
        <w:t xml:space="preserve">provide services or establish branch, respectively, but similar clarity is absent for RMs.</w:t>
      </w:r>
      <w:r>
        <w:br/>
      </w:r>
      <w:r>
        <w:t xml:space="preserve">Therefore, the current framework creates uncertainty as regards the extent to which services</w:t>
      </w:r>
      <w:r>
        <w:t xml:space="preserve"> </w:t>
      </w:r>
      <w:r>
        <w:t xml:space="preserve">relating to RMs can be carried out on a cross-border basis under a single licence through</w:t>
      </w:r>
      <w:r>
        <w:br/>
      </w:r>
      <w:r>
        <w:t xml:space="preserve">the establishment of a branch, in particular by being silent on any other forms of arrangements,</w:t>
      </w:r>
      <w:r>
        <w:t xml:space="preserve"> </w:t>
      </w:r>
      <w:r>
        <w:t xml:space="preserve">such as the possibility to have a local presence without setting up a subsidiary authorised in another</w:t>
      </w:r>
      <w:r>
        <w:t xml:space="preserve"> </w:t>
      </w:r>
      <w:r>
        <w:t xml:space="preserve">Member State. In addition, beyond the passporting rights linked to each trading venue, the</w:t>
      </w:r>
      <w:r>
        <w:t xml:space="preserve"> </w:t>
      </w:r>
      <w:r>
        <w:t xml:space="preserve">requirement for authorisation at the level of each regulated market does not allow for the operation</w:t>
      </w:r>
      <w:r>
        <w:t xml:space="preserve"> </w:t>
      </w:r>
      <w:r>
        <w:t xml:space="preserve">of several regulated markets on the basis of one licence. This prevents the emergence of efficient</w:t>
      </w:r>
      <w:r>
        <w:t xml:space="preserve"> </w:t>
      </w:r>
      <w:r>
        <w:t xml:space="preserve">structures capable of operating markets in several Member States on the basis of a single licence</w:t>
      </w:r>
      <w:r>
        <w:t xml:space="preserve"> </w:t>
      </w:r>
      <w:r>
        <w:t xml:space="preserve">and, on this basis, under a single core supervisory relationship (for more details, see Section 2.2.</w:t>
      </w:r>
      <w:r>
        <w:t xml:space="preserve"> </w:t>
      </w:r>
      <w:r>
        <w:t xml:space="preserve">of Annex 7 ‘Trading’).</w:t>
      </w:r>
    </w:p>
    <w:p>
      <w:pPr>
        <w:pStyle w:val="BodyText"/>
      </w:pPr>
      <w:r>
        <w:t xml:space="preserve">107 Practices widely differ in that regard. Some NCAs do not require any form of ex ante approval, while others require</w:t>
      </w:r>
      <w:r>
        <w:t xml:space="preserve"> </w:t>
      </w:r>
      <w:r>
        <w:t xml:space="preserve">pre-approval of rules changes, and others even a pre-notification of proposed changes which then go through pre-</w:t>
      </w:r>
      <w:r>
        <w:t xml:space="preserve"> </w:t>
      </w:r>
      <w:r>
        <w:t xml:space="preserve">approval. This adds to the actual divergences in appreciation of changes by different NCAs for exact same cases (the</w:t>
      </w:r>
      <w:r>
        <w:t xml:space="preserve"> </w:t>
      </w:r>
      <w:r>
        <w:t xml:space="preserve">same change, notably in groups of exchanges, is often appreciated diversely by the various NCAs to which it needs to</w:t>
      </w:r>
      <w:r>
        <w:t xml:space="preserve"> </w:t>
      </w:r>
      <w:r>
        <w:t xml:space="preserve">be submitted).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Finally for the trading sector, the current MiFID II rules governing trading venues and their</w:t>
      </w:r>
      <w:r>
        <w:t xml:space="preserve"> </w:t>
      </w:r>
      <w:r>
        <w:t xml:space="preserve">operators do not recognise the operational specificities of group structures.108 Intra-group</w:t>
      </w:r>
      <w:r>
        <w:t xml:space="preserve"> </w:t>
      </w:r>
      <w:r>
        <w:t xml:space="preserve">allocation of resources is treated in the same way as outsourcing outside of the group. This in turn</w:t>
      </w:r>
      <w:r>
        <w:t xml:space="preserve"> </w:t>
      </w:r>
      <w:r>
        <w:t xml:space="preserve">reduces the potential to exploit economies of scale and hinders market-led consolidation (Section</w:t>
      </w:r>
      <w:r>
        <w:t xml:space="preserve"> </w:t>
      </w:r>
      <w:r>
        <w:t xml:space="preserve">2.2. of Annex 7 ‘Trading’).</w:t>
      </w:r>
      <w:r>
        <w:br/>
      </w:r>
      <w:r>
        <w:t xml:space="preserve">In the post-trading sector, despite settlement being governed by a Regulation (the CSDR),</w:t>
      </w:r>
      <w:r>
        <w:t xml:space="preserve"> </w:t>
      </w:r>
      <w:r>
        <w:t xml:space="preserve">regulatory barriers to cross-border settlement persist. For instance, national legal regimes may</w:t>
      </w:r>
      <w:r>
        <w:t xml:space="preserve"> </w:t>
      </w:r>
      <w:r>
        <w:t xml:space="preserve">impose additional restrictions on the freedom of issuance beyond the CSDR provisions. Moreover,</w:t>
      </w:r>
      <w:r>
        <w:t xml:space="preserve"> </w:t>
      </w:r>
      <w:r>
        <w:t xml:space="preserve">the passporting109 framework, intended to facilitate cross-border operations, remains costly</w:t>
      </w:r>
      <w:r>
        <w:br/>
      </w:r>
      <w:r>
        <w:t xml:space="preserve">and burdensome for CSDs wishing to operate in other Member States as national authorities</w:t>
      </w:r>
      <w:r>
        <w:t xml:space="preserve"> </w:t>
      </w:r>
      <w:r>
        <w:t xml:space="preserve">sometimes impose specific requirements that restrict the ability of CSDs to offer services across</w:t>
      </w:r>
      <w:r>
        <w:t xml:space="preserve"> </w:t>
      </w:r>
      <w:r>
        <w:t xml:space="preserve">borders (for more details see Section 3.2.1 of Annex 8 “Post-trade”). In addition, the CSDR does</w:t>
      </w:r>
      <w:r>
        <w:t xml:space="preserve"> </w:t>
      </w:r>
      <w:r>
        <w:t xml:space="preserve">not adequately account for market infrastructure groups110 from an operational, regulatory,</w:t>
      </w:r>
      <w:r>
        <w:br/>
      </w:r>
      <w:r>
        <w:t xml:space="preserve">and supervisory perspective. This makes it difficult for these corporate entities to reap the benefits</w:t>
      </w:r>
      <w:r>
        <w:t xml:space="preserve"> </w:t>
      </w:r>
      <w:r>
        <w:t xml:space="preserve">of consolidation and achieve economies of scale (Section 3.2.2 of Annex 8 “Post-trade”).</w:t>
      </w:r>
      <w:r>
        <w:t xml:space="preserve"> </w:t>
      </w:r>
      <w:r>
        <w:t xml:space="preserve">This was confirmed by the majority of respondents to the targeted consultation on post-trading,</w:t>
      </w:r>
      <w:r>
        <w:br/>
      </w:r>
      <w:r>
        <w:t xml:space="preserve">in particular CSDs and issuers. They identified a number of barriers to market integration</w:t>
      </w:r>
      <w:r>
        <w:br/>
      </w:r>
      <w:r>
        <w:t xml:space="preserve">and the cross-border provision of services, including with respect to freedom of issuance, the lack</w:t>
      </w:r>
      <w:r>
        <w:t xml:space="preserve"> </w:t>
      </w:r>
      <w:r>
        <w:t xml:space="preserve">of harmonized market practices, idiosyncratic national legal regimes, the complexity</w:t>
      </w:r>
      <w:r>
        <w:br/>
      </w:r>
      <w:r>
        <w:t xml:space="preserve">of establishing and maintaining links between settlement infrastructures, and the inability</w:t>
      </w:r>
      <w:r>
        <w:br/>
      </w:r>
      <w:r>
        <w:t xml:space="preserve">for corporate groups to reap the benefits of economies of scale as a result of consolidation.</w:t>
      </w:r>
      <w:r>
        <w:br/>
      </w:r>
      <w:r>
        <w:t xml:space="preserve">Settlement finality and financial collateral arrangements are governed by two Directives, the SFD</w:t>
      </w:r>
      <w:r>
        <w:t xml:space="preserve"> </w:t>
      </w:r>
      <w:r>
        <w:t xml:space="preserve">(a Directive) and the FCD (a Directive), respectively. National specificities and differences, e.g. </w:t>
      </w:r>
      <w:r>
        <w:t xml:space="preserve"> </w:t>
      </w:r>
      <w:r>
        <w:t xml:space="preserve">regarding the scope of securities and participants that benefit from protection under the SFD, have</w:t>
      </w:r>
      <w:r>
        <w:t xml:space="preserve"> </w:t>
      </w:r>
      <w:r>
        <w:t xml:space="preserve">led to legal uncertainty for cross-border securities transactions. The need for a more consistent</w:t>
      </w:r>
      <w:r>
        <w:br/>
      </w:r>
      <w:r>
        <w:t xml:space="preserve">and homogeneous approach was expressly mentioned by respondents to the consultation on the</w:t>
      </w:r>
      <w:r>
        <w:t xml:space="preserve"> </w:t>
      </w:r>
      <w:r>
        <w:t xml:space="preserve">review of the SFD and the FCD, in particular CCPs, fintechs, and traditional financial institutions.</w:t>
      </w:r>
      <w:r>
        <w:t xml:space="preserve"> </w:t>
      </w:r>
      <w:r>
        <w:t xml:space="preserve">In the asset management sector, the rules related to the management and marketing of UCITS</w:t>
      </w:r>
      <w:r>
        <w:t xml:space="preserve"> </w:t>
      </w:r>
      <w:r>
        <w:t xml:space="preserve">funds and AIFs are not fully harmonised partly because they are mainly regulated by Directives.</w:t>
      </w:r>
      <w:r>
        <w:t xml:space="preserve"> </w:t>
      </w:r>
      <w:r>
        <w:t xml:space="preserve">This provides Member States with national discretion in many areas. The Commission has</w:t>
      </w:r>
      <w:r>
        <w:t xml:space="preserve"> </w:t>
      </w:r>
      <w:r>
        <w:t xml:space="preserve">identified at least 20 instances of national discretion in UCITSD and AIFMD (see Appendix A</w:t>
      </w:r>
      <w:r>
        <w:br/>
      </w:r>
      <w:r>
        <w:t xml:space="preserve">to Annex 9 “Asset Management”), allowing Member States, for example, to impose additional</w:t>
      </w:r>
    </w:p>
    <w:p>
      <w:pPr>
        <w:pStyle w:val="BodyText"/>
      </w:pPr>
      <w:r>
        <w:t xml:space="preserve">108 ‘Group structure’ means entities that do not operate on the basis of a single licence and via passporting, but rather</w:t>
      </w:r>
      <w:r>
        <w:t xml:space="preserve"> </w:t>
      </w:r>
      <w:r>
        <w:t xml:space="preserve">operate via a number of subsidiaries in various Member States.</w:t>
      </w:r>
      <w:r>
        <w:t xml:space="preserve"> </w:t>
      </w:r>
      <w:r>
        <w:t xml:space="preserve">109 The EU passport principle is essential for EU capital market integration as it allows financial services entities</w:t>
      </w:r>
      <w:r>
        <w:t xml:space="preserve"> </w:t>
      </w:r>
      <w:r>
        <w:t xml:space="preserve">authorised in one Member State to offer their services and undertake activities in another Member State without any</w:t>
      </w:r>
      <w:r>
        <w:t xml:space="preserve"> </w:t>
      </w:r>
      <w:r>
        <w:t xml:space="preserve">additional authorisation.</w:t>
      </w:r>
      <w:r>
        <w:t xml:space="preserve"> </w:t>
      </w:r>
      <w:r>
        <w:t xml:space="preserve">110 Corporate entities that comprise multiple market infrastructures.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disclosure requirements in fund documentation, permit or prohibit ancillary services, or apply</w:t>
      </w:r>
      <w:r>
        <w:t xml:space="preserve"> </w:t>
      </w:r>
      <w:r>
        <w:t xml:space="preserve">different investment rules.111</w:t>
      </w:r>
      <w:r>
        <w:br/>
      </w:r>
      <w:r>
        <w:t xml:space="preserve">In addition, the CBDR allows Member States to diverge in areas such as regulatory fees</w:t>
      </w:r>
      <w:r>
        <w:br/>
      </w:r>
      <w:r>
        <w:t xml:space="preserve">and charges and the optionality for Member States to impose additional requirements for ex-ante</w:t>
      </w:r>
      <w:r>
        <w:t xml:space="preserve"> </w:t>
      </w:r>
      <w:r>
        <w:t xml:space="preserve">checks of marketing communications. National requirements and practices to appoint local</w:t>
      </w:r>
      <w:r>
        <w:t xml:space="preserve"> </w:t>
      </w:r>
      <w:r>
        <w:t xml:space="preserve">physical agents persist in many Member States, despite the intentions of the UCITSD and AIFMD,</w:t>
      </w:r>
      <w:r>
        <w:t xml:space="preserve"> </w:t>
      </w:r>
      <w:r>
        <w:t xml:space="preserve">resulting in significant additional cost for passporting funds in the single market.112</w:t>
      </w:r>
      <w:r>
        <w:br/>
      </w:r>
      <w:r>
        <w:t xml:space="preserve">The majority of asset managers and professional associations113 responding to the consultation</w:t>
      </w:r>
      <w:r>
        <w:t xml:space="preserve"> </w:t>
      </w:r>
      <w:r>
        <w:t xml:space="preserve">mentioned divergent UCITS authorisation practices across Member States and NCAs, noting that</w:t>
      </w:r>
      <w:r>
        <w:t xml:space="preserve"> </w:t>
      </w:r>
      <w:r>
        <w:t xml:space="preserve">inconsistencies in procedures, information requirements and timelines create complexity and</w:t>
      </w:r>
      <w:r>
        <w:t xml:space="preserve"> </w:t>
      </w:r>
      <w:r>
        <w:t xml:space="preserve">inefficiencies. The majority also indicated that the current marketing passport provisions are not</w:t>
      </w:r>
      <w:r>
        <w:t xml:space="preserve"> </w:t>
      </w:r>
      <w:r>
        <w:t xml:space="preserve">uniformly applied across Member States, and are not sufficiently simple or proportionate, thereby</w:t>
      </w:r>
      <w:r>
        <w:t xml:space="preserve"> </w:t>
      </w:r>
      <w:r>
        <w:t xml:space="preserve">creating inefficiencies in the provision of the relevant services. One of the largest asset managers</w:t>
      </w:r>
      <w:r>
        <w:t xml:space="preserve"> </w:t>
      </w:r>
      <w:r>
        <w:t xml:space="preserve">in the Nordic region specifically mentioned challenges in processing passporting notifications,</w:t>
      </w:r>
      <w:r>
        <w:t xml:space="preserve"> </w:t>
      </w:r>
      <w:r>
        <w:t xml:space="preserve">necessitating a one-month timeframe before it can effectively begin marketing investment funds</w:t>
      </w:r>
      <w:r>
        <w:t xml:space="preserve"> </w:t>
      </w:r>
      <w:r>
        <w:t xml:space="preserve">in host Member States due to frequent delays in the notification process.</w:t>
      </w:r>
      <w:r>
        <w:br/>
      </w:r>
      <w:r>
        <w:t xml:space="preserve">In addition, the AIFMD and UCITSD frameworks allow for limited cross-border access</w:t>
      </w:r>
      <w:r>
        <w:br/>
      </w:r>
      <w:r>
        <w:t xml:space="preserve">of depositary services for funds in the EU, which leads to market fragmentation and particularly</w:t>
      </w:r>
      <w:r>
        <w:t xml:space="preserve"> </w:t>
      </w:r>
      <w:r>
        <w:t xml:space="preserve">impacts smaller Member States. AIFMs and UCITS are required to appoint a single depositary</w:t>
      </w:r>
      <w:r>
        <w:t xml:space="preserve"> </w:t>
      </w:r>
      <w:r>
        <w:t xml:space="preserve">that must be established or have its registered office in the country where the fund is domiciled.</w:t>
      </w:r>
      <w:r>
        <w:t xml:space="preserve"> </w:t>
      </w:r>
      <w:r>
        <w:t xml:space="preserve">UCITS are not allowed to appoint a depositary in a Member State other than their home Member</w:t>
      </w:r>
      <w:r>
        <w:t xml:space="preserve"> </w:t>
      </w:r>
      <w:r>
        <w:t xml:space="preserve">State. This may result in discouraging fund promoters from establishing UCITS in Member States</w:t>
      </w:r>
      <w:r>
        <w:t xml:space="preserve"> </w:t>
      </w:r>
      <w:r>
        <w:t xml:space="preserve">where the depositary market is underdeveloped.</w:t>
      </w:r>
      <w:r>
        <w:br/>
      </w:r>
      <w:r>
        <w:t xml:space="preserve">For AIFs, the co-legislators have recently amended the AIFMD to introduce a derogation allowing</w:t>
      </w:r>
      <w:r>
        <w:t xml:space="preserve"> </w:t>
      </w:r>
      <w:r>
        <w:t xml:space="preserve">certain AIFMs in certain Member States to appoint a depositary in a Member State other than the</w:t>
      </w:r>
      <w:r>
        <w:t xml:space="preserve"> </w:t>
      </w:r>
      <w:r>
        <w:t xml:space="preserve">Member State of the AIF.114 However, this option is subject to strict conditions: it depends</w:t>
      </w:r>
      <w:r>
        <w:br/>
      </w:r>
      <w:r>
        <w:t xml:space="preserve">on the discretion of the AIF’s home Member State to permit the appointment of a depositary</w:t>
      </w:r>
      <w:r>
        <w:t xml:space="preserve"> </w:t>
      </w:r>
      <w:r>
        <w:t xml:space="preserve">established in another Member State, and it is only available where the domestic market falls below</w:t>
      </w:r>
      <w:r>
        <w:t xml:space="preserve"> </w:t>
      </w:r>
      <w:r>
        <w:t xml:space="preserve">a EUR 50 billion threshold of assets safekept by depositaries on behalf of AIFs. These stringent</w:t>
      </w:r>
      <w:r>
        <w:t xml:space="preserve"> </w:t>
      </w:r>
      <w:r>
        <w:t xml:space="preserve">conditions significantly limit the possibility of appointing a depositary in another Member States</w:t>
      </w:r>
      <w:r>
        <w:t xml:space="preserve"> </w:t>
      </w:r>
      <w:r>
        <w:t xml:space="preserve">than the AIF’s home Member State.</w:t>
      </w:r>
    </w:p>
    <w:p>
      <w:pPr>
        <w:pStyle w:val="BodyText"/>
      </w:pPr>
      <w:r>
        <w:t xml:space="preserve">111 The UCITS Directive sets investment limits to protect investors by promoting diversification, but stakeholders</w:t>
      </w:r>
      <w:r>
        <w:t xml:space="preserve"> </w:t>
      </w:r>
      <w:r>
        <w:t xml:space="preserve">(mainly industry associations and some asset managers) argue some rules hinder market development. For example,</w:t>
      </w:r>
      <w:r>
        <w:t xml:space="preserve"> </w:t>
      </w:r>
      <w:r>
        <w:t xml:space="preserve">the 10% cap on debt securities from a single issuer (Article 56(2)(b)) affects investments in securitisations, which are</w:t>
      </w:r>
      <w:r>
        <w:t xml:space="preserve"> </w:t>
      </w:r>
      <w:r>
        <w:t xml:space="preserve">now highly regulated and diversified. Many asset managers view the rule as outdated and overly restrictive, while</w:t>
      </w:r>
      <w:r>
        <w:t xml:space="preserve"> </w:t>
      </w:r>
      <w:r>
        <w:t xml:space="preserve">others stress UCITS’ retail nature and caution against greater exposure (for more details, see Annex 9).</w:t>
      </w:r>
      <w:r>
        <w:t xml:space="preserve"> </w:t>
      </w:r>
      <w:r>
        <w:t xml:space="preserve">112 Information provided by a mid-sized asset manager and a prominent industry association shows an average annual</w:t>
      </w:r>
      <w:r>
        <w:t xml:space="preserve"> </w:t>
      </w:r>
      <w:r>
        <w:t xml:space="preserve">cost of EUR 42,500 for appointing a local physical agent in one Member State, with the highest reported cost for one</w:t>
      </w:r>
      <w:r>
        <w:t xml:space="preserve"> </w:t>
      </w:r>
      <w:r>
        <w:t xml:space="preserve">Member State being EUR 80,000. One large asset manager reported such requirements in Austria, Germany, Italy,</w:t>
      </w:r>
      <w:r>
        <w:t xml:space="preserve"> </w:t>
      </w:r>
      <w:r>
        <w:t xml:space="preserve">Spain, Poland and Portugal and desk-based research shows that at least 11 Member States require the appointment a</w:t>
      </w:r>
      <w:r>
        <w:t xml:space="preserve"> </w:t>
      </w:r>
      <w:r>
        <w:t xml:space="preserve">local agent in respect of UCITS and AIFs for varying reasons.</w:t>
      </w:r>
      <w:r>
        <w:br/>
      </w:r>
      <w:r>
        <w:t xml:space="preserve">113 The consultation asked stakeholders if divergent practices arise in the authorisation framework for UCITS across</w:t>
      </w:r>
      <w:r>
        <w:t xml:space="preserve"> </w:t>
      </w:r>
      <w:r>
        <w:t xml:space="preserve">Member States. Of the 29 replies, 17 answered yes and 12 were neutral. No stakeholder replied no.</w:t>
      </w:r>
      <w:r>
        <w:br/>
      </w:r>
      <w:r>
        <w:t xml:space="preserve">114 Article 21(5a) of AIFMD, introduced by Directive (EU) 2024/927.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Furthermore, the UCITS and AIFMD frameworks do not recognise the group dimension in asset</w:t>
      </w:r>
      <w:r>
        <w:t xml:space="preserve"> </w:t>
      </w:r>
      <w:r>
        <w:t xml:space="preserve">management, as authorisations apply to individual companies rather than groups,</w:t>
      </w:r>
      <w:r>
        <w:br/>
      </w:r>
      <w:r>
        <w:t xml:space="preserve">with organisational requirements having to be met at the level of each individual management</w:t>
      </w:r>
      <w:r>
        <w:t xml:space="preserve"> </w:t>
      </w:r>
      <w:r>
        <w:t xml:space="preserve">company. In addition, intra-group delegations – where an asset management company delegates</w:t>
      </w:r>
      <w:r>
        <w:t xml:space="preserve"> </w:t>
      </w:r>
      <w:r>
        <w:t xml:space="preserve">some functions or tasks within the group – are treated the same as third-party delegations, where</w:t>
      </w:r>
      <w:r>
        <w:t xml:space="preserve"> </w:t>
      </w:r>
      <w:r>
        <w:t xml:space="preserve">an asset management company delegates those functions or tasks to third parties. This requires full</w:t>
      </w:r>
      <w:r>
        <w:t xml:space="preserve"> </w:t>
      </w:r>
      <w:r>
        <w:t xml:space="preserve">due diligence and monitoring, which is seen by many stakeholders as disproportionate and a major</w:t>
      </w:r>
      <w:r>
        <w:t xml:space="preserve"> </w:t>
      </w:r>
      <w:r>
        <w:t xml:space="preserve">barrier to consolidating functions within groups. Moreover, although the AIFMD and UCITSD</w:t>
      </w:r>
      <w:r>
        <w:t xml:space="preserve"> </w:t>
      </w:r>
      <w:r>
        <w:t xml:space="preserve">frameworks have established harmonised rules for the authorisation of fund management</w:t>
      </w:r>
      <w:r>
        <w:t xml:space="preserve"> </w:t>
      </w:r>
      <w:r>
        <w:t xml:space="preserve">companies and for the information to be submitted to national competent authorities, divergent</w:t>
      </w:r>
      <w:r>
        <w:t xml:space="preserve"> </w:t>
      </w:r>
      <w:r>
        <w:t xml:space="preserve">national practices in the authorisation process continue to persist. A large majority of asset</w:t>
      </w:r>
      <w:r>
        <w:t xml:space="preserve"> </w:t>
      </w:r>
      <w:r>
        <w:t xml:space="preserve">managers and professional associations that responded to the consultation reported facing such</w:t>
      </w:r>
      <w:r>
        <w:t xml:space="preserve"> </w:t>
      </w:r>
      <w:r>
        <w:t xml:space="preserve">divergences, which undermine the management passport and complicate cross-border operations.</w:t>
      </w:r>
      <w:r>
        <w:t xml:space="preserve"> </w:t>
      </w:r>
      <w:r>
        <w:t xml:space="preserve">Of the stakeholders that replied to the consultation question on consistency115, 37 respondents</w:t>
      </w:r>
      <w:r>
        <w:t xml:space="preserve"> </w:t>
      </w:r>
      <w:r>
        <w:t xml:space="preserve">(comprised mainly of fund associations and asset managers) responded negatively, i.e. suggesting</w:t>
      </w:r>
      <w:r>
        <w:t xml:space="preserve"> </w:t>
      </w:r>
      <w:r>
        <w:t xml:space="preserve">that the current authorisation processes / supervision for management companies under</w:t>
      </w:r>
      <w:r>
        <w:t xml:space="preserve"> </w:t>
      </w:r>
      <w:r>
        <w:t xml:space="preserve">AIFMD/UCITSD are not applied in a consistent way across Member States.</w:t>
      </w:r>
      <w:r>
        <w:t xml:space="preserve"> </w:t>
      </w:r>
      <w:r>
        <w:t xml:space="preserve">One large asset manager, authorised in four Member States and operating branches in seven</w:t>
      </w:r>
      <w:r>
        <w:t xml:space="preserve"> </w:t>
      </w:r>
      <w:r>
        <w:t xml:space="preserve">Member States, reported that it sees merit in recognising the notion of asset management group</w:t>
      </w:r>
      <w:r>
        <w:br/>
      </w:r>
      <w:r>
        <w:t xml:space="preserve">in the specific case of intra-group delegation arrangements to avoid duplication of reporting,</w:t>
      </w:r>
      <w:r>
        <w:t xml:space="preserve"> </w:t>
      </w:r>
      <w:r>
        <w:t xml:space="preserve">including to the same NCA. The asset manager noted that reporting only once, instead of twice,</w:t>
      </w:r>
      <w:r>
        <w:t xml:space="preserve"> </w:t>
      </w:r>
      <w:r>
        <w:t xml:space="preserve">on the same matters would substantially reduce the regulatory burden.</w:t>
      </w:r>
      <w:r>
        <w:t xml:space="preserve"> </w:t>
      </w:r>
      <w:r>
        <w:t xml:space="preserve">In the innovation area, the DLTPR imposes heavy compliance rules on small businesses and start-</w:t>
      </w:r>
      <w:r>
        <w:t xml:space="preserve"> </w:t>
      </w:r>
      <w:r>
        <w:t xml:space="preserve">ups that may not be well-adapted to the gradual scaling of operations and the specificities of DLT.</w:t>
      </w:r>
      <w:r>
        <w:t xml:space="preserve"> </w:t>
      </w:r>
      <w:r>
        <w:t xml:space="preserve">In addition, the DLTPR lays down stringent limitations on the scope and scale of the activity that</w:t>
      </w:r>
      <w:r>
        <w:t xml:space="preserve"> </w:t>
      </w:r>
      <w:r>
        <w:t xml:space="preserve">can be conducted by the participants in the DLTPR. It does so, for example, by introducing</w:t>
      </w:r>
      <w:r>
        <w:t xml:space="preserve"> </w:t>
      </w:r>
      <w:r>
        <w:t xml:space="preserve">aggregate limits to the activity of an infrastructure operating under the DLTPR and restricting the</w:t>
      </w:r>
      <w:r>
        <w:t xml:space="preserve"> </w:t>
      </w:r>
      <w:r>
        <w:t xml:space="preserve">type and issuance size of assets that can be intermediated under the DLTPR. Furthermore, market</w:t>
      </w:r>
      <w:r>
        <w:t xml:space="preserve"> </w:t>
      </w:r>
      <w:r>
        <w:t xml:space="preserve">participants do not have clarity about the long-term prospects for the DLTPR, given</w:t>
      </w:r>
      <w:r>
        <w:br/>
      </w:r>
      <w:r>
        <w:t xml:space="preserve">its experimental nature and certain time-limitations set out in the regulation.</w:t>
      </w:r>
      <w:r>
        <w:t xml:space="preserve"> </w:t>
      </w:r>
      <w:r>
        <w:t xml:space="preserve">In addition, innovation in the post-trade sector is challenged by existing legislation that has become</w:t>
      </w:r>
      <w:r>
        <w:t xml:space="preserve"> </w:t>
      </w:r>
      <w:r>
        <w:t xml:space="preserve">burdensome as post-trade legislation has not kept pace with technological advancements.</w:t>
      </w:r>
      <w:r>
        <w:br/>
      </w:r>
      <w:r>
        <w:t xml:space="preserve">For instance, certain definition and concepts do not accommodate DLT-based records</w:t>
      </w:r>
      <w:r>
        <w:br/>
      </w:r>
      <w:r>
        <w:t xml:space="preserve">and transactions. This results in legal uncertainties, mainly around key concepts, definition</w:t>
      </w:r>
      <w:r>
        <w:br/>
      </w:r>
      <w:r>
        <w:t xml:space="preserve">and requirements in the CSDR, SFD, and FCD (for more details on these specific barriers, see</w:t>
      </w:r>
      <w:r>
        <w:t xml:space="preserve"> </w:t>
      </w:r>
      <w:r>
        <w:t xml:space="preserve">Section 3.2.1 of Annex 10 ‘Innovation’).</w:t>
      </w:r>
      <w:r>
        <w:t xml:space="preserve"> </w:t>
      </w:r>
      <w:r>
        <w:t xml:space="preserve">Limited direct interconnections</w:t>
      </w:r>
      <w:r>
        <w:t xml:space="preserve"> </w:t>
      </w:r>
      <w:r>
        <w:t xml:space="preserve">In the post-trading sector, more than 150 links between EU CSDs have been established.116 There</w:t>
      </w:r>
      <w:r>
        <w:t xml:space="preserve"> </w:t>
      </w:r>
      <w:r>
        <w:t xml:space="preserve">were on average 4.3 links for CSDs other than ICSDs in 2022. At the same time, out of 32 CSDs</w:t>
      </w:r>
    </w:p>
    <w:p>
      <w:pPr>
        <w:pStyle w:val="BodyText"/>
      </w:pPr>
      <w:r>
        <w:t xml:space="preserve">115 Question 16 asked: Are the current authorisation processes / supervision for management companies under</w:t>
      </w:r>
      <w:r>
        <w:t xml:space="preserve"> </w:t>
      </w:r>
      <w:r>
        <w:t xml:space="preserve">AIFMD/UCITSD applied in a consistent way across Member States? No: 37, Yes: 8.</w:t>
      </w:r>
      <w:r>
        <w:t xml:space="preserve"> </w:t>
      </w:r>
      <w:r>
        <w:t xml:space="preserve">116 See the 2024 ESMA report on the provision of cross-border services by CSDs.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operating in the EU, only 23 are connected to T2S and transactions settled through it represent less</w:t>
      </w:r>
      <w:r>
        <w:t xml:space="preserve"> </w:t>
      </w:r>
      <w:r>
        <w:t xml:space="preserve">than 30% of the value of securities transactions settled in all CSDs.117 Consequently, the current</w:t>
      </w:r>
      <w:r>
        <w:t xml:space="preserve"> </w:t>
      </w:r>
      <w:r>
        <w:t xml:space="preserve">level of cross-CSD settlement via T2S remains low. Costs of joining T2S range between EUR 23</w:t>
      </w:r>
      <w:r>
        <w:t xml:space="preserve"> </w:t>
      </w:r>
      <w:r>
        <w:t xml:space="preserve">million and EUR 113 million, more than half of which can be attributed to IT development.</w:t>
      </w:r>
      <w:r>
        <w:br/>
      </w:r>
      <w:r>
        <w:t xml:space="preserve">In addition, maintenance costs can be up to EUR 1 million per year.118 This lack of</w:t>
      </w:r>
      <w:r>
        <w:t xml:space="preserve"> </w:t>
      </w:r>
      <w:r>
        <w:t xml:space="preserve">interconnectedness of EU markets and sub-optimal use of T2S continues to fragment the market</w:t>
      </w:r>
      <w:r>
        <w:t xml:space="preserve"> </w:t>
      </w:r>
      <w:r>
        <w:t xml:space="preserve">and entails missed opportunities, also for investors (for more details, see Section 3.2.4 of Annex 8</w:t>
      </w:r>
      <w:r>
        <w:t xml:space="preserve"> </w:t>
      </w:r>
      <w:r>
        <w:t xml:space="preserve">‘Post-trade’).</w:t>
      </w:r>
      <w:r>
        <w:br/>
      </w:r>
      <w:r>
        <w:t xml:space="preserve">Several stakeholders, in particular CSDs, point to a range of issues that prevent seamless cross-</w:t>
      </w:r>
      <w:r>
        <w:t xml:space="preserve"> </w:t>
      </w:r>
      <w:r>
        <w:t xml:space="preserve">border settlement, including the burden of establishing links and the refusal by CSDs to establish</w:t>
      </w:r>
      <w:r>
        <w:t xml:space="preserve"> </w:t>
      </w:r>
      <w:r>
        <w:t xml:space="preserve">links, which in turn leads to an insufficient number of links. These links, which form the bedrock</w:t>
      </w:r>
      <w:r>
        <w:t xml:space="preserve"> </w:t>
      </w:r>
      <w:r>
        <w:t xml:space="preserve">of the interconnectedness in the settlement landscape (along with T2S), have a cost associated with</w:t>
      </w:r>
      <w:r>
        <w:t xml:space="preserve"> </w:t>
      </w:r>
      <w:r>
        <w:t xml:space="preserve">their establishment. Divergences in the interpretation of CSDR by authorities and in national legal</w:t>
      </w:r>
      <w:r>
        <w:t xml:space="preserve"> </w:t>
      </w:r>
      <w:r>
        <w:t xml:space="preserve">frameworks (also related to corporate, tax, and securities laws) require CSDs to conduct legal</w:t>
      </w:r>
      <w:r>
        <w:t xml:space="preserve"> </w:t>
      </w:r>
      <w:r>
        <w:t xml:space="preserve">assessments to ensure that cross-border settlement complies with the laws of the relevant Member</w:t>
      </w:r>
      <w:r>
        <w:t xml:space="preserve"> </w:t>
      </w:r>
      <w:r>
        <w:t xml:space="preserve">States. As discussed in Section 3.2.4 of Annex 8, this legal work represents a substantial portion</w:t>
      </w:r>
      <w:r>
        <w:t xml:space="preserve"> </w:t>
      </w:r>
      <w:r>
        <w:t xml:space="preserve">of the total costs of establishing links (which are estimated to be somewhere in the range of EUR</w:t>
      </w:r>
      <w:r>
        <w:t xml:space="preserve"> </w:t>
      </w:r>
      <w:r>
        <w:t xml:space="preserve">30 000 to EUR 60 000119). The legal work can be up to EUR 30 000120 per assessment for a given</w:t>
      </w:r>
      <w:r>
        <w:t xml:space="preserve"> </w:t>
      </w:r>
      <w:r>
        <w:t xml:space="preserve">Member State’s legal framework. These divergences in legal regimes therefore have a direct</w:t>
      </w:r>
      <w:r>
        <w:t xml:space="preserve"> </w:t>
      </w:r>
      <w:r>
        <w:t xml:space="preserve">implication on the interconnectedness of the settlement landscape and weaken the economic</w:t>
      </w:r>
      <w:r>
        <w:t xml:space="preserve"> </w:t>
      </w:r>
      <w:r>
        <w:t xml:space="preserve">incentive for the establishment of links, with the consequence that a higher prospective volume of</w:t>
      </w:r>
      <w:r>
        <w:t xml:space="preserve"> </w:t>
      </w:r>
      <w:r>
        <w:t xml:space="preserve">settlement activity would be required in order to justify the expense. There must be an economic</w:t>
      </w:r>
      <w:r>
        <w:t xml:space="preserve"> </w:t>
      </w:r>
      <w:r>
        <w:t xml:space="preserve">incentive for the establishment of a given link (i.e. its cost must be justified with an expectation</w:t>
      </w:r>
      <w:r>
        <w:t xml:space="preserve"> </w:t>
      </w:r>
      <w:r>
        <w:t xml:space="preserve">that sufficient settlement volumes will be processed through it). However, once a link is</w:t>
      </w:r>
      <w:r>
        <w:t xml:space="preserve"> </w:t>
      </w:r>
      <w:r>
        <w:t xml:space="preserve">established, it offers broader benefits as it enables the participants in one CSD to seamlessly invest</w:t>
      </w:r>
      <w:r>
        <w:t xml:space="preserve"> </w:t>
      </w:r>
      <w:r>
        <w:t xml:space="preserve">in securities that are held in custody in the connected CSD.</w:t>
      </w:r>
      <w:r>
        <w:br/>
      </w:r>
      <w:r>
        <w:t xml:space="preserve">As regards limited interconnection, it is important to underline that trading and post-trading</w:t>
      </w:r>
      <w:r>
        <w:t xml:space="preserve"> </w:t>
      </w:r>
      <w:r>
        <w:t xml:space="preserve">connection arrangements are closely intertwined. For market participants to be able to trade on a</w:t>
      </w:r>
      <w:r>
        <w:t xml:space="preserve"> </w:t>
      </w:r>
      <w:r>
        <w:t xml:space="preserve">given trading venue, notably an incumbent national exchange, they must be able to settle such</w:t>
      </w:r>
      <w:r>
        <w:t xml:space="preserve"> </w:t>
      </w:r>
      <w:r>
        <w:t xml:space="preserve">trades. This requires having arrangements in place to ensure a form of connection to the issuer</w:t>
      </w:r>
      <w:r>
        <w:t xml:space="preserve"> </w:t>
      </w:r>
      <w:r>
        <w:t xml:space="preserve">CSD of the securities listed on the incumbent exchange. Having in place such arrangements is</w:t>
      </w:r>
      <w:r>
        <w:t xml:space="preserve"> </w:t>
      </w:r>
      <w:r>
        <w:t xml:space="preserve">generally a key element of the membership requirements for exchanges, as it underpins the orderly</w:t>
      </w:r>
      <w:r>
        <w:t xml:space="preserve"> </w:t>
      </w:r>
      <w:r>
        <w:t xml:space="preserve">and efficient execution of trades. Therefore, interconnection in the trading sphere and in the post-</w:t>
      </w:r>
      <w:r>
        <w:t xml:space="preserve"> </w:t>
      </w:r>
      <w:r>
        <w:t xml:space="preserve">trading space are highly dependent on each other, and more seamless trading across borders</w:t>
      </w:r>
      <w:r>
        <w:t xml:space="preserve"> </w:t>
      </w:r>
      <w:r>
        <w:t xml:space="preserve">requires interconnections and the removal of barriers in post-trading.</w:t>
      </w:r>
    </w:p>
    <w:p>
      <w:pPr>
        <w:pStyle w:val="BodyText"/>
      </w:pPr>
      <w:r>
        <w:t xml:space="preserve">117 Estimates based on the data from ECB Securities Settlement Statistics, see: Securities trading, clearing and</w:t>
      </w:r>
      <w:r>
        <w:t xml:space="preserve"> </w:t>
      </w:r>
      <w:r>
        <w:t xml:space="preserve">settlement.</w:t>
      </w:r>
      <w:r>
        <w:t xml:space="preserve"> </w:t>
      </w:r>
      <w:r>
        <w:t xml:space="preserve">118 Confidential data provided to DG FISMA services.</w:t>
      </w:r>
      <w:r>
        <w:t xml:space="preserve"> </w:t>
      </w:r>
      <w:r>
        <w:t xml:space="preserve">119 For two CSDs with similar IT systems, harmonised messaging standards and minimal divergences in legal</w:t>
      </w:r>
      <w:r>
        <w:t xml:space="preserve"> </w:t>
      </w:r>
      <w:r>
        <w:t xml:space="preserve">frameworks that wish to establish a link for a narrow set of instruments and straightforward services (e.g. for settling</w:t>
      </w:r>
      <w:r>
        <w:t xml:space="preserve"> </w:t>
      </w:r>
      <w:r>
        <w:t xml:space="preserve">government bonds with standard interest payments).</w:t>
      </w:r>
      <w:r>
        <w:t xml:space="preserve"> </w:t>
      </w:r>
      <w:r>
        <w:t xml:space="preserve">120 Confidential information provided to DG FISMA services.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2.2.2. Non-aligned supervisory practices and weak tools and powers at EU level</w:t>
      </w:r>
      <w:r>
        <w:t xml:space="preserve"> </w:t>
      </w:r>
      <w:r>
        <w:t xml:space="preserve">Supervision across the EU remains fragmented. This fragmentation stems primarily from two</w:t>
      </w:r>
      <w:r>
        <w:t xml:space="preserve"> </w:t>
      </w:r>
      <w:r>
        <w:t xml:space="preserve">factors: first, non-aligned supervisory practices and interpretations of EU rules among national</w:t>
      </w:r>
      <w:r>
        <w:t xml:space="preserve"> </w:t>
      </w:r>
      <w:r>
        <w:t xml:space="preserve">authorities; and second, the limited tools and powers available at EU level to ensure supervisory</w:t>
      </w:r>
      <w:r>
        <w:t xml:space="preserve"> </w:t>
      </w:r>
      <w:r>
        <w:t xml:space="preserve">convergence and promote a coherent, cross-border approach. Together, these factors hinder market</w:t>
      </w:r>
      <w:r>
        <w:t xml:space="preserve"> </w:t>
      </w:r>
      <w:r>
        <w:t xml:space="preserve">integration and scale, leading to supervision that is less efficient and less effective overall.</w:t>
      </w:r>
      <w:r>
        <w:br/>
      </w:r>
      <w:r>
        <w:t xml:space="preserve">Non-aligned supervisory practices and interpretations across Member States</w:t>
      </w:r>
      <w:r>
        <w:t xml:space="preserve"> </w:t>
      </w:r>
      <w:r>
        <w:t xml:space="preserve">Supervision of financial entities is largely conducted at the national level, resulting in a fragmented</w:t>
      </w:r>
      <w:r>
        <w:t xml:space="preserve"> </w:t>
      </w:r>
      <w:r>
        <w:t xml:space="preserve">supervisory landscape. Member states often transpose, interpret and apply EU law differently,</w:t>
      </w:r>
      <w:r>
        <w:t xml:space="preserve"> </w:t>
      </w:r>
      <w:r>
        <w:t xml:space="preserve">leading to inconsistent regulatory outcomes and an uneven playing field. Even when the legal</w:t>
      </w:r>
      <w:r>
        <w:t xml:space="preserve"> </w:t>
      </w:r>
      <w:r>
        <w:t xml:space="preserve">framework is harmonised at EU level by Regulations, instead of Directives, the application of</w:t>
      </w:r>
      <w:r>
        <w:t xml:space="preserve"> </w:t>
      </w:r>
      <w:r>
        <w:t xml:space="preserve">these harmonised rules by national authorities is not uniform and leads to divergent supervisory</w:t>
      </w:r>
      <w:r>
        <w:t xml:space="preserve"> </w:t>
      </w:r>
      <w:r>
        <w:t xml:space="preserve">practices, approaches and requirements. While enforcement actions, such as infringements, can</w:t>
      </w:r>
      <w:r>
        <w:t xml:space="preserve"> </w:t>
      </w:r>
      <w:r>
        <w:t xml:space="preserve">address specific instances of non-compliance, they are not sufficient to address the underlying</w:t>
      </w:r>
      <w:r>
        <w:t xml:space="preserve"> </w:t>
      </w:r>
      <w:r>
        <w:t xml:space="preserve">issues of non-aligned supervisory practices, as they are often reactive, time-consuming, and may</w:t>
      </w:r>
      <w:r>
        <w:t xml:space="preserve"> </w:t>
      </w:r>
      <w:r>
        <w:t xml:space="preserve">not prevent similar divergences from arising in the future.</w:t>
      </w:r>
      <w:r>
        <w:t xml:space="preserve"> </w:t>
      </w:r>
      <w:r>
        <w:t xml:space="preserve">In the trading sector, divergence persists in interpreting the MiFID II/MiFIR rules. For example,</w:t>
      </w:r>
      <w:r>
        <w:t xml:space="preserve"> </w:t>
      </w:r>
      <w:r>
        <w:t xml:space="preserve">some Member States only require a notification of exchange rulebooks. In contrast, other Member</w:t>
      </w:r>
      <w:r>
        <w:t xml:space="preserve"> </w:t>
      </w:r>
      <w:r>
        <w:t xml:space="preserve">States require regulatory pre-approval of exchange rulebooks, as well as of their subsequent</w:t>
      </w:r>
      <w:r>
        <w:t xml:space="preserve"> </w:t>
      </w:r>
      <w:r>
        <w:t xml:space="preserve">amendments, which can delay product launches, thereby putting trading venues operating in these</w:t>
      </w:r>
      <w:r>
        <w:t xml:space="preserve"> </w:t>
      </w:r>
      <w:r>
        <w:t xml:space="preserve">Member States at a significant competitive disadvantage. 35 respondents (including 3 NCAs, 6</w:t>
      </w:r>
      <w:r>
        <w:t xml:space="preserve"> </w:t>
      </w:r>
      <w:r>
        <w:t xml:space="preserve">stock exchanges as well as associations of asset managers, banks and retail investors) to the</w:t>
      </w:r>
      <w:r>
        <w:t xml:space="preserve"> </w:t>
      </w:r>
      <w:r>
        <w:t xml:space="preserve">targeted consultation therefore call for further harmonisation in this regard. Cross-border trading</w:t>
      </w:r>
      <w:r>
        <w:t xml:space="preserve"> </w:t>
      </w:r>
      <w:r>
        <w:t xml:space="preserve">groups are burdened with duplicative oversight, often having to maintain redundant local</w:t>
      </w:r>
      <w:r>
        <w:t xml:space="preserve"> </w:t>
      </w:r>
      <w:r>
        <w:t xml:space="preserve">compliance and risk teams due to inconsistent outsourcing rules. This results in operational</w:t>
      </w:r>
      <w:r>
        <w:t xml:space="preserve"> </w:t>
      </w:r>
      <w:r>
        <w:t xml:space="preserve">inefficiencies and missed opportunities, also in terms of economies of scale, due to regulatory</w:t>
      </w:r>
      <w:r>
        <w:t xml:space="preserve"> </w:t>
      </w:r>
      <w:r>
        <w:t xml:space="preserve">delays.</w:t>
      </w:r>
      <w:r>
        <w:t xml:space="preserve"> </w:t>
      </w:r>
      <w:r>
        <w:t xml:space="preserve">In the post-trading sector, and specifically in the settlement space, there are inconsistencies in how</w:t>
      </w:r>
      <w:r>
        <w:t xml:space="preserve"> </w:t>
      </w:r>
      <w:r>
        <w:t xml:space="preserve">national authorities interpret requirements under the CSDR. For example, CSD respondents to the</w:t>
      </w:r>
      <w:r>
        <w:t xml:space="preserve"> </w:t>
      </w:r>
      <w:r>
        <w:t xml:space="preserve">targeted consultation highlighted that there are significant differences in how authorities identify</w:t>
      </w:r>
      <w:r>
        <w:t xml:space="preserve"> </w:t>
      </w:r>
      <w:r>
        <w:t xml:space="preserve">outsourcing arrangements of core services and the requirements that they apply to these</w:t>
      </w:r>
      <w:r>
        <w:t xml:space="preserve"> </w:t>
      </w:r>
      <w:r>
        <w:t xml:space="preserve">arrangements. In some jurisdictions staff sharing among entities within a given corporate group is</w:t>
      </w:r>
      <w:r>
        <w:t xml:space="preserve"> </w:t>
      </w:r>
      <w:r>
        <w:t xml:space="preserve">considered outsourcing, whereas this is not the case in other jurisdictions. Authorities also differ</w:t>
      </w:r>
      <w:r>
        <w:t xml:space="preserve"> </w:t>
      </w:r>
      <w:r>
        <w:t xml:space="preserve">on how they assess changes in a CSD’s operations or provision of services; and on how they handle</w:t>
      </w:r>
      <w:r>
        <w:t xml:space="preserve"> </w:t>
      </w:r>
      <w:r>
        <w:t xml:space="preserve">passporting requests and cross-border provision of services. CSDs also highlighted that there are</w:t>
      </w:r>
      <w:r>
        <w:t xml:space="preserve"> </w:t>
      </w:r>
      <w:r>
        <w:t xml:space="preserve">significant variations in the scope, frequency and formatting of regulatory reporting across</w:t>
      </w:r>
      <w:r>
        <w:t xml:space="preserve"> </w:t>
      </w:r>
      <w:r>
        <w:t xml:space="preserve">jurisdictions. Such divergences particularly affect corporate groups operating multiple CSDs</w:t>
      </w:r>
      <w:r>
        <w:t xml:space="preserve"> </w:t>
      </w:r>
      <w:r>
        <w:t xml:space="preserve">across borders, such as Euroclear, Euronext or Deutsche Börse, complicating efforts to achieve</w:t>
      </w:r>
      <w:r>
        <w:t xml:space="preserve"> </w:t>
      </w:r>
      <w:r>
        <w:t xml:space="preserve">consolidation and efficiency gains.</w:t>
      </w:r>
      <w:r>
        <w:t xml:space="preserve"> </w:t>
      </w:r>
      <w:r>
        <w:t xml:space="preserve">For CCPs, EMIR 3 established an enhanced role for ESMA in CCP colleges, which are formal</w:t>
      </w:r>
      <w:r>
        <w:t xml:space="preserve"> </w:t>
      </w:r>
      <w:r>
        <w:t xml:space="preserve">supervisory coordination bodies composed of various authorities, including competent authorities,</w:t>
      </w:r>
      <w:r>
        <w:t xml:space="preserve"> </w:t>
      </w:r>
      <w:r>
        <w:t xml:space="preserve">ESMA, and the ECB. Yet, actual supervisory outcomes remain fragmented. Member States differ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substantially in supervisory rigour and methods, such as for the approval of new services or risk</w:t>
      </w:r>
      <w:r>
        <w:t xml:space="preserve"> </w:t>
      </w:r>
      <w:r>
        <w:t xml:space="preserve">model validations. One CCP reportedly faces 22 separate authorities within its college, which</w:t>
      </w:r>
      <w:r>
        <w:t xml:space="preserve"> </w:t>
      </w:r>
      <w:r>
        <w:t xml:space="preserve">reduces efficiency and effectiveness and significantly increases supervisory complexity. Diverging</w:t>
      </w:r>
      <w:r>
        <w:t xml:space="preserve"> </w:t>
      </w:r>
      <w:r>
        <w:t xml:space="preserve">supervisory practices, especially in response to systemic events (e.g. the energy market stress in</w:t>
      </w:r>
      <w:r>
        <w:t xml:space="preserve"> </w:t>
      </w:r>
      <w:r>
        <w:t xml:space="preserve">2022), underscore the inefficiencies of a system dependent on coordination among NCAs without</w:t>
      </w:r>
      <w:r>
        <w:t xml:space="preserve"> </w:t>
      </w:r>
      <w:r>
        <w:t xml:space="preserve">a single, binding supervisory outcome.</w:t>
      </w:r>
      <w:r>
        <w:t xml:space="preserve"> </w:t>
      </w:r>
      <w:r>
        <w:t xml:space="preserve">In the asset management sector, 36 stakeholders, responding to the consultation report that there</w:t>
      </w:r>
      <w:r>
        <w:t xml:space="preserve"> </w:t>
      </w:r>
      <w:r>
        <w:t xml:space="preserve">are barriers linked to different national requirements on marketing documents, while six</w:t>
      </w:r>
      <w:r>
        <w:t xml:space="preserve"> </w:t>
      </w:r>
      <w:r>
        <w:t xml:space="preserve">stakeholders see no such issues.121 Therefore, for the same fund, asset managers have to adapt the</w:t>
      </w:r>
      <w:r>
        <w:t xml:space="preserve"> </w:t>
      </w:r>
      <w:r>
        <w:t xml:space="preserve">documents based on national requirements and NCA requests, which may often diverge. For</w:t>
      </w:r>
      <w:r>
        <w:t xml:space="preserve"> </w:t>
      </w:r>
      <w:r>
        <w:t xml:space="preserve">instance, certain jurisdictions require a country supplement to the fund prospectus or country-</w:t>
      </w:r>
      <w:r>
        <w:t xml:space="preserve"> </w:t>
      </w:r>
      <w:r>
        <w:t xml:space="preserve">specific disclosures within the prospectus, and a specific format for investor notices. In addition,</w:t>
      </w:r>
      <w:r>
        <w:t xml:space="preserve"> </w:t>
      </w:r>
      <w:r>
        <w:t xml:space="preserve">there are significant variations in risk management, depositary, and reporting costs that create</w:t>
      </w:r>
      <w:r>
        <w:t xml:space="preserve"> </w:t>
      </w:r>
      <w:r>
        <w:t xml:space="preserve">unnecessary administrative barriers and increase costs for asset managers. According to asset</w:t>
      </w:r>
      <w:r>
        <w:t xml:space="preserve"> </w:t>
      </w:r>
      <w:r>
        <w:t xml:space="preserve">management associations, the high upfront costs for launching UCITS and AIF funds, and</w:t>
      </w:r>
      <w:r>
        <w:t xml:space="preserve"> </w:t>
      </w:r>
      <w:r>
        <w:t xml:space="preserve">significant variations in registration costs across EU Member States, also create barriers to entry</w:t>
      </w:r>
      <w:r>
        <w:t xml:space="preserve"> </w:t>
      </w:r>
      <w:r>
        <w:t xml:space="preserve">and distort competition. Launching a UCITS fund typically requires between EUR 300 000 and</w:t>
      </w:r>
      <w:r>
        <w:t xml:space="preserve"> </w:t>
      </w:r>
      <w:r>
        <w:t xml:space="preserve">EUR 500 000 in upfront costs, which among other costs include legal structuring, documentation,</w:t>
      </w:r>
      <w:r>
        <w:t xml:space="preserve"> </w:t>
      </w:r>
      <w:r>
        <w:t xml:space="preserve">registration, and compliance with local marketing rules. The administrative costs of registering a</w:t>
      </w:r>
      <w:r>
        <w:t xml:space="preserve"> </w:t>
      </w:r>
      <w:r>
        <w:t xml:space="preserve">UCITS in one additional EU Member State can range from EUR 20 000 to EUR 60 000, depending</w:t>
      </w:r>
      <w:r>
        <w:t xml:space="preserve"> </w:t>
      </w:r>
      <w:r>
        <w:t xml:space="preserve">on translation, legal, and agent fees. For one AIF with an EU investment strategy, these costs are</w:t>
      </w:r>
      <w:r>
        <w:t xml:space="preserve"> </w:t>
      </w:r>
      <w:r>
        <w:t xml:space="preserve">approximately EUR 65 000, which includes regulatory fees and local agent fees (more detail in</w:t>
      </w:r>
      <w:r>
        <w:t xml:space="preserve"> </w:t>
      </w:r>
      <w:r>
        <w:t xml:space="preserve">Case Study 2 in Annex 9 ‘Asset Management’).</w:t>
      </w:r>
      <w:r>
        <w:t xml:space="preserve"> </w:t>
      </w:r>
      <w:r>
        <w:t xml:space="preserve">In the crypto-asset sector, supervisory fragmentation is particularly pronounced for CASPs. Some</w:t>
      </w:r>
      <w:r>
        <w:t xml:space="preserve"> </w:t>
      </w:r>
      <w:r>
        <w:t xml:space="preserve">NCAs began accepting and processing applications for authorising CASPs before the MiCA</w:t>
      </w:r>
      <w:r>
        <w:t xml:space="preserve"> </w:t>
      </w:r>
      <w:r>
        <w:t xml:space="preserve">regulation entered into force, creating a “first mover” advantage and encouraging regulatory</w:t>
      </w:r>
      <w:r>
        <w:t xml:space="preserve"> </w:t>
      </w:r>
      <w:r>
        <w:t xml:space="preserve">arbitrage. Other NCAs have applied more literal or cautious interpretations and only started</w:t>
      </w:r>
      <w:r>
        <w:t xml:space="preserve"> </w:t>
      </w:r>
      <w:r>
        <w:t xml:space="preserve">receiving applications after the entry into application of the Regulation. Additionally, Member</w:t>
      </w:r>
      <w:r>
        <w:t xml:space="preserve"> </w:t>
      </w:r>
      <w:r>
        <w:t xml:space="preserve">States have adopted differing transitional periods for compliance within the limits allowed by</w:t>
      </w:r>
      <w:r>
        <w:t xml:space="preserve"> </w:t>
      </w:r>
      <w:r>
        <w:t xml:space="preserve">MICA, ranging from 6 to 18 months. NCAs had divergent views on whether certain proposed</w:t>
      </w:r>
      <w:r>
        <w:t xml:space="preserve"> </w:t>
      </w:r>
      <w:r>
        <w:t xml:space="preserve">models by entities seeking authorisation were compliant with MiCA. Overall, given the novelty of</w:t>
      </w:r>
      <w:r>
        <w:t xml:space="preserve"> </w:t>
      </w:r>
      <w:r>
        <w:t xml:space="preserve">the sector, supervisory capacity is currently starting to build up in a fragmented way. This</w:t>
      </w:r>
      <w:r>
        <w:t xml:space="preserve"> </w:t>
      </w:r>
      <w:r>
        <w:t xml:space="preserve">patchwork approach encourages firms - especially those belonging to third-country groups - to</w:t>
      </w:r>
      <w:r>
        <w:t xml:space="preserve"> </w:t>
      </w:r>
      <w:r>
        <w:t xml:space="preserve">exploit these fragmented national practices and engage in forum shopping to expedite their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Limited tools and powers at EU level to enforce convergence and adopt a comprehensive single</w:t>
      </w:r>
      <w:r>
        <w:t xml:space="preserve"> </w:t>
      </w:r>
      <w:r>
        <w:t xml:space="preserve">market/cross-border supervisory approach</w:t>
      </w:r>
      <w:r>
        <w:t xml:space="preserve"> </w:t>
      </w:r>
      <w:r>
        <w:t xml:space="preserve">A second core issue is the limited mandate and tools available at the EU level to enforce consistent</w:t>
      </w:r>
      <w:r>
        <w:t xml:space="preserve"> </w:t>
      </w:r>
      <w:r>
        <w:t xml:space="preserve">application of EU rules and adopt a comprehensive single market/cross-border supervisory</w:t>
      </w:r>
      <w:r>
        <w:t xml:space="preserve"> </w:t>
      </w:r>
      <w:r>
        <w:t xml:space="preserve">approach. Although ESMA can issue guidance and non-binding opinions, and conduct peer</w:t>
      </w:r>
      <w:r>
        <w:t xml:space="preserve"> </w:t>
      </w:r>
      <w:r>
        <w:t xml:space="preserve">reviews, it lacks binding convergence tools or direct supervisory responsibilities in most sectors.</w:t>
      </w:r>
    </w:p>
    <w:p>
      <w:pPr>
        <w:pStyle w:val="BodyText"/>
      </w:pPr>
      <w:r>
        <w:t xml:space="preserve">121 Question 30 of Section 5.3 asked: Are there barriers linked to different national requirements on marketing</w:t>
      </w:r>
      <w:r>
        <w:t xml:space="preserve"> </w:t>
      </w:r>
      <w:r>
        <w:t xml:space="preserve">documents? No: 6. Yes: 36.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As a result, divergent supervisory outcomes persist, especially where national interests or capacity</w:t>
      </w:r>
      <w:r>
        <w:t xml:space="preserve"> </w:t>
      </w:r>
      <w:r>
        <w:t xml:space="preserve">gaps hinder harmonised implementation of EU rules.</w:t>
      </w:r>
      <w:r>
        <w:t xml:space="preserve"> </w:t>
      </w:r>
      <w:r>
        <w:t xml:space="preserve">In the trading sector, ESMA has no supervisory powers for trading venues under MiFID II. While</w:t>
      </w:r>
      <w:r>
        <w:t xml:space="preserve"> </w:t>
      </w:r>
      <w:r>
        <w:t xml:space="preserve">ESMA can act under MiFIR in relation to specific infrastructures like approved publication</w:t>
      </w:r>
      <w:r>
        <w:t xml:space="preserve"> </w:t>
      </w:r>
      <w:r>
        <w:t xml:space="preserve">arrangements (APAs122) and consolidated tape providers (CTPs123), key areas such as transparency</w:t>
      </w:r>
      <w:r>
        <w:t xml:space="preserve"> </w:t>
      </w:r>
      <w:r>
        <w:t xml:space="preserve">and transaction reporting remain under national supervision. Even new tools introduced by the</w:t>
      </w:r>
      <w:r>
        <w:t xml:space="preserve"> </w:t>
      </w:r>
      <w:r>
        <w:t xml:space="preserve">Listing Act124, such as ESMA’s role in coordination platform125, require Member State initiative</w:t>
      </w:r>
      <w:r>
        <w:t xml:space="preserve"> </w:t>
      </w:r>
      <w:r>
        <w:t xml:space="preserve">and are only activated in exceptional cases. In practice, this means ESMA cannot ensure consistent</w:t>
      </w:r>
      <w:r>
        <w:t xml:space="preserve"> </w:t>
      </w:r>
      <w:r>
        <w:t xml:space="preserve">oversight or a level playing field across trading venues.</w:t>
      </w:r>
      <w:r>
        <w:t xml:space="preserve"> </w:t>
      </w:r>
      <w:r>
        <w:t xml:space="preserve">In the post-trading sector, for CCPs, ESMA has a limited binding role. With the exception of two</w:t>
      </w:r>
      <w:r>
        <w:t xml:space="preserve"> </w:t>
      </w:r>
      <w:r>
        <w:t xml:space="preserve">third-country CCPs who have been identified as being of substantial systemic importance and for</w:t>
      </w:r>
      <w:r>
        <w:t xml:space="preserve"> </w:t>
      </w:r>
      <w:r>
        <w:t xml:space="preserve">which ESMA therefore has direct supervisory powers, ESMA’s has a binding role in only to areas.</w:t>
      </w:r>
      <w:r>
        <w:t xml:space="preserve"> </w:t>
      </w:r>
      <w:r>
        <w:t xml:space="preserve">First, in validating changes to CCPs’ risk models. And second, in co-chairing the supervisory</w:t>
      </w:r>
      <w:r>
        <w:t xml:space="preserve"> </w:t>
      </w:r>
      <w:r>
        <w:t xml:space="preserve">colleges established under EMIR, which provide opinions and facilitate the exercise of specific</w:t>
      </w:r>
      <w:r>
        <w:t xml:space="preserve"> </w:t>
      </w:r>
      <w:r>
        <w:t xml:space="preserve">regulatory tasks, such as authorisations of services, reviews and evaluations of compliance with</w:t>
      </w:r>
      <w:r>
        <w:t xml:space="preserve"> </w:t>
      </w:r>
      <w:r>
        <w:t xml:space="preserve">regulatory requirements, outsourcing, and reviewing models, among others. In addition, the CCP</w:t>
      </w:r>
      <w:r>
        <w:t xml:space="preserve"> </w:t>
      </w:r>
      <w:r>
        <w:t xml:space="preserve">Supervisory Committee, which aims to achieve convergence and coherence in the supervision of</w:t>
      </w:r>
      <w:r>
        <w:t xml:space="preserve"> </w:t>
      </w:r>
      <w:r>
        <w:t xml:space="preserve">CCPs across the EU, is a permanent internal committee established within ESMA and ESMA</w:t>
      </w:r>
      <w:r>
        <w:t xml:space="preserve"> </w:t>
      </w:r>
      <w:r>
        <w:t xml:space="preserve">chairs it. However, ESMA has no authority to oversee general compliance or to intervene in</w:t>
      </w:r>
      <w:r>
        <w:t xml:space="preserve"> </w:t>
      </w:r>
      <w:r>
        <w:t xml:space="preserve">supervisory decisions. At the same time, the systemic importance and interconnectedness of EU</w:t>
      </w:r>
      <w:r>
        <w:t xml:space="preserve"> </w:t>
      </w:r>
      <w:r>
        <w:t xml:space="preserve">CCPs call for a more centralised approach. The failure of a CCP can negatively affect entities</w:t>
      </w:r>
      <w:r>
        <w:t xml:space="preserve"> </w:t>
      </w:r>
      <w:r>
        <w:t xml:space="preserve">across many jurisdictions, as neither the clearing members of the CCP nor their clients are limited</w:t>
      </w:r>
      <w:r>
        <w:t xml:space="preserve"> </w:t>
      </w:r>
      <w:r>
        <w:t xml:space="preserve">to a single jurisdiction. This is also the case for the products cleared by many CCPs, which are not</w:t>
      </w:r>
      <w:r>
        <w:t xml:space="preserve"> </w:t>
      </w:r>
      <w:r>
        <w:t xml:space="preserve">generally dependent on a given jurisdiction (e.g. interest rate derivatives). This means that if a</w:t>
      </w:r>
      <w:r>
        <w:t xml:space="preserve"> </w:t>
      </w:r>
      <w:r>
        <w:t xml:space="preserve">CCP fails, various entities across multiple jurisdictions can suffer substantial losses. Even in the</w:t>
      </w:r>
      <w:r>
        <w:t xml:space="preserve"> </w:t>
      </w:r>
      <w:r>
        <w:t xml:space="preserve">absence of failure, divergences in risk management practices by CCPs, including the</w:t>
      </w:r>
      <w:r>
        <w:t xml:space="preserve"> </w:t>
      </w:r>
      <w:r>
        <w:t xml:space="preserve">implementation of anti-procyclicality measures in risk models, can result in significant issues. This</w:t>
      </w:r>
      <w:r>
        <w:t xml:space="preserve"> </w:t>
      </w:r>
      <w:r>
        <w:t xml:space="preserve">could be seen during the recent energy crisis, when differences in how national authorities and</w:t>
      </w:r>
      <w:r>
        <w:t xml:space="preserve"> </w:t>
      </w:r>
      <w:r>
        <w:t xml:space="preserve">CCPs managed risks and margin requirements caused serious cash flow problems for energy</w:t>
      </w:r>
      <w:r>
        <w:t xml:space="preserve"> </w:t>
      </w:r>
      <w:r>
        <w:t xml:space="preserve">companies and revealed uneven supervision across the EU. This situation illustrated how localised</w:t>
      </w:r>
      <w:r>
        <w:t xml:space="preserve"> </w:t>
      </w:r>
      <w:r>
        <w:t xml:space="preserve">supervision can pose systemic threats across borders.</w:t>
      </w:r>
    </w:p>
    <w:p>
      <w:pPr>
        <w:pStyle w:val="BodyText"/>
      </w:pPr>
      <w:r>
        <w:t xml:space="preserve">122 Approved publication arrangements are persons authorised to provide the service of publishing trade reports on</w:t>
      </w:r>
      <w:r>
        <w:t xml:space="preserve"> </w:t>
      </w:r>
      <w:r>
        <w:t xml:space="preserve">behalf of investment firms, they contribute to increase transparency in the market.</w:t>
      </w:r>
      <w:r>
        <w:br/>
      </w:r>
      <w:r>
        <w:t xml:space="preserve">123 A consolidated tape providers is a person authorised in accordance with MiFIR to provide the service of collecting</w:t>
      </w:r>
      <w:r>
        <w:t xml:space="preserve"> </w:t>
      </w:r>
      <w:r>
        <w:t xml:space="preserve">data from trading venues and APAs, and of consolidating those data into a continuous electronic live data stream. The</w:t>
      </w:r>
      <w:r>
        <w:t xml:space="preserve"> </w:t>
      </w:r>
      <w:r>
        <w:t xml:space="preserve">consolidated tape provides in a single location a consolidated view of the prices and volumes available in the different</w:t>
      </w:r>
      <w:r>
        <w:t xml:space="preserve"> </w:t>
      </w:r>
      <w:r>
        <w:t xml:space="preserve">trading venues.</w:t>
      </w:r>
      <w:r>
        <w:br/>
      </w:r>
      <w:r>
        <w:t xml:space="preserve">124 The Listing Act is a package of initiatives aimed at improving access to public markets for companies—especially</w:t>
      </w:r>
      <w:r>
        <w:t xml:space="preserve"> </w:t>
      </w:r>
      <w:r>
        <w:t xml:space="preserve">SMEs—by making it easier and less costly to list on stock exchanges within the European Union. It entails changes</w:t>
      </w:r>
      <w:r>
        <w:t xml:space="preserve"> </w:t>
      </w:r>
      <w:r>
        <w:t xml:space="preserve">to MAR, MiFIR, MiFID II and Prospectus Regulation (see Regulation (EU) 2024/2809, Directive (EU) 2024/2810</w:t>
      </w:r>
      <w:r>
        <w:t xml:space="preserve"> </w:t>
      </w:r>
      <w:r>
        <w:t xml:space="preserve">and Directive (EU) 2024/2811).</w:t>
      </w:r>
      <w:r>
        <w:t xml:space="preserve"> </w:t>
      </w:r>
      <w:r>
        <w:t xml:space="preserve">125 Platform established to enhance cooperation among regulators to ensure consistent implementation and supervision</w:t>
      </w:r>
      <w:r>
        <w:t xml:space="preserve"> </w:t>
      </w:r>
      <w:r>
        <w:t xml:space="preserve">of EU capital markets rules. In the context of the Listing Act, ESMA has been given the power to establish</w:t>
      </w:r>
      <w:r>
        <w:t xml:space="preserve"> </w:t>
      </w:r>
      <w:r>
        <w:t xml:space="preserve">collaboration platform at the request of one or more NCAs in the field of securities markets when there are concerns</w:t>
      </w:r>
      <w:r>
        <w:t xml:space="preserve"> </w:t>
      </w:r>
      <w:r>
        <w:t xml:space="preserve">about market integrity or the proper functioning of markets.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For CSDs, under the CSDR, supervisory colleges now exist for CSDs whose activities are</w:t>
      </w:r>
      <w:r>
        <w:t xml:space="preserve"> </w:t>
      </w:r>
      <w:r>
        <w:t xml:space="preserve">considered of substantial importance in at least two Member States. However, their function</w:t>
      </w:r>
      <w:r>
        <w:t xml:space="preserve"> </w:t>
      </w:r>
      <w:r>
        <w:t xml:space="preserve">remains limited to information sharing and issuing non-binding opinions. ESMA has no powers to</w:t>
      </w:r>
      <w:r>
        <w:t xml:space="preserve"> </w:t>
      </w:r>
      <w:r>
        <w:t xml:space="preserve">intervene or authorise cross-border services directly. However, authorities under the CSDR can</w:t>
      </w:r>
      <w:r>
        <w:t xml:space="preserve"> </w:t>
      </w:r>
      <w:r>
        <w:t xml:space="preserve">refer certain cross-border matters to ESMA for binding dispute settlement under Article 19 of the</w:t>
      </w:r>
      <w:r>
        <w:t xml:space="preserve"> </w:t>
      </w:r>
      <w:r>
        <w:t xml:space="preserve">ESMA Regulation, notably on the establishment of CSD links, and where CSDs operating in host</w:t>
      </w:r>
      <w:r>
        <w:t xml:space="preserve"> </w:t>
      </w:r>
      <w:r>
        <w:t xml:space="preserve">Member States act in breach of CSDR provisions.</w:t>
      </w:r>
      <w:r>
        <w:br/>
      </w:r>
      <w:r>
        <w:t xml:space="preserve">In the asset management sector, ESMA’s current role is to promote supervisory convergence</w:t>
      </w:r>
      <w:r>
        <w:t xml:space="preserve"> </w:t>
      </w:r>
      <w:r>
        <w:t xml:space="preserve">among NCAs through its general convergence tools. However, ESMA does not have access to</w:t>
      </w:r>
      <w:r>
        <w:t xml:space="preserve"> </w:t>
      </w:r>
      <w:r>
        <w:t xml:space="preserve">real-time or case-specific information held by NCAs. Nor does ESMA play an operational</w:t>
      </w:r>
      <w:r>
        <w:t xml:space="preserve"> </w:t>
      </w:r>
      <w:r>
        <w:t xml:space="preserve">coordination role in individual cases, whether concerning the marketing of investment funds or the</w:t>
      </w:r>
      <w:r>
        <w:t xml:space="preserve"> </w:t>
      </w:r>
      <w:r>
        <w:t xml:space="preserve">supervision of large asset managers.</w:t>
      </w:r>
      <w:r>
        <w:br/>
      </w:r>
      <w:r>
        <w:t xml:space="preserve">ESMA also lacks a specific mandate to act operationally in coordinating NCAs’ supervisory</w:t>
      </w:r>
      <w:r>
        <w:t xml:space="preserve"> </w:t>
      </w:r>
      <w:r>
        <w:t xml:space="preserve">approaches. This means it cannot systematically ensure that NCAs adopt consistent practices in</w:t>
      </w:r>
      <w:r>
        <w:t xml:space="preserve"> </w:t>
      </w:r>
      <w:r>
        <w:t xml:space="preserve">day-to-day supervision, which is essential for the smooth functioning of the EU passport.</w:t>
      </w:r>
      <w:r>
        <w:br/>
      </w:r>
      <w:r>
        <w:t xml:space="preserve">The lack of visibility on the fund and asset manager operations makes it difficult for ESMA to</w:t>
      </w:r>
      <w:r>
        <w:t xml:space="preserve"> </w:t>
      </w:r>
      <w:r>
        <w:t xml:space="preserve">ensure convergence of supervisory outcomes or detect and respond to market-wide risks. Cross-</w:t>
      </w:r>
      <w:r>
        <w:t xml:space="preserve"> </w:t>
      </w:r>
      <w:r>
        <w:t xml:space="preserve">border marketing and intra-group delegation remain subject to inconsistent scrutiny and</w:t>
      </w:r>
      <w:r>
        <w:t xml:space="preserve"> </w:t>
      </w:r>
      <w:r>
        <w:t xml:space="preserve">duplicative oversight.</w:t>
      </w:r>
      <w:r>
        <w:t xml:space="preserve"> </w:t>
      </w:r>
      <w:r>
        <w:t xml:space="preserve">In addition, ESMA’s binding mediation powers are limited to some cases under the UCITS</w:t>
      </w:r>
      <w:r>
        <w:t xml:space="preserve"> </w:t>
      </w:r>
      <w:r>
        <w:t xml:space="preserve">Directive and AIFMD, and do not cover the CBDR. ESMA also lacks the power to open mediation</w:t>
      </w:r>
      <w:r>
        <w:t xml:space="preserve"> </w:t>
      </w:r>
      <w:r>
        <w:t xml:space="preserve">cases on its own initiative and is under no obligation to act even where barriers to cross-border</w:t>
      </w:r>
      <w:r>
        <w:t xml:space="preserve"> </w:t>
      </w:r>
      <w:r>
        <w:t xml:space="preserve">activities are clear.</w:t>
      </w:r>
      <w:r>
        <w:br/>
      </w:r>
      <w:r>
        <w:t xml:space="preserve">In the crypto-asset sector, for CASPs, ESMA is tasked with maintaining registers126 and issuing</w:t>
      </w:r>
      <w:r>
        <w:t xml:space="preserve"> </w:t>
      </w:r>
      <w:r>
        <w:t xml:space="preserve">temporary bans on products that pose serious threats, but these powers are ex-post, reactive and</w:t>
      </w:r>
      <w:r>
        <w:t xml:space="preserve"> </w:t>
      </w:r>
      <w:r>
        <w:t xml:space="preserve">limited in scope. ESMA is not involved in the authorisation, ongoing supervision, or cross-border</w:t>
      </w:r>
      <w:r>
        <w:t xml:space="preserve"> </w:t>
      </w:r>
      <w:r>
        <w:t xml:space="preserve">passporting of CASPs. ESMA’s supervisory briefings and convergence efforts so far have</w:t>
      </w:r>
      <w:r>
        <w:t xml:space="preserve"> </w:t>
      </w:r>
      <w:r>
        <w:t xml:space="preserve">revealed, rather than resolved, divergent national practices and have even led to tensions between</w:t>
      </w:r>
      <w:r>
        <w:t xml:space="preserve"> </w:t>
      </w:r>
      <w:r>
        <w:t xml:space="preserve">home and host Member States.</w:t>
      </w:r>
      <w:r>
        <w:br/>
      </w:r>
      <w:r>
        <w:t xml:space="preserve">Together, non-aligned supervisory practices and the limited supervisory convergence tools</w:t>
      </w:r>
      <w:r>
        <w:t xml:space="preserve"> </w:t>
      </w:r>
      <w:r>
        <w:t xml:space="preserve">available at EU level significantly undermine the efficiency, coherence, and resilience of the EU’s</w:t>
      </w:r>
      <w:r>
        <w:t xml:space="preserve"> </w:t>
      </w:r>
      <w:r>
        <w:t xml:space="preserve">capital markets framework. Diverging national interpretations increase compliance burdens, create</w:t>
      </w:r>
      <w:r>
        <w:t xml:space="preserve"> </w:t>
      </w:r>
      <w:r>
        <w:t xml:space="preserve">regulatory arbitrage, and obstruct the integration of EU capital markets. ESMA’s current use of its</w:t>
      </w:r>
      <w:r>
        <w:t xml:space="preserve"> </w:t>
      </w:r>
      <w:r>
        <w:t xml:space="preserve">toolkit—which largely relies on soft law and non-binding measures — falls short of ensuring true</w:t>
      </w:r>
      <w:r>
        <w:t xml:space="preserve"> </w:t>
      </w:r>
      <w:r>
        <w:t xml:space="preserve">supervisory convergence. These issues are particularly pronounced in sectors with significant</w:t>
      </w:r>
      <w:r>
        <w:t xml:space="preserve"> </w:t>
      </w:r>
      <w:r>
        <w:t xml:space="preserve">cross-border activity and rapid market changes, including CCPs, CSDs, trading venues, asset</w:t>
      </w:r>
      <w:r>
        <w:t xml:space="preserve"> </w:t>
      </w:r>
      <w:r>
        <w:t xml:space="preserve">managers, and CASPs. Addressing these problem drivers is essential for building a more</w:t>
      </w:r>
      <w:r>
        <w:t xml:space="preserve"> </w:t>
      </w:r>
      <w:r>
        <w:t xml:space="preserve">integrated, efficient, and stable financial system in the EU.</w:t>
      </w:r>
    </w:p>
    <w:p>
      <w:pPr>
        <w:pStyle w:val="BodyText"/>
      </w:pPr>
      <w:r>
        <w:t xml:space="preserve">126 ESMA must maintain an EU-wide register listing all authorised CASPs in the EU, issuers of asset-referenced</w:t>
      </w:r>
      <w:r>
        <w:t xml:space="preserve"> </w:t>
      </w:r>
      <w:r>
        <w:t xml:space="preserve">tokens and e-money tokens and certain relevant information about them, as well as a register of all white papers issued</w:t>
      </w:r>
      <w:r>
        <w:t xml:space="preserve"> </w:t>
      </w:r>
      <w:r>
        <w:t xml:space="preserve">for non-stablecoin crypto-assets offered in the Union.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2.3. CONSEQUENCES</w:t>
      </w:r>
      <w:r>
        <w:br/>
      </w:r>
      <w:r>
        <w:t xml:space="preserve">Overall, the problem drivers and problems described in Sections 2.1 and 2.2 lead to one</w:t>
      </w:r>
      <w:r>
        <w:t xml:space="preserve"> </w:t>
      </w:r>
      <w:r>
        <w:t xml:space="preserve">overarching consequence – a less efficient EU capital market.</w:t>
      </w:r>
      <w:r>
        <w:br/>
      </w:r>
      <w:r>
        <w:t xml:space="preserve">The problem drivers give rise to undue frictional costs for cross-border activities which, in turn,</w:t>
      </w:r>
      <w:r>
        <w:t xml:space="preserve"> </w:t>
      </w:r>
      <w:r>
        <w:t xml:space="preserve">affects market structure. As noted, there are a range of out-of-scope drivers which equally impact</w:t>
      </w:r>
      <w:r>
        <w:t xml:space="preserve"> </w:t>
      </w:r>
      <w:r>
        <w:t xml:space="preserve">market structure and drive fragmentation. Given stakeholder feedback, these barriers, notably</w:t>
      </w:r>
      <w:r>
        <w:t xml:space="preserve"> </w:t>
      </w:r>
      <w:r>
        <w:t xml:space="preserve">taxation and national legal frameworks (securities, ownership/property, insolvency law etc.) act as</w:t>
      </w:r>
      <w:r>
        <w:t xml:space="preserve"> </w:t>
      </w:r>
      <w:r>
        <w:t xml:space="preserve">significant hurdles and add to the direct regulatory barriers addressed by this initiative. Modelling</w:t>
      </w:r>
      <w:r>
        <w:t xml:space="preserve"> </w:t>
      </w:r>
      <w:r>
        <w:t xml:space="preserve">the impacts of in-scope and out-of-scope barriers is challenging from a methodological point of</w:t>
      </w:r>
      <w:r>
        <w:t xml:space="preserve"> </w:t>
      </w:r>
      <w:r>
        <w:t xml:space="preserve">view (see Annex 4), so the consequences described here refer to the combined impacts.</w:t>
      </w:r>
      <w:r>
        <w:t xml:space="preserve"> </w:t>
      </w:r>
      <w:r>
        <w:t xml:space="preserve">Obstacles to cross-border activities in trading, post-trading and asset management make it more</w:t>
      </w:r>
      <w:r>
        <w:t xml:space="preserve"> </w:t>
      </w:r>
      <w:r>
        <w:t xml:space="preserve">difficult for firms from another Member State to compete on a level playing field with local firms.</w:t>
      </w:r>
      <w:r>
        <w:t xml:space="preserve"> </w:t>
      </w:r>
      <w:r>
        <w:t xml:space="preserve">Market entry costs will be higher and differences in on-going requirements and supervision will</w:t>
      </w:r>
      <w:r>
        <w:t xml:space="preserve"> </w:t>
      </w:r>
      <w:r>
        <w:t xml:space="preserve">negatively impact possible economies of scale (e.g. different processes, marketing requirements</w:t>
      </w:r>
      <w:r>
        <w:t xml:space="preserve"> </w:t>
      </w:r>
      <w:r>
        <w:t xml:space="preserve">etc. may prevent offering services in the same manner or on the same platform). This significantly</w:t>
      </w:r>
      <w:r>
        <w:t xml:space="preserve"> </w:t>
      </w:r>
      <w:r>
        <w:t xml:space="preserve">reduces the economic incentives to expand into another market. Therefore, companies may choose</w:t>
      </w:r>
      <w:r>
        <w:t xml:space="preserve"> </w:t>
      </w:r>
      <w:r>
        <w:t xml:space="preserve">to focus more on their domestic market rather than face the challenges and costs associated with</w:t>
      </w:r>
      <w:r>
        <w:t xml:space="preserve"> </w:t>
      </w:r>
      <w:r>
        <w:t xml:space="preserve">cross-border operations. These costs indirectly protect domestic firms from cross-border</w:t>
      </w:r>
      <w:r>
        <w:t xml:space="preserve"> </w:t>
      </w:r>
      <w:r>
        <w:t xml:space="preserve">competition. As a result, the EU market structure exhibits a significant home bias (especially in</w:t>
      </w:r>
      <w:r>
        <w:t xml:space="preserve"> </w:t>
      </w:r>
      <w:r>
        <w:t xml:space="preserve">asset management and settlement systems), smaller sized providers (focusing on domestic</w:t>
      </w:r>
      <w:r>
        <w:t xml:space="preserve"> </w:t>
      </w:r>
      <w:r>
        <w:t xml:space="preserve">markets) and significant price differences across Member States.</w:t>
      </w:r>
      <w:r>
        <w:br/>
      </w:r>
      <w:r>
        <w:t xml:space="preserve">The consequence of this is reduced market efficiency, as less competitive actors / offers can remain</w:t>
      </w:r>
      <w:r>
        <w:t xml:space="preserve"> </w:t>
      </w:r>
      <w:r>
        <w:t xml:space="preserve">in the market. Downstream users face higher costs (including search costs) or are unable to access</w:t>
      </w:r>
      <w:r>
        <w:t xml:space="preserve"> </w:t>
      </w:r>
      <w:r>
        <w:t xml:space="preserve">the most suitable offer (in term of cost, quality, timing, etc.) altogether because they are not made</w:t>
      </w:r>
      <w:r>
        <w:t xml:space="preserve"> </w:t>
      </w:r>
      <w:r>
        <w:t xml:space="preserve">available in their respective home Member State. Where cross-border offers are available, they are</w:t>
      </w:r>
      <w:r>
        <w:t xml:space="preserve"> </w:t>
      </w:r>
      <w:r>
        <w:t xml:space="preserve">likely to cost more than in the home market, as set out in Section 2.1. For instance, stakeholders</w:t>
      </w:r>
      <w:r>
        <w:t xml:space="preserve"> </w:t>
      </w:r>
      <w:r>
        <w:t xml:space="preserve">report in the targeted consultation that, because of the lack on interconnectivity, retail clients are</w:t>
      </w:r>
      <w:r>
        <w:t xml:space="preserve"> </w:t>
      </w:r>
      <w:r>
        <w:t xml:space="preserve">charged higher fees for trading in markets located in a Member State different from the one of the</w:t>
      </w:r>
      <w:r>
        <w:t xml:space="preserve"> </w:t>
      </w:r>
      <w:r>
        <w:t xml:space="preserve">broker. This is also driven by the costs associated with post-trade process and the need to establish</w:t>
      </w:r>
      <w:r>
        <w:t xml:space="preserve"> </w:t>
      </w:r>
      <w:r>
        <w:t xml:space="preserve">longer chains of intermediation. Settlement costs were a major point of contention on the part of</w:t>
      </w:r>
      <w:r>
        <w:t xml:space="preserve"> </w:t>
      </w:r>
      <w:r>
        <w:t xml:space="preserve">respondents, and an overwhelming majority agreed that settlement costs in the EU should be</w:t>
      </w:r>
      <w:r>
        <w:t xml:space="preserve"> </w:t>
      </w:r>
      <w:r>
        <w:t xml:space="preserve">reduced to improve the competitiveness of EU capital markets.</w:t>
      </w:r>
      <w:r>
        <w:br/>
      </w:r>
      <w:r>
        <w:t xml:space="preserve">Reduced market efficiency implies that providers of services have higher market power in their</w:t>
      </w:r>
      <w:r>
        <w:t xml:space="preserve"> </w:t>
      </w:r>
      <w:r>
        <w:t xml:space="preserve">domestic markets and can charge more for the provision of their services, thereby extracting higher</w:t>
      </w:r>
      <w:r>
        <w:t xml:space="preserve"> </w:t>
      </w:r>
      <w:r>
        <w:t xml:space="preserve">margins. This also explains why some stakeholders are not in favour of removing these barriers.</w:t>
      </w:r>
      <w:r>
        <w:t xml:space="preserve"> </w:t>
      </w:r>
      <w:r>
        <w:t xml:space="preserve">In economic terms, there is increased deadweight loss which negatively affects downstream users.</w:t>
      </w:r>
      <w:r>
        <w:br/>
      </w:r>
      <w:r>
        <w:t xml:space="preserve">In capital markets, there are two key end users: (i) non-financial corporates seeking financing, and</w:t>
      </w:r>
      <w:r>
        <w:t xml:space="preserve"> </w:t>
      </w:r>
      <w:r>
        <w:t xml:space="preserve">(ii) investors seeking investment opportunities. In addition to intermediating between those</w:t>
      </w:r>
      <w:r>
        <w:t xml:space="preserve"> </w:t>
      </w:r>
      <w:r>
        <w:t xml:space="preserve">providing and seeking finance, another crucial function provided by capital markets, and used by</w:t>
      </w:r>
      <w:r>
        <w:t xml:space="preserve"> </w:t>
      </w:r>
      <w:r>
        <w:t xml:space="preserve">both corporates and investors, is to allow the hedging of economic and financial risks. The</w:t>
      </w:r>
      <w:r>
        <w:t xml:space="preserve"> </w:t>
      </w:r>
      <w:r>
        <w:t xml:space="preserve">regulatory and supervisory barriers under consideration lead to inefficiencies, higher costs for both</w:t>
      </w:r>
      <w:r>
        <w:t xml:space="preserve"> </w:t>
      </w:r>
      <w:r>
        <w:t xml:space="preserve">user groups and less opportunities to finance/invest.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Currently, the average external financing costs for the non-financial corporate sector vary</w:t>
      </w:r>
      <w:r>
        <w:t xml:space="preserve"> </w:t>
      </w:r>
      <w:r>
        <w:t xml:space="preserve">considerably (by more than 130 basis points between the lowest and the highest127) across EU</w:t>
      </w:r>
      <w:r>
        <w:t xml:space="preserve"> </w:t>
      </w:r>
      <w:r>
        <w:t xml:space="preserve">Member States. This difference is driven in part by external factors (e.g. local economic factors),</w:t>
      </w:r>
      <w:r>
        <w:t xml:space="preserve"> </w:t>
      </w:r>
      <w:r>
        <w:t xml:space="preserve">but the significant discrepancy nonetheless strongly indicate that EU firms are not fully benefiting</w:t>
      </w:r>
      <w:r>
        <w:t xml:space="preserve"> </w:t>
      </w:r>
      <w:r>
        <w:t xml:space="preserve">from the scale and synergies of a single market, with fewer financing opportunities for them, and</w:t>
      </w:r>
      <w:r>
        <w:t xml:space="preserve"> </w:t>
      </w:r>
      <w:r>
        <w:t xml:space="preserve">not always at the best conditions. Corporates face higher direct external financing costs, as related</w:t>
      </w:r>
      <w:r>
        <w:t xml:space="preserve"> </w:t>
      </w:r>
      <w:r>
        <w:t xml:space="preserve">processes and intermediary services cost more.</w:t>
      </w:r>
      <w:r>
        <w:br/>
      </w:r>
      <w:r>
        <w:t xml:space="preserve">Even stronger pricing effects are driven by the interaction between investors and companies</w:t>
      </w:r>
      <w:r>
        <w:t xml:space="preserve"> </w:t>
      </w:r>
      <w:r>
        <w:t xml:space="preserve">seeking financing. Investors face inefficiencies in terms of higher transaction and intermediation</w:t>
      </w:r>
      <w:r>
        <w:t xml:space="preserve"> </w:t>
      </w:r>
      <w:r>
        <w:t xml:space="preserve">costs, which will lower expected returns. This has direct implications for market valuations and</w:t>
      </w:r>
      <w:r>
        <w:t xml:space="preserve"> </w:t>
      </w:r>
      <w:r>
        <w:t xml:space="preserve">companies’ cost of raising equity.128 As investors require a certain net rate of return on their</w:t>
      </w:r>
      <w:r>
        <w:t xml:space="preserve"> </w:t>
      </w:r>
      <w:r>
        <w:t xml:space="preserve">investments, they would be willing to pay higher prices for shares or bonds, the lower the</w:t>
      </w:r>
      <w:r>
        <w:t xml:space="preserve"> </w:t>
      </w:r>
      <w:r>
        <w:t xml:space="preserve">transaction costs are. Indirectly, this may also affect bank-financing channels as they compete with</w:t>
      </w:r>
      <w:r>
        <w:t xml:space="preserve"> </w:t>
      </w:r>
      <w:r>
        <w:t xml:space="preserve">capital market financing options (i.e. if capital market financing were cheaper, there would be</w:t>
      </w:r>
      <w:r>
        <w:t xml:space="preserve"> </w:t>
      </w:r>
      <w:r>
        <w:t xml:space="preserve">increased price pressure also on bank financing).</w:t>
      </w:r>
      <w:r>
        <w:br/>
      </w:r>
      <w:r>
        <w:t xml:space="preserve">For the hedging functions of capital markets, the efficiency effects are similar. Besides higher</w:t>
      </w:r>
      <w:r>
        <w:t xml:space="preserve"> </w:t>
      </w:r>
      <w:r>
        <w:t xml:space="preserve">direct intermediation costs, the party offloading risks will pay more to do so as the party taking on</w:t>
      </w:r>
      <w:r>
        <w:t xml:space="preserve"> </w:t>
      </w:r>
      <w:r>
        <w:t xml:space="preserve">risks requires a higher expected rate of return given the higher transactions costs.</w:t>
      </w:r>
      <w:r>
        <w:br/>
      </w:r>
      <w:r>
        <w:t xml:space="preserve">Higher transaction costs also have implications in terms of lower liquidity, as they lower the</w:t>
      </w:r>
      <w:r>
        <w:t xml:space="preserve"> </w:t>
      </w:r>
      <w:r>
        <w:t xml:space="preserve">incentive to trade. Lower liquidity acts as an indirect cost to investors as it increases the price</w:t>
      </w:r>
      <w:r>
        <w:t xml:space="preserve"> </w:t>
      </w:r>
      <w:r>
        <w:t xml:space="preserve">slippage of transactions and execution risks (in turn impacting financing costs of corporates – see</w:t>
      </w:r>
      <w:r>
        <w:t xml:space="preserve"> </w:t>
      </w:r>
      <w:r>
        <w:t xml:space="preserve">above). While market makers that provide most liquidity are less affected by higher cross-border</w:t>
      </w:r>
      <w:r>
        <w:t xml:space="preserve"> </w:t>
      </w:r>
      <w:r>
        <w:t xml:space="preserve">settlement costs (most intra-day trades are not settled and the size and sophistication of market</w:t>
      </w:r>
      <w:r>
        <w:t xml:space="preserve"> </w:t>
      </w:r>
      <w:r>
        <w:t xml:space="preserve">makers minimises additional fees), they are strongly impacted by the level of competition between</w:t>
      </w:r>
      <w:r>
        <w:t xml:space="preserve"> </w:t>
      </w:r>
      <w:r>
        <w:t xml:space="preserve">trading venues, including membership fees.</w:t>
      </w:r>
      <w:r>
        <w:br/>
      </w:r>
      <w:r>
        <w:t xml:space="preserve">In this context, the regulatory obstacles for DLT systems represent missed opportunities, as these</w:t>
      </w:r>
      <w:r>
        <w:t xml:space="preserve"> </w:t>
      </w:r>
      <w:r>
        <w:t xml:space="preserve">technologies may significantly lower trading, clearing and settlement costs. These technologies</w:t>
      </w:r>
      <w:r>
        <w:t xml:space="preserve"> </w:t>
      </w:r>
      <w:r>
        <w:t xml:space="preserve">may not be able to overcome cross-border barriers directly, in particular legal barriers at Member</w:t>
      </w:r>
      <w:r>
        <w:t xml:space="preserve"> </w:t>
      </w:r>
      <w:r>
        <w:t xml:space="preserve">State level that remain out-of-scope. However, enabling these technologies could foster more</w:t>
      </w:r>
      <w:r>
        <w:t xml:space="preserve"> </w:t>
      </w:r>
      <w:r>
        <w:t xml:space="preserve">vibrant competition amongst market infrastructure operators with cost and quality benefits for end</w:t>
      </w:r>
      <w:r>
        <w:t xml:space="preserve"> </w:t>
      </w:r>
      <w:r>
        <w:t xml:space="preserve">users. Notably, DLT may enable increased fractionalisation (without the related downsides e.g. </w:t>
      </w:r>
      <w:r>
        <w:t xml:space="preserve"> </w:t>
      </w:r>
      <w:r>
        <w:t xml:space="preserve">loss of voting rights) and trading in smaller lot sizes (e.g. for bonds), which would hold benefits</w:t>
      </w:r>
      <w:r>
        <w:t xml:space="preserve"> </w:t>
      </w:r>
      <w:r>
        <w:t xml:space="preserve">in terms of liquidity and would lower the costs of diversification and euro-cost averaging</w:t>
      </w:r>
      <w:r>
        <w:t xml:space="preserve"> </w:t>
      </w:r>
      <w:r>
        <w:t xml:space="preserve">investment strategies. The overwhelming majority of respondents to the consultation indicated that</w:t>
      </w:r>
      <w:r>
        <w:t xml:space="preserve"> </w:t>
      </w:r>
      <w:r>
        <w:t xml:space="preserve">addressing the current limits in the DLTPR would facilitate the transition of trading activity from</w:t>
      </w:r>
    </w:p>
    <w:p>
      <w:pPr>
        <w:pStyle w:val="BodyText"/>
      </w:pPr>
      <w:r>
        <w:t xml:space="preserve">127 Based on DG ECFIN data.</w:t>
      </w:r>
      <w:r>
        <w:t xml:space="preserve"> </w:t>
      </w:r>
      <w:r>
        <w:t xml:space="preserve">128 For example, estimates by Domowitz and Steil (2001) suggest that a 10% increase in transaction costs leads to a</w:t>
      </w:r>
      <w:r>
        <w:t xml:space="preserve"> </w:t>
      </w:r>
      <w:r>
        <w:t xml:space="preserve">1.4–1.7% increase in the post-tax cost of equity. See Domowitz, I. and Steil, B. (2001), ‘Innovation in Equity Trading</w:t>
      </w:r>
      <w:r>
        <w:t xml:space="preserve"> </w:t>
      </w:r>
      <w:r>
        <w:t xml:space="preserve">Systems: the Impact on Transactions Costs and Cost of Capital’, in R. Nelson, D. Victor and B. Steil (eds),</w:t>
      </w:r>
      <w:r>
        <w:t xml:space="preserve"> </w:t>
      </w:r>
      <w:r>
        <w:t xml:space="preserve">Technological Innovation and Economic Performance, Princeton University Press.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the current OTC framework to the DLT Pilot regime, thereby enhancing EU competitiveness in</w:t>
      </w:r>
      <w:r>
        <w:t xml:space="preserve"> </w:t>
      </w:r>
      <w:r>
        <w:t xml:space="preserve">digital finance with respect to other jurisdictions.129</w:t>
      </w:r>
      <w:r>
        <w:t xml:space="preserve"> </w:t>
      </w:r>
      <w:r>
        <w:t xml:space="preserve">The above-described consequences of the problems and barriers considered in this report entail</w:t>
      </w:r>
      <w:r>
        <w:t xml:space="preserve"> </w:t>
      </w:r>
      <w:r>
        <w:t xml:space="preserve">adverse impacts for the wider EU economy. Increased financing costs will reduce economic</w:t>
      </w:r>
      <w:r>
        <w:t xml:space="preserve"> </w:t>
      </w:r>
      <w:r>
        <w:t xml:space="preserve">growth as it reduces the investment demand of companies. Likewise, lower returns for investors</w:t>
      </w:r>
      <w:r>
        <w:t xml:space="preserve"> </w:t>
      </w:r>
      <w:r>
        <w:t xml:space="preserve">due to higher costs entail that less funds can be reinvested and lower investor demand. While</w:t>
      </w:r>
      <w:r>
        <w:t xml:space="preserve"> </w:t>
      </w:r>
      <w:r>
        <w:t xml:space="preserve">transaction and other intermediation costs (e.g. asset management) may be small in nominal terms,</w:t>
      </w:r>
      <w:r>
        <w:t xml:space="preserve"> </w:t>
      </w:r>
      <w:r>
        <w:t xml:space="preserve">reducing these costs carries strong compound effects over multiple transactions and would have a</w:t>
      </w:r>
      <w:r>
        <w:t xml:space="preserve"> </w:t>
      </w:r>
      <w:r>
        <w:t xml:space="preserve">significant economic impact in the long run. For financial services overall, the IMF estimates that</w:t>
      </w:r>
      <w:r>
        <w:t xml:space="preserve"> </w:t>
      </w:r>
      <w:r>
        <w:t xml:space="preserve">internal barriers to the single market are equivalent to a tariff of over 100 percent.130 Holste and</w:t>
      </w:r>
      <w:r>
        <w:t xml:space="preserve"> </w:t>
      </w:r>
      <w:r>
        <w:t xml:space="preserve">Bergström’s (2025)131 analysis shows that if Europe had achieved a fully unified capital market</w:t>
      </w:r>
      <w:r>
        <w:t xml:space="preserve"> </w:t>
      </w:r>
      <w:r>
        <w:t xml:space="preserve">over the past decades, EU GDP in 2024 could have been EUR 7.8-8 trillion higher. IMF</w:t>
      </w:r>
      <w:r>
        <w:t xml:space="preserve"> </w:t>
      </w:r>
      <w:r>
        <w:t xml:space="preserve">simulations also suggest that a capital markets union accounts for one third of the total benefits</w:t>
      </w:r>
      <w:r>
        <w:t xml:space="preserve"> </w:t>
      </w:r>
      <w:r>
        <w:t xml:space="preserve">from the single market, i.e. one percentage point higher GDP level.132</w:t>
      </w:r>
      <w:r>
        <w:br/>
      </w:r>
      <w:r>
        <w:t xml:space="preserve">A true single market, with a larger and more diverse pool of market participants, would also be</w:t>
      </w:r>
      <w:r>
        <w:t xml:space="preserve"> </w:t>
      </w:r>
      <w:r>
        <w:t xml:space="preserve">more resilient, and better able to manage external shocks. At the same time, increased cross-border</w:t>
      </w:r>
      <w:r>
        <w:t xml:space="preserve"> </w:t>
      </w:r>
      <w:r>
        <w:t xml:space="preserve">activity could also raise contagion risks, which reinforces the case for consistent and effective</w:t>
      </w:r>
      <w:r>
        <w:t xml:space="preserve"> </w:t>
      </w:r>
      <w:r>
        <w:t xml:space="preserve">supervision at EU level. Reviewing the main findings from the empirical literature, the ECB</w:t>
      </w:r>
      <w:r>
        <w:t xml:space="preserve"> </w:t>
      </w:r>
      <w:r>
        <w:t xml:space="preserve">(2022)133 concludes that the shock absorption capacity of the euro area remains significantly</w:t>
      </w:r>
      <w:r>
        <w:t xml:space="preserve"> </w:t>
      </w:r>
      <w:r>
        <w:t xml:space="preserve">weaker than in the United States, with about 70% of country-specific shocks unsmoothed</w:t>
      </w:r>
      <w:r>
        <w:t xml:space="preserve"> </w:t>
      </w:r>
      <w:r>
        <w:t xml:space="preserve">(compared to some 40% in the US). In particular, the shock absorption provided by the capital</w:t>
      </w:r>
      <w:r>
        <w:t xml:space="preserve"> </w:t>
      </w:r>
      <w:r>
        <w:t xml:space="preserve">channel (via income from cross-ownership of productive assets) is very limited in the euro area</w:t>
      </w:r>
      <w:r>
        <w:t xml:space="preserve"> </w:t>
      </w:r>
      <w:r>
        <w:t xml:space="preserve">(as also confirmed by ECB (2023)134 ). Moreover, the ECB (2022)135 shows that increases in euro</w:t>
      </w:r>
      <w:r>
        <w:t xml:space="preserve"> </w:t>
      </w:r>
      <w:r>
        <w:t xml:space="preserve">area cross-border financial portfolio holdings have relied more on intra-regional holdings than on</w:t>
      </w:r>
      <w:r>
        <w:t xml:space="preserve"> </w:t>
      </w:r>
      <w:r>
        <w:t xml:space="preserve">inter-regional holdings in recent years, both for long-term debt and equity. Correspondingly, euro-</w:t>
      </w:r>
      <w:r>
        <w:t xml:space="preserve"> </w:t>
      </w:r>
      <w:r>
        <w:t xml:space="preserve">area income smoothing has been mainly driven by intra-regional risk sharing.</w:t>
      </w:r>
      <w:r>
        <w:br/>
      </w:r>
      <w:r>
        <w:t xml:space="preserve">Also, the relatively high reliance of EU NFCs on bank-based finance and, conversely, low reliance</w:t>
      </w:r>
      <w:r>
        <w:t xml:space="preserve"> </w:t>
      </w:r>
      <w:r>
        <w:t xml:space="preserve">on capital market-based finance136, makes their financing more volatile and pro-cyclical than is</w:t>
      </w:r>
    </w:p>
    <w:p>
      <w:pPr>
        <w:pStyle w:val="BodyText"/>
      </w:pPr>
      <w:r>
        <w:t xml:space="preserve">129 Only few respondents opposed to raising the limits on the value of financial instruments traded or recorded. They</w:t>
      </w:r>
      <w:r>
        <w:t xml:space="preserve"> </w:t>
      </w:r>
      <w:r>
        <w:t xml:space="preserve">included one national insurance supervisor, one large international bank and one national asset management</w:t>
      </w:r>
      <w:r>
        <w:t xml:space="preserve"> </w:t>
      </w:r>
      <w:r>
        <w:t xml:space="preserve">association.</w:t>
      </w:r>
      <w:r>
        <w:br/>
      </w:r>
      <w:r>
        <w:t xml:space="preserve">130 Regional Economic Outlook for Europe, October 2024: A Recovery Short of Europe’s Full Potential.</w:t>
      </w:r>
      <w:r>
        <w:t xml:space="preserve"> </w:t>
      </w:r>
      <w:r>
        <w:t xml:space="preserve">131 “Capital Market Fragmentation and Economic Value Migration How Europe’s Financial System Promotes Wealth</w:t>
      </w:r>
      <w:r>
        <w:t xml:space="preserve"> </w:t>
      </w:r>
      <w:r>
        <w:t xml:space="preserve">Transfer to the U.S” by Bjoern Holste, Mattias Bergström, SSRN.</w:t>
      </w:r>
      <w:r>
        <w:t xml:space="preserve"> </w:t>
      </w:r>
      <w:r>
        <w:t xml:space="preserve">Capital Market Fragmentation and Economic Value Migration How Europe’s Financial System Promotes Wealth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U.S</w:t>
      </w:r>
      <w:r>
        <w:t xml:space="preserve"> </w:t>
      </w:r>
      <w:r>
        <w:t xml:space="preserve">by</w:t>
      </w:r>
      <w:r>
        <w:t xml:space="preserve"> </w:t>
      </w:r>
      <w:r>
        <w:t xml:space="preserve">Bjoern</w:t>
      </w:r>
      <w:r>
        <w:t xml:space="preserve"> </w:t>
      </w:r>
      <w:r>
        <w:t xml:space="preserve">Holste,</w:t>
      </w:r>
      <w:r>
        <w:t xml:space="preserve"> </w:t>
      </w:r>
      <w:r>
        <w:t xml:space="preserve">Mattias</w:t>
      </w:r>
      <w:r>
        <w:t xml:space="preserve"> </w:t>
      </w:r>
      <w:r>
        <w:t xml:space="preserve">Bergström,</w:t>
      </w:r>
      <w:r>
        <w:t xml:space="preserve"> </w:t>
      </w:r>
      <w:r>
        <w:t xml:space="preserve">May</w:t>
      </w:r>
      <w:r>
        <w:t xml:space="preserve"> </w:t>
      </w:r>
      <w:r>
        <w:t xml:space="preserve">2025,</w:t>
      </w:r>
      <w:r>
        <w:br/>
      </w:r>
      <w:r>
        <w:t xml:space="preserve">https://papers.ssrn.com/sol3/papers.cfm?abstract_id=5204091</w:t>
      </w:r>
      <w:r>
        <w:t xml:space="preserve"> </w:t>
      </w:r>
      <w:r>
        <w:t xml:space="preserve">132 IMF working paper: Lifting Binding Constraints on Growth in Europe: Actionable Priorities to Deepen the Single</w:t>
      </w:r>
      <w:r>
        <w:t xml:space="preserve"> </w:t>
      </w:r>
      <w:r>
        <w:t xml:space="preserve">Market“. Available here: https://www.imf.org/en/Publications/WP/Issues/2025/06/13/Lifting-Binding-Constraints-</w:t>
      </w:r>
      <w:r>
        <w:t xml:space="preserve"> </w:t>
      </w:r>
      <w:r>
        <w:t xml:space="preserve">on-Growth-in-Europe-Actionable-Priorities-to-Deepen-the-Single-567610</w:t>
      </w:r>
      <w:r>
        <w:t xml:space="preserve"> </w:t>
      </w:r>
      <w:r>
        <w:t xml:space="preserve">133 Public and private risk sharing: friends or foes? The interplay between different forms of risk sharing</w:t>
      </w:r>
      <w:r>
        <w:t xml:space="preserve"> </w:t>
      </w:r>
      <w:r>
        <w:t xml:space="preserve">134 Changing patterns of risk-sharing channels in the United States and the euro area</w:t>
      </w:r>
      <w:r>
        <w:t xml:space="preserve"> </w:t>
      </w:r>
      <w:r>
        <w:t xml:space="preserve">135 Financial Integration and Structure in the Euro Area, April 2022.</w:t>
      </w:r>
      <w:r>
        <w:t xml:space="preserve"> </w:t>
      </w:r>
      <w:r>
        <w:t xml:space="preserve">136 See Annex 12 for differences in average funding structures between Member States.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the case for US non-financial corporates.137 It is well documented that, in both the global financial</w:t>
      </w:r>
      <w:r>
        <w:t xml:space="preserve"> </w:t>
      </w:r>
      <w:r>
        <w:t xml:space="preserve">crisis and the euro area sovereign debt crisis, bank loans to euro-area firms dropped, while their</w:t>
      </w:r>
      <w:r>
        <w:t xml:space="preserve"> </w:t>
      </w:r>
      <w:r>
        <w:t xml:space="preserve">debt security financing expanded, relative to GDP. Firms with access to debt security markets were</w:t>
      </w:r>
      <w:r>
        <w:t xml:space="preserve"> </w:t>
      </w:r>
      <w:r>
        <w:t xml:space="preserve">able to respond to the contraction in bank loan supply by issuing more debt securities.</w:t>
      </w:r>
      <w:r>
        <w:br/>
      </w:r>
      <w:r>
        <w:t xml:space="preserve">2.4. HOW LIKELY ARE THE PROBLEMS TO PERSIST?</w:t>
      </w:r>
      <w:r>
        <w:t xml:space="preserve"> </w:t>
      </w:r>
      <w:r>
        <w:t xml:space="preserve">Without decisive action at the EU level, the problems related to fragmentation and lack of scale</w:t>
      </w:r>
      <w:r>
        <w:t xml:space="preserve"> </w:t>
      </w:r>
      <w:r>
        <w:t xml:space="preserve">are very likely to persist. The problems stem from regulatory and supervisory barriers that cannot</w:t>
      </w:r>
      <w:r>
        <w:t xml:space="preserve"> </w:t>
      </w:r>
      <w:r>
        <w:t xml:space="preserve">be overcome by market forces. While other factors are affecting EU capital market development</w:t>
      </w:r>
      <w:r>
        <w:t xml:space="preserve"> </w:t>
      </w:r>
      <w:r>
        <w:t xml:space="preserve">and integration, the legal barriers concern the key sectors of trading, post-trading and asset</w:t>
      </w:r>
      <w:r>
        <w:t xml:space="preserve"> </w:t>
      </w:r>
      <w:r>
        <w:t xml:space="preserve">management and can only be addressed by policy intervention. Addressing barriers to integration</w:t>
      </w:r>
      <w:r>
        <w:t xml:space="preserve"> </w:t>
      </w:r>
      <w:r>
        <w:t xml:space="preserve">is a long-standing and ongoing effort in EU policy making, but progress has been slow. The</w:t>
      </w:r>
      <w:r>
        <w:t xml:space="preserve"> </w:t>
      </w:r>
      <w:r>
        <w:t xml:space="preserve">urgency to act now as increased and there is political momentum to take a decisive step forward</w:t>
      </w:r>
      <w:r>
        <w:t xml:space="preserve"> </w:t>
      </w:r>
      <w:r>
        <w:t xml:space="preserve">to advance the integration and development of EU capital markets, for the wider benefit of the EU</w:t>
      </w:r>
      <w:r>
        <w:t xml:space="preserve"> </w:t>
      </w:r>
      <w:r>
        <w:t xml:space="preserve">economy, in line with the recommendations in the Draghi, Letta and other reports (see Section</w:t>
      </w:r>
      <w:r>
        <w:t xml:space="preserve"> </w:t>
      </w:r>
      <w:r>
        <w:t xml:space="preserve">1.1).</w:t>
      </w:r>
      <w:r>
        <w:t xml:space="preserve"> </w:t>
      </w:r>
      <w:r>
        <w:t xml:space="preserve">Market forces have helped financial markets integrate along important dimensions, and businesses</w:t>
      </w:r>
      <w:r>
        <w:t xml:space="preserve"> </w:t>
      </w:r>
      <w:r>
        <w:t xml:space="preserve">have somewhat expanded their cross-border operations despite these barriers. However,</w:t>
      </w:r>
      <w:r>
        <w:t xml:space="preserve"> </w:t>
      </w:r>
      <w:r>
        <w:t xml:space="preserve">divergences in legal and regulatory frameworks across Member States continue to create legal</w:t>
      </w:r>
      <w:r>
        <w:t xml:space="preserve"> </w:t>
      </w:r>
      <w:r>
        <w:t xml:space="preserve">uncertainty and increase compliance costs for entities operating in the EU Single Market. These</w:t>
      </w:r>
      <w:r>
        <w:t xml:space="preserve"> </w:t>
      </w:r>
      <w:r>
        <w:t xml:space="preserve">divergences also stifle cross-border activities, placing additional burdens on companies and</w:t>
      </w:r>
      <w:r>
        <w:t xml:space="preserve"> </w:t>
      </w:r>
      <w:r>
        <w:t xml:space="preserve">limiting their opportunities to scale up their business. Without EU action, these inefficiencies</w:t>
      </w:r>
      <w:r>
        <w:t xml:space="preserve"> </w:t>
      </w:r>
      <w:r>
        <w:t xml:space="preserve">would prevail and hinder further market-led integration.</w:t>
      </w:r>
      <w:r>
        <w:br/>
      </w:r>
      <w:r>
        <w:t xml:space="preserve">Moreover, supervisory fragmentation would continue, due to supervisory barriers set out in</w:t>
      </w:r>
      <w:r>
        <w:t xml:space="preserve"> </w:t>
      </w:r>
      <w:r>
        <w:t xml:space="preserve">Section 2.2.2. Experience138 shows that soft coordination mechanisms - such as colleges of</w:t>
      </w:r>
      <w:r>
        <w:t xml:space="preserve"> </w:t>
      </w:r>
      <w:r>
        <w:t xml:space="preserve">supervisors or non-binding opinions - have not been sufficient to drive uniform supervisory</w:t>
      </w:r>
      <w:r>
        <w:t xml:space="preserve"> </w:t>
      </w:r>
      <w:r>
        <w:t xml:space="preserve">outcomes, which means that the risk of inconsistent oversight and inefficiencies would persist.</w:t>
      </w:r>
      <w:r>
        <w:t xml:space="preserve"> </w:t>
      </w:r>
      <w:r>
        <w:t xml:space="preserve">Stakeholder feedback confirms that, without EU-level intervention, the status quo would cement</w:t>
      </w:r>
      <w:r>
        <w:t xml:space="preserve"> </w:t>
      </w:r>
      <w:r>
        <w:t xml:space="preserve">existing challenges, deepen fragmentation, and undermine the effectiveness of EU financial</w:t>
      </w:r>
      <w:r>
        <w:t xml:space="preserve"> </w:t>
      </w:r>
      <w:r>
        <w:t xml:space="preserve">supervision in delivering on single market objectives.</w:t>
      </w:r>
      <w:r>
        <w:t xml:space="preserve"> </w:t>
      </w:r>
      <w:r>
        <w:t xml:space="preserve">As regards innovation, technological advancements and specifically DLT have the potential to</w:t>
      </w:r>
      <w:r>
        <w:t xml:space="preserve"> </w:t>
      </w:r>
      <w:r>
        <w:t xml:space="preserve">significantly impact market structure and deliver further efficiency and integration benefits, but</w:t>
      </w:r>
      <w:r>
        <w:t xml:space="preserve"> </w:t>
      </w:r>
      <w:r>
        <w:t xml:space="preserve">industry take-up would continue to be hindered in the absence of a legal framework that creates</w:t>
      </w:r>
      <w:r>
        <w:t xml:space="preserve"> </w:t>
      </w:r>
      <w:r>
        <w:t xml:space="preserve">both the flexibility and legal certainty for the market to responsibly integrate the technology in</w:t>
      </w:r>
      <w:r>
        <w:t xml:space="preserve"> </w:t>
      </w:r>
      <w:r>
        <w:t xml:space="preserve">their service provision</w:t>
      </w:r>
    </w:p>
    <w:p>
      <w:pPr>
        <w:pStyle w:val="BodyText"/>
      </w:pPr>
      <w:r>
        <w:t xml:space="preserve">137 Langfield, S. and M. Pagano, January 2016, “Bank bias in Europe: effects on systemic risk and growth”, Economic</w:t>
      </w:r>
      <w:r>
        <w:t xml:space="preserve"> </w:t>
      </w:r>
      <w:r>
        <w:t xml:space="preserve">Policy, Volume 31, Issue 85, pp 51–106.</w:t>
      </w:r>
      <w:r>
        <w:t xml:space="preserve"> </w:t>
      </w:r>
      <w:r>
        <w:t xml:space="preserve">138 In the 2021 Impact Assessment accompanying the AIFM/UCITS amendments, the Commission noted that existing</w:t>
      </w:r>
      <w:r>
        <w:t xml:space="preserve"> </w:t>
      </w:r>
      <w:r>
        <w:t xml:space="preserve">coordination tools -such as colleges of supervisors, peer reviews, and non-binding guidance -have not demonstrably</w:t>
      </w:r>
      <w:r>
        <w:t xml:space="preserve"> </w:t>
      </w:r>
      <w:r>
        <w:t xml:space="preserve">reduced divergence in national supervisory practices. ESMA itself lacks measurable evidence that its efforts have</w:t>
      </w:r>
      <w:r>
        <w:t xml:space="preserve"> </w:t>
      </w:r>
      <w:r>
        <w:t xml:space="preserve">significantly aligned national supervisors’ approaches.</w:t>
      </w:r>
    </w:p>
    <w:p>
      <w:pPr>
        <w:pStyle w:val="BodyText"/>
      </w:pPr>
      <w:r>
        <w:t xml:space="preserve">52</w:t>
      </w:r>
    </w:p>
    <w:p>
      <w:pPr>
        <w:pStyle w:val="Compact"/>
        <w:numPr>
          <w:ilvl w:val="0"/>
          <w:numId w:val="1004"/>
        </w:numPr>
      </w:pP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Treaty on the Functioning of the European Union (‘TFEU’) grants EU institutions the</w:t>
      </w:r>
      <w:r>
        <w:t xml:space="preserve"> </w:t>
      </w:r>
      <w:r>
        <w:t xml:space="preserve">competence to establish provisions for the internal market under Article 114. This initiative will</w:t>
      </w:r>
      <w:r>
        <w:t xml:space="preserve"> </w:t>
      </w:r>
      <w:r>
        <w:t xml:space="preserve">rely on the same legal bases as the acts that it intends to amend, which may include both Article</w:t>
      </w:r>
      <w:r>
        <w:t xml:space="preserve"> </w:t>
      </w:r>
      <w:r>
        <w:t xml:space="preserve">53 and Article 114 TFEU, depending on whether it concerns amendments to directives or</w:t>
      </w:r>
      <w:r>
        <w:t xml:space="preserve"> </w:t>
      </w:r>
      <w:r>
        <w:t xml:space="preserve">regulations. For instance, Article 53 facilitates the freedom of establishment for financial firms</w:t>
      </w:r>
      <w:r>
        <w:t xml:space="preserve"> </w:t>
      </w:r>
      <w:r>
        <w:t xml:space="preserve">and is applicable to directives such as MiFID, AIMFD, and UCITSD. Meanwhile, Article 114</w:t>
      </w:r>
      <w:r>
        <w:t xml:space="preserve"> </w:t>
      </w:r>
      <w:r>
        <w:t xml:space="preserve">serves as the legal foundation for EU Regulations, such as the ESMA Regulation. Any amending</w:t>
      </w:r>
      <w:r>
        <w:t xml:space="preserve"> </w:t>
      </w:r>
      <w:r>
        <w:t xml:space="preserve">regulation and directive will adhere to its corresponding legal basis.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According to the principle of subsidiarity (Article 5(3) of the TFEU), action on EU level should</w:t>
      </w:r>
      <w:r>
        <w:t xml:space="preserve"> </w:t>
      </w:r>
      <w:r>
        <w:t xml:space="preserve">be taken only when the aims envisaged cannot be achieved sufficiently by Member States alone</w:t>
      </w:r>
      <w:r>
        <w:t xml:space="preserve"> </w:t>
      </w:r>
      <w:r>
        <w:t xml:space="preserve">and can therefore, by reason of the scale or effects of the proposed action, be better achieved on</w:t>
      </w:r>
      <w:r>
        <w:t xml:space="preserve"> </w:t>
      </w:r>
      <w:r>
        <w:t xml:space="preserve">the EU level.</w:t>
      </w:r>
      <w:r>
        <w:t xml:space="preserve"> </w:t>
      </w:r>
      <w:r>
        <w:t xml:space="preserve">The EU acquis relating to financial service providers and financial markets consists of various EU</w:t>
      </w:r>
      <w:r>
        <w:t xml:space="preserve"> </w:t>
      </w:r>
      <w:r>
        <w:t xml:space="preserve">regulations and directives. However, fragmentation persists when it comes to cross-border</w:t>
      </w:r>
      <w:r>
        <w:t xml:space="preserve"> </w:t>
      </w:r>
      <w:r>
        <w:t xml:space="preserve">provision of services or products. Cross-border provision of services is hindered by differing</w:t>
      </w:r>
      <w:r>
        <w:t xml:space="preserve"> </w:t>
      </w:r>
      <w:r>
        <w:t xml:space="preserve">national rules and supervisory practices implementing these EU legal acts, which can undermine</w:t>
      </w:r>
      <w:r>
        <w:t xml:space="preserve"> </w:t>
      </w:r>
      <w:r>
        <w:t xml:space="preserve">the objective of the single rulebook. Furthermore, part of the EU acquis needs updating to better</w:t>
      </w:r>
      <w:r>
        <w:t xml:space="preserve"> </w:t>
      </w:r>
      <w:r>
        <w:t xml:space="preserve">facilitate the provision of financial services using novel technologies.</w:t>
      </w:r>
      <w:r>
        <w:br/>
      </w:r>
      <w:r>
        <w:t xml:space="preserve">The disparities in directives, regulations and practices across Member States result in market</w:t>
      </w:r>
      <w:r>
        <w:t xml:space="preserve"> </w:t>
      </w:r>
      <w:r>
        <w:t xml:space="preserve">inefficiencies, notably on a cross-border basis. These inefficiencies lead to higher costs and</w:t>
      </w:r>
      <w:r>
        <w:t xml:space="preserve"> </w:t>
      </w:r>
      <w:r>
        <w:t xml:space="preserve">ultimately less financing opportunities for EU companies, less investment opportunities for</w:t>
      </w:r>
      <w:r>
        <w:t xml:space="preserve"> </w:t>
      </w:r>
      <w:r>
        <w:t xml:space="preserve">investors, and other wider adverse consequences for the EU economy These challenges are</w:t>
      </w:r>
      <w:r>
        <w:t xml:space="preserve"> </w:t>
      </w:r>
      <w:r>
        <w:t xml:space="preserve">inherently transnational and cannot be adequately resolved through isolated and uncoordinated</w:t>
      </w:r>
      <w:r>
        <w:t xml:space="preserve"> </w:t>
      </w:r>
      <w:r>
        <w:t xml:space="preserve">national actions. Member States are unable to bring about sufficient improvement to those</w:t>
      </w:r>
      <w:r>
        <w:t xml:space="preserve"> </w:t>
      </w:r>
      <w:r>
        <w:t xml:space="preserve">problems on their own.</w:t>
      </w:r>
      <w:r>
        <w:br/>
      </w:r>
      <w:r>
        <w:t xml:space="preserve">In addition, diverging national rules on how to apply the EU acquis create an uneven playing field.</w:t>
      </w:r>
      <w:r>
        <w:t xml:space="preserve"> </w:t>
      </w:r>
      <w:r>
        <w:t xml:space="preserve">This can occur either where stricter rules are applied, thereby disincentivising domestic market</w:t>
      </w:r>
      <w:r>
        <w:t xml:space="preserve"> </w:t>
      </w:r>
      <w:r>
        <w:t xml:space="preserve">participants to engage in cross-border activities, or where the more lenient application of common</w:t>
      </w:r>
      <w:r>
        <w:t xml:space="preserve"> </w:t>
      </w:r>
      <w:r>
        <w:t xml:space="preserve">rules creates regulatory arbitrage. As these challenges largely stem from the EU acquis (or its</w:t>
      </w:r>
      <w:r>
        <w:t xml:space="preserve"> </w:t>
      </w:r>
      <w:r>
        <w:t xml:space="preserve">implementation), they cannot be effectively addressed by individual actions at Member State level.</w:t>
      </w:r>
      <w:r>
        <w:br/>
      </w:r>
      <w:r>
        <w:t xml:space="preserve">Member States’ differing legal frameworks, supervisory traditions and market structures imply</w:t>
      </w:r>
      <w:r>
        <w:t xml:space="preserve"> </w:t>
      </w:r>
      <w:r>
        <w:t xml:space="preserve">that reforms undertaken individually would not deliver the necessary convergence of regulatory</w:t>
      </w:r>
      <w:r>
        <w:t xml:space="preserve"> </w:t>
      </w:r>
      <w:r>
        <w:t xml:space="preserve">and supervisory standards and market practices that are needed for a single market in capital.</w:t>
      </w:r>
      <w:r>
        <w:t xml:space="preserve"> </w:t>
      </w:r>
      <w:r>
        <w:t xml:space="preserve">National policy measures to develop domestic capital markets risk intensifying fragmentation</w:t>
      </w:r>
      <w:r>
        <w:t xml:space="preserve"> </w:t>
      </w:r>
      <w:r>
        <w:t xml:space="preserve">instead of contributing to further integrating national markets into one large and developed capital</w:t>
      </w:r>
      <w:r>
        <w:t xml:space="preserve"> </w:t>
      </w:r>
      <w:r>
        <w:t xml:space="preserve">market. Therefore, an approach at EU level is necessary to address these barriers, to promote the</w:t>
      </w:r>
    </w:p>
    <w:p>
      <w:pPr>
        <w:pStyle w:val="FirstParagraph"/>
      </w:pPr>
      <w:r>
        <w:t xml:space="preserve">53</w:t>
      </w:r>
    </w:p>
    <w:p>
      <w:pPr>
        <w:pStyle w:val="BodyText"/>
      </w:pPr>
      <w:r>
        <w:t xml:space="preserve">seamless provision of cross-border financial services and products and facilitate the integration</w:t>
      </w:r>
      <w:r>
        <w:t xml:space="preserve"> </w:t>
      </w:r>
      <w:r>
        <w:t xml:space="preserve">required to advance the Savings and Investments Union.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The added value of EU action lies in its ability to remove barriers in the EU rulebook that currently</w:t>
      </w:r>
      <w:r>
        <w:t xml:space="preserve"> </w:t>
      </w:r>
      <w:r>
        <w:t xml:space="preserve">hinder market integration. Action at EU level would also present distinct advantages over actions</w:t>
      </w:r>
      <w:r>
        <w:t xml:space="preserve"> </w:t>
      </w:r>
      <w:r>
        <w:t xml:space="preserve">at national level, which would exacerbate fragmentation, rather than further integrating the</w:t>
      </w:r>
      <w:r>
        <w:t xml:space="preserve"> </w:t>
      </w:r>
      <w:r>
        <w:t xml:space="preserve">national markets into one large and developed capital market. Only concerted efforts at the EU</w:t>
      </w:r>
      <w:r>
        <w:t xml:space="preserve"> </w:t>
      </w:r>
      <w:r>
        <w:t xml:space="preserve">level can achieve further alignment of rules necessary to create a single market for capital.</w:t>
      </w:r>
      <w:r>
        <w:br/>
      </w:r>
      <w:r>
        <w:t xml:space="preserve">The cross-border nature of certain activities and the systemic implications of the related</w:t>
      </w:r>
      <w:r>
        <w:t xml:space="preserve"> </w:t>
      </w:r>
      <w:r>
        <w:t xml:space="preserve">supervisory decisions go beyond the capacity of any single Member States to address these aspects</w:t>
      </w:r>
      <w:r>
        <w:t xml:space="preserve"> </w:t>
      </w:r>
      <w:r>
        <w:t xml:space="preserve">effectively. Action at EU level is justified as it aims to reduce legal and operational uncertainties</w:t>
      </w:r>
      <w:r>
        <w:t xml:space="preserve"> </w:t>
      </w:r>
      <w:r>
        <w:t xml:space="preserve">for businesses and investors, encourage cross-border investments, and enhance market efficiency,</w:t>
      </w:r>
      <w:r>
        <w:t xml:space="preserve"> </w:t>
      </w:r>
      <w:r>
        <w:t xml:space="preserve">consistency and coherence across all Member States. It is also justified to ensure consistent</w:t>
      </w:r>
      <w:r>
        <w:t xml:space="preserve"> </w:t>
      </w:r>
      <w:r>
        <w:t xml:space="preserve">supervision, safeguard financial stability, and preserve the integrity of the single market.</w:t>
      </w:r>
      <w:r>
        <w:t xml:space="preserve"> </w:t>
      </w:r>
      <w:r>
        <w:t xml:space="preserve">Moreover, such EU-level initiatives promote a level playing field and increase the attractiveness</w:t>
      </w:r>
      <w:r>
        <w:t xml:space="preserve"> </w:t>
      </w:r>
      <w:r>
        <w:t xml:space="preserve">and competitiveness of the single market for financial services and their economic efficiency,</w:t>
      </w:r>
      <w:r>
        <w:t xml:space="preserve"> </w:t>
      </w:r>
      <w:r>
        <w:t xml:space="preserve">which can only be achieved through a coordinated efforts at EU level. The initiative remains</w:t>
      </w:r>
      <w:r>
        <w:t xml:space="preserve"> </w:t>
      </w:r>
      <w:r>
        <w:t xml:space="preserve">proportionate as it ensures the balance between EU and national competence, with respect to</w:t>
      </w:r>
      <w:r>
        <w:t xml:space="preserve"> </w:t>
      </w:r>
      <w:r>
        <w:t xml:space="preserve">entities and activities with material cross-border relevance and those of primarily domestic</w:t>
      </w:r>
      <w:r>
        <w:t xml:space="preserve"> </w:t>
      </w:r>
      <w:r>
        <w:t xml:space="preserve">importance.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 GENERAL OBJECTIVE</w:t>
      </w:r>
      <w:r>
        <w:t xml:space="preserve"> </w:t>
      </w:r>
      <w:r>
        <w:t xml:space="preserve">The general objective of this initiative is to integrate and thereby improve the functioning of EU</w:t>
      </w:r>
      <w:r>
        <w:t xml:space="preserve"> </w:t>
      </w:r>
      <w:r>
        <w:t xml:space="preserve">capital markets for the benefit of investors, businesses and the wider EU economy. This contributes</w:t>
      </w:r>
      <w:r>
        <w:t xml:space="preserve"> </w:t>
      </w:r>
      <w:r>
        <w:t xml:space="preserve">to the Savings and Investments Union’s core objective to enable access to a wider range of</w:t>
      </w:r>
      <w:r>
        <w:t xml:space="preserve"> </w:t>
      </w:r>
      <w:r>
        <w:t xml:space="preserve">financial opportunities for investors and businesses and mobilise savings for productive</w:t>
      </w:r>
      <w:r>
        <w:t xml:space="preserve"> </w:t>
      </w:r>
      <w:r>
        <w:t xml:space="preserve">investment.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 initiative will contribute to the achievement of the general objective by pursuing the following</w:t>
      </w:r>
      <w:r>
        <w:t xml:space="preserve"> </w:t>
      </w:r>
      <w:r>
        <w:t xml:space="preserve">specific objectives:</w:t>
      </w:r>
      <w:r>
        <w:t xml:space="preserve"> </w:t>
      </w:r>
      <w:r>
        <w:t xml:space="preserve">1. Enable further market integration and scale effects – The initiative aims to remove barriers</w:t>
      </w:r>
      <w:r>
        <w:t xml:space="preserve"> </w:t>
      </w:r>
      <w:r>
        <w:t xml:space="preserve">to integration in the core sectors of trading, post-trading and asset management and</w:t>
      </w:r>
      <w:r>
        <w:t xml:space="preserve"> </w:t>
      </w:r>
      <w:r>
        <w:t xml:space="preserve">improve the ability of market actors in those sectors to operate more seamlessly across</w:t>
      </w:r>
      <w:r>
        <w:t xml:space="preserve"> </w:t>
      </w:r>
      <w:r>
        <w:t xml:space="preserve">Member States, thereby enabling market integration and scale. As a result, gaps between</w:t>
      </w:r>
      <w:r>
        <w:t xml:space="preserve"> </w:t>
      </w:r>
      <w:r>
        <w:t xml:space="preserve">the costs of domestic and cross-border transactions should narrow and the number of cross-</w:t>
      </w:r>
      <w:r>
        <w:t xml:space="preserve"> </w:t>
      </w:r>
      <w:r>
        <w:t xml:space="preserve">border transactions increase.</w:t>
      </w:r>
    </w:p>
    <w:p>
      <w:pPr>
        <w:pStyle w:val="BodyText"/>
      </w:pPr>
      <w:r>
        <w:t xml:space="preserve">54</w:t>
      </w:r>
    </w:p>
    <w:p>
      <w:pPr>
        <w:pStyle w:val="Compact"/>
        <w:numPr>
          <w:ilvl w:val="0"/>
          <w:numId w:val="1005"/>
        </w:numPr>
      </w:pPr>
      <w:r>
        <w:t xml:space="preserve">Enable integrated supervision – The initiative seeks to address shortcomings and</w:t>
      </w:r>
      <w:r>
        <w:t xml:space="preserve"> </w:t>
      </w:r>
      <w:r>
        <w:t xml:space="preserve">inefficiencies in the current supervisory framework, by tackling inconsistencies and</w:t>
      </w:r>
      <w:r>
        <w:t xml:space="preserve"> </w:t>
      </w:r>
      <w:r>
        <w:t xml:space="preserve">complexities arising from fragmented national supervisory approaches. It aims to make</w:t>
      </w:r>
      <w:r>
        <w:t xml:space="preserve"> </w:t>
      </w:r>
      <w:r>
        <w:t xml:space="preserve">supervision more effective, more conducive to cross-border activities, and more responsive</w:t>
      </w:r>
      <w:r>
        <w:t xml:space="preserve"> </w:t>
      </w:r>
      <w:r>
        <w:t xml:space="preserve">to emerging risks, while reducing unnecessary burdens on firms. This should also increase</w:t>
      </w:r>
      <w:r>
        <w:t xml:space="preserve"> </w:t>
      </w:r>
      <w:r>
        <w:t xml:space="preserve">investor confidence. There is a strong link to objective (i), as effective supervision is crucial</w:t>
      </w:r>
      <w:r>
        <w:t xml:space="preserve"> </w:t>
      </w:r>
      <w:r>
        <w:t xml:space="preserve">for market integration. Well-integrated financial markets rely on more coordinated</w:t>
      </w:r>
      <w:r>
        <w:t xml:space="preserve"> </w:t>
      </w:r>
      <w:r>
        <w:t xml:space="preserve">supervisory frameworks to operate efficiently, and a more common approach to</w:t>
      </w:r>
      <w:r>
        <w:t xml:space="preserve"> </w:t>
      </w:r>
      <w:r>
        <w:t xml:space="preserve">supervision can promote deeper market integration.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Facilitate innovation – The initiative aims to remove regulatory obstacles to DLT-based</w:t>
      </w:r>
      <w:r>
        <w:t xml:space="preserve"> </w:t>
      </w:r>
      <w:r>
        <w:t xml:space="preserve">innovation with the aim of creating a framework which enables the take-up of these new</w:t>
      </w:r>
      <w:r>
        <w:t xml:space="preserve"> </w:t>
      </w:r>
      <w:r>
        <w:t xml:space="preserve">technologies in the provision of financial services. For innovation to thrive, both the</w:t>
      </w:r>
      <w:r>
        <w:t xml:space="preserve"> </w:t>
      </w:r>
      <w:r>
        <w:t xml:space="preserve">DLTPR and the standard rulebook should allow the industry to use DLT to bring efficient</w:t>
      </w:r>
      <w:r>
        <w:t xml:space="preserve"> </w:t>
      </w:r>
      <w:r>
        <w:t xml:space="preserve">solutions to the market while ensuring that associated risks are mitigated. Removing these</w:t>
      </w:r>
      <w:r>
        <w:t xml:space="preserve"> </w:t>
      </w:r>
      <w:r>
        <w:t xml:space="preserve">barriers also seeks to increase competition in the area of trading and post-trading services,</w:t>
      </w:r>
      <w:r>
        <w:t xml:space="preserve"> </w:t>
      </w:r>
      <w:r>
        <w:t xml:space="preserve">leading to improved market outcomes.</w:t>
      </w:r>
      <w:r>
        <w:t xml:space="preserve"> </w:t>
      </w:r>
      <w:r>
        <w:t xml:space="preserve">The specific objectives will be pursued without compromising financial stability, market integrity</w:t>
      </w:r>
      <w:r>
        <w:t xml:space="preserve"> </w:t>
      </w:r>
      <w:r>
        <w:t xml:space="preserve">or investor protection, thereby ensuring that the EU financial market remains safe and globally</w:t>
      </w:r>
      <w:r>
        <w:t xml:space="preserve"> </w:t>
      </w:r>
      <w:r>
        <w:t xml:space="preserve">attractive.</w:t>
      </w:r>
    </w:p>
    <w:p>
      <w:pPr>
        <w:pStyle w:val="Compact"/>
        <w:numPr>
          <w:ilvl w:val="0"/>
          <w:numId w:val="1005"/>
        </w:numPr>
      </w:pPr>
      <w:r>
        <w:t xml:space="preserve">WHAT ARE THE AVAILABLE POLICY OPTIONS?</w:t>
      </w:r>
      <w:r>
        <w:t xml:space="preserve"> </w:t>
      </w:r>
      <w:r>
        <w:t xml:space="preserve">5.1. APPROACH TO DESIGN OF POLICY OPTIONS</w:t>
      </w:r>
      <w:r>
        <w:t xml:space="preserve"> </w:t>
      </w:r>
      <w:r>
        <w:t xml:space="preserve">As already highlighted, this initiative is very broad and spans the trading, post-trading and asset</w:t>
      </w:r>
      <w:r>
        <w:t xml:space="preserve"> </w:t>
      </w:r>
      <w:r>
        <w:t xml:space="preserve">management sectors that provide the essential infrastructure and services for enabling the</w:t>
      </w:r>
      <w:r>
        <w:t xml:space="preserve"> </w:t>
      </w:r>
      <w:r>
        <w:t xml:space="preserve">intermediation between investors looking for investment opportunities and companies seeking</w:t>
      </w:r>
      <w:r>
        <w:t xml:space="preserve"> </w:t>
      </w:r>
      <w:r>
        <w:t xml:space="preserve">financing. The initiative covers also innovation in capital markets, and supervision of these sectors.</w:t>
      </w:r>
      <w:r>
        <w:t xml:space="preserve"> </w:t>
      </w:r>
      <w:r>
        <w:t xml:space="preserve">Given its complexity, this report presents the options in packages that differ in terms of ambition</w:t>
      </w:r>
      <w:r>
        <w:t xml:space="preserve"> </w:t>
      </w:r>
      <w:r>
        <w:t xml:space="preserve">and political feasibility. The separate annexes offer a more granular and technical analysis of the</w:t>
      </w:r>
      <w:r>
        <w:t xml:space="preserve"> </w:t>
      </w:r>
      <w:r>
        <w:t xml:space="preserve">various sectors as well as a more detailed assessment of alternative options per each sector,</w:t>
      </w:r>
      <w:r>
        <w:t xml:space="preserve"> </w:t>
      </w:r>
      <w:r>
        <w:t xml:space="preserve">intended for stakeholders with technical expertise in their respective sectors.</w:t>
      </w:r>
      <w:r>
        <w:t xml:space="preserve"> </w:t>
      </w:r>
      <w:r>
        <w:t xml:space="preserve">5.2. WHAT IS THE BASELINE FROM WHICH OPTIONS ARE ASSESSED?</w:t>
      </w:r>
      <w:r>
        <w:t xml:space="preserve"> </w:t>
      </w:r>
      <w:r>
        <w:t xml:space="preserve">Under the baseline scenario, the existing frameworks, along with their divergent national</w:t>
      </w:r>
      <w:r>
        <w:t xml:space="preserve"> </w:t>
      </w:r>
      <w:r>
        <w:t xml:space="preserve">implementations, divergent supervisory approaches and burdensome requirements, would remain</w:t>
      </w:r>
      <w:r>
        <w:t xml:space="preserve"> </w:t>
      </w:r>
      <w:r>
        <w:t xml:space="preserve">unchanged without legislative reforms. The lack of interconnection between entities in different</w:t>
      </w:r>
      <w:r>
        <w:t xml:space="preserve"> </w:t>
      </w:r>
      <w:r>
        <w:t xml:space="preserve">markets would also persist. All this results in persisting higher costs for cross-border activities and</w:t>
      </w:r>
      <w:r>
        <w:t xml:space="preserve"> </w:t>
      </w:r>
      <w:r>
        <w:t xml:space="preserve">market inefficiencies.</w:t>
      </w:r>
      <w:r>
        <w:t xml:space="preserve"> </w:t>
      </w:r>
      <w:r>
        <w:t xml:space="preserve">Market forces alone will not overcome the legal and market practice barriers addressed in this</w:t>
      </w:r>
      <w:r>
        <w:t xml:space="preserve"> </w:t>
      </w:r>
      <w:r>
        <w:t xml:space="preserve">initiative and drive further integration and innovation, as explained in more details in Section 2.4.</w:t>
      </w:r>
      <w:r>
        <w:t xml:space="preserve"> </w:t>
      </w:r>
      <w:r>
        <w:t xml:space="preserve">National authorities have limited incentives to voluntarily align supervisory practices or relinquish</w:t>
      </w:r>
      <w:r>
        <w:t xml:space="preserve"> </w:t>
      </w:r>
      <w:r>
        <w:t xml:space="preserve">discretion, making regulatory intervention necessary to ensure convergence. Stakeholder feedback</w:t>
      </w:r>
      <w:r>
        <w:t xml:space="preserve"> </w:t>
      </w:r>
      <w:r>
        <w:t xml:space="preserve">cautions that failing to address fragmented supervision could lead to entrenched regulatory</w:t>
      </w:r>
    </w:p>
    <w:p>
      <w:pPr>
        <w:pStyle w:val="FirstParagraph"/>
      </w:pPr>
      <w:r>
        <w:t xml:space="preserve">55</w:t>
      </w:r>
    </w:p>
    <w:p>
      <w:pPr>
        <w:pStyle w:val="BodyText"/>
      </w:pPr>
      <w:r>
        <w:t xml:space="preserve">arbitrage, legal uncertainty, and reduced competitiveness. Member States would continue</w:t>
      </w:r>
      <w:r>
        <w:t xml:space="preserve"> </w:t>
      </w:r>
      <w:r>
        <w:t xml:space="preserve">exercising discretion in the application of the rules where EU harmonisation is minimal, and</w:t>
      </w:r>
      <w:r>
        <w:t xml:space="preserve"> </w:t>
      </w:r>
      <w:r>
        <w:t xml:space="preserve">limited interconnection between entities in different markets would persist. As a result, financial</w:t>
      </w:r>
      <w:r>
        <w:t xml:space="preserve"> </w:t>
      </w:r>
      <w:r>
        <w:t xml:space="preserve">services providers in the trading, post-trading and asset management sectors will face significant</w:t>
      </w:r>
      <w:r>
        <w:t xml:space="preserve"> </w:t>
      </w:r>
      <w:r>
        <w:t xml:space="preserve">costs when attempting cross-border operations within the EU, due to divergent implementation of</w:t>
      </w:r>
      <w:r>
        <w:t xml:space="preserve"> </w:t>
      </w:r>
      <w:r>
        <w:t xml:space="preserve">the rules, divergent national requirements, divergent supervisory approaches, and low markets</w:t>
      </w:r>
      <w:r>
        <w:t xml:space="preserve"> </w:t>
      </w:r>
      <w:r>
        <w:t xml:space="preserve">interconnections. Uptake of innovation would also be hindered.</w:t>
      </w:r>
      <w:r>
        <w:t xml:space="preserve"> </w:t>
      </w:r>
      <w:r>
        <w:t xml:space="preserve">Under the status quo, EU capital markets would remain fragmented, and progress towards an</w:t>
      </w:r>
      <w:r>
        <w:t xml:space="preserve"> </w:t>
      </w:r>
      <w:r>
        <w:t xml:space="preserve">efficient EU single market for capital would be limited. Without policy intervention to tackle the</w:t>
      </w:r>
      <w:r>
        <w:t xml:space="preserve"> </w:t>
      </w:r>
      <w:r>
        <w:t xml:space="preserve">barriers to cross-border operation and innovation, problems as described in Section 2 will continue,</w:t>
      </w:r>
      <w:r>
        <w:t xml:space="preserve"> </w:t>
      </w:r>
      <w:r>
        <w:t xml:space="preserve">with all the adverse outcomes. The cross-border provision of financial services would remain</w:t>
      </w:r>
      <w:r>
        <w:t xml:space="preserve"> </w:t>
      </w:r>
      <w:r>
        <w:t xml:space="preserve">costly and inefficient, and cross-border investments would be impeded (see Section 2 for more</w:t>
      </w:r>
      <w:r>
        <w:t xml:space="preserve"> </w:t>
      </w:r>
      <w:r>
        <w:t xml:space="preserve">detail).</w:t>
      </w:r>
      <w:r>
        <w:br/>
      </w:r>
      <w:r>
        <w:t xml:space="preserve">This initiative is essential for the success of the SIU strategy, including other actions for retail</w:t>
      </w:r>
      <w:r>
        <w:t xml:space="preserve"> </w:t>
      </w:r>
      <w:r>
        <w:t xml:space="preserve">investors, institutional investors, and access to finance for companies. Implementing the SIU</w:t>
      </w:r>
      <w:r>
        <w:t xml:space="preserve"> </w:t>
      </w:r>
      <w:r>
        <w:t xml:space="preserve">strategy requires a range of policy measures, affecting various dimensions of the EU’s financial</w:t>
      </w:r>
      <w:r>
        <w:t xml:space="preserve"> </w:t>
      </w:r>
      <w:r>
        <w:t xml:space="preserve">system. Under the baseline scenario, it will not be possible to achieve the other objectives of the</w:t>
      </w:r>
      <w:r>
        <w:t xml:space="preserve"> </w:t>
      </w:r>
      <w:r>
        <w:t xml:space="preserve">SIU measures for retail investors, for institutional investors, for improving access to diversified</w:t>
      </w:r>
      <w:r>
        <w:t xml:space="preserve"> </w:t>
      </w:r>
      <w:r>
        <w:t xml:space="preserve">source of financing for companies, because more integrated, deeper and efficient capital markets</w:t>
      </w:r>
      <w:r>
        <w:t xml:space="preserve"> </w:t>
      </w:r>
      <w:r>
        <w:t xml:space="preserve">are essential for the success of those measures.</w:t>
      </w:r>
      <w:r>
        <w:br/>
      </w:r>
      <w:r>
        <w:t xml:space="preserve">Inefficiencies and higher costs would damage the attractiveness of the EU capital markets and</w:t>
      </w:r>
      <w:r>
        <w:t xml:space="preserve"> </w:t>
      </w:r>
      <w:r>
        <w:t xml:space="preserve">economy and its ability to compete at a global level. Given advances in other jurisdictions,</w:t>
      </w:r>
      <w:r>
        <w:t xml:space="preserve"> </w:t>
      </w:r>
      <w:r>
        <w:t xml:space="preserve">especially as concerns technology, it is likely that competitive disadvantages for EU capital</w:t>
      </w:r>
      <w:r>
        <w:t xml:space="preserve"> </w:t>
      </w:r>
      <w:r>
        <w:t xml:space="preserve">markets would increase over time (see also Section 2.4).</w:t>
      </w:r>
      <w:r>
        <w:br/>
      </w:r>
      <w:r>
        <w:t xml:space="preserve">Fragmented supervision would also weaken investor protection, affect resilience and leave the EU</w:t>
      </w:r>
      <w:r>
        <w:t xml:space="preserve"> </w:t>
      </w:r>
      <w:r>
        <w:t xml:space="preserve">more exposed to emerging cross-border and systemic risks.</w:t>
      </w:r>
      <w:r>
        <w:t xml:space="preserve"> </w:t>
      </w:r>
      <w:r>
        <w:t xml:space="preserve">As already discussed, the existence of numerous out of scope factors that shape market</w:t>
      </w:r>
      <w:r>
        <w:t xml:space="preserve"> </w:t>
      </w:r>
      <w:r>
        <w:t xml:space="preserve">developments, the data limitations and the fact that market players adjust their behaviour to market</w:t>
      </w:r>
      <w:r>
        <w:t xml:space="preserve"> </w:t>
      </w:r>
      <w:r>
        <w:t xml:space="preserve">outcomes, limit the ability to model in a reliable way how the problem would evolve without</w:t>
      </w:r>
      <w:r>
        <w:t xml:space="preserve"> </w:t>
      </w:r>
      <w:r>
        <w:t xml:space="preserve">intervention (see Annex 4). As such, no further modelling of the baseline and how market</w:t>
      </w:r>
      <w:r>
        <w:t xml:space="preserve"> </w:t>
      </w:r>
      <w:r>
        <w:t xml:space="preserve">outcomes would evolve can be provided in a manner that is proportionate and in a timeframe that</w:t>
      </w:r>
      <w:r>
        <w:t xml:space="preserve"> </w:t>
      </w:r>
      <w:r>
        <w:t xml:space="preserve">meets the political calls to act on the issues presented in this report. While rigorous analysis is</w:t>
      </w:r>
      <w:r>
        <w:t xml:space="preserve"> </w:t>
      </w:r>
      <w:r>
        <w:t xml:space="preserve">important, it is crucial not to delay the tangible outcomes of to address the existence and negative</w:t>
      </w:r>
      <w:r>
        <w:t xml:space="preserve"> </w:t>
      </w:r>
      <w:r>
        <w:t xml:space="preserve">impact of barriers that have already been well-documented in the past.</w:t>
      </w:r>
      <w:r>
        <w:br/>
      </w:r>
      <w:r>
        <w:t xml:space="preserve">5.3. DESCRIPTION OF THE POLICY OPTIONS</w:t>
      </w:r>
      <w:r>
        <w:t xml:space="preserve"> </w:t>
      </w:r>
      <w:r>
        <w:t xml:space="preserve">5.3.1. Policy options to address Barriers to cross-border operations and innovation</w:t>
      </w:r>
      <w:r>
        <w:t xml:space="preserve"> </w:t>
      </w:r>
      <w:r>
        <w:t xml:space="preserve">This section provides an overview of the two main packages of options (in addition to the “do-</w:t>
      </w:r>
      <w:r>
        <w:t xml:space="preserve"> </w:t>
      </w:r>
      <w:r>
        <w:t xml:space="preserve">nothing” option) to address the barriers to cross-border operations and innovation, reflecting</w:t>
      </w:r>
      <w:r>
        <w:t xml:space="preserve"> </w:t>
      </w:r>
      <w:r>
        <w:t xml:space="preserve">different levels of ambition. It describes the most significant measures expected to have the largest</w:t>
      </w:r>
      <w:r>
        <w:t xml:space="preserve"> </w:t>
      </w:r>
      <w:r>
        <w:t xml:space="preserve">impact across the areas of intervention (trading, post-trading, asset management, innovation),</w:t>
      </w:r>
      <w:r>
        <w:t xml:space="preserve"> </w:t>
      </w:r>
      <w:r>
        <w:t xml:space="preserve">summarised in tabular form in Tables 3 and 4. The respective sectoral annexes contain a more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detailed description and assessment of the options, including also a more granular set of options</w:t>
      </w:r>
      <w:r>
        <w:t xml:space="preserve"> </w:t>
      </w:r>
      <w:r>
        <w:t xml:space="preserve">and the less significant measures.</w:t>
      </w:r>
      <w:r>
        <w:br/>
      </w:r>
      <w:r>
        <w:t xml:space="preserve">The Commission has worked in close cooperation with ESMA and the ECB to ensure that the</w:t>
      </w:r>
      <w:r>
        <w:t xml:space="preserve"> </w:t>
      </w:r>
      <w:r>
        <w:t xml:space="preserve">preferred options would be feasible, as well as seeking to identify the required resources needed</w:t>
      </w:r>
      <w:r>
        <w:t xml:space="preserve"> </w:t>
      </w:r>
      <w:r>
        <w:t xml:space="preserve">to implement the measures.</w:t>
      </w:r>
      <w:r>
        <w:br/>
      </w:r>
      <w:r>
        <w:t xml:space="preserve">Baseline scenario (Option 1) – Do nothing</w:t>
      </w:r>
      <w:r>
        <w:br/>
      </w:r>
      <w:r>
        <w:t xml:space="preserve">This is the baseline scenario (see Section 5.1).</w:t>
      </w:r>
      <w:r>
        <w:t xml:space="preserve"> </w:t>
      </w:r>
      <w:r>
        <w:t xml:space="preserve">Option 2 – Broad review of the functioning of capital markets</w:t>
      </w:r>
      <w:r>
        <w:br/>
      </w:r>
      <w:r>
        <w:t xml:space="preserve">Trading</w:t>
      </w:r>
      <w:r>
        <w:t xml:space="preserve"> </w:t>
      </w:r>
      <w:r>
        <w:t xml:space="preserve">Under this option, the rules regarding the authorisation and operation of RMs would be transferred</w:t>
      </w:r>
      <w:r>
        <w:t xml:space="preserve"> </w:t>
      </w:r>
      <w:r>
        <w:t xml:space="preserve">from MiFID II (Directive) to MiFIR (Regulation) and further harmonised (thereby reducing scope</w:t>
      </w:r>
      <w:r>
        <w:t xml:space="preserve"> </w:t>
      </w:r>
      <w:r>
        <w:t xml:space="preserve">for national discretions and gold-plating), with a view to creating a truly European single rulebook</w:t>
      </w:r>
      <w:r>
        <w:t xml:space="preserve"> </w:t>
      </w:r>
      <w:r>
        <w:t xml:space="preserve">for trading venues. As regards MTFs and OTFs, considering that those venues can be operated by</w:t>
      </w:r>
      <w:r>
        <w:t xml:space="preserve"> </w:t>
      </w:r>
      <w:r>
        <w:t xml:space="preserve">investment firms (and not only by market operators), only the rules that are specific to the operation</w:t>
      </w:r>
      <w:r>
        <w:t xml:space="preserve"> </w:t>
      </w:r>
      <w:r>
        <w:t xml:space="preserve">of an MTF or OTF would be transferred to MiFIR and further harmonised. This is to ensure a level</w:t>
      </w:r>
      <w:r>
        <w:t xml:space="preserve"> </w:t>
      </w:r>
      <w:r>
        <w:t xml:space="preserve">playing field, including from the supervisory standpoint. Incidentally, this harmonisation of rules</w:t>
      </w:r>
      <w:r>
        <w:t xml:space="preserve"> </w:t>
      </w:r>
      <w:r>
        <w:t xml:space="preserve">would also facilitate the transfer of supervision of operators and markets with an EU dimension to</w:t>
      </w:r>
      <w:r>
        <w:t xml:space="preserve"> </w:t>
      </w:r>
      <w:r>
        <w:t xml:space="preserve">the EU level and allow to enforce a truly single rulebook for those operators (as opposed to</w:t>
      </w:r>
      <w:r>
        <w:t xml:space="preserve"> </w:t>
      </w:r>
      <w:r>
        <w:t xml:space="preserve">enforcing a series of national laws).</w:t>
      </w:r>
      <w:r>
        <w:t xml:space="preserve"> </w:t>
      </w:r>
      <w:r>
        <w:t xml:space="preserve">In addition, under this option, passporting rights for RMs active cross-border would be enhanced</w:t>
      </w:r>
      <w:r>
        <w:t xml:space="preserve"> </w:t>
      </w:r>
      <w:r>
        <w:t xml:space="preserve">and those of MTFs and OTFs would be clarified along the same lines. A new status for ‘Pan-</w:t>
      </w:r>
      <w:r>
        <w:t xml:space="preserve"> </w:t>
      </w:r>
      <w:r>
        <w:t xml:space="preserve">European Market Operators’ would also be introduced for cross-border market operators, to allow</w:t>
      </w:r>
      <w:r>
        <w:t xml:space="preserve"> </w:t>
      </w:r>
      <w:r>
        <w:t xml:space="preserve">for the operation of trading venues in multiple Member States on the basis of a single licence.</w:t>
      </w:r>
      <w:r>
        <w:br/>
      </w:r>
      <w:r>
        <w:t xml:space="preserve">In parallel, this option would allow trading venues that operate under a unified group structure,</w:t>
      </w:r>
      <w:r>
        <w:t xml:space="preserve"> </w:t>
      </w:r>
      <w:r>
        <w:t xml:space="preserve">with harmonised systems and governance, to fully exploit group synergies. The regulatory</w:t>
      </w:r>
      <w:r>
        <w:t xml:space="preserve"> </w:t>
      </w:r>
      <w:r>
        <w:t xml:space="preserve">framework would be revised by ensuring that intra-group allocation of resources is not treated in</w:t>
      </w:r>
      <w:r>
        <w:t xml:space="preserve"> </w:t>
      </w:r>
      <w:r>
        <w:t xml:space="preserve">the same way as outsourcing outside the group. This is with a view to simplifying the allocation</w:t>
      </w:r>
      <w:r>
        <w:t xml:space="preserve"> </w:t>
      </w:r>
      <w:r>
        <w:t xml:space="preserve">of tasks within the group, thus reducing administrative burden and compliance costs for groups.139</w:t>
      </w:r>
      <w:r>
        <w:br/>
      </w:r>
      <w:r>
        <w:t xml:space="preserve">This option also entails the implementation of measures aimed at eliminating barriers that hinder</w:t>
      </w:r>
      <w:r>
        <w:t xml:space="preserve"> </w:t>
      </w:r>
      <w:r>
        <w:t xml:space="preserve">brokers from becoming direct members of trading venues. To achieve this, a “streamlined</w:t>
      </w:r>
      <w:r>
        <w:t xml:space="preserve"> </w:t>
      </w:r>
      <w:r>
        <w:t xml:space="preserve">membership process” would be established, enabling brokers that have been granted membership</w:t>
      </w:r>
      <w:r>
        <w:t xml:space="preserve"> </w:t>
      </w:r>
      <w:r>
        <w:t xml:space="preserve">to one venue for one asset class to avoid duplicative checks and procedural burdens associated</w:t>
      </w:r>
      <w:r>
        <w:t xml:space="preserve"> </w:t>
      </w:r>
      <w:r>
        <w:t xml:space="preserve">with multiple membership applications. The granting of membership would thereby waive the</w:t>
      </w:r>
      <w:r>
        <w:t xml:space="preserve"> </w:t>
      </w:r>
      <w:r>
        <w:t xml:space="preserve">requirement for redundant checks by other trading venues trading the same asset class, thus</w:t>
      </w:r>
      <w:r>
        <w:t xml:space="preserve"> </w:t>
      </w:r>
      <w:r>
        <w:t xml:space="preserve">streamlining the membership process. However, other aspects of membership eligibility checks,</w:t>
      </w:r>
    </w:p>
    <w:p>
      <w:pPr>
        <w:pStyle w:val="BodyText"/>
      </w:pPr>
      <w:r>
        <w:t xml:space="preserve">139 The actions linked to enhancing passporting rights for market operators and RMs, as well those on the treatment</w:t>
      </w:r>
      <w:r>
        <w:t xml:space="preserve"> </w:t>
      </w:r>
      <w:r>
        <w:t xml:space="preserve">of groups require ensuring an appropriate supervisory set-up that considers the cross-border dimension of those entities</w:t>
      </w:r>
      <w:r>
        <w:t xml:space="preserve"> </w:t>
      </w:r>
      <w:r>
        <w:t xml:space="preserve">and therefore they are linked to the initiatives on EU-level supervision as detailed in Section 5.2.2.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such as those pertaining to the ability to settle trades executed on venue, would remain subject to</w:t>
      </w:r>
      <w:r>
        <w:t xml:space="preserve"> </w:t>
      </w:r>
      <w:r>
        <w:t xml:space="preserve">individual venue assessment, given the exchange-specific nature of post-trade arrangements.</w:t>
      </w:r>
      <w:r>
        <w:br/>
      </w:r>
      <w:r>
        <w:t xml:space="preserve">Respondents to the consultation indicated that the main drivers for inefficient integration of capital</w:t>
      </w:r>
      <w:r>
        <w:t xml:space="preserve"> </w:t>
      </w:r>
      <w:r>
        <w:t xml:space="preserve">markets and of liquidity pools in the EU are (in order of how many respondents mention them)</w:t>
      </w:r>
      <w:r>
        <w:t xml:space="preserve"> </w:t>
      </w:r>
      <w:r>
        <w:t xml:space="preserve">non-regulatory and linked to market practices, legal/regulatory barriers at domestic level,</w:t>
      </w:r>
      <w:r>
        <w:t xml:space="preserve"> </w:t>
      </w:r>
      <w:r>
        <w:t xml:space="preserve">legal/regulatory barriers at EU level, and supervisory practices. Respondents highlighted also other</w:t>
      </w:r>
      <w:r>
        <w:t xml:space="preserve"> </w:t>
      </w:r>
      <w:r>
        <w:t xml:space="preserve">elements that prevent smooth integration of liquidity pools, including post-trade fragmentation,</w:t>
      </w:r>
      <w:r>
        <w:t xml:space="preserve"> </w:t>
      </w:r>
      <w:r>
        <w:t xml:space="preserve">connectivity and access barriers and investor home bias. Stakeholders saw benefits in increasing</w:t>
      </w:r>
      <w:r>
        <w:t xml:space="preserve"> </w:t>
      </w:r>
      <w:r>
        <w:t xml:space="preserve">the level of harmonisation for certain areas, including the core principles and approval processes</w:t>
      </w:r>
      <w:r>
        <w:t xml:space="preserve"> </w:t>
      </w:r>
      <w:r>
        <w:t xml:space="preserve">of exchange rulebooks, fair access and outsourcing. Respondents also pointed to regulatory</w:t>
      </w:r>
      <w:r>
        <w:t xml:space="preserve"> </w:t>
      </w:r>
      <w:r>
        <w:t xml:space="preserve">duplication and the lack of flexibility in applying rules across borders as limiting their ability to</w:t>
      </w:r>
      <w:r>
        <w:t xml:space="preserve"> </w:t>
      </w:r>
      <w:r>
        <w:t xml:space="preserve">centralise operations or adopt innovative technologies such as cloud computing. Many advocated</w:t>
      </w:r>
      <w:r>
        <w:t xml:space="preserve"> </w:t>
      </w:r>
      <w:r>
        <w:t xml:space="preserve">for greater proportionality and flexibility, with specific calls to distinguish intra-group from third-</w:t>
      </w:r>
      <w:r>
        <w:t xml:space="preserve"> </w:t>
      </w:r>
      <w:r>
        <w:t xml:space="preserve">party outsourcing in relevant EU rules.</w:t>
      </w:r>
      <w:r>
        <w:br/>
      </w:r>
      <w:r>
        <w:t xml:space="preserve">Post-trade</w:t>
      </w:r>
      <w:r>
        <w:t xml:space="preserve"> </w:t>
      </w:r>
      <w:r>
        <w:t xml:space="preserve">Under this option, to facilitate the freedom of issuance, the possibility of Member States to impose</w:t>
      </w:r>
      <w:r>
        <w:t xml:space="preserve"> </w:t>
      </w:r>
      <w:r>
        <w:t xml:space="preserve">additional requirements on issuers would be limited. Legislation would establish the right of an</w:t>
      </w:r>
      <w:r>
        <w:t xml:space="preserve"> </w:t>
      </w:r>
      <w:r>
        <w:t xml:space="preserve">authorised CSD to automatically provide services, or set up a branch, in any Member State in the</w:t>
      </w:r>
      <w:r>
        <w:t xml:space="preserve"> </w:t>
      </w:r>
      <w:r>
        <w:t xml:space="preserve">EU without additional requirements other than a simple notification procedure. At the same time,</w:t>
      </w:r>
      <w:r>
        <w:t xml:space="preserve"> </w:t>
      </w:r>
      <w:r>
        <w:t xml:space="preserve">all EU CSDs that settle in a T2S-supported currency would also be mandated to connect to the</w:t>
      </w:r>
      <w:r>
        <w:t xml:space="preserve"> </w:t>
      </w:r>
      <w:r>
        <w:t xml:space="preserve">T2S platform. Moreover, settlement operations standards would be harmonised further.</w:t>
      </w:r>
      <w:r>
        <w:t xml:space="preserve"> </w:t>
      </w:r>
      <w:r>
        <w:t xml:space="preserve">In parallel, interconnectedness for settlement would also be improved. The notion of CSD hubs</w:t>
      </w:r>
      <w:r>
        <w:t xml:space="preserve"> </w:t>
      </w:r>
      <w:r>
        <w:t xml:space="preserve">would be introduced. The concept would cover, in particular, CSDs providing services in several</w:t>
      </w:r>
      <w:r>
        <w:t xml:space="preserve"> </w:t>
      </w:r>
      <w:r>
        <w:t xml:space="preserve">Member States and those processing a high value of settlement instructions relative to all</w:t>
      </w:r>
      <w:r>
        <w:t xml:space="preserve"> </w:t>
      </w:r>
      <w:r>
        <w:t xml:space="preserve">settlement in the EU. These would be required to establish links with one another, while the</w:t>
      </w:r>
      <w:r>
        <w:t xml:space="preserve"> </w:t>
      </w:r>
      <w:r>
        <w:t xml:space="preserve">remaining CSDs would be required to establish links with at least one CSD hub (to the extent that</w:t>
      </w:r>
      <w:r>
        <w:t xml:space="preserve"> </w:t>
      </w:r>
      <w:r>
        <w:t xml:space="preserve">such a link is not already in place). All the aforementioned links (i.e. links between CSD hubs and</w:t>
      </w:r>
      <w:r>
        <w:t xml:space="preserve"> </w:t>
      </w:r>
      <w:r>
        <w:t xml:space="preserve">links between those CSDs and the remaining CSDs) would be required to be bi-directional,</w:t>
      </w:r>
      <w:r>
        <w:t xml:space="preserve"> </w:t>
      </w:r>
      <w:r>
        <w:t xml:space="preserve">interoperable and able to settle all financial instruments available for settlement within the given</w:t>
      </w:r>
      <w:r>
        <w:t xml:space="preserve"> </w:t>
      </w:r>
      <w:r>
        <w:t xml:space="preserve">CSD. In addition, the process of establishing links would be simplified and streamlined with</w:t>
      </w:r>
      <w:r>
        <w:t xml:space="preserve"> </w:t>
      </w:r>
      <w:r>
        <w:t xml:space="preserve">ESMA made the authority responsible for authorising interoperable links. The CSDR would also</w:t>
      </w:r>
      <w:r>
        <w:t xml:space="preserve"> </w:t>
      </w:r>
      <w:r>
        <w:t xml:space="preserve">be amended to remove the possibility for the establishment of links to be refused except in the case</w:t>
      </w:r>
      <w:r>
        <w:t xml:space="preserve"> </w:t>
      </w:r>
      <w:r>
        <w:t xml:space="preserve">that such links would threaten the smooth and orderly functioning of financial markets or cause</w:t>
      </w:r>
      <w:r>
        <w:t xml:space="preserve"> </w:t>
      </w:r>
      <w:r>
        <w:t xml:space="preserve">systemic risk.</w:t>
      </w:r>
      <w:r>
        <w:br/>
      </w:r>
      <w:r>
        <w:t xml:space="preserve">The SFD would be converted into a Regulation. This change requires setting out in a more precise</w:t>
      </w:r>
      <w:r>
        <w:t xml:space="preserve"> </w:t>
      </w:r>
      <w:r>
        <w:t xml:space="preserve">way matters related to safeguards granted by the SFD in order to achieve a harmonised approach</w:t>
      </w:r>
      <w:r>
        <w:t xml:space="preserve"> </w:t>
      </w:r>
      <w:r>
        <w:t xml:space="preserve">across the EU, in particular with respect to conflict of law, participation of EU entities in third-</w:t>
      </w:r>
      <w:r>
        <w:t xml:space="preserve"> </w:t>
      </w:r>
      <w:r>
        <w:t xml:space="preserve">country systems, scope of participants and eligible securities covered, requirements for designating</w:t>
      </w:r>
      <w:r>
        <w:t xml:space="preserve"> </w:t>
      </w:r>
      <w:r>
        <w:t xml:space="preserve">systems, and ensuring legal certainty to support digital innovation.</w:t>
      </w:r>
      <w:r>
        <w:t xml:space="preserve"> </w:t>
      </w:r>
      <w:r>
        <w:t xml:space="preserve">This option also entails amendments to post-trade legislation to strengthen its technological</w:t>
      </w:r>
      <w:r>
        <w:t xml:space="preserve"> </w:t>
      </w:r>
      <w:r>
        <w:t xml:space="preserve">neutrality. This would be done by updating relevant definitions, concepts, and requirements (for</w:t>
      </w:r>
      <w:r>
        <w:t xml:space="preserve"> </w:t>
      </w:r>
      <w:r>
        <w:t xml:space="preserve">example, updating ‘book-entry form’ and ‘securities account’) to ensure that the CSDR, SFD, and</w:t>
      </w:r>
      <w:r>
        <w:t xml:space="preserve"> </w:t>
      </w:r>
      <w:r>
        <w:t xml:space="preserve">FCD can apply equally to CSDs irrespective of the technology used in the provision of services,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including DLT. Respondents to the targeted consultation identified barriers to the freedom of</w:t>
      </w:r>
      <w:r>
        <w:t xml:space="preserve"> </w:t>
      </w:r>
      <w:r>
        <w:t xml:space="preserve">issuance in the EU, notably national rules requiring securities – especially government bonds – to</w:t>
      </w:r>
      <w:r>
        <w:t xml:space="preserve"> </w:t>
      </w:r>
      <w:r>
        <w:t xml:space="preserve">be issued through domestic CSDs. At EU level, CSDR passporting requirements were seen as</w:t>
      </w:r>
      <w:r>
        <w:t xml:space="preserve"> </w:t>
      </w:r>
      <w:r>
        <w:t xml:space="preserve">burdensome, creating costly legal assessments and hindering cross-border issuance. In addition,</w:t>
      </w:r>
      <w:r>
        <w:t xml:space="preserve"> </w:t>
      </w:r>
      <w:r>
        <w:t xml:space="preserve">there was wide support for updating CSDR definitions to ensure technological neutrality and</w:t>
      </w:r>
      <w:r>
        <w:t xml:space="preserve"> </w:t>
      </w:r>
      <w:r>
        <w:t xml:space="preserve">inclusion of DLT-based assets.</w:t>
      </w:r>
      <w:r>
        <w:t xml:space="preserve"> </w:t>
      </w:r>
      <w:r>
        <w:t xml:space="preserve">Respondents suggested enhancing T2S by expanding its scope to more CSDs, currencies, and</w:t>
      </w:r>
      <w:r>
        <w:t xml:space="preserve"> </w:t>
      </w:r>
      <w:r>
        <w:t xml:space="preserve">services (e.g. corporate actions, collateral management), and by requiring all CSDs settling in euro</w:t>
      </w:r>
      <w:r>
        <w:t xml:space="preserve"> </w:t>
      </w:r>
      <w:r>
        <w:t xml:space="preserve">to connect to the platform. They also called for greater standardisation and simplification in</w:t>
      </w:r>
      <w:r>
        <w:t xml:space="preserve"> </w:t>
      </w:r>
      <w:r>
        <w:t xml:space="preserve">establishing CSD links and within the T2S framework.</w:t>
      </w:r>
      <w:r>
        <w:t xml:space="preserve"> </w:t>
      </w:r>
      <w:r>
        <w:t xml:space="preserve">On the SFD, respondents sought clearer conflict-of-law rules, consistent protection for indirect</w:t>
      </w:r>
      <w:r>
        <w:t xml:space="preserve"> </w:t>
      </w:r>
      <w:r>
        <w:t xml:space="preserve">participants and those in third-country or DLT-based systems, as well as an expanded scope to</w:t>
      </w:r>
      <w:r>
        <w:t xml:space="preserve"> </w:t>
      </w:r>
      <w:r>
        <w:t xml:space="preserve">cover a wider range of participants and assets.</w:t>
      </w:r>
      <w:r>
        <w:br/>
      </w:r>
      <w:r>
        <w:t xml:space="preserve">Asset management</w:t>
      </w:r>
      <w:r>
        <w:t xml:space="preserve"> </w:t>
      </w:r>
      <w:r>
        <w:t xml:space="preserve">Under this option, a new “passporting upon authorisation” regime would be introduced to allow</w:t>
      </w:r>
      <w:r>
        <w:t xml:space="preserve"> </w:t>
      </w:r>
      <w:r>
        <w:t xml:space="preserve">UCITS funds immediate single market access to their chosen Member States upon authorisation.</w:t>
      </w:r>
      <w:r>
        <w:t xml:space="preserve"> </w:t>
      </w:r>
      <w:r>
        <w:t xml:space="preserve">This would be done by replacing current fragmented NCA bilateral notifications with a centralised</w:t>
      </w:r>
      <w:r>
        <w:t xml:space="preserve"> </w:t>
      </w:r>
      <w:r>
        <w:t xml:space="preserve">process coordinated by ESMA (IT system, notifications, and resolving NCA divergences).</w:t>
      </w:r>
      <w:r>
        <w:t xml:space="preserve"> </w:t>
      </w:r>
      <w:r>
        <w:t xml:space="preserve">Operationally, the home NCA would liaise with ESMA and the relevant host NCAs through an</w:t>
      </w:r>
      <w:r>
        <w:t xml:space="preserve"> </w:t>
      </w:r>
      <w:r>
        <w:t xml:space="preserve">ESMA platform, ensuring information on fund authorisations and related documentation is shared</w:t>
      </w:r>
      <w:r>
        <w:t xml:space="preserve"> </w:t>
      </w:r>
      <w:r>
        <w:t xml:space="preserve">in a harmonised and transparent manner. The same simplified procedure would apply to authorised</w:t>
      </w:r>
      <w:r>
        <w:t xml:space="preserve"> </w:t>
      </w:r>
      <w:r>
        <w:t xml:space="preserve">AIFMs seeking to market the AIFs they manage in the single market. From the date of</w:t>
      </w:r>
      <w:r>
        <w:t xml:space="preserve"> </w:t>
      </w:r>
      <w:r>
        <w:t xml:space="preserve">authorisation, UCITS funds and AIFMs would be able to market in all designated Member States.</w:t>
      </w:r>
      <w:r>
        <w:t xml:space="preserve"> </w:t>
      </w:r>
      <w:r>
        <w:t xml:space="preserve">This measure seeks to significantly reduce the required administration and time for UCITS funds</w:t>
      </w:r>
      <w:r>
        <w:t xml:space="preserve"> </w:t>
      </w:r>
      <w:r>
        <w:t xml:space="preserve">and AIFMs to access other Member States’ markets. The data platform would also be utilised for</w:t>
      </w:r>
      <w:r>
        <w:t xml:space="preserve"> </w:t>
      </w:r>
      <w:r>
        <w:t xml:space="preserve">other notifications in connection with the cross-border marketing of funds, such as the notification</w:t>
      </w:r>
      <w:r>
        <w:t xml:space="preserve"> </w:t>
      </w:r>
      <w:r>
        <w:t xml:space="preserve">of material changes or the marketing de-notifications, as described in Section 5.1.2 of Annex 9.</w:t>
      </w:r>
      <w:r>
        <w:br/>
      </w:r>
      <w:r>
        <w:t xml:space="preserve">In addition, EU marketing rules would be reviewed to create a common framework and reduce</w:t>
      </w:r>
      <w:r>
        <w:t xml:space="preserve"> </w:t>
      </w:r>
      <w:r>
        <w:t xml:space="preserve">national discretions and divergences (e.g. repealing gold-plating rules in the EU framework). This</w:t>
      </w:r>
      <w:r>
        <w:t xml:space="preserve"> </w:t>
      </w:r>
      <w:r>
        <w:t xml:space="preserve">would involve removing national discretions in the CBDR regarding the ex-ante verification of</w:t>
      </w:r>
      <w:r>
        <w:t xml:space="preserve"> </w:t>
      </w:r>
      <w:r>
        <w:t xml:space="preserve">marketing communications, harmonising the content of marketing communications and preventing</w:t>
      </w:r>
      <w:r>
        <w:t xml:space="preserve"> </w:t>
      </w:r>
      <w:r>
        <w:t xml:space="preserve">Member States from imposing additional marketing requirements and national provisions for</w:t>
      </w:r>
      <w:r>
        <w:t xml:space="preserve"> </w:t>
      </w:r>
      <w:r>
        <w:t xml:space="preserve">country-specific disclosures in fund documents. This fragmented framework would be replaced by</w:t>
      </w:r>
      <w:r>
        <w:t xml:space="preserve"> </w:t>
      </w:r>
      <w:r>
        <w:t xml:space="preserve">harmonised EU rules on marketing and disclosures. In addition, existing rules on requirements</w:t>
      </w:r>
      <w:r>
        <w:t xml:space="preserve"> </w:t>
      </w:r>
      <w:r>
        <w:t xml:space="preserve">concerning physical agents in the UCITSD and AIFMD will be strengthened so that host Member</w:t>
      </w:r>
      <w:r>
        <w:t xml:space="preserve"> </w:t>
      </w:r>
      <w:r>
        <w:t xml:space="preserve">States and NCAs no longer require such appointments, through any means (such as by law or</w:t>
      </w:r>
      <w:r>
        <w:t xml:space="preserve"> </w:t>
      </w:r>
      <w:r>
        <w:t xml:space="preserve">market practice). This option, which is further explained in Section 5.1.2 of Annex 9, would</w:t>
      </w:r>
      <w:r>
        <w:t xml:space="preserve"> </w:t>
      </w:r>
      <w:r>
        <w:t xml:space="preserve">necessitate amendments to the UCITSD, AIFMD, and the CBDR.</w:t>
      </w:r>
      <w:r>
        <w:br/>
      </w:r>
      <w:r>
        <w:t xml:space="preserve">This option would also improve the operating conditions for asset managers by facilitating the use</w:t>
      </w:r>
      <w:r>
        <w:t xml:space="preserve"> </w:t>
      </w:r>
      <w:r>
        <w:t xml:space="preserve">of resources and delegation of functions across different entities within the same asset management</w:t>
      </w:r>
      <w:r>
        <w:t xml:space="preserve"> </w:t>
      </w:r>
      <w:r>
        <w:t xml:space="preserve">group in the EU. EU groups would be able to utilise and share resources with other EU entities of</w:t>
      </w:r>
      <w:r>
        <w:t xml:space="preserve"> </w:t>
      </w:r>
      <w:r>
        <w:t xml:space="preserve">the same group without being subject to stringent delegation requirements. This option would also</w:t>
      </w:r>
      <w:r>
        <w:t xml:space="preserve"> </w:t>
      </w:r>
      <w:r>
        <w:t xml:space="preserve">entail harmonising authorisation requirements for asset managers by clearly defining the</w:t>
      </w:r>
      <w:r>
        <w:t xml:space="preserve"> </w:t>
      </w:r>
      <w:r>
        <w:t xml:space="preserve">information that management companies and AIFMs must submit as part of the authorisation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process, and by removing national divergences stemming from Member State discretions that are</w:t>
      </w:r>
      <w:r>
        <w:t xml:space="preserve"> </w:t>
      </w:r>
      <w:r>
        <w:t xml:space="preserve">embedded in the AIFMD and UCITSD frameworks. In particular, this option would entail</w:t>
      </w:r>
      <w:r>
        <w:t xml:space="preserve"> </w:t>
      </w:r>
      <w:r>
        <w:t xml:space="preserve">amending the UCITSD and AIFMD to remove the provisions that allow Member States to</w:t>
      </w:r>
      <w:r>
        <w:t xml:space="preserve"> </w:t>
      </w:r>
      <w:r>
        <w:t xml:space="preserve">interpret, supplement, or derogate from core rules and which impose barriers to the development</w:t>
      </w:r>
      <w:r>
        <w:t xml:space="preserve"> </w:t>
      </w:r>
      <w:r>
        <w:t xml:space="preserve">of the single market. Furthermore, this option would involve greater harmonisation of the conduct</w:t>
      </w:r>
      <w:r>
        <w:t xml:space="preserve"> </w:t>
      </w:r>
      <w:r>
        <w:t xml:space="preserve">and prudential rules for asset managers, so that each management company and AIFM would be</w:t>
      </w:r>
      <w:r>
        <w:t xml:space="preserve"> </w:t>
      </w:r>
      <w:r>
        <w:t xml:space="preserve">subject to the same risk management, organisational, and conduct-of-business obligations</w:t>
      </w:r>
      <w:r>
        <w:t xml:space="preserve"> </w:t>
      </w:r>
      <w:r>
        <w:t xml:space="preserve">regardless of their home jurisdiction.</w:t>
      </w:r>
      <w:r>
        <w:br/>
      </w:r>
      <w:r>
        <w:t xml:space="preserve">In parallel, this option considers implementing an EU depositary passport for UCITS and AIFs,</w:t>
      </w:r>
      <w:r>
        <w:t xml:space="preserve"> </w:t>
      </w:r>
      <w:r>
        <w:t xml:space="preserve">which would enable fund managers to appoint a depositary located anywhere within the EU, while</w:t>
      </w:r>
      <w:r>
        <w:t xml:space="preserve"> </w:t>
      </w:r>
      <w:r>
        <w:t xml:space="preserve">allowing depositaries to offer their services on a cross-border basis. Considering that most</w:t>
      </w:r>
      <w:r>
        <w:t xml:space="preserve"> </w:t>
      </w:r>
      <w:r>
        <w:t xml:space="preserve">depositaries are currently credit institutions or investment firms, the EU-level depositary passport</w:t>
      </w:r>
      <w:r>
        <w:t xml:space="preserve"> </w:t>
      </w:r>
      <w:r>
        <w:t xml:space="preserve">would build on the passport that already exists for those institutions under the Capital</w:t>
      </w:r>
      <w:r>
        <w:t xml:space="preserve"> </w:t>
      </w:r>
      <w:r>
        <w:t xml:space="preserve">Requirements Directive (‘CRD’) and MiFID. Limiting the passport to such entities would also be</w:t>
      </w:r>
      <w:r>
        <w:t xml:space="preserve"> </w:t>
      </w:r>
      <w:r>
        <w:t xml:space="preserve">more optimal from a financial stability and investor protection perspective, as they are already</w:t>
      </w:r>
      <w:r>
        <w:t xml:space="preserve"> </w:t>
      </w:r>
      <w:r>
        <w:t xml:space="preserve">subject to harmonised EU-level authorisation, prudential requirements, and supervision, ensuring</w:t>
      </w:r>
      <w:r>
        <w:t xml:space="preserve"> </w:t>
      </w:r>
      <w:r>
        <w:t xml:space="preserve">consistent safeguards across Member States.</w:t>
      </w:r>
      <w:r>
        <w:br/>
      </w:r>
      <w:r>
        <w:t xml:space="preserve">Finally, this option would entail technical adjustments to the current investment limits in the</w:t>
      </w:r>
      <w:r>
        <w:t xml:space="preserve"> </w:t>
      </w:r>
      <w:r>
        <w:t xml:space="preserve">UCITSD to allow UCITS greater flexibility to invest in securitisations and indices without</w:t>
      </w:r>
      <w:r>
        <w:t xml:space="preserve"> </w:t>
      </w:r>
      <w:r>
        <w:t xml:space="preserve">undermining the core principles of risk diversification and investor protection. These technical</w:t>
      </w:r>
      <w:r>
        <w:t xml:space="preserve"> </w:t>
      </w:r>
      <w:r>
        <w:t xml:space="preserve">measures are further detailed in Section 5.4 of Annex 9.</w:t>
      </w:r>
      <w:r>
        <w:br/>
      </w:r>
      <w:r>
        <w:t xml:space="preserve">Stakeholders identified several implementation issues with the fund marketing passport across</w:t>
      </w:r>
      <w:r>
        <w:t xml:space="preserve"> </w:t>
      </w:r>
      <w:r>
        <w:t xml:space="preserve">Member States. Issues highlighted include differing and lengthy notification processes, diverging</w:t>
      </w:r>
      <w:r>
        <w:t xml:space="preserve"> </w:t>
      </w:r>
      <w:r>
        <w:t xml:space="preserve">national requirements for marketing and fund documents, complex structures for regulatory fees</w:t>
      </w:r>
      <w:r>
        <w:t xml:space="preserve"> </w:t>
      </w:r>
      <w:r>
        <w:t xml:space="preserve">and charges. These divergences create costs, delays, and legal uncertainty, especially for pan-</w:t>
      </w:r>
      <w:r>
        <w:t xml:space="preserve"> </w:t>
      </w:r>
      <w:r>
        <w:t xml:space="preserve">European distribution. Respondents also noted that the current passporting provisions for</w:t>
      </w:r>
      <w:r>
        <w:t xml:space="preserve"> </w:t>
      </w:r>
      <w:r>
        <w:t xml:space="preserve">management companies are not reflected in a consistent way in domestic legislation by Member</w:t>
      </w:r>
      <w:r>
        <w:t xml:space="preserve"> </w:t>
      </w:r>
      <w:r>
        <w:t xml:space="preserve">States. This option aims to eliminate inefficiencies and duplication due to diverging national and</w:t>
      </w:r>
      <w:r>
        <w:t xml:space="preserve"> </w:t>
      </w:r>
      <w:r>
        <w:t xml:space="preserve">supervisory frameworks.</w:t>
      </w:r>
      <w:r>
        <w:t xml:space="preserve"> </w:t>
      </w:r>
      <w:r>
        <w:t xml:space="preserve">Innovation (DLTPR)</w:t>
      </w:r>
      <w:r>
        <w:t xml:space="preserve"> </w:t>
      </w:r>
      <w:r>
        <w:t xml:space="preserve">Under this option, the DLTPR would be amended to relax the existing limits to its scope (in relation</w:t>
      </w:r>
      <w:r>
        <w:t xml:space="preserve"> </w:t>
      </w:r>
      <w:r>
        <w:t xml:space="preserve">to the threshold, eligible assets, and eligible participants).</w:t>
      </w:r>
      <w:r>
        <w:br/>
      </w:r>
      <w:r>
        <w:t xml:space="preserve">In order to enable larger tokenisation projects, this option would remove the product-specific</w:t>
      </w:r>
      <w:r>
        <w:t xml:space="preserve"> </w:t>
      </w:r>
      <w:r>
        <w:t xml:space="preserve">thresholds, while significantly increasing the aggregate threshold. The scope of eligible assets,</w:t>
      </w:r>
      <w:r>
        <w:t xml:space="preserve"> </w:t>
      </w:r>
      <w:r>
        <w:t xml:space="preserve">currently limited to certain shares, bonds and UCITS, would be extended to all financial</w:t>
      </w:r>
      <w:r>
        <w:t xml:space="preserve"> </w:t>
      </w:r>
      <w:r>
        <w:t xml:space="preserve">instruments. Finally, as regards eligible participants, small scale so-called ‘Tier 2’ businesses - that</w:t>
      </w:r>
      <w:r>
        <w:t xml:space="preserve"> </w:t>
      </w:r>
      <w:r>
        <w:t xml:space="preserve">want to enter the market by building small scale trading and settlement solutions and have limited</w:t>
      </w:r>
      <w:r>
        <w:t xml:space="preserve"> </w:t>
      </w:r>
      <w:r>
        <w:t xml:space="preserve">resources - would benefit from regulatory flexibility and proportionate compliance under CSDR,</w:t>
      </w:r>
      <w:r>
        <w:t xml:space="preserve"> </w:t>
      </w:r>
      <w:r>
        <w:t xml:space="preserve">with reduced requirements, thanks to tailored level 2 provisions and potential amendments to</w:t>
      </w:r>
      <w:r>
        <w:t xml:space="preserve"> </w:t>
      </w:r>
      <w:r>
        <w:t xml:space="preserve">certain non-essential level 1 provisions of CSDR, with the aim of simplifying the rulebook. The</w:t>
      </w:r>
      <w:r>
        <w:t xml:space="preserve"> </w:t>
      </w:r>
      <w:r>
        <w:t xml:space="preserve">set of eligible participants would be expanded to include credit institutions and CASPs holding a</w:t>
      </w:r>
      <w:r>
        <w:t xml:space="preserve"> </w:t>
      </w:r>
      <w:r>
        <w:t xml:space="preserve">licence to operate a trading venue.</w:t>
      </w:r>
      <w:r>
        <w:br/>
      </w:r>
      <w:r>
        <w:t xml:space="preserve">In addition, amendments to the DLTPR would be introduced to increase the regime flexibility, in</w:t>
      </w:r>
      <w:r>
        <w:t xml:space="preserve"> </w:t>
      </w:r>
      <w:r>
        <w:t xml:space="preserve">particular to accommodate new business models. For instance, to further support diverse business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models and leverage DLT advantages for post-trading operations, eligible participants could be</w:t>
      </w:r>
      <w:r>
        <w:t xml:space="preserve"> </w:t>
      </w:r>
      <w:r>
        <w:t xml:space="preserve">allowed to get licenced for individual CSD services, rather than pursuing a complete CSD licence.</w:t>
      </w:r>
      <w:r>
        <w:t xml:space="preserve"> </w:t>
      </w:r>
      <w:r>
        <w:t xml:space="preserve">In parallel, under this option, neither the DLTPR nor the authorisations granted under it would</w:t>
      </w:r>
      <w:r>
        <w:t xml:space="preserve"> </w:t>
      </w:r>
      <w:r>
        <w:t xml:space="preserve">have an expiration date, with the specific objective of providing the market with legal certainty for</w:t>
      </w:r>
      <w:r>
        <w:t xml:space="preserve"> </w:t>
      </w:r>
      <w:r>
        <w:t xml:space="preserve">long-term investments in projects under the DLTPR.</w:t>
      </w:r>
      <w:r>
        <w:t xml:space="preserve"> </w:t>
      </w:r>
      <w:r>
        <w:t xml:space="preserve">The targeted consultation highlights the need for DLTPR to remain an adaptive regulatory</w:t>
      </w:r>
      <w:r>
        <w:t xml:space="preserve"> </w:t>
      </w:r>
      <w:r>
        <w:t xml:space="preserve">framework that evolve with market developments, with thresholds and eligibility criteria to be</w:t>
      </w:r>
      <w:r>
        <w:t xml:space="preserve"> </w:t>
      </w:r>
      <w:r>
        <w:t xml:space="preserve">reviewed periodically by authorities like ESMA, to ensure the DLTPR remains competitive as the</w:t>
      </w:r>
      <w:r>
        <w:t xml:space="preserve"> </w:t>
      </w:r>
      <w:r>
        <w:t xml:space="preserve">DLT landscape matures. Stakeholders sees the following issues as critical for the success of the</w:t>
      </w:r>
      <w:r>
        <w:t xml:space="preserve"> </w:t>
      </w:r>
      <w:r>
        <w:t xml:space="preserve">DLTP: expanding the scope of eligible assets (from tokenized physical assets to all types of stocks</w:t>
      </w:r>
      <w:r>
        <w:t xml:space="preserve"> </w:t>
      </w:r>
      <w:r>
        <w:t xml:space="preserve">and all financial instruments under MiFID II); adapting or removing the limit on the value of</w:t>
      </w:r>
      <w:r>
        <w:t xml:space="preserve"> </w:t>
      </w:r>
      <w:r>
        <w:t xml:space="preserve">financial instruments traded, which severely limit the scalability and economic viability of projects</w:t>
      </w:r>
      <w:r>
        <w:t xml:space="preserve"> </w:t>
      </w:r>
      <w:r>
        <w:t xml:space="preserve">within the regime; and removing the limited duration of DLTPR licenses.</w:t>
      </w:r>
      <w:r>
        <w:t xml:space="preserve"> </w:t>
      </w:r>
      <w:r>
        <w:t xml:space="preserve">Option 3 – Far-reaching review of the functioning of capital markets</w:t>
      </w:r>
      <w:r>
        <w:t xml:space="preserve"> </w:t>
      </w:r>
      <w:r>
        <w:t xml:space="preserve">Trading</w:t>
      </w:r>
      <w:r>
        <w:t xml:space="preserve"> </w:t>
      </w:r>
      <w:r>
        <w:t xml:space="preserve">The measures outlined under this option as regards trading build on Option 2 and complements it</w:t>
      </w:r>
      <w:r>
        <w:t xml:space="preserve"> </w:t>
      </w:r>
      <w:r>
        <w:t xml:space="preserve">with one additional measure: mandatory connection between significant trading venues.</w:t>
      </w:r>
      <w:r>
        <w:br/>
      </w:r>
      <w:r>
        <w:t xml:space="preserve">Under this option, a subset of significant trading venues, which would also be subject to ESMA</w:t>
      </w:r>
      <w:r>
        <w:t xml:space="preserve"> </w:t>
      </w:r>
      <w:r>
        <w:t xml:space="preserve">supervision, would be required to establish interconnections with one another. This would be with</w:t>
      </w:r>
      <w:r>
        <w:t xml:space="preserve"> </w:t>
      </w:r>
      <w:r>
        <w:t xml:space="preserve">a view to enabling members of each of those venues to submit orders for execution on other venues</w:t>
      </w:r>
      <w:r>
        <w:t xml:space="preserve"> </w:t>
      </w:r>
      <w:r>
        <w:t xml:space="preserve">within the interconnected network, without necessitating membership or direct connection to those</w:t>
      </w:r>
      <w:r>
        <w:t xml:space="preserve"> </w:t>
      </w:r>
      <w:r>
        <w:t xml:space="preserve">other trading venues.</w:t>
      </w:r>
      <w:r>
        <w:t xml:space="preserve"> </w:t>
      </w:r>
      <w:r>
        <w:t xml:space="preserve">This option would not transform the forementioned venues into executing brokers, subjecting them</w:t>
      </w:r>
      <w:r>
        <w:t xml:space="preserve"> </w:t>
      </w:r>
      <w:r>
        <w:t xml:space="preserve">to best execution rules. Rather, venues participating in the network would serve as mere technical</w:t>
      </w:r>
      <w:r>
        <w:t xml:space="preserve"> </w:t>
      </w:r>
      <w:r>
        <w:t xml:space="preserve">conduits, facilitating brokers’ ability to directly place orders on diverse venues within the network.</w:t>
      </w:r>
      <w:r>
        <w:t xml:space="preserve"> </w:t>
      </w:r>
      <w:r>
        <w:t xml:space="preserve">To this extent, this option differs substantially from the US</w:t>
      </w:r>
      <w:r>
        <w:t xml:space="preserve"> </w:t>
      </w:r>
      <w:r>
        <w:t xml:space="preserve">‘Order Protection Rule’</w:t>
      </w:r>
      <w:r>
        <w:t xml:space="preserve"> </w:t>
      </w:r>
      <w:r>
        <w:t xml:space="preserve">(also known as</w:t>
      </w:r>
      <w:r>
        <w:t xml:space="preserve"> </w:t>
      </w:r>
      <w:r>
        <w:t xml:space="preserve">Reg NMS rule)140, which mandates exchanges to re-route orders received to the exchange offering</w:t>
      </w:r>
      <w:r>
        <w:t xml:space="preserve"> </w:t>
      </w:r>
      <w:r>
        <w:t xml:space="preserve">the best available price (or National Best Bid and Offer, NBBO), thereby placing the onus on every</w:t>
      </w:r>
      <w:r>
        <w:t xml:space="preserve"> </w:t>
      </w:r>
      <w:r>
        <w:t xml:space="preserve">exchange to identify the most favourable venue of execution. In contrast, under this option, brokers</w:t>
      </w:r>
      <w:r>
        <w:t xml:space="preserve"> </w:t>
      </w:r>
      <w:r>
        <w:t xml:space="preserve">relying on the interconnection offered by venues within the network would retain full</w:t>
      </w:r>
      <w:r>
        <w:t xml:space="preserve"> </w:t>
      </w:r>
      <w:r>
        <w:t xml:space="preserve">responsibility for selecting the venue for order execution, and would consequently remain liable</w:t>
      </w:r>
      <w:r>
        <w:t xml:space="preserve"> </w:t>
      </w:r>
      <w:r>
        <w:t xml:space="preserve">for ensuring the best execution vis-à-vis their clients.</w:t>
      </w:r>
      <w:r>
        <w:t xml:space="preserve"> </w:t>
      </w:r>
      <w:r>
        <w:t xml:space="preserve">Establishing this interconnection would necessitate that each concerned venue becomes a technical</w:t>
      </w:r>
      <w:r>
        <w:t xml:space="preserve"> </w:t>
      </w:r>
      <w:r>
        <w:t xml:space="preserve">member of the other venues, and that each concerned venue implements a technical solution to</w:t>
      </w:r>
      <w:r>
        <w:t xml:space="preserve"> </w:t>
      </w:r>
      <w:r>
        <w:t xml:space="preserve">submit orders on other venues within the interconnected network (technical connectivity). While</w:t>
      </w:r>
      <w:r>
        <w:t xml:space="preserve"> </w:t>
      </w:r>
      <w:r>
        <w:t xml:space="preserve">the former requirement (membership) does not imply significant complexity nor cost, the latter</w:t>
      </w:r>
      <w:r>
        <w:t xml:space="preserve"> </w:t>
      </w:r>
      <w:r>
        <w:t xml:space="preserve">(technical connectivity) necessitates that venues ensure they are capable of (i) interacting with</w:t>
      </w:r>
      <w:r>
        <w:t xml:space="preserve"> </w:t>
      </w:r>
      <w:r>
        <w:t xml:space="preserve">each venue’s communication protocol, thereby allowing communication with the target venue</w:t>
      </w:r>
    </w:p>
    <w:p>
      <w:pPr>
        <w:pStyle w:val="BodyText"/>
      </w:pPr>
      <w:r>
        <w:t xml:space="preserve">140 Rule 611 of the Regulation National Market System established intermarket protection against trade-throughs for</w:t>
      </w:r>
      <w:r>
        <w:t xml:space="preserve"> </w:t>
      </w:r>
      <w:r>
        <w:t xml:space="preserve">certain shares. Due to this rule, trading venues are prevented from executing orders if a better execution price can be</w:t>
      </w:r>
      <w:r>
        <w:t xml:space="preserve"> </w:t>
      </w:r>
      <w:r>
        <w:t xml:space="preserve">found on another exchange.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(software component), and (ii) physically conveying messages to other venues within the network</w:t>
      </w:r>
      <w:r>
        <w:t xml:space="preserve"> </w:t>
      </w:r>
      <w:r>
        <w:t xml:space="preserve">(hardware component).</w:t>
      </w:r>
      <w:r>
        <w:t xml:space="preserve"> </w:t>
      </w:r>
      <w:r>
        <w:t xml:space="preserve">This option would not prescribe a specific technical setup for venues in scope, as the choice of</w:t>
      </w:r>
      <w:r>
        <w:t xml:space="preserve"> </w:t>
      </w:r>
      <w:r>
        <w:t xml:space="preserve">solution would depend on factors such as projected volumes of cross-border orders to be placed</w:t>
      </w:r>
      <w:r>
        <w:t xml:space="preserve"> </w:t>
      </w:r>
      <w:r>
        <w:t xml:space="preserve">through the interconnection mechanism and the specific venues involved.</w:t>
      </w:r>
      <w:r>
        <w:t xml:space="preserve"> </w:t>
      </w:r>
      <w:r>
        <w:t xml:space="preserve">Asked whether intermediaries should be obliged to connect to all venues in the EU, respondents</w:t>
      </w:r>
      <w:r>
        <w:t xml:space="preserve"> </w:t>
      </w:r>
      <w:r>
        <w:t xml:space="preserve">to the targeted consultation were overall reluctant. The reasons for this reluctance appear to be</w:t>
      </w:r>
      <w:r>
        <w:t xml:space="preserve"> </w:t>
      </w:r>
      <w:r>
        <w:t xml:space="preserve">mostly related to cost that would be disproportionately high, especially for smaller and mid-sized</w:t>
      </w:r>
      <w:r>
        <w:t xml:space="preserve"> </w:t>
      </w:r>
      <w:r>
        <w:t xml:space="preserve">firms, which would ultimately be passed on to investors. According to stakeholders, limits to</w:t>
      </w:r>
      <w:r>
        <w:t xml:space="preserve"> </w:t>
      </w:r>
      <w:r>
        <w:t xml:space="preserve">additional connections are mainly driven by cost considerations and lack of demand. Post-trade</w:t>
      </w:r>
      <w:r>
        <w:t xml:space="preserve"> </w:t>
      </w:r>
      <w:r>
        <w:t xml:space="preserve">fragmentation and lack of full CCP interoperability are also cited as playing a role.</w:t>
      </w:r>
      <w:r>
        <w:br/>
      </w:r>
      <w:r>
        <w:t xml:space="preserve">Post-trade</w:t>
      </w:r>
      <w:r>
        <w:t xml:space="preserve"> </w:t>
      </w:r>
      <w:r>
        <w:t xml:space="preserve">The measures outlined under this option as regards post-trading build on Option 2</w:t>
      </w:r>
      <w:r>
        <w:br/>
      </w:r>
      <w:r>
        <w:t xml:space="preserve">and complements it with two main alternative and more far-reaching measures.</w:t>
      </w:r>
      <w:r>
        <w:t xml:space="preserve"> </w:t>
      </w:r>
      <w:r>
        <w:t xml:space="preserve">First, under this option, a CSD would be able to provide services in relation to securities issued</w:t>
      </w:r>
      <w:r>
        <w:t xml:space="preserve"> </w:t>
      </w:r>
      <w:r>
        <w:t xml:space="preserve">according to the law of all Member States, regardless of whether there is any intention to serve</w:t>
      </w:r>
      <w:r>
        <w:t xml:space="preserve"> </w:t>
      </w:r>
      <w:r>
        <w:t xml:space="preserve">markets in a particular Member State and without an ex-ante notification.</w:t>
      </w:r>
      <w:r>
        <w:br/>
      </w:r>
      <w:r>
        <w:t xml:space="preserve">Second, under this option, T2S would be transformed into a CSD (‘T2S CSD’) and all CSDs</w:t>
      </w:r>
      <w:r>
        <w:br/>
      </w:r>
      <w:r>
        <w:t xml:space="preserve">in the EU would be required to connect to it via bi-directional links. To facilitate this arrangement,</w:t>
      </w:r>
      <w:r>
        <w:t xml:space="preserve"> </w:t>
      </w:r>
      <w:r>
        <w:t xml:space="preserve">T2S as a CSD would be required to serve all EU currencies for settlement in central bank money</w:t>
      </w:r>
      <w:r>
        <w:t xml:space="preserve"> </w:t>
      </w:r>
      <w:r>
        <w:t xml:space="preserve">and would be required to allow settlement in commercial bank money.</w:t>
      </w:r>
      <w:r>
        <w:br/>
      </w:r>
      <w:r>
        <w:t xml:space="preserve">Asset management</w:t>
      </w:r>
      <w:r>
        <w:t xml:space="preserve"> </w:t>
      </w:r>
      <w:r>
        <w:t xml:space="preserve">The measures outlined under this option builds on Option 2 and complement it with alternative</w:t>
      </w:r>
      <w:r>
        <w:t xml:space="preserve"> </w:t>
      </w:r>
      <w:r>
        <w:t xml:space="preserve">measures on asset management groups. As opposed to each entity in the group being authorised</w:t>
      </w:r>
      <w:r>
        <w:t xml:space="preserve"> </w:t>
      </w:r>
      <w:r>
        <w:t xml:space="preserve">individually, which would still be the case under option 2, under this option, a group-level</w:t>
      </w:r>
      <w:r>
        <w:t xml:space="preserve"> </w:t>
      </w:r>
      <w:r>
        <w:t xml:space="preserve">authorisation mechanism for asset management groups under the AIFMD and UCITS would be</w:t>
      </w:r>
      <w:r>
        <w:t xml:space="preserve"> </w:t>
      </w:r>
      <w:r>
        <w:t xml:space="preserve">introduced, whereby, in cases where asset managers operate as part of a group, a single</w:t>
      </w:r>
      <w:r>
        <w:t xml:space="preserve"> </w:t>
      </w:r>
      <w:r>
        <w:t xml:space="preserve">authorisation would be granted to the parent undertaking of the group.</w:t>
      </w:r>
      <w:r>
        <w:t xml:space="preserve"> </w:t>
      </w:r>
      <w:r>
        <w:t xml:space="preserve">Respondents to the consultation express scepticism about this measure. Most do not see the need</w:t>
      </w:r>
      <w:r>
        <w:t xml:space="preserve"> </w:t>
      </w:r>
      <w:r>
        <w:t xml:space="preserve">for group level authorisation and supervision, as asset managers operate under highly diverse</w:t>
      </w:r>
      <w:r>
        <w:t xml:space="preserve"> </w:t>
      </w:r>
      <w:r>
        <w:t xml:space="preserve">business models, and there is no uniform structure across the industry, and few respondents sees</w:t>
      </w:r>
      <w:r>
        <w:t xml:space="preserve"> </w:t>
      </w:r>
      <w:r>
        <w:t xml:space="preserve">efficiency gains and cost reductions that a group perspective would bring.</w:t>
      </w:r>
      <w:r>
        <w:t xml:space="preserve"> </w:t>
      </w:r>
      <w:r>
        <w:t xml:space="preserve">Innovation (DLTPR)</w:t>
      </w:r>
      <w:r>
        <w:t xml:space="preserve"> </w:t>
      </w:r>
      <w:r>
        <w:t xml:space="preserve">This option goes beyond the DLTPR measures foreseen in Option 2, by removing all limits as</w:t>
      </w:r>
      <w:r>
        <w:t xml:space="preserve"> </w:t>
      </w:r>
      <w:r>
        <w:t xml:space="preserve">regards the scope and scale of trading and settlement activities covered by this regime. In</w:t>
      </w:r>
      <w:r>
        <w:t xml:space="preserve"> </w:t>
      </w:r>
      <w:r>
        <w:t xml:space="preserve">particular, this option would completely abolish activity and product limitations under the DLTPR,</w:t>
      </w:r>
      <w:r>
        <w:t xml:space="preserve"> </w:t>
      </w:r>
      <w:r>
        <w:t xml:space="preserve">de facto converting the framework from a sandbox regime into a full-fledged regular regime.</w:t>
      </w:r>
      <w:r>
        <w:br/>
      </w:r>
      <w:r>
        <w:t xml:space="preserve">Under this option, the DLTPR would be also open to a very broad range of financial service</w:t>
      </w:r>
      <w:r>
        <w:t xml:space="preserve"> </w:t>
      </w:r>
      <w:r>
        <w:t xml:space="preserve">providers, who could obtain a licence through a risk-based process to offer DLT-based trading and</w:t>
      </w:r>
      <w:r>
        <w:t xml:space="preserve"> </w:t>
      </w:r>
      <w:r>
        <w:t xml:space="preserve">CSD services.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Table 3 - Summary table on the description of options 2 and 3 on barriers to cross-border operations and innovation</w:t>
      </w:r>
      <w:r>
        <w:t xml:space="preserve"> </w:t>
      </w:r>
      <w:r>
        <w:t xml:space="preserve">Broad review and far-reaching review of the functioning of capital markets</w:t>
      </w:r>
      <w:r>
        <w:br/>
      </w:r>
      <w:r>
        <w:t xml:space="preserve">Driver/Barrier addressed</w:t>
      </w:r>
      <w:r>
        <w:t xml:space="preserve"> </w:t>
      </w:r>
      <w:r>
        <w:t xml:space="preserve">Trading – Broad review under option 2</w:t>
      </w:r>
      <w:r>
        <w:t xml:space="preserve"> </w:t>
      </w:r>
      <w:r>
        <w:t xml:space="preserve">1. Further harmonise trading venues rules and enhance passporting opportunities for RMs and their operators are</w:t>
      </w:r>
      <w:r>
        <w:t xml:space="preserve"> </w:t>
      </w:r>
      <w:r>
        <w:t xml:space="preserve">enhanced. Introduce a ‘Pan-European Market Operator’ status allowing single-licence operation of trading</w:t>
      </w:r>
      <w:r>
        <w:t xml:space="preserve"> </w:t>
      </w:r>
      <w:r>
        <w:t xml:space="preserve">venues in multiple Member States.</w:t>
      </w:r>
      <w:r>
        <w:t xml:space="preserve"> </w:t>
      </w:r>
      <w:r>
        <w:t xml:space="preserve">Divergent rules, gold plating,</w:t>
      </w:r>
      <w:r>
        <w:t xml:space="preserve"> </w:t>
      </w:r>
      <w:r>
        <w:t xml:space="preserve">barriers to cross-border operations</w:t>
      </w:r>
      <w:r>
        <w:t xml:space="preserve"> </w:t>
      </w:r>
      <w:r>
        <w:t xml:space="preserve">2. Facilitated allocation of resources within Group comprising multiple trading venues across several Member</w:t>
      </w:r>
      <w:r>
        <w:t xml:space="preserve"> </w:t>
      </w:r>
      <w:r>
        <w:t xml:space="preserve">States allowing effective leveraging of economies of scale.</w:t>
      </w:r>
      <w:r>
        <w:t xml:space="preserve"> </w:t>
      </w:r>
      <w:r>
        <w:t xml:space="preserve">Burdensome</w:t>
      </w:r>
      <w:r>
        <w:t xml:space="preserve"> </w:t>
      </w:r>
      <w:r>
        <w:t xml:space="preserve">requirements,</w:t>
      </w:r>
      <w:r>
        <w:t xml:space="preserve"> </w:t>
      </w:r>
      <w:r>
        <w:t xml:space="preserve">limitations to economies of scale</w:t>
      </w:r>
      <w:r>
        <w:t xml:space="preserve"> </w:t>
      </w:r>
      <w:r>
        <w:t xml:space="preserve">within group</w:t>
      </w:r>
      <w:r>
        <w:t xml:space="preserve"> </w:t>
      </w:r>
      <w:r>
        <w:t xml:space="preserve">3. Brokers’ direct access to trading venues would be simplified.</w:t>
      </w:r>
      <w:r>
        <w:br/>
      </w:r>
      <w:r>
        <w:t xml:space="preserve">Limited</w:t>
      </w:r>
      <w:r>
        <w:t xml:space="preserve"> </w:t>
      </w:r>
      <w:r>
        <w:t xml:space="preserve">interconnectedness,</w:t>
      </w:r>
      <w:r>
        <w:t xml:space="preserve"> </w:t>
      </w:r>
      <w:r>
        <w:t xml:space="preserve">especially cross-border</w:t>
      </w:r>
      <w:r>
        <w:t xml:space="preserve"> </w:t>
      </w:r>
      <w:r>
        <w:t xml:space="preserve">Trading – Far-reaching review under option 3</w:t>
      </w:r>
      <w:r>
        <w:br/>
      </w:r>
      <w:r>
        <w:t xml:space="preserve">4. Measures 1-3, complemented with mandatory connection for re-routing orders between significant trading</w:t>
      </w:r>
      <w:r>
        <w:t xml:space="preserve"> </w:t>
      </w:r>
      <w:r>
        <w:t xml:space="preserve">venues.</w:t>
      </w:r>
      <w:r>
        <w:t xml:space="preserve"> </w:t>
      </w:r>
      <w:r>
        <w:t xml:space="preserve">Same as above</w:t>
      </w:r>
      <w:r>
        <w:t xml:space="preserve"> </w:t>
      </w:r>
      <w:r>
        <w:t xml:space="preserve">Post- Trading – Broad review under option 2</w:t>
      </w:r>
      <w:r>
        <w:t xml:space="preserve"> </w:t>
      </w:r>
      <w:r>
        <w:t xml:space="preserve">5. Limit the possibility of Member States to impose additional requirements on issuers to improve freedom of</w:t>
      </w:r>
      <w:r>
        <w:t xml:space="preserve"> </w:t>
      </w:r>
      <w:r>
        <w:t xml:space="preserve">issuance.</w:t>
      </w:r>
      <w:r>
        <w:t xml:space="preserve"> </w:t>
      </w:r>
      <w:r>
        <w:t xml:space="preserve">Divergent rules, gold plating</w:t>
      </w:r>
      <w:r>
        <w:t xml:space="preserve"> </w:t>
      </w:r>
      <w:r>
        <w:t xml:space="preserve">6. Strengthen technological neutrality of post-trade legislation (updating relevant definitions, concepts, and</w:t>
      </w:r>
      <w:r>
        <w:t xml:space="preserve"> </w:t>
      </w:r>
      <w:r>
        <w:t xml:space="preserve">requirements).</w:t>
      </w:r>
      <w:r>
        <w:t xml:space="preserve"> </w:t>
      </w:r>
      <w:r>
        <w:t xml:space="preserve">Burdensome requirements</w:t>
      </w:r>
      <w:r>
        <w:t xml:space="preserve"> </w:t>
      </w:r>
      <w:r>
        <w:t xml:space="preserve">7. Right of an authorised CSD to automatically provide services, or set up a branch, in any Member State in the</w:t>
      </w:r>
      <w:r>
        <w:t xml:space="preserve"> </w:t>
      </w:r>
      <w:r>
        <w:t xml:space="preserve">EU without additional requirements other than notification.</w:t>
      </w:r>
      <w:r>
        <w:t xml:space="preserve"> </w:t>
      </w:r>
      <w:r>
        <w:t xml:space="preserve">Burdensome requirements, gold</w:t>
      </w:r>
      <w:r>
        <w:t xml:space="preserve"> </w:t>
      </w:r>
      <w:r>
        <w:t xml:space="preserve">plating</w:t>
      </w:r>
      <w:r>
        <w:t xml:space="preserve"> </w:t>
      </w:r>
      <w:r>
        <w:t xml:space="preserve">8. Mandate EU CSDs to establish a connection to the T2S platform in the case that they settle in a T2S-</w:t>
      </w:r>
      <w:r>
        <w:t xml:space="preserve"> </w:t>
      </w:r>
      <w:r>
        <w:t xml:space="preserve">supported currency.</w:t>
      </w:r>
      <w:r>
        <w:br/>
      </w:r>
      <w:r>
        <w:t xml:space="preserve">Limited interconnectedness</w:t>
      </w:r>
      <w:r>
        <w:t xml:space="preserve"> </w:t>
      </w:r>
      <w:r>
        <w:t xml:space="preserve">9. Mandate CSDs serving as hubs to connect to each other while requiring the other CSDs to connect to at least</w:t>
      </w:r>
      <w:r>
        <w:t xml:space="preserve"> </w:t>
      </w:r>
      <w:r>
        <w:t xml:space="preserve">one CSD hub. Such links should be bi-directional, interoperable, and able to settle all financial instruments</w:t>
      </w:r>
      <w:r>
        <w:t xml:space="preserve"> </w:t>
      </w:r>
      <w:r>
        <w:t xml:space="preserve">available for settlement with the given CSD. The process to establish links is to be simplified and streamlined.</w:t>
      </w:r>
      <w:r>
        <w:t xml:space="preserve"> </w:t>
      </w:r>
      <w:r>
        <w:t xml:space="preserve">ESMA is mandated to codify standards for harmonising settlement operations.</w:t>
      </w:r>
      <w:r>
        <w:t xml:space="preserve"> </w:t>
      </w:r>
      <w:r>
        <w:t xml:space="preserve">Limited interconnectedness</w:t>
      </w:r>
    </w:p>
    <w:p>
      <w:pPr>
        <w:pStyle w:val="BodyText"/>
      </w:pPr>
      <w:r>
        <w:t xml:space="preserve">Post- Trading – Far-reaching review under option 3</w:t>
      </w:r>
      <w:r>
        <w:br/>
      </w:r>
      <w:r>
        <w:t xml:space="preserve">10. Measures 5 and 6, with alternative measures for 7, 8, 9:</w:t>
      </w:r>
      <w:r>
        <w:br/>
      </w:r>
      <w:r>
        <w:t xml:space="preserve">Same as above</w:t>
      </w:r>
      <w:r>
        <w:t xml:space="preserve"> </w:t>
      </w:r>
      <w:r>
        <w:t xml:space="preserve">11. As alternative to measure 7: Right of an authorised CSD to automatically provide services, or set up a branch,</w:t>
      </w:r>
      <w:r>
        <w:t xml:space="preserve"> </w:t>
      </w:r>
      <w:r>
        <w:t xml:space="preserve">in any Member State in the EU regardless of whether there is any intention to serve markets in a particular</w:t>
      </w:r>
      <w:r>
        <w:t xml:space="preserve"> </w:t>
      </w:r>
      <w:r>
        <w:t xml:space="preserve">Member State and without notification.</w:t>
      </w:r>
    </w:p>
    <w:p>
      <w:pPr>
        <w:pStyle w:val="BodyText"/>
      </w:pPr>
      <w:r>
        <w:t xml:space="preserve">63</w:t>
      </w:r>
    </w:p>
    <w:p>
      <w:pPr>
        <w:numPr>
          <w:ilvl w:val="0"/>
          <w:numId w:val="1006"/>
        </w:numPr>
      </w:pPr>
      <w:r>
        <w:t xml:space="preserve">Measure 8, complemented with T2S legally becoming a CSD (‘T2S CSD’), allowing it to offer all CSD core</w:t>
      </w:r>
      <w:r>
        <w:t xml:space="preserve"> </w:t>
      </w:r>
      <w:r>
        <w:t xml:space="preserve">services.</w:t>
      </w:r>
    </w:p>
    <w:p>
      <w:pPr>
        <w:numPr>
          <w:ilvl w:val="0"/>
          <w:numId w:val="1006"/>
        </w:numPr>
      </w:pPr>
      <w:r>
        <w:t xml:space="preserve">As alternative to measure 9: all CSDs in the EU would be required to connect to ‘T2S CSD’ via bi-directional</w:t>
      </w:r>
      <w:r>
        <w:t xml:space="preserve"> </w:t>
      </w:r>
      <w:r>
        <w:t xml:space="preserve">links. To facilitate this arrangement, T2S as a CSD would be required to serve all EU currencies.</w:t>
      </w:r>
    </w:p>
    <w:p>
      <w:pPr>
        <w:pStyle w:val="FirstParagraph"/>
      </w:pPr>
      <w:r>
        <w:t xml:space="preserve">Asset management – Broad review under option 2</w:t>
      </w:r>
      <w:r>
        <w:t xml:space="preserve"> </w:t>
      </w:r>
      <w:r>
        <w:t xml:space="preserve">14. A new “passporting upon authorisation” regime would grant UCITS funds and AIFs (through their AIFMs)</w:t>
      </w:r>
      <w:r>
        <w:t xml:space="preserve"> </w:t>
      </w:r>
      <w:r>
        <w:t xml:space="preserve">single market access to their chosen Member States upon authorisation. The data platform will streamline</w:t>
      </w:r>
      <w:r>
        <w:t xml:space="preserve"> </w:t>
      </w:r>
      <w:r>
        <w:t xml:space="preserve">cooperation between home and host NCAs.</w:t>
      </w:r>
      <w:r>
        <w:br/>
      </w:r>
      <w:r>
        <w:t xml:space="preserve">Burdensome requirements, gold</w:t>
      </w:r>
      <w:r>
        <w:t xml:space="preserve"> </w:t>
      </w:r>
      <w:r>
        <w:t xml:space="preserve">plating</w:t>
      </w:r>
      <w:r>
        <w:t xml:space="preserve"> </w:t>
      </w:r>
      <w:r>
        <w:t xml:space="preserve">15. The marketing rules under the CBDR would be reviewed to create a common EU framework and reduce</w:t>
      </w:r>
      <w:r>
        <w:t xml:space="preserve"> </w:t>
      </w:r>
      <w:r>
        <w:t xml:space="preserve">national divergences on marketing communication.</w:t>
      </w:r>
      <w:r>
        <w:t xml:space="preserve"> </w:t>
      </w:r>
      <w:r>
        <w:t xml:space="preserve">Divergent rules, gold plating</w:t>
      </w:r>
      <w:r>
        <w:t xml:space="preserve"> </w:t>
      </w:r>
      <w:r>
        <w:t xml:space="preserve">16. Improve the operating conditions for asset management groups by facilitating the use of intra-group resources</w:t>
      </w:r>
      <w:r>
        <w:t xml:space="preserve"> </w:t>
      </w:r>
      <w:r>
        <w:t xml:space="preserve">and delegation of functions across different entities within the same group in the EU.</w:t>
      </w:r>
      <w:r>
        <w:t xml:space="preserve"> </w:t>
      </w:r>
      <w:r>
        <w:t xml:space="preserve">Burdensome requirements</w:t>
      </w:r>
      <w:r>
        <w:t xml:space="preserve"> </w:t>
      </w:r>
      <w:r>
        <w:t xml:space="preserve">17. EU depositary passport.</w:t>
      </w:r>
      <w:r>
        <w:t xml:space="preserve"> </w:t>
      </w:r>
      <w:r>
        <w:t xml:space="preserve">Burdensome requirements</w:t>
      </w:r>
      <w:r>
        <w:t xml:space="preserve"> </w:t>
      </w:r>
      <w:r>
        <w:t xml:space="preserve">Asset management – Far-reaching review under option 3</w:t>
      </w:r>
    </w:p>
    <w:p>
      <w:pPr>
        <w:pStyle w:val="Compact"/>
        <w:numPr>
          <w:ilvl w:val="0"/>
          <w:numId w:val="1007"/>
        </w:numPr>
      </w:pPr>
      <w:r>
        <w:t xml:space="preserve">Measures 14, 15 and 16, with alternative measure for 17</w:t>
      </w:r>
      <w:r>
        <w:t xml:space="preserve"> </w:t>
      </w:r>
      <w:r>
        <w:t xml:space="preserve">Same as above</w:t>
      </w:r>
    </w:p>
    <w:p>
      <w:pPr>
        <w:pStyle w:val="Compact"/>
        <w:numPr>
          <w:ilvl w:val="0"/>
          <w:numId w:val="1007"/>
        </w:numPr>
      </w:pPr>
      <w:r>
        <w:t xml:space="preserve">As alternative to measure 17: Group-level authorisation</w:t>
      </w:r>
    </w:p>
    <w:p>
      <w:pPr>
        <w:pStyle w:val="FirstParagraph"/>
      </w:pPr>
      <w:r>
        <w:t xml:space="preserve">Innovation (DLTPR) – Broad review under option 2</w:t>
      </w:r>
    </w:p>
    <w:p>
      <w:pPr>
        <w:numPr>
          <w:ilvl w:val="0"/>
          <w:numId w:val="1008"/>
        </w:numPr>
      </w:pPr>
      <w:r>
        <w:t xml:space="preserve">Removal of time limits.</w:t>
      </w:r>
      <w:r>
        <w:t xml:space="preserve"> </w:t>
      </w:r>
      <w:r>
        <w:t xml:space="preserve">Barriers to take up of innovation</w:t>
      </w:r>
    </w:p>
    <w:p>
      <w:pPr>
        <w:numPr>
          <w:ilvl w:val="0"/>
          <w:numId w:val="1008"/>
        </w:numPr>
      </w:pPr>
      <w:r>
        <w:t xml:space="preserve">Scope of eligible instruments increased to include all financial instruments.</w:t>
      </w:r>
      <w:r>
        <w:t xml:space="preserve"> </w:t>
      </w:r>
      <w:r>
        <w:t xml:space="preserve">Barriers to take up of innovation</w:t>
      </w:r>
    </w:p>
    <w:p>
      <w:pPr>
        <w:numPr>
          <w:ilvl w:val="0"/>
          <w:numId w:val="1008"/>
        </w:numPr>
      </w:pPr>
      <w:r>
        <w:t xml:space="preserve">Simplification of the Pilot for small businesses.</w:t>
      </w:r>
      <w:r>
        <w:t xml:space="preserve"> </w:t>
      </w:r>
      <w:r>
        <w:t xml:space="preserve">Barriers to take up of innovation</w:t>
      </w:r>
    </w:p>
    <w:p>
      <w:pPr>
        <w:numPr>
          <w:ilvl w:val="0"/>
          <w:numId w:val="1008"/>
        </w:numPr>
      </w:pPr>
      <w:r>
        <w:t xml:space="preserve">Removal of product specific thresholds and significant increase of the aggregated threshold (currently EUR 6</w:t>
      </w:r>
      <w:r>
        <w:t xml:space="preserve"> </w:t>
      </w:r>
      <w:r>
        <w:t xml:space="preserve">billion).</w:t>
      </w:r>
      <w:r>
        <w:t xml:space="preserve"> </w:t>
      </w:r>
      <w:r>
        <w:t xml:space="preserve">Barriers to take up of innovation</w:t>
      </w:r>
    </w:p>
    <w:p>
      <w:pPr>
        <w:numPr>
          <w:ilvl w:val="0"/>
          <w:numId w:val="1008"/>
        </w:numPr>
      </w:pPr>
      <w:r>
        <w:t xml:space="preserve">Eligible participants to include CASPs.</w:t>
      </w:r>
      <w:r>
        <w:t xml:space="preserve"> </w:t>
      </w:r>
      <w:r>
        <w:t xml:space="preserve">Barriers to take up of innovation</w:t>
      </w:r>
    </w:p>
    <w:p>
      <w:pPr>
        <w:numPr>
          <w:ilvl w:val="0"/>
          <w:numId w:val="1008"/>
        </w:numPr>
      </w:pPr>
      <w:r>
        <w:t xml:space="preserve">License for individual CSD services.</w:t>
      </w:r>
      <w:r>
        <w:t xml:space="preserve"> </w:t>
      </w:r>
      <w:r>
        <w:t xml:space="preserve">Barriers to take up of innovation</w:t>
      </w:r>
      <w:r>
        <w:t xml:space="preserve"> </w:t>
      </w:r>
      <w:r>
        <w:t xml:space="preserve">Innovation (DLTPR) – Far-reaching review under option 3</w:t>
      </w:r>
    </w:p>
    <w:p>
      <w:pPr>
        <w:numPr>
          <w:ilvl w:val="0"/>
          <w:numId w:val="1008"/>
        </w:numPr>
      </w:pPr>
      <w:r>
        <w:t xml:space="preserve">Measures 20, 21, and 22 with alternative measures 23, 24, and 25</w:t>
      </w:r>
      <w:r>
        <w:br/>
      </w:r>
      <w:r>
        <w:t xml:space="preserve">Same as above</w:t>
      </w:r>
    </w:p>
    <w:p>
      <w:pPr>
        <w:numPr>
          <w:ilvl w:val="0"/>
          <w:numId w:val="1008"/>
        </w:numPr>
      </w:pPr>
      <w:r>
        <w:t xml:space="preserve">As alternative to measure 23: removal of all threshold.</w:t>
      </w:r>
    </w:p>
    <w:p>
      <w:pPr>
        <w:numPr>
          <w:ilvl w:val="0"/>
          <w:numId w:val="1008"/>
        </w:numPr>
      </w:pPr>
      <w:r>
        <w:t xml:space="preserve">As alternative to measure 24: In addition to CASPs and credit institutions, inclusion of asset managers,</w:t>
      </w:r>
      <w:r>
        <w:t xml:space="preserve"> </w:t>
      </w:r>
      <w:r>
        <w:t xml:space="preserve">payments institutions, central counterparties (CCPs) and authorised crowdfunding service providers.</w:t>
      </w:r>
    </w:p>
    <w:p>
      <w:pPr>
        <w:numPr>
          <w:ilvl w:val="0"/>
          <w:numId w:val="1008"/>
        </w:numPr>
      </w:pPr>
      <w:r>
        <w:t xml:space="preserve">As alternative to measure 25: Possibility of a license through a risk-based process to offer DLT-based trading</w:t>
      </w:r>
      <w:r>
        <w:t xml:space="preserve"> </w:t>
      </w:r>
      <w:r>
        <w:t xml:space="preserve">and CSD services.</w:t>
      </w:r>
    </w:p>
    <w:p>
      <w:pPr>
        <w:pStyle w:val="FirstParagraph"/>
      </w:pPr>
      <w:r>
        <w:t xml:space="preserve">64</w:t>
      </w:r>
    </w:p>
    <w:p>
      <w:pPr>
        <w:pStyle w:val="BodyText"/>
      </w:pPr>
      <w:r>
        <w:t xml:space="preserve">5.3.2. Policy options to address Non-aligned supervisory practices and weak tools</w:t>
      </w:r>
      <w:r>
        <w:t xml:space="preserve"> </w:t>
      </w:r>
      <w:r>
        <w:t xml:space="preserve">and powers at EU level</w:t>
      </w:r>
      <w:r>
        <w:t xml:space="preserve"> </w:t>
      </w:r>
      <w:r>
        <w:t xml:space="preserve">This section provides an overview of the options considered to address the non-aligned supervisory</w:t>
      </w:r>
      <w:r>
        <w:t xml:space="preserve"> </w:t>
      </w:r>
      <w:r>
        <w:t xml:space="preserve">practices across Member States141 and weak tools and powers at EU level to enforce convergence.</w:t>
      </w:r>
      <w:r>
        <w:t xml:space="preserve"> </w:t>
      </w:r>
      <w:r>
        <w:t xml:space="preserve">It describes the most significant measures expected to have the largest impact, across the areas of</w:t>
      </w:r>
      <w:r>
        <w:t xml:space="preserve"> </w:t>
      </w:r>
      <w:r>
        <w:t xml:space="preserve">intervention (trading, post-trading, asset management and crypto assets), with a tabular overview</w:t>
      </w:r>
      <w:r>
        <w:t xml:space="preserve"> </w:t>
      </w:r>
      <w:r>
        <w:t xml:space="preserve">provided in Table 4. More details, also on a sectoral basis, can be found in Section 4 of Annex 11</w:t>
      </w:r>
      <w:r>
        <w:t xml:space="preserve"> </w:t>
      </w:r>
      <w:r>
        <w:t xml:space="preserve">‘Supervision’.</w:t>
      </w:r>
      <w:r>
        <w:br/>
      </w:r>
      <w:r>
        <w:t xml:space="preserve">Baseline scenario (Option 1) – Do nothing</w:t>
      </w:r>
      <w:r>
        <w:br/>
      </w:r>
      <w:r>
        <w:t xml:space="preserve">This is the baseline scenario (see Section 5.1).</w:t>
      </w:r>
      <w:r>
        <w:t xml:space="preserve"> </w:t>
      </w:r>
      <w:r>
        <w:t xml:space="preserve">Option 2 – Improved supervisory convergence and an enhanced role for ESMA in</w:t>
      </w:r>
      <w:r>
        <w:t xml:space="preserve"> </w:t>
      </w:r>
      <w:r>
        <w:t xml:space="preserve">supervision</w:t>
      </w:r>
      <w:r>
        <w:t xml:space="preserve"> </w:t>
      </w:r>
      <w:r>
        <w:t xml:space="preserve">Under this option, non-aligned supervisory practices would be addressed by enhancing ESMA’s</w:t>
      </w:r>
      <w:r>
        <w:t xml:space="preserve"> </w:t>
      </w:r>
      <w:r>
        <w:t xml:space="preserve">supervisory role and improving supervisory convergence. This would be done by (1) transferring</w:t>
      </w:r>
      <w:r>
        <w:t xml:space="preserve"> </w:t>
      </w:r>
      <w:r>
        <w:t xml:space="preserve">supervisory powers over certain trading venues, CCPs and CSDs and all CASPs to ESMA, (2) by</w:t>
      </w:r>
      <w:r>
        <w:t xml:space="preserve"> </w:t>
      </w:r>
      <w:r>
        <w:t xml:space="preserve">giving ESMA a more operational role in the supervision of large asset managers without exercising</w:t>
      </w:r>
      <w:r>
        <w:t xml:space="preserve"> </w:t>
      </w:r>
      <w:r>
        <w:t xml:space="preserve">direct supervision, (3) by strengthening ESMA’s governance structures to ensure more efficient</w:t>
      </w:r>
      <w:r>
        <w:t xml:space="preserve"> </w:t>
      </w:r>
      <w:r>
        <w:t xml:space="preserve">and transparent supervision, and (4) enhancing the use of existing supervisory convergence tools</w:t>
      </w:r>
      <w:r>
        <w:t xml:space="preserve"> </w:t>
      </w:r>
      <w:r>
        <w:t xml:space="preserve">(e.g. breach of Union law procedure, no-action letters, peer reviews, emergency powers, delegation</w:t>
      </w:r>
      <w:r>
        <w:t xml:space="preserve"> </w:t>
      </w:r>
      <w:r>
        <w:t xml:space="preserve">of tasks and responsibilities) as well as introducing new ones, such as collaboration platforms.</w:t>
      </w:r>
      <w:r>
        <w:br/>
      </w:r>
      <w:r>
        <w:t xml:space="preserve">The proposal for direct supervision of large trading venues, CCPs, and CSDs is justified by the</w:t>
      </w:r>
      <w:r>
        <w:t xml:space="preserve"> </w:t>
      </w:r>
      <w:r>
        <w:t xml:space="preserve">need to address fragmented supervisory practices that have been detected and which present</w:t>
      </w:r>
      <w:r>
        <w:t xml:space="preserve"> </w:t>
      </w:r>
      <w:r>
        <w:t xml:space="preserve">barriers to integration within the Single Market. It also simplifies the supervisory arrangements,</w:t>
      </w:r>
      <w:r>
        <w:t xml:space="preserve"> </w:t>
      </w:r>
      <w:r>
        <w:t xml:space="preserve">notably for groups operating on a cross-border basis who currently face multiple regulators.</w:t>
      </w:r>
      <w:r>
        <w:br/>
      </w:r>
      <w:r>
        <w:t xml:space="preserve">In addition, the proposal aims to enhance the capabilities to identify and manage significant</w:t>
      </w:r>
      <w:r>
        <w:t xml:space="preserve"> </w:t>
      </w:r>
      <w:r>
        <w:t xml:space="preserve">systemic risks that the failure or malfunction of those entities could pose to the stability of the EU’s</w:t>
      </w:r>
      <w:r>
        <w:t xml:space="preserve"> </w:t>
      </w:r>
      <w:r>
        <w:t xml:space="preserve">capital market. The failure or malfunction of one of these critical market infrastructure entities can</w:t>
      </w:r>
      <w:r>
        <w:t xml:space="preserve"> </w:t>
      </w:r>
      <w:r>
        <w:t xml:space="preserve">have a ripple effect, disrupting trading, clearing, settlement, and liquidity across all EU markets</w:t>
      </w:r>
      <w:r>
        <w:t xml:space="preserve"> </w:t>
      </w:r>
      <w:r>
        <w:t xml:space="preserve">simultaneously. This interconnectedness and potential for contagion necessitates a single, unified</w:t>
      </w:r>
      <w:r>
        <w:t xml:space="preserve"> </w:t>
      </w:r>
      <w:r>
        <w:t xml:space="preserve">supervisory approach to ensure the safety and soundness of EU capital market and support its</w:t>
      </w:r>
      <w:r>
        <w:t xml:space="preserve"> </w:t>
      </w:r>
      <w:r>
        <w:t xml:space="preserve">development.</w:t>
      </w:r>
      <w:r>
        <w:t xml:space="preserve"> </w:t>
      </w:r>
      <w:r>
        <w:t xml:space="preserve">To determine which entities would fall under direct supervision, a set of clear criteria would be</w:t>
      </w:r>
      <w:r>
        <w:t xml:space="preserve"> </w:t>
      </w:r>
      <w:r>
        <w:t xml:space="preserve">established, taking into account size, systemic importance, and cross-border activity or pan-</w:t>
      </w:r>
      <w:r>
        <w:t xml:space="preserve"> </w:t>
      </w:r>
      <w:r>
        <w:t xml:space="preserve">European group dimension. This would enable regulators to identify and monitor those entities</w:t>
      </w:r>
      <w:r>
        <w:t xml:space="preserve"> </w:t>
      </w:r>
      <w:r>
        <w:t xml:space="preserve">that pose the greatest risk to the stability of the market. Additionally, to prevent regulatory</w:t>
      </w:r>
      <w:r>
        <w:t xml:space="preserve"> </w:t>
      </w:r>
      <w:r>
        <w:t xml:space="preserve">arbitrage and ensure a level playing field, CSDs that are part of a group with at least one member</w:t>
      </w:r>
      <w:r>
        <w:t xml:space="preserve"> </w:t>
      </w:r>
      <w:r>
        <w:t xml:space="preserve">subject to ESMA supervision would also be subject to ESMA supervision. Similarly, all trading</w:t>
      </w:r>
      <w:r>
        <w:t xml:space="preserve"> </w:t>
      </w:r>
      <w:r>
        <w:t xml:space="preserve">venues operated within a group subject to ESMA supervision would be subject to ESMA</w:t>
      </w:r>
      <w:r>
        <w:t xml:space="preserve"> </w:t>
      </w:r>
      <w:r>
        <w:t xml:space="preserve">supervision. By centralising supervision only for those trading venues, CCPs and CSDs that are</w:t>
      </w:r>
      <w:r>
        <w:t xml:space="preserve"> </w:t>
      </w:r>
      <w:r>
        <w:t xml:space="preserve">considered systemic or have a significant cross border presence, this option addresses the</w:t>
      </w:r>
      <w:r>
        <w:t xml:space="preserve"> </w:t>
      </w:r>
      <w:r>
        <w:t xml:space="preserve">subsidiarity concerns expressed by several stakeholders in the public consultation. It would also</w:t>
      </w:r>
    </w:p>
    <w:p>
      <w:pPr>
        <w:pStyle w:val="BodyText"/>
      </w:pPr>
      <w:r>
        <w:t xml:space="preserve">141 While enforcement at the national level is crucial, this initiative focuses on EU-level supervision, and does not</w:t>
      </w:r>
      <w:r>
        <w:t xml:space="preserve"> </w:t>
      </w:r>
      <w:r>
        <w:t xml:space="preserve">delve into the governance of NCAs at the national level.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preserve local supervisory expertise and proximity to national competent authorities for smaller</w:t>
      </w:r>
      <w:r>
        <w:t xml:space="preserve"> </w:t>
      </w:r>
      <w:r>
        <w:t xml:space="preserve">entities, which many respondents considered important for effective oversight.</w:t>
      </w:r>
      <w:r>
        <w:t xml:space="preserve"> </w:t>
      </w:r>
      <w:r>
        <w:t xml:space="preserve">Direct supervision for CASPs is proposed because this is a new market segment where supervisory</w:t>
      </w:r>
      <w:r>
        <w:t xml:space="preserve"> </w:t>
      </w:r>
      <w:r>
        <w:t xml:space="preserve">competence is being created, therefore there is an opportunity to develop efficient and effective</w:t>
      </w:r>
      <w:r>
        <w:t xml:space="preserve"> </w:t>
      </w:r>
      <w:r>
        <w:t xml:space="preserve">supervision from the start. Moreover, this is inherently a cross-border market where integrated</w:t>
      </w:r>
      <w:r>
        <w:t xml:space="preserve"> </w:t>
      </w:r>
      <w:r>
        <w:t xml:space="preserve">oversight is key to ensure adequate market monitoring. In addition to direct supervision, ESMA</w:t>
      </w:r>
      <w:r>
        <w:t xml:space="preserve"> </w:t>
      </w:r>
      <w:r>
        <w:t xml:space="preserve">will be entrusted to conduct market surveillance for CASPs, for which an IT tool would be</w:t>
      </w:r>
      <w:r>
        <w:t xml:space="preserve"> </w:t>
      </w:r>
      <w:r>
        <w:t xml:space="preserve">developed.</w:t>
      </w:r>
      <w:r>
        <w:br/>
      </w:r>
      <w:r>
        <w:t xml:space="preserve">To ensure that ESMA receives all the necessary information to effectively carry out its new</w:t>
      </w:r>
      <w:r>
        <w:t xml:space="preserve"> </w:t>
      </w:r>
      <w:r>
        <w:t xml:space="preserve">supervisory powers, it is necessary to redirect the reporting obligation from the NCAs to ESMA.</w:t>
      </w:r>
      <w:r>
        <w:t xml:space="preserve"> </w:t>
      </w:r>
      <w:r>
        <w:t xml:space="preserve">These are not new reporting requirements, as the rules already provided for such reporting to</w:t>
      </w:r>
      <w:r>
        <w:t xml:space="preserve"> </w:t>
      </w:r>
      <w:r>
        <w:t xml:space="preserve">NCAs. For example, in post-trading, CSDs regularly report the number and details of settlement</w:t>
      </w:r>
      <w:r>
        <w:t xml:space="preserve"> </w:t>
      </w:r>
      <w:r>
        <w:t xml:space="preserve">fails to their respective competent authorities. For CSDs directly supervised by ESMA, this</w:t>
      </w:r>
      <w:r>
        <w:t xml:space="preserve"> </w:t>
      </w:r>
      <w:r>
        <w:t xml:space="preserve">reporting will have to be redirected to ESMA, while for other CSDs, the reporting will remain</w:t>
      </w:r>
      <w:r>
        <w:t xml:space="preserve"> </w:t>
      </w:r>
      <w:r>
        <w:t xml:space="preserve">toward the national authorities. The redirection of reporting flows will require investment into ITC</w:t>
      </w:r>
      <w:r>
        <w:t xml:space="preserve"> </w:t>
      </w:r>
      <w:r>
        <w:t xml:space="preserve">systems by ESMA.</w:t>
      </w:r>
      <w:r>
        <w:br/>
      </w:r>
      <w:r>
        <w:t xml:space="preserve">This option also entails amendments to ESMA’s governance to cater for the new supervisory</w:t>
      </w:r>
      <w:r>
        <w:t xml:space="preserve"> </w:t>
      </w:r>
      <w:r>
        <w:t xml:space="preserve">powers. Supervisory decisions would be taken by a newly created Executive Board composed of</w:t>
      </w:r>
      <w:r>
        <w:t xml:space="preserve"> </w:t>
      </w:r>
      <w:r>
        <w:t xml:space="preserve">independent members, with a non-objection procedure by the Board of Supervisors. In building</w:t>
      </w:r>
      <w:r>
        <w:t xml:space="preserve"> </w:t>
      </w:r>
      <w:r>
        <w:t xml:space="preserve">up supervisory capacity ESMA would rely on cooperation with NCAs and for day-to-day</w:t>
      </w:r>
      <w:r>
        <w:t xml:space="preserve"> </w:t>
      </w:r>
      <w:r>
        <w:t xml:space="preserve">supervision may rely on the cooperation with the NCAs.</w:t>
      </w:r>
      <w:r>
        <w:br/>
      </w:r>
      <w:r>
        <w:t xml:space="preserve">Option 2 proposes a stronger role for ESMA in promoting convergence and coordination in the</w:t>
      </w:r>
      <w:r>
        <w:t xml:space="preserve"> </w:t>
      </w:r>
      <w:r>
        <w:t xml:space="preserve">supervision of large asset managers’ groups and investment funds operating in the single market.</w:t>
      </w:r>
      <w:r>
        <w:t xml:space="preserve"> </w:t>
      </w:r>
      <w:r>
        <w:t xml:space="preserve">Asset management groups do not operate market infrastructure characterised by significant</w:t>
      </w:r>
      <w:r>
        <w:t xml:space="preserve"> </w:t>
      </w:r>
      <w:r>
        <w:t xml:space="preserve">network effects, and their activities are particularly heterogenous in terms of scale and scope, both</w:t>
      </w:r>
      <w:r>
        <w:t xml:space="preserve"> </w:t>
      </w:r>
      <w:r>
        <w:t xml:space="preserve">in terms of geographic and product coverage. Therefore, enhanced coordination will allow</w:t>
      </w:r>
      <w:r>
        <w:t xml:space="preserve"> </w:t>
      </w:r>
      <w:r>
        <w:t xml:space="preserve">removing cross-border barriers to asset managers’ operation in the single market, without resorting</w:t>
      </w:r>
      <w:r>
        <w:t xml:space="preserve"> </w:t>
      </w:r>
      <w:r>
        <w:t xml:space="preserve">to direct supervision. New tools and mechanisms at ESMA’s disposal to address barriers to cross-</w:t>
      </w:r>
      <w:r>
        <w:t xml:space="preserve"> </w:t>
      </w:r>
      <w:r>
        <w:t xml:space="preserve">border activities would include the mandates to organise, together with NCAs, joint assessment at</w:t>
      </w:r>
      <w:r>
        <w:t xml:space="preserve"> </w:t>
      </w:r>
      <w:r>
        <w:t xml:space="preserve">group level of asset managers and the creation of collaboration platforms, whilst strengthening</w:t>
      </w:r>
      <w:r>
        <w:t xml:space="preserve"> </w:t>
      </w:r>
      <w:r>
        <w:t xml:space="preserve">ESMA’s binding mediation role, which it could also exercise on its own initiative. In addition to</w:t>
      </w:r>
      <w:r>
        <w:t xml:space="preserve"> </w:t>
      </w:r>
      <w:r>
        <w:t xml:space="preserve">having this power at its disposal, ESMA would also be required to initiate mediation in clearly</w:t>
      </w:r>
      <w:r>
        <w:t xml:space="preserve"> </w:t>
      </w:r>
      <w:r>
        <w:t xml:space="preserve">defined cases, ensuring its effective use. In addition, asset managers do not pose a direct systemic</w:t>
      </w:r>
      <w:r>
        <w:t xml:space="preserve"> </w:t>
      </w:r>
      <w:r>
        <w:t xml:space="preserve">risk to financial stability. Instead, systemic risks to financial stability associated with asset</w:t>
      </w:r>
      <w:r>
        <w:t xml:space="preserve"> </w:t>
      </w:r>
      <w:r>
        <w:t xml:space="preserve">management are primarily indirect, arising from potential fire sales, liquidity mismatches, and</w:t>
      </w:r>
      <w:r>
        <w:t xml:space="preserve"> </w:t>
      </w:r>
      <w:r>
        <w:t xml:space="preserve">excessive leverage. While these risks are still significant and warrant regulatory attention, they can</w:t>
      </w:r>
      <w:r>
        <w:t xml:space="preserve"> </w:t>
      </w:r>
      <w:r>
        <w:t xml:space="preserve">be sufficiently mitigated through enhanced convergence and coordination of national supervisory</w:t>
      </w:r>
      <w:r>
        <w:t xml:space="preserve"> </w:t>
      </w:r>
      <w:r>
        <w:t xml:space="preserve">practices, rather than through direct supervision by ESMA.</w:t>
      </w:r>
      <w:r>
        <w:br/>
      </w:r>
      <w:r>
        <w:t xml:space="preserve">In addition, this option proposes to improve supervisory convergence by ensuring that decisions</w:t>
      </w:r>
      <w:r>
        <w:t xml:space="preserve"> </w:t>
      </w:r>
      <w:r>
        <w:t xml:space="preserve">within ESMA reflect an EU-wide perspective rather than purely national interests. For this reason,</w:t>
      </w:r>
      <w:r>
        <w:t xml:space="preserve"> </w:t>
      </w:r>
      <w:r>
        <w:t xml:space="preserve">decisions in the area of supervisory convergence, i.e. opinions, recommendations, breach of Union</w:t>
      </w:r>
      <w:r>
        <w:t xml:space="preserve"> </w:t>
      </w:r>
      <w:r>
        <w:t xml:space="preserve">law, peer reviews, binding mediation etc., would be transferred to the new Executive Board.</w:t>
      </w:r>
      <w:r>
        <w:br/>
      </w:r>
      <w:r>
        <w:t xml:space="preserve">At the same time, existing tools would be made more effective and easier to use, notably through</w:t>
      </w:r>
      <w:r>
        <w:t xml:space="preserve"> </w:t>
      </w:r>
      <w:r>
        <w:t xml:space="preserve">improvements to the breach of Union law procedure (e.g. stronger enforcement powers, mandatory</w:t>
      </w:r>
      <w:r>
        <w:t xml:space="preserve"> </w:t>
      </w:r>
      <w:r>
        <w:t xml:space="preserve">justification of inaction, and realistic deadlines) and an expanded binding mediation mechanism</w:t>
      </w:r>
      <w:r>
        <w:t xml:space="preserve"> </w:t>
      </w:r>
      <w:r>
        <w:t xml:space="preserve">allowing financial actors and stakeholders to trigger it in cases of divergent supervisory practices.</w:t>
      </w:r>
      <w:r>
        <w:t xml:space="preserve"> </w:t>
      </w:r>
      <w:r>
        <w:t xml:space="preserve">The toolbox would also be broadened to include proven mechanisms like collaboration platforms,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reinforcing coordination and information exchange between home and host authorities in</w:t>
      </w:r>
      <w:r>
        <w:t xml:space="preserve"> </w:t>
      </w:r>
      <w:r>
        <w:t xml:space="preserve">significant cross-border cases. Notably, this option addresses the concerns expressed particularly</w:t>
      </w:r>
      <w:r>
        <w:t xml:space="preserve"> </w:t>
      </w:r>
      <w:r>
        <w:t xml:space="preserve">by public authorities in the public consultation, who have highlighted persistent supervisory</w:t>
      </w:r>
      <w:r>
        <w:t xml:space="preserve"> </w:t>
      </w:r>
      <w:r>
        <w:t xml:space="preserve">divergences and limitations in the practical effectiveness of some of ESMA’s supervisory</w:t>
      </w:r>
      <w:r>
        <w:t xml:space="preserve"> </w:t>
      </w:r>
      <w:r>
        <w:t xml:space="preserve">convergence tools (see Problem Definition). At the same time, ESMA requires a sustainable and</w:t>
      </w:r>
      <w:r>
        <w:t xml:space="preserve"> </w:t>
      </w:r>
      <w:r>
        <w:t xml:space="preserve">transparent funding framework to match its expanding mandate. The reformed funding system</w:t>
      </w:r>
      <w:r>
        <w:t xml:space="preserve"> </w:t>
      </w:r>
      <w:r>
        <w:t xml:space="preserve">would ensure that new direct supervisory mandates are fully fee-funded. At the same time the legal</w:t>
      </w:r>
      <w:r>
        <w:t xml:space="preserve"> </w:t>
      </w:r>
      <w:r>
        <w:t xml:space="preserve">architecture for fees is clarified and streamlined to enhance ESMA’s risk-based approach to</w:t>
      </w:r>
      <w:r>
        <w:t xml:space="preserve"> </w:t>
      </w:r>
      <w:r>
        <w:t xml:space="preserve">supervision and reinforce ESMA’s transparency and accountability.</w:t>
      </w:r>
      <w:r>
        <w:br/>
      </w:r>
      <w:r>
        <w:t xml:space="preserve">Option 3 – ESMA single supervisor for all entities</w:t>
      </w:r>
      <w:r>
        <w:t xml:space="preserve"> </w:t>
      </w:r>
      <w:r>
        <w:t xml:space="preserve">Under this option, direct supervisory powers over all entities, including trading venues, CCPs,</w:t>
      </w:r>
      <w:r>
        <w:t xml:space="preserve"> </w:t>
      </w:r>
      <w:r>
        <w:t xml:space="preserve">CSDs, asset managers and CASPs, would be transferred to ESMA. With regard to governance, in</w:t>
      </w:r>
      <w:r>
        <w:t xml:space="preserve"> </w:t>
      </w:r>
      <w:r>
        <w:t xml:space="preserve">addition to option 2, the Executive Board would take the final supervisory decisions with no Board</w:t>
      </w:r>
      <w:r>
        <w:t xml:space="preserve"> </w:t>
      </w:r>
      <w:r>
        <w:t xml:space="preserve">of Supervisors involvement and the day-to day supervision would be carried out by ESMA without</w:t>
      </w:r>
      <w:r>
        <w:t xml:space="preserve"> </w:t>
      </w:r>
      <w:r>
        <w:t xml:space="preserve">NCAs’ involvement. Option 3 in essence is building on option 2 in terms of ESMA governance</w:t>
      </w:r>
      <w:r>
        <w:t xml:space="preserve"> </w:t>
      </w:r>
      <w:r>
        <w:t xml:space="preserve">but applied to all the players of the different sectors instead of a certain selected group of them.</w:t>
      </w:r>
      <w:r>
        <w:br/>
      </w:r>
      <w:r>
        <w:t xml:space="preserve">While this option was not explicitly tested in the public consultation, the feedback received</w:t>
      </w:r>
      <w:r>
        <w:t xml:space="preserve"> </w:t>
      </w:r>
      <w:r>
        <w:t xml:space="preserve">indicates that stakeholders generally do not see a clear added value in having all sectors centrally</w:t>
      </w:r>
      <w:r>
        <w:t xml:space="preserve"> </w:t>
      </w:r>
      <w:r>
        <w:t xml:space="preserve">supervised at EU level. Respondents emphasised the importance of maintaining local supervisory</w:t>
      </w:r>
      <w:r>
        <w:t xml:space="preserve"> </w:t>
      </w:r>
      <w:r>
        <w:t xml:space="preserve">expertise and proximity to market participants, as well as close cooperation with national</w:t>
      </w:r>
      <w:r>
        <w:t xml:space="preserve"> </w:t>
      </w:r>
      <w:r>
        <w:t xml:space="preserve">competent authorities. Concerns relating to subsidiarity were also raised, suggesting that a fully</w:t>
      </w:r>
      <w:r>
        <w:t xml:space="preserve"> </w:t>
      </w:r>
      <w:r>
        <w:t xml:space="preserve">centralised supervisory model is likely not supported at this stage.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Table 4 - Summary table on the description of options 2 and 3 on non-aligned supervisory practices across Member States and weak tools and powers at EU</w:t>
      </w:r>
      <w:r>
        <w:t xml:space="preserve"> </w:t>
      </w:r>
      <w:r>
        <w:t xml:space="preserve">level</w:t>
      </w:r>
      <w:r>
        <w:br/>
      </w:r>
      <w:r>
        <w:t xml:space="preserve">Option 2 – Improved supervisory convergence and an enhanced role for ESMA in supervision</w:t>
      </w:r>
      <w:r>
        <w:t xml:space="preserve"> </w:t>
      </w:r>
      <w:r>
        <w:t xml:space="preserve">Driver/Barrier addressed</w:t>
      </w:r>
      <w:r>
        <w:t xml:space="preserve"> </w:t>
      </w:r>
      <w:r>
        <w:t xml:space="preserve">1. Improve supervisory convergence across the sectors by improving the incentives to use the tools through a more effective decision-</w:t>
      </w:r>
      <w:r>
        <w:t xml:space="preserve"> </w:t>
      </w:r>
      <w:r>
        <w:t xml:space="preserve">making system, by enhancing existing tools as well as introducing new ones.</w:t>
      </w:r>
      <w:r>
        <w:t xml:space="preserve"> </w:t>
      </w:r>
      <w:r>
        <w:t xml:space="preserve">Limited tools to enforce</w:t>
      </w:r>
      <w:r>
        <w:t xml:space="preserve"> </w:t>
      </w:r>
      <w:r>
        <w:t xml:space="preserve">convergence</w:t>
      </w:r>
      <w:r>
        <w:t xml:space="preserve"> </w:t>
      </w:r>
      <w:r>
        <w:t xml:space="preserve">2. Transfer supervisory powers over certain trading venues, CCPs, CSDs and all CASPs to ESMA. ESMA to play a stronger role in</w:t>
      </w:r>
      <w:r>
        <w:t xml:space="preserve"> </w:t>
      </w:r>
      <w:r>
        <w:t xml:space="preserve">the convergence and coordination of the supervision of large asset managers’ groups and investment funds operating across the</w:t>
      </w:r>
      <w:r>
        <w:t xml:space="preserve"> </w:t>
      </w:r>
      <w:r>
        <w:t xml:space="preserve">single market. ESMA able to launch binding mediations at its own initiative.</w:t>
      </w:r>
      <w:r>
        <w:t xml:space="preserve"> </w:t>
      </w:r>
      <w:r>
        <w:t xml:space="preserve">Adopt a comprehensive</w:t>
      </w:r>
      <w:r>
        <w:t xml:space="preserve"> </w:t>
      </w:r>
      <w:r>
        <w:t xml:space="preserve">supervisory approach at EU</w:t>
      </w:r>
      <w:r>
        <w:t xml:space="preserve"> </w:t>
      </w:r>
      <w:r>
        <w:t xml:space="preserve">level</w:t>
      </w:r>
      <w:r>
        <w:t xml:space="preserve"> </w:t>
      </w:r>
      <w:r>
        <w:t xml:space="preserve">3. Amend ESMA’s governance to ensure more agile and responsive decision-making and appropriate involvement of national</w:t>
      </w:r>
      <w:r>
        <w:t xml:space="preserve"> </w:t>
      </w:r>
      <w:r>
        <w:t xml:space="preserve">expertise.</w:t>
      </w:r>
      <w:r>
        <w:t xml:space="preserve"> </w:t>
      </w:r>
      <w:r>
        <w:t xml:space="preserve">Adopt a comprehensive</w:t>
      </w:r>
      <w:r>
        <w:t xml:space="preserve"> </w:t>
      </w:r>
      <w:r>
        <w:t xml:space="preserve">supervisory approach at EU</w:t>
      </w:r>
      <w:r>
        <w:t xml:space="preserve"> </w:t>
      </w:r>
      <w:r>
        <w:t xml:space="preserve">level</w:t>
      </w:r>
      <w:r>
        <w:t xml:space="preserve"> </w:t>
      </w:r>
      <w:r>
        <w:t xml:space="preserve">Option 3 - ESMA single supervisor for all entities</w:t>
      </w:r>
      <w:r>
        <w:t xml:space="preserve"> </w:t>
      </w:r>
      <w:r>
        <w:t xml:space="preserve">4. Measure 1 with alternative measures for 2 and 3.</w:t>
      </w:r>
      <w:r>
        <w:t xml:space="preserve"> </w:t>
      </w:r>
      <w:r>
        <w:t xml:space="preserve">Same as above</w:t>
      </w:r>
      <w:r>
        <w:t xml:space="preserve"> </w:t>
      </w:r>
      <w:r>
        <w:t xml:space="preserve">5. Alternative to measure 2: Transfer direct supervisory powers over all trading venues, CCPs, CSDs, asset managers and CASPs to</w:t>
      </w:r>
      <w:r>
        <w:t xml:space="preserve"> </w:t>
      </w:r>
      <w:r>
        <w:t xml:space="preserve">ESMA.</w:t>
      </w:r>
      <w:r>
        <w:t xml:space="preserve"> </w:t>
      </w:r>
      <w:r>
        <w:t xml:space="preserve">6. Alternative to measure 3: The Executive Board would take the final supervisory decisions with no Board of Supervisors</w:t>
      </w:r>
      <w:r>
        <w:t xml:space="preserve"> </w:t>
      </w:r>
      <w:r>
        <w:t xml:space="preserve">involvement.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5.4. OPTIONS DISCARDED AT AN EARLY STAGE</w:t>
      </w:r>
      <w:r>
        <w:t xml:space="preserve"> </w:t>
      </w:r>
      <w:r>
        <w:t xml:space="preserve">The option to convert all directives in the trading, post-trading and asset management sectors into</w:t>
      </w:r>
      <w:r>
        <w:t xml:space="preserve"> </w:t>
      </w:r>
      <w:r>
        <w:t xml:space="preserve">regulations was discarded. Maintaining directives in certain areas ensures a balance between</w:t>
      </w:r>
      <w:r>
        <w:t xml:space="preserve"> </w:t>
      </w:r>
      <w:r>
        <w:t xml:space="preserve">unified policy objectives and localised implementation, in line with the subsidiarity principle. In</w:t>
      </w:r>
      <w:r>
        <w:t xml:space="preserve"> </w:t>
      </w:r>
      <w:r>
        <w:t xml:space="preserve">addition, converting all provisions within directives could raise questions concerning their legal</w:t>
      </w:r>
      <w:r>
        <w:t xml:space="preserve"> </w:t>
      </w:r>
      <w:r>
        <w:t xml:space="preserve">basis. The legal basis of some directives covered in this initiative was used to define conduct rules</w:t>
      </w:r>
      <w:r>
        <w:t xml:space="preserve"> </w:t>
      </w:r>
      <w:r>
        <w:t xml:space="preserve">for financial sector professionals, such as investment firms and banks. Turning these directives</w:t>
      </w:r>
      <w:r>
        <w:t xml:space="preserve"> </w:t>
      </w:r>
      <w:r>
        <w:t xml:space="preserve">into regulation would require changing the foundational approach to justify the use of a different</w:t>
      </w:r>
      <w:r>
        <w:t xml:space="preserve"> </w:t>
      </w:r>
      <w:r>
        <w:t xml:space="preserve">legal basis used for regulations. While not impossible, this process would be difficult and complex,</w:t>
      </w:r>
      <w:r>
        <w:t xml:space="preserve"> </w:t>
      </w:r>
      <w:r>
        <w:t xml:space="preserve">and not feasible within the timeframe decided at political level.</w:t>
      </w:r>
      <w:r>
        <w:br/>
      </w:r>
      <w:r>
        <w:t xml:space="preserve">For post-trade, the option to mandate all EU CSDs to establish bi-directional links with one another</w:t>
      </w:r>
      <w:r>
        <w:t xml:space="preserve"> </w:t>
      </w:r>
      <w:r>
        <w:t xml:space="preserve">was discarded as too costly and inefficient.</w:t>
      </w:r>
      <w:r>
        <w:br/>
      </w:r>
      <w:r>
        <w:t xml:space="preserve">The option to only improve supervisory convergence in the ESMA regulation and maintain</w:t>
      </w:r>
      <w:r>
        <w:t xml:space="preserve"> </w:t>
      </w:r>
      <w:r>
        <w:t xml:space="preserve">supervision at national level for all entities was discarded. Persisting with the current fragmented,</w:t>
      </w:r>
      <w:r>
        <w:t xml:space="preserve"> </w:t>
      </w:r>
      <w:r>
        <w:t xml:space="preserve">nationally-focused supervisory framework would continue to affect adversely all financial sectors</w:t>
      </w:r>
      <w:r>
        <w:t xml:space="preserve"> </w:t>
      </w:r>
      <w:r>
        <w:t xml:space="preserve">covered in the initiative. Relying exclusively on improving supervisory convergence to address</w:t>
      </w:r>
      <w:r>
        <w:t xml:space="preserve"> </w:t>
      </w:r>
      <w:r>
        <w:t xml:space="preserve">the challenges in EU capital markets would not resolve the underlying issues of market</w:t>
      </w:r>
      <w:r>
        <w:t xml:space="preserve"> </w:t>
      </w:r>
      <w:r>
        <w:t xml:space="preserve">fragmentation and inefficiencies. Supervision would continue to rest primarily with NCAs, leading</w:t>
      </w:r>
      <w:r>
        <w:t xml:space="preserve"> </w:t>
      </w:r>
      <w:r>
        <w:t xml:space="preserve">to divergent interpretations, inconsistent enforcement, uneven playing field and regulatory</w:t>
      </w:r>
      <w:r>
        <w:t xml:space="preserve"> </w:t>
      </w:r>
      <w:r>
        <w:t xml:space="preserve">arbitrage. This fragmentation would sustain inefficiencies, increase compliance burdens –</w:t>
      </w:r>
      <w:r>
        <w:t xml:space="preserve"> </w:t>
      </w:r>
      <w:r>
        <w:t xml:space="preserve">particularly for cross-border entities – and limit effective oversight, investor protection, and</w:t>
      </w:r>
      <w:r>
        <w:t xml:space="preserve"> </w:t>
      </w:r>
      <w:r>
        <w:t xml:space="preserve">financial stability. Stakeholders caution that inaction would exacerbate operational complexities,</w:t>
      </w:r>
      <w:r>
        <w:t xml:space="preserve"> </w:t>
      </w:r>
      <w:r>
        <w:t xml:space="preserve">legal uncertainty, and an uneven playing field, ultimately hindering market integration and cross-</w:t>
      </w:r>
      <w:r>
        <w:t xml:space="preserve"> </w:t>
      </w:r>
      <w:r>
        <w:t xml:space="preserve">border business expansion, with the adverse consequences described in Section 2. In addition, the</w:t>
      </w:r>
      <w:r>
        <w:t xml:space="preserve"> </w:t>
      </w:r>
      <w:r>
        <w:t xml:space="preserve">option of other entities besides ESMA (e.g. the ECB) taking an increased role in supervision was</w:t>
      </w:r>
      <w:r>
        <w:t xml:space="preserve"> </w:t>
      </w:r>
      <w:r>
        <w:t xml:space="preserve">discarded. For post-trade, for example, ESMA has developed expertise in this space over the years</w:t>
      </w:r>
      <w:r>
        <w:t xml:space="preserve"> </w:t>
      </w:r>
      <w:r>
        <w:t xml:space="preserve">leading to a logical continuation in increasing the supervisory powers granted to it, beginning with</w:t>
      </w:r>
      <w:r>
        <w:t xml:space="preserve"> </w:t>
      </w:r>
      <w:r>
        <w:t xml:space="preserve">EMIR 2.2 in 2017 which made ESMA the supervisory authority of systemically important third-</w:t>
      </w:r>
      <w:r>
        <w:t xml:space="preserve"> </w:t>
      </w:r>
      <w:r>
        <w:t xml:space="preserve">country CCPs.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 AND HOW DO THEY COMPARE?</w:t>
      </w:r>
      <w:r>
        <w:t xml:space="preserve"> </w:t>
      </w:r>
      <w:r>
        <w:t xml:space="preserve">This section provides an assessment of how each package of main policy options addresses the</w:t>
      </w:r>
      <w:r>
        <w:t xml:space="preserve"> </w:t>
      </w:r>
      <w:r>
        <w:t xml:space="preserve">identified problems and the problem drivers, along the criteria of effectiveness, efficiency and</w:t>
      </w:r>
      <w:r>
        <w:t xml:space="preserve"> </w:t>
      </w:r>
      <w:r>
        <w:t xml:space="preserve">coherence with EU policies, in particular the SIU strategy, in reaching the specific objectives,</w:t>
      </w:r>
      <w:r>
        <w:t xml:space="preserve"> </w:t>
      </w:r>
      <w:r>
        <w:t xml:space="preserve">compared to the baseline scenario. This assessment is mainly done horizontally across the areas of</w:t>
      </w:r>
      <w:r>
        <w:t xml:space="preserve"> </w:t>
      </w:r>
      <w:r>
        <w:t xml:space="preserve">intervention (trading, post-trading, asset management, innovation). More detailed description of</w:t>
      </w:r>
      <w:r>
        <w:t xml:space="preserve"> </w:t>
      </w:r>
      <w:r>
        <w:t xml:space="preserve">the different options can be found in the respective sectoral Annexes.</w:t>
      </w:r>
      <w:r>
        <w:t xml:space="preserve"> </w:t>
      </w:r>
      <w:r>
        <w:t xml:space="preserve">This assessment is informed by the evidence collected since the publication of the SIU strategy,</w:t>
      </w:r>
      <w:r>
        <w:t xml:space="preserve"> </w:t>
      </w:r>
      <w:r>
        <w:t xml:space="preserve">comprising calls for evidence, targeted consultation, bilateral engagements with stakeholders, and</w:t>
      </w:r>
      <w:r>
        <w:t xml:space="preserve"> </w:t>
      </w:r>
      <w:r>
        <w:t xml:space="preserve">a “study on trading and post-trading” as well as a review of relevant literature. While the evidence</w:t>
      </w:r>
      <w:r>
        <w:t xml:space="preserve"> </w:t>
      </w:r>
      <w:r>
        <w:t xml:space="preserve">gathered is robust, it reflects the current state of information and has some inherent limitations.</w:t>
      </w:r>
      <w:r>
        <w:t xml:space="preserve"> </w:t>
      </w:r>
      <w:r>
        <w:t xml:space="preserve">Notably, a full quantification of impacts is often not possible given an inability of stakeholders to</w:t>
      </w:r>
      <w:r>
        <w:t xml:space="preserve"> </w:t>
      </w:r>
      <w:r>
        <w:t xml:space="preserve">provide cost figures or estimation of benefits. It is also important to note that many of the figures</w:t>
      </w:r>
      <w:r>
        <w:t xml:space="preserve"> </w:t>
      </w:r>
      <w:r>
        <w:t xml:space="preserve">referred in this impact assessment are based on estimates collected from select stakeholders and</w:t>
      </w:r>
      <w:r>
        <w:t xml:space="preserve"> </w:t>
      </w:r>
      <w:r>
        <w:t xml:space="preserve">are therefore complex to extrapolate or aggregate (see also Annex 4).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This assessment focuses on the significant economic impact. The package of the main policy</w:t>
      </w:r>
      <w:r>
        <w:t xml:space="preserve"> </w:t>
      </w:r>
      <w:r>
        <w:t xml:space="preserve">options is not expected to have any direct significant social, environment or fundamental right</w:t>
      </w:r>
      <w:r>
        <w:t xml:space="preserve"> </w:t>
      </w:r>
      <w:r>
        <w:t xml:space="preserve">impacts. A dedicative analysis on competitiveness and SMEs can be found in Annex 5 and Annex</w:t>
      </w:r>
      <w:r>
        <w:t xml:space="preserve"> </w:t>
      </w:r>
      <w:r>
        <w:t xml:space="preserve">6, respectively.</w:t>
      </w:r>
      <w:r>
        <w:br/>
      </w:r>
      <w:r>
        <w:t xml:space="preserve">6.1. POLICY OPTIONS TO ADDRESS BARRIERS TO CROSS-BORDER ACTIVITIES AND</w:t>
      </w:r>
      <w:r>
        <w:t xml:space="preserve"> </w:t>
      </w:r>
      <w:r>
        <w:t xml:space="preserve">INNOVATION</w:t>
      </w:r>
      <w:r>
        <w:t xml:space="preserve"> </w:t>
      </w:r>
      <w:r>
        <w:t xml:space="preserve">6.1.1. Broad review of the functioning of capital markets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Trading</w:t>
      </w:r>
      <w:r>
        <w:br/>
      </w:r>
      <w:r>
        <w:t xml:space="preserve">The measures under this option would be effective in enabling further market integration and scale</w:t>
      </w:r>
      <w:r>
        <w:t xml:space="preserve"> </w:t>
      </w:r>
      <w:r>
        <w:t xml:space="preserve">effects.</w:t>
      </w:r>
      <w:r>
        <w:t xml:space="preserve"> </w:t>
      </w:r>
      <w:r>
        <w:t xml:space="preserve">Requirements applicable to RMs, as well as to MTFs and OTFs would be moved from a Directive</w:t>
      </w:r>
      <w:r>
        <w:t xml:space="preserve"> </w:t>
      </w:r>
      <w:r>
        <w:t xml:space="preserve">(MiFID II) to a Regulation (MiFIR), removing differences in transposition in national laws and</w:t>
      </w:r>
      <w:r>
        <w:t xml:space="preserve"> </w:t>
      </w:r>
      <w:r>
        <w:t xml:space="preserve">the possibility for additional gold-plating by Member States. This, in turn, would simplify the</w:t>
      </w:r>
      <w:r>
        <w:t xml:space="preserve"> </w:t>
      </w:r>
      <w:r>
        <w:t xml:space="preserve">overall regulatory landscape, in particular for cross-border entities or groups, avoid an uneven</w:t>
      </w:r>
      <w:r>
        <w:t xml:space="preserve"> </w:t>
      </w:r>
      <w:r>
        <w:t xml:space="preserve">playing field among Member States, enhance legal certainty and enable market infrastructures in</w:t>
      </w:r>
      <w:r>
        <w:t xml:space="preserve"> </w:t>
      </w:r>
      <w:r>
        <w:t xml:space="preserve">the EU to scale up their activities. The majority of respondents to the relevant question in the</w:t>
      </w:r>
      <w:r>
        <w:t xml:space="preserve"> </w:t>
      </w:r>
      <w:r>
        <w:t xml:space="preserve">targeted consultation, representing mostly business associations, public authorities as well as</w:t>
      </w:r>
      <w:r>
        <w:t xml:space="preserve"> </w:t>
      </w:r>
      <w:r>
        <w:t xml:space="preserve">trading venues, deemed an increase in the level of harmonisation of EU rules applying to trading</w:t>
      </w:r>
      <w:r>
        <w:t xml:space="preserve"> </w:t>
      </w:r>
      <w:r>
        <w:t xml:space="preserve">venues and their operators necessary to foster cross-border operations.</w:t>
      </w:r>
      <w:r>
        <w:br/>
      </w:r>
      <w:r>
        <w:t xml:space="preserve">A 2020 study conducted for the Commission142 estimated that compliance with MiFID/MiFIR</w:t>
      </w:r>
      <w:r>
        <w:t xml:space="preserve"> </w:t>
      </w:r>
      <w:r>
        <w:t xml:space="preserve">accounted for a significant portion of operating costs in the financial markets industry, with</w:t>
      </w:r>
      <w:r>
        <w:t xml:space="preserve"> </w:t>
      </w:r>
      <w:r>
        <w:t xml:space="preserve">average one-off compliance costs representing 1.44% of such operating costs, and ongoing</w:t>
      </w:r>
      <w:r>
        <w:t xml:space="preserve"> </w:t>
      </w:r>
      <w:r>
        <w:t xml:space="preserve">compliance costs accounting for 2.2%. Notably, the study assessed that MiFID/MiFIR imposed</w:t>
      </w:r>
      <w:r>
        <w:t xml:space="preserve"> </w:t>
      </w:r>
      <w:r>
        <w:t xml:space="preserve">the highest ongoing compliance costs and the second-highest one-off compliance costs among all</w:t>
      </w:r>
      <w:r>
        <w:t xml:space="preserve"> </w:t>
      </w:r>
      <w:r>
        <w:t xml:space="preserve">financial services-related legislation. Although it is challenging to quantify the exact savings that</w:t>
      </w:r>
      <w:r>
        <w:t xml:space="preserve"> </w:t>
      </w:r>
      <w:r>
        <w:t xml:space="preserve">could be achieved by simplifying the MiFID/MiFIR regulatory framework, these figures suggest</w:t>
      </w:r>
      <w:r>
        <w:t xml:space="preserve"> </w:t>
      </w:r>
      <w:r>
        <w:t xml:space="preserve">that any simplification efforts (elimination of national specificities, gold-plating, uniform</w:t>
      </w:r>
      <w:r>
        <w:t xml:space="preserve"> </w:t>
      </w:r>
      <w:r>
        <w:t xml:space="preserve">application, etc.) would likely have a substantial impact on compliance cost savings for firms.</w:t>
      </w:r>
      <w:r>
        <w:br/>
      </w:r>
      <w:r>
        <w:t xml:space="preserve">The fully harmonised rulebook would be accompanied by enhanced passporting opportunities for</w:t>
      </w:r>
      <w:r>
        <w:t xml:space="preserve"> </w:t>
      </w:r>
      <w:r>
        <w:t xml:space="preserve">RMs, notably through a clarification of the scope of activities that can be carried out in a Member</w:t>
      </w:r>
      <w:r>
        <w:t xml:space="preserve"> </w:t>
      </w:r>
      <w:r>
        <w:t xml:space="preserve">State without establishing a fully-fledged licensed entity, for those entities that would like to</w:t>
      </w:r>
      <w:r>
        <w:t xml:space="preserve"> </w:t>
      </w:r>
      <w:r>
        <w:t xml:space="preserve">operate on the basis of the freedom of establishment or the freedom to provide services. In</w:t>
      </w:r>
      <w:r>
        <w:t xml:space="preserve"> </w:t>
      </w:r>
      <w:r>
        <w:t xml:space="preserve">particular, a new status for ‘Pan-European Market Operators’ (PEMO) would be introduced for</w:t>
      </w:r>
      <w:r>
        <w:t xml:space="preserve"> </w:t>
      </w:r>
      <w:r>
        <w:t xml:space="preserve">cross-border market operators to allow for the operation of trading venues in multiple Member</w:t>
      </w:r>
      <w:r>
        <w:t xml:space="preserve"> </w:t>
      </w:r>
      <w:r>
        <w:t xml:space="preserve">States on the basis of a single licence. This single PEMO licence, to be granted by ESMA, would</w:t>
      </w:r>
      <w:r>
        <w:t xml:space="preserve"> </w:t>
      </w:r>
      <w:r>
        <w:t xml:space="preserve">allow to maintain the existence of ‘national’ markets, thereby preserving proximity with local</w:t>
      </w:r>
      <w:r>
        <w:t xml:space="preserve"> </w:t>
      </w:r>
      <w:r>
        <w:t xml:space="preserve">ecosystems, without the need for their operators to be subject to individual licenses to operate</w:t>
      </w:r>
      <w:r>
        <w:t xml:space="preserve"> </w:t>
      </w:r>
      <w:r>
        <w:t xml:space="preserve">those markets. This would remove significant obstacles in cross-border operations that today result</w:t>
      </w:r>
      <w:r>
        <w:t xml:space="preserve"> </w:t>
      </w:r>
      <w:r>
        <w:t xml:space="preserve">in complex operational and supervisory arrangements for cross-border infrastructure operators.</w:t>
      </w:r>
    </w:p>
    <w:p>
      <w:pPr>
        <w:pStyle w:val="BodyText"/>
      </w:pPr>
      <w:r>
        <w:t xml:space="preserve">142 Study on the costs of compliance for the financial sector - CEPS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Ultimately, this facilitation of cross-border operations through a single license would also create</w:t>
      </w:r>
      <w:r>
        <w:t xml:space="preserve"> </w:t>
      </w:r>
      <w:r>
        <w:t xml:space="preserve">incentives for legal consolidation, as the operations of trading infrastructure in several Member</w:t>
      </w:r>
      <w:r>
        <w:t xml:space="preserve"> </w:t>
      </w:r>
      <w:r>
        <w:t xml:space="preserve">States would be significantly streamlined.</w:t>
      </w:r>
      <w:r>
        <w:t xml:space="preserve"> </w:t>
      </w:r>
      <w:r>
        <w:t xml:space="preserve">The option would also simplify MiFID/R requirements and facilitate allocation of resources for</w:t>
      </w:r>
      <w:r>
        <w:t xml:space="preserve"> </w:t>
      </w:r>
      <w:r>
        <w:t xml:space="preserve">those entities that do not wish to rely on enhanced passporting opportunities or on the PEMO</w:t>
      </w:r>
      <w:r>
        <w:t xml:space="preserve"> </w:t>
      </w:r>
      <w:r>
        <w:t xml:space="preserve">status, and continue to operate as a group of trading infrastructures. According to responses of</w:t>
      </w:r>
      <w:r>
        <w:t xml:space="preserve"> </w:t>
      </w:r>
      <w:r>
        <w:t xml:space="preserve">trading venues to the targeted consultation, the recognition of the operational specificities of a</w:t>
      </w:r>
      <w:r>
        <w:t xml:space="preserve"> </w:t>
      </w:r>
      <w:r>
        <w:t xml:space="preserve">group of trading venues active in more than one Member State would create significant synergies</w:t>
      </w:r>
      <w:r>
        <w:t xml:space="preserve"> </w:t>
      </w:r>
      <w:r>
        <w:t xml:space="preserve">within a group. By treating jointly (i.e. as a single entity) all entities comprised within a group for</w:t>
      </w:r>
      <w:r>
        <w:t xml:space="preserve"> </w:t>
      </w:r>
      <w:r>
        <w:t xml:space="preserve">the purpose of resources allocation, rather than treating those entities as isolated units, groups can</w:t>
      </w:r>
      <w:r>
        <w:t xml:space="preserve"> </w:t>
      </w:r>
      <w:r>
        <w:t xml:space="preserve">streamline operations, consolidate and cut resources, and eliminate redundancies. This recognition</w:t>
      </w:r>
      <w:r>
        <w:t xml:space="preserve"> </w:t>
      </w:r>
      <w:r>
        <w:t xml:space="preserve">allows for shared services, centralised procurement, coordinated decision-making, and better</w:t>
      </w:r>
      <w:r>
        <w:t xml:space="preserve"> </w:t>
      </w:r>
      <w:r>
        <w:t xml:space="preserve">leverage of economies of scale.</w:t>
      </w:r>
      <w:r>
        <w:br/>
      </w:r>
      <w:r>
        <w:t xml:space="preserve">In addition, this option would streamline trading venue on-boarding of members (i.e. the</w:t>
      </w:r>
      <w:r>
        <w:t xml:space="preserve"> </w:t>
      </w:r>
      <w:r>
        <w:t xml:space="preserve">application process followed by a person to become a member of such venue) through enhanced</w:t>
      </w:r>
      <w:r>
        <w:t xml:space="preserve"> </w:t>
      </w:r>
      <w:r>
        <w:t xml:space="preserve">mutual recognition of memberships (for more details, see Section 3.2. of Annex 7 ‘Trading’.)</w:t>
      </w:r>
      <w:r>
        <w:t xml:space="preserve"> </w:t>
      </w:r>
      <w:r>
        <w:t xml:space="preserve">It is expected that all the abovementioned measures would foster greater market integration and</w:t>
      </w:r>
      <w:r>
        <w:t xml:space="preserve"> </w:t>
      </w:r>
      <w:r>
        <w:t xml:space="preserve">increase cross-border trading activity, as well as incentivise legal consolidation through the</w:t>
      </w:r>
      <w:r>
        <w:t xml:space="preserve"> </w:t>
      </w:r>
      <w:r>
        <w:t xml:space="preserve">facilitation of the operation of cross-border groups of trading infrastructures. Beyond the</w:t>
      </w:r>
      <w:r>
        <w:t xml:space="preserve"> </w:t>
      </w:r>
      <w:r>
        <w:t xml:space="preserve">facilitation of operations of trading venues on a cross-border basis, lower operational costs for</w:t>
      </w:r>
      <w:r>
        <w:t xml:space="preserve"> </w:t>
      </w:r>
      <w:r>
        <w:t xml:space="preserve">venues and brokers could indirectly benefit end-clients, as these savings might be passed down in</w:t>
      </w:r>
      <w:r>
        <w:t xml:space="preserve"> </w:t>
      </w:r>
      <w:r>
        <w:t xml:space="preserve">the form of reduced brokerage fees (depending on the degree of competition in the market). This</w:t>
      </w:r>
      <w:r>
        <w:t xml:space="preserve"> </w:t>
      </w:r>
      <w:r>
        <w:t xml:space="preserve">is particularly significant if brokers can more easily connect to a wider range of trading venues</w:t>
      </w:r>
      <w:r>
        <w:t xml:space="preserve"> </w:t>
      </w:r>
      <w:r>
        <w:t xml:space="preserve">outside their local markets, either through streamlined membership processes, or because trading</w:t>
      </w:r>
      <w:r>
        <w:t xml:space="preserve"> </w:t>
      </w:r>
      <w:r>
        <w:t xml:space="preserve">infrastructures offer more efficient connection opportunities through enhanced passporting or</w:t>
      </w:r>
      <w:r>
        <w:t xml:space="preserve"> </w:t>
      </w:r>
      <w:r>
        <w:t xml:space="preserve">intra-group synergies. This would mean that brokers could access markets they might not have</w:t>
      </w:r>
      <w:r>
        <w:t xml:space="preserve"> </w:t>
      </w:r>
      <w:r>
        <w:t xml:space="preserve">engaged with under more cumbersome onboarding processes and ongoing monitoring of</w:t>
      </w:r>
      <w:r>
        <w:t xml:space="preserve"> </w:t>
      </w:r>
      <w:r>
        <w:t xml:space="preserve">compliance with membership requirements. With easier access to a broader range of venues,</w:t>
      </w:r>
      <w:r>
        <w:t xml:space="preserve"> </w:t>
      </w:r>
      <w:r>
        <w:t xml:space="preserve">brokers could enhance their service offerings, providing clients with diverse investment</w:t>
      </w:r>
      <w:r>
        <w:t xml:space="preserve"> </w:t>
      </w:r>
      <w:r>
        <w:t xml:space="preserve">opportunities and competitive pricing, which could ultimately result in making investments more</w:t>
      </w:r>
      <w:r>
        <w:t xml:space="preserve"> </w:t>
      </w:r>
      <w:r>
        <w:t xml:space="preserve">accessible and attracting a larger client base.</w:t>
      </w:r>
      <w:r>
        <w:t xml:space="preserve"> </w:t>
      </w:r>
      <w:r>
        <w:t xml:space="preserve">Lastly, this option would help improve supervision by reducing fragmentation, in particular thanks</w:t>
      </w:r>
      <w:r>
        <w:t xml:space="preserve"> </w:t>
      </w:r>
      <w:r>
        <w:t xml:space="preserve">to the harmonisation of requirements under MiFID/R. For instance, the harmonisation of rules</w:t>
      </w:r>
      <w:r>
        <w:t xml:space="preserve"> </w:t>
      </w:r>
      <w:r>
        <w:t xml:space="preserve">applicable to the approval of changes to trading venues rulebooks would simplify the way new</w:t>
      </w:r>
      <w:r>
        <w:t xml:space="preserve"> </w:t>
      </w:r>
      <w:r>
        <w:t xml:space="preserve">product launches are approached by supervisors.</w:t>
      </w:r>
      <w:r>
        <w:br/>
      </w:r>
      <w:r>
        <w:t xml:space="preserve">Post-trade</w:t>
      </w:r>
      <w:r>
        <w:t xml:space="preserve"> </w:t>
      </w:r>
      <w:r>
        <w:t xml:space="preserve">The measures under this option would be effective in enabling further market integration and scale</w:t>
      </w:r>
      <w:r>
        <w:t xml:space="preserve"> </w:t>
      </w:r>
      <w:r>
        <w:t xml:space="preserve">effects. They would do so notably by: reducing the burden for CSDs to provide services across</w:t>
      </w:r>
      <w:r>
        <w:t xml:space="preserve"> </w:t>
      </w:r>
      <w:r>
        <w:t xml:space="preserve">borders and ensuring freedom of issuance, which was identified by 36 of 49 respondents (in</w:t>
      </w:r>
      <w:r>
        <w:t xml:space="preserve"> </w:t>
      </w:r>
      <w:r>
        <w:t xml:space="preserve">particular CSDs and issuers) to the relevant questions in the targeted consultation as a substantial</w:t>
      </w:r>
      <w:r>
        <w:t xml:space="preserve"> </w:t>
      </w:r>
      <w:r>
        <w:t xml:space="preserve">barrier to cross-border settlement activity; mandating all EU CSDs that settle in a T2S-supported</w:t>
      </w:r>
      <w:r>
        <w:t xml:space="preserve"> </w:t>
      </w:r>
      <w:r>
        <w:t xml:space="preserve">currency to connect to the T2S platform, a proposal supported by 25 of 36 respondents to the</w:t>
      </w:r>
      <w:r>
        <w:t xml:space="preserve"> </w:t>
      </w:r>
      <w:r>
        <w:t xml:space="preserve">targeted consultation; and improving inter-CSD connectivity via an increased number of links</w:t>
      </w:r>
      <w:r>
        <w:t xml:space="preserve"> </w:t>
      </w:r>
      <w:r>
        <w:t xml:space="preserve">between CSDs and the implementation of a hub and spoke model for EU CSDs by requiring CSDs</w:t>
      </w:r>
      <w:r>
        <w:t xml:space="preserve"> </w:t>
      </w:r>
      <w:r>
        <w:t xml:space="preserve">identified as hubs to be interconnected and requiring others to connect to (at least) one CSD hub.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This option would also accomplish the objectives of the proposal by reducing the burden for CSDs</w:t>
      </w:r>
      <w:r>
        <w:t xml:space="preserve"> </w:t>
      </w:r>
      <w:r>
        <w:t xml:space="preserve">when providing services across borders, thus reducing the costs of cross-border settlement. Legal</w:t>
      </w:r>
      <w:r>
        <w:t xml:space="preserve"> </w:t>
      </w:r>
      <w:r>
        <w:t xml:space="preserve">clarity would also reduce costs for issuers, ensuring freedom to issue their securities in whichever</w:t>
      </w:r>
      <w:r>
        <w:t xml:space="preserve"> </w:t>
      </w:r>
      <w:r>
        <w:t xml:space="preserve">EU CSD they want by restricting national law from imposing additional requirements that go</w:t>
      </w:r>
      <w:r>
        <w:t xml:space="preserve"> </w:t>
      </w:r>
      <w:r>
        <w:t xml:space="preserve">beyond EU law. This approach would reduce costs for investors as well.</w:t>
      </w:r>
      <w:r>
        <w:br/>
      </w:r>
      <w:r>
        <w:t xml:space="preserve">In addition, promoting the use of T2S and connecting the fragmented landscape with an increased</w:t>
      </w:r>
      <w:r>
        <w:t xml:space="preserve"> </w:t>
      </w:r>
      <w:r>
        <w:t xml:space="preserve">number of links between CSDs would create a settlement network with several key, interconnected</w:t>
      </w:r>
      <w:r>
        <w:t xml:space="preserve"> </w:t>
      </w:r>
      <w:r>
        <w:t xml:space="preserve">nodes at its centre, allowing participants in any EU CSD to settle securities transactions in any</w:t>
      </w:r>
      <w:r>
        <w:t xml:space="preserve"> </w:t>
      </w:r>
      <w:r>
        <w:t xml:space="preserve">other CSD, thus increasing competition between settlement infrastructures. At the same time, this</w:t>
      </w:r>
      <w:r>
        <w:t xml:space="preserve"> </w:t>
      </w:r>
      <w:r>
        <w:t xml:space="preserve">option would reduce the regulatory burden of establishing links by simplifying the application</w:t>
      </w:r>
      <w:r>
        <w:t xml:space="preserve"> </w:t>
      </w:r>
      <w:r>
        <w:t xml:space="preserve">process and replacing the current regime with a more streamlined one, a proposal supported by 16</w:t>
      </w:r>
      <w:r>
        <w:t xml:space="preserve"> </w:t>
      </w:r>
      <w:r>
        <w:t xml:space="preserve">out of 22 respondents to the targeted consultation (in particular CSDs). This option would also</w:t>
      </w:r>
      <w:r>
        <w:t xml:space="preserve"> </w:t>
      </w:r>
      <w:r>
        <w:t xml:space="preserve">harmonise standards in settlement operations, facilitating further integration and supported by 37</w:t>
      </w:r>
      <w:r>
        <w:t xml:space="preserve"> </w:t>
      </w:r>
      <w:r>
        <w:t xml:space="preserve">out of 41 respondents to the targeted consultation (in particular CSDs and CSD participants).</w:t>
      </w:r>
      <w:r>
        <w:t xml:space="preserve"> </w:t>
      </w:r>
      <w:r>
        <w:t xml:space="preserve">Reducing the burden for CSDs to provide cross-border services, imposing a hub and spoke model</w:t>
      </w:r>
      <w:r>
        <w:t xml:space="preserve"> </w:t>
      </w:r>
      <w:r>
        <w:t xml:space="preserve">for the settlement landscape and promoting the use of T2S will have the combined effect of</w:t>
      </w:r>
      <w:r>
        <w:t xml:space="preserve"> </w:t>
      </w:r>
      <w:r>
        <w:t xml:space="preserve">decreasing existing frictions in cross-border settlement operations and make for a more</w:t>
      </w:r>
      <w:r>
        <w:t xml:space="preserve"> </w:t>
      </w:r>
      <w:r>
        <w:t xml:space="preserve">interconnected settlement network in the EU. This will have implications for the transparency of</w:t>
      </w:r>
      <w:r>
        <w:t xml:space="preserve"> </w:t>
      </w:r>
      <w:r>
        <w:t xml:space="preserve">settlement as there will be a decreased need for settlement internalisers to fill in the gaps inherent</w:t>
      </w:r>
      <w:r>
        <w:t xml:space="preserve"> </w:t>
      </w:r>
      <w:r>
        <w:t xml:space="preserve">in the current fragmented settlement landscape. A decreased need for the services of settlement</w:t>
      </w:r>
      <w:r>
        <w:t xml:space="preserve"> </w:t>
      </w:r>
      <w:r>
        <w:t xml:space="preserve">internalisers would increase settlement done directly in CSDs, which would allow these</w:t>
      </w:r>
      <w:r>
        <w:t xml:space="preserve"> </w:t>
      </w:r>
      <w:r>
        <w:t xml:space="preserve">infrastructures to reap further benefits from economies of scale leading ultimately to lower costs</w:t>
      </w:r>
      <w:r>
        <w:t xml:space="preserve"> </w:t>
      </w:r>
      <w:r>
        <w:t xml:space="preserve">for CSD participants and end investors.</w:t>
      </w:r>
      <w:r>
        <w:t xml:space="preserve"> </w:t>
      </w:r>
      <w:r>
        <w:t xml:space="preserve">Furthermore, this option would help improve supervision by reducing fragmentation, in particular</w:t>
      </w:r>
      <w:r>
        <w:t xml:space="preserve"> </w:t>
      </w:r>
      <w:r>
        <w:t xml:space="preserve">thanks to the harmonisation of requirements for settlement in the CSDR and improvements for</w:t>
      </w:r>
      <w:r>
        <w:t xml:space="preserve"> </w:t>
      </w:r>
      <w:r>
        <w:t xml:space="preserve">groups. For example, ESMA would be made the authority responsible for authorising interoperable</w:t>
      </w:r>
      <w:r>
        <w:t xml:space="preserve"> </w:t>
      </w:r>
      <w:r>
        <w:t xml:space="preserve">links for all CSDs, and would only be able to refuse such a request in the case that this would</w:t>
      </w:r>
      <w:r>
        <w:t xml:space="preserve"> </w:t>
      </w:r>
      <w:r>
        <w:t xml:space="preserve">threaten the smooth and orderly functioning of financial markets or cause systemic risk. This</w:t>
      </w:r>
      <w:r>
        <w:t xml:space="preserve"> </w:t>
      </w:r>
      <w:r>
        <w:t xml:space="preserve">specific objective would nevertheless only be partially met, as divergences between national</w:t>
      </w:r>
      <w:r>
        <w:t xml:space="preserve"> </w:t>
      </w:r>
      <w:r>
        <w:t xml:space="preserve">competent authorities would persist.</w:t>
      </w:r>
      <w:r>
        <w:br/>
      </w:r>
      <w:r>
        <w:t xml:space="preserve">Finally, the comprehensive review of the current framework would also facilitate innovation by</w:t>
      </w:r>
      <w:r>
        <w:t xml:space="preserve"> </w:t>
      </w:r>
      <w:r>
        <w:t xml:space="preserve">removing relevant regulatory obstacles. This would be accomplished by ensuring that the</w:t>
      </w:r>
      <w:r>
        <w:t xml:space="preserve"> </w:t>
      </w:r>
      <w:r>
        <w:t xml:space="preserve">regulatory frameworks for settlement and settlement finality are technologically neutral and fit for</w:t>
      </w:r>
      <w:r>
        <w:t xml:space="preserve"> </w:t>
      </w:r>
      <w:r>
        <w:t xml:space="preserve">purpose to facilitate the implementation of novel technologies. For example, key definitions and</w:t>
      </w:r>
      <w:r>
        <w:t xml:space="preserve"> </w:t>
      </w:r>
      <w:r>
        <w:t xml:space="preserve">concepts – such as ‘book-entry form’ and ‘securities accounts’ – would be updated to ensure they</w:t>
      </w:r>
      <w:r>
        <w:t xml:space="preserve"> </w:t>
      </w:r>
      <w:r>
        <w:t xml:space="preserve">accommodate settlement regardless of the underpinning technology. (For more details, see Section</w:t>
      </w:r>
      <w:r>
        <w:t xml:space="preserve"> </w:t>
      </w:r>
      <w:r>
        <w:t xml:space="preserve">5.1.2.6 in Annex 8 ‘Post-trade’.)</w:t>
      </w:r>
      <w:r>
        <w:t xml:space="preserve"> </w:t>
      </w:r>
      <w:r>
        <w:t xml:space="preserve">Asset management</w:t>
      </w:r>
      <w:r>
        <w:br/>
      </w:r>
      <w:r>
        <w:t xml:space="preserve">The measures under this option would effectively enable further market integration and achieve</w:t>
      </w:r>
      <w:r>
        <w:t xml:space="preserve"> </w:t>
      </w:r>
      <w:r>
        <w:t xml:space="preserve">scale effects. The proposed measures are expected to be effective in tackling the divergent rules</w:t>
      </w:r>
      <w:r>
        <w:t xml:space="preserve"> </w:t>
      </w:r>
      <w:r>
        <w:t xml:space="preserve">and burdensome requirements in asset management discussed in Section 2.2.1.</w:t>
      </w:r>
      <w:r>
        <w:t xml:space="preserve"> </w:t>
      </w:r>
      <w:r>
        <w:t xml:space="preserve">Further market integration is achieved in various ways, notably by streamlining and harmonising</w:t>
      </w:r>
      <w:r>
        <w:t xml:space="preserve"> </w:t>
      </w:r>
      <w:r>
        <w:t xml:space="preserve">the current authorisation and marketing notification procedures.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The new passporting upon authorisation regime and proposed review of the marketing rules under</w:t>
      </w:r>
      <w:r>
        <w:t xml:space="preserve"> </w:t>
      </w:r>
      <w:r>
        <w:t xml:space="preserve">the CBDR stimulate the distribution of funds in multiple Member States, increasing market access.</w:t>
      </w:r>
      <w:r>
        <w:t xml:space="preserve"> </w:t>
      </w:r>
      <w:r>
        <w:t xml:space="preserve">The harmonisation of the authorisation submissions for UCITS funds fosters greater supervisory</w:t>
      </w:r>
      <w:r>
        <w:t xml:space="preserve"> </w:t>
      </w:r>
      <w:r>
        <w:t xml:space="preserve">convergence. In addition, the accompanying centralised notification process mitigates national</w:t>
      </w:r>
      <w:r>
        <w:t xml:space="preserve"> </w:t>
      </w:r>
      <w:r>
        <w:t xml:space="preserve">discretion and gold-plating, and the increased standardisation of processes for marketing and</w:t>
      </w:r>
      <w:r>
        <w:t xml:space="preserve"> </w:t>
      </w:r>
      <w:r>
        <w:t xml:space="preserve">business operations further reduces burdensome requirements and costs. The measures also</w:t>
      </w:r>
      <w:r>
        <w:t xml:space="preserve"> </w:t>
      </w:r>
      <w:r>
        <w:t xml:space="preserve">contribute to legal certainty and more efficient fund management via shortened procedures.</w:t>
      </w:r>
      <w:r>
        <w:br/>
      </w:r>
      <w:r>
        <w:t xml:space="preserve">Further market integration is also supported by the measures on depositary services and delegation.</w:t>
      </w:r>
      <w:r>
        <w:t xml:space="preserve"> </w:t>
      </w:r>
      <w:r>
        <w:t xml:space="preserve">The measures on depositary services create a more integrated market for these services, increasing</w:t>
      </w:r>
      <w:r>
        <w:t xml:space="preserve"> </w:t>
      </w:r>
      <w:r>
        <w:t xml:space="preserve">the choice of depositaries for funds and competition in the market. The depositary passport also</w:t>
      </w:r>
      <w:r>
        <w:t xml:space="preserve"> </w:t>
      </w:r>
      <w:r>
        <w:t xml:space="preserve">helps to develop smaller markets in which depositary services may currently be lacking and</w:t>
      </w:r>
      <w:r>
        <w:t xml:space="preserve"> </w:t>
      </w:r>
      <w:r>
        <w:t xml:space="preserve">limiting the growth of the investment market, notably by fostering higher quality and lower costs,</w:t>
      </w:r>
      <w:r>
        <w:t xml:space="preserve"> </w:t>
      </w:r>
      <w:r>
        <w:t xml:space="preserve">thanks to increased competition. By building on existing EU authorisation and passporting regimes</w:t>
      </w:r>
      <w:r>
        <w:t xml:space="preserve"> </w:t>
      </w:r>
      <w:r>
        <w:t xml:space="preserve">for credit institutions and investment firms, a depositary passport could be introduced without</w:t>
      </w:r>
      <w:r>
        <w:t xml:space="preserve"> </w:t>
      </w:r>
      <w:r>
        <w:t xml:space="preserve">undermining financial stability or investor protection. The measures on delegation facilitate better</w:t>
      </w:r>
      <w:r>
        <w:t xml:space="preserve"> </w:t>
      </w:r>
      <w:r>
        <w:t xml:space="preserve">use of resources within EU groups and more efficient EU-wide supervision of groups operating in</w:t>
      </w:r>
      <w:r>
        <w:t xml:space="preserve"> </w:t>
      </w:r>
      <w:r>
        <w:t xml:space="preserve">the single market (see below).</w:t>
      </w:r>
      <w:r>
        <w:t xml:space="preserve"> </w:t>
      </w:r>
      <w:r>
        <w:t xml:space="preserve">The proposed measures also mitigate burdensome requirements, notably by harmonising practices,</w:t>
      </w:r>
      <w:r>
        <w:t xml:space="preserve"> </w:t>
      </w:r>
      <w:r>
        <w:t xml:space="preserve">reducing national discretion and gold-plating, and revising the rules on intra-group delegation.</w:t>
      </w:r>
      <w:r>
        <w:br/>
      </w:r>
      <w:r>
        <w:t xml:space="preserve">For example, the proposed measures would reduce the current costs associated with a pan-</w:t>
      </w:r>
      <w:r>
        <w:t xml:space="preserve"> </w:t>
      </w:r>
      <w:r>
        <w:t xml:space="preserve">European strategy for an AIFM managing eight AIFs, which can be as high as EUR 500,000.143</w:t>
      </w:r>
      <w:r>
        <w:t xml:space="preserve"> </w:t>
      </w:r>
      <w:r>
        <w:t xml:space="preserve">This is because the proposed measures would reinforce the current prohibition for the appointment</w:t>
      </w:r>
      <w:r>
        <w:t xml:space="preserve"> </w:t>
      </w:r>
      <w:r>
        <w:t xml:space="preserve">of local physical agents, which can cost up to EUR 25,000 for one AIF with a pan-EU strategy, as</w:t>
      </w:r>
      <w:r>
        <w:t xml:space="preserve"> </w:t>
      </w:r>
      <w:r>
        <w:t xml:space="preserve">well as reducing the overall burden of complying with 27 different national frameworks. In</w:t>
      </w:r>
      <w:r>
        <w:t xml:space="preserve"> </w:t>
      </w:r>
      <w:r>
        <w:t xml:space="preserve">addition, removing the pre-marketing ban will result in significant cost savings of approximately</w:t>
      </w:r>
      <w:r>
        <w:t xml:space="preserve"> </w:t>
      </w:r>
      <w:r>
        <w:t xml:space="preserve">EUR 210,000 in fees payable for registration outside of the fundraising period for an AIF with a</w:t>
      </w:r>
      <w:r>
        <w:t xml:space="preserve"> </w:t>
      </w:r>
      <w:r>
        <w:t xml:space="preserve">10-year lifespan marketing in 10 EU jurisdictions, as reported by one large AIFM. For investors,</w:t>
      </w:r>
      <w:r>
        <w:t xml:space="preserve"> </w:t>
      </w:r>
      <w:r>
        <w:t xml:space="preserve">this would result in reduced costs and have the potential of improving investment opportunities.</w:t>
      </w:r>
      <w:r>
        <w:t xml:space="preserve"> </w:t>
      </w:r>
      <w:r>
        <w:t xml:space="preserve">For UCITS, the costs associated with a pan-European strategy can be even higher. Moreover, the</w:t>
      </w:r>
      <w:r>
        <w:t xml:space="preserve"> </w:t>
      </w:r>
      <w:r>
        <w:t xml:space="preserve">harmonised procedures and predictable timelines for UCITS authorisations, marketing</w:t>
      </w:r>
      <w:r>
        <w:t xml:space="preserve"> </w:t>
      </w:r>
      <w:r>
        <w:t xml:space="preserve">notifications, disclosures in marketing communications and fund documents, limiting translation</w:t>
      </w:r>
      <w:r>
        <w:t xml:space="preserve"> </w:t>
      </w:r>
      <w:r>
        <w:t xml:space="preserve">requirements to the key information documents, and strengthening rules on local physical agents,</w:t>
      </w:r>
      <w:r>
        <w:t xml:space="preserve"> </w:t>
      </w:r>
      <w:r>
        <w:t xml:space="preserve">would reduce administrative uncertainty and lower legal and compliance costs. (Estimated cost</w:t>
      </w:r>
      <w:r>
        <w:t xml:space="preserve"> </w:t>
      </w:r>
      <w:r>
        <w:t xml:space="preserve">savings are referenced below with more detail provided in Case Study 3 in Annex 9 on “Asset</w:t>
      </w:r>
      <w:r>
        <w:t xml:space="preserve"> </w:t>
      </w:r>
      <w:r>
        <w:t xml:space="preserve">management”).</w:t>
      </w:r>
      <w:r>
        <w:br/>
      </w:r>
      <w:r>
        <w:t xml:space="preserve">On top of the measures discussed above, burdens are further reduced by allowing EU asset</w:t>
      </w:r>
      <w:r>
        <w:t xml:space="preserve"> </w:t>
      </w:r>
      <w:r>
        <w:t xml:space="preserve">management groups to operate more efficiently. The proposed measures would remove the need</w:t>
      </w:r>
      <w:r>
        <w:t xml:space="preserve"> </w:t>
      </w:r>
      <w:r>
        <w:t xml:space="preserve">to establish and maintain distinct resources dedicated solely to the oversight and monitoring of</w:t>
      </w:r>
      <w:r>
        <w:t xml:space="preserve"> </w:t>
      </w:r>
      <w:r>
        <w:t xml:space="preserve">delegated activities carried out by entities belonging to the same group. In addition, the measures</w:t>
      </w:r>
      <w:r>
        <w:t xml:space="preserve"> </w:t>
      </w:r>
      <w:r>
        <w:t xml:space="preserve">facilitate the efficient centralisation of resources, such as IT systems, compliance teams, risk</w:t>
      </w:r>
    </w:p>
    <w:p>
      <w:pPr>
        <w:pStyle w:val="BodyText"/>
      </w:pPr>
      <w:r>
        <w:t xml:space="preserve">143 For one AIF with a pan-European strategy, the annual cost is reported as EUR 65,000, broken down as follows: (i)</w:t>
      </w:r>
      <w:r>
        <w:t xml:space="preserve"> </w:t>
      </w:r>
      <w:r>
        <w:t xml:space="preserve">total NCA fees of EUR 38,000 (which vary from EUR 800 to 1,400); use of “local agents” fees of EUR 25,000; and</w:t>
      </w:r>
      <w:r>
        <w:t xml:space="preserve"> </w:t>
      </w:r>
      <w:r>
        <w:t xml:space="preserve">(iii) internal costs of organising ongoing arrangement of EUR 2,000). The overall cost of EUR 500,000 excludes the</w:t>
      </w:r>
      <w:r>
        <w:t xml:space="preserve"> </w:t>
      </w:r>
      <w:r>
        <w:t xml:space="preserve">legal costs associated with the payment of fees, those costs being much harder to estimate as they will depend on</w:t>
      </w:r>
      <w:r>
        <w:t xml:space="preserve"> </w:t>
      </w:r>
      <w:r>
        <w:t xml:space="preserve">economies of scale, etc. Further details are contained in Case Study 2 in Annex 9.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management functions, or administrative staff, alleviating the operational and financial burden that</w:t>
      </w:r>
      <w:r>
        <w:t xml:space="preserve"> </w:t>
      </w:r>
      <w:r>
        <w:t xml:space="preserve">asset management groups currently face.</w:t>
      </w:r>
      <w:r>
        <w:br/>
      </w:r>
      <w:r>
        <w:t xml:space="preserve">Overall, the proposed measures would be effective in removing all the national discretions</w:t>
      </w:r>
      <w:r>
        <w:t xml:space="preserve"> </w:t>
      </w:r>
      <w:r>
        <w:t xml:space="preserve">identified in the UCITSD and AIFMD (see Section 2.2.1 and Annex 9, Appendix A).</w:t>
      </w:r>
      <w:r>
        <w:t xml:space="preserve"> </w:t>
      </w:r>
      <w:r>
        <w:t xml:space="preserve">The decision to market funds in multiple countries depends on strategic considerations such as a</w:t>
      </w:r>
      <w:r>
        <w:t xml:space="preserve"> </w:t>
      </w:r>
      <w:r>
        <w:t xml:space="preserve">fund group risk appetite, the overall attractiveness of the target fund markets (including in terms</w:t>
      </w:r>
      <w:r>
        <w:t xml:space="preserve"> </w:t>
      </w:r>
      <w:r>
        <w:t xml:space="preserve">of expected demand and competition) and associated burdens and uncertainty of cross-border</w:t>
      </w:r>
      <w:r>
        <w:t xml:space="preserve"> </w:t>
      </w:r>
      <w:r>
        <w:t xml:space="preserve">distribution. Due to the strategic considerations involved, aggregate impact cannot be quantified.</w:t>
      </w:r>
      <w:r>
        <w:t xml:space="preserve"> </w:t>
      </w:r>
      <w:r>
        <w:t xml:space="preserve">However, based on the literature reviewed in Section 2.1.1 and anecdotal evidence from</w:t>
      </w:r>
      <w:r>
        <w:t xml:space="preserve"> </w:t>
      </w:r>
      <w:r>
        <w:t xml:space="preserve">stakeholder outreach, the measures can be expected to have a positive effect. For instance, one of</w:t>
      </w:r>
      <w:r>
        <w:t xml:space="preserve"> </w:t>
      </w:r>
      <w:r>
        <w:t xml:space="preserve">the largest asset managers based in the Nordic region reported that it would expand its European</w:t>
      </w:r>
      <w:r>
        <w:t xml:space="preserve"> </w:t>
      </w:r>
      <w:r>
        <w:t xml:space="preserve">strategy to 17 additional Member States if the various measures to remove barriers were</w:t>
      </w:r>
      <w:r>
        <w:t xml:space="preserve"> </w:t>
      </w:r>
      <w:r>
        <w:t xml:space="preserve">introduced. In addition, the proposed measures could help to reduce the cost difference between</w:t>
      </w:r>
      <w:r>
        <w:t xml:space="preserve"> </w:t>
      </w:r>
      <w:r>
        <w:t xml:space="preserve">cross-border funds and single country funds, which is on average estimated to amount to</w:t>
      </w:r>
      <w:r>
        <w:t xml:space="preserve"> </w:t>
      </w:r>
      <w:r>
        <w:t xml:space="preserve">EUR 400,000 additional fixed costs per cross-border fund per year (see Annex 9, Section 4.1). The</w:t>
      </w:r>
      <w:r>
        <w:t xml:space="preserve"> </w:t>
      </w:r>
      <w:r>
        <w:t xml:space="preserve">same manager reported estimated annual cost savings of EUR 673,900 if the measures under this</w:t>
      </w:r>
      <w:r>
        <w:t xml:space="preserve"> </w:t>
      </w:r>
      <w:r>
        <w:t xml:space="preserve">option were introduced, with considerable savings to be made where the physical local agent rules</w:t>
      </w:r>
      <w:r>
        <w:t xml:space="preserve"> </w:t>
      </w:r>
      <w:r>
        <w:t xml:space="preserve">were reinforced (the current costs faced by that manager for local agents in three countries is EUR</w:t>
      </w:r>
      <w:r>
        <w:t xml:space="preserve"> </w:t>
      </w:r>
      <w:r>
        <w:t xml:space="preserve">144,000). Finally, by fostering the efficient operation of funds in the single market, the proposed</w:t>
      </w:r>
      <w:r>
        <w:t xml:space="preserve"> </w:t>
      </w:r>
      <w:r>
        <w:t xml:space="preserve">measures are expected to contribute to economies of scale, which in turn would reduce the ongoing</w:t>
      </w:r>
      <w:r>
        <w:t xml:space="preserve"> </w:t>
      </w:r>
      <w:r>
        <w:t xml:space="preserve">costs faced by investors. As illustration, in case the measures resulted in a 10% increase in the</w:t>
      </w:r>
      <w:r>
        <w:t xml:space="preserve"> </w:t>
      </w:r>
      <w:r>
        <w:t xml:space="preserve">share class assets, aggregate ongoing costs would decrease by EUR 521.95 million144, following</w:t>
      </w:r>
      <w:r>
        <w:t xml:space="preserve"> </w:t>
      </w:r>
      <w:r>
        <w:t xml:space="preserve">ESMA (2025). However, without further information on funds’ cost functions the expected</w:t>
      </w:r>
      <w:r>
        <w:t xml:space="preserve"> </w:t>
      </w:r>
      <w:r>
        <w:t xml:space="preserve">increase in assets cannot be estimated.</w:t>
      </w:r>
      <w:r>
        <w:br/>
      </w:r>
      <w:r>
        <w:t xml:space="preserve">Innovation (DLTPR)</w:t>
      </w:r>
      <w:r>
        <w:br/>
      </w:r>
      <w:r>
        <w:t xml:space="preserve">The measures under this option would be effective in facilitating innovation by removing</w:t>
      </w:r>
      <w:r>
        <w:t xml:space="preserve"> </w:t>
      </w:r>
      <w:r>
        <w:t xml:space="preserve">regulatory obstacles. The broad review of the DLTPR would aim at capitalising on the growing</w:t>
      </w:r>
      <w:r>
        <w:t xml:space="preserve"> </w:t>
      </w:r>
      <w:r>
        <w:t xml:space="preserve">increase in market interest, globally and in the EU, in leveraging DLT for financial services.</w:t>
      </w:r>
      <w:r>
        <w:br/>
      </w:r>
      <w:r>
        <w:t xml:space="preserve">It would do so through three sets of measures.</w:t>
      </w:r>
      <w:r>
        <w:br/>
      </w:r>
      <w:r>
        <w:t xml:space="preserve">Firstly, they would expand the scale and scope of the DLTPR to support its commercial viability,</w:t>
      </w:r>
      <w:r>
        <w:t xml:space="preserve"> </w:t>
      </w:r>
      <w:r>
        <w:t xml:space="preserve">while keeping the DLTPR subject to certain limitations especially in terms scale. This would</w:t>
      </w:r>
      <w:r>
        <w:t xml:space="preserve"> </w:t>
      </w:r>
      <w:r>
        <w:t xml:space="preserve">ensure that successful participants in the DLTPR have the possibility to scale their solutions as</w:t>
      </w:r>
      <w:r>
        <w:t xml:space="preserve"> </w:t>
      </w:r>
      <w:r>
        <w:t xml:space="preserve">their operations mature. Making thresholds more permissive and the regime more permanent has</w:t>
      </w:r>
      <w:r>
        <w:t xml:space="preserve"> </w:t>
      </w:r>
      <w:r>
        <w:t xml:space="preserve">been recommended by ESMA to help projects reach economic viability and deepen market</w:t>
      </w:r>
      <w:r>
        <w:t xml:space="preserve"> </w:t>
      </w:r>
      <w:r>
        <w:t xml:space="preserve">liquidity This would also attract a broader range of participants, especially large financial</w:t>
      </w:r>
      <w:r>
        <w:t xml:space="preserve"> </w:t>
      </w:r>
      <w:r>
        <w:t xml:space="preserve">institutions that find the current thresholds too limiting to establish large-scale trading and</w:t>
      </w:r>
      <w:r>
        <w:t xml:space="preserve"> </w:t>
      </w:r>
      <w:r>
        <w:t xml:space="preserve">settlement platforms. These measures would address the current shortcomings of the DLTPR,</w:t>
      </w:r>
      <w:r>
        <w:t xml:space="preserve"> </w:t>
      </w:r>
      <w:r>
        <w:t xml:space="preserve">thereby ensuring that it remains fit for the purpose of supporting market structure modernisation</w:t>
      </w:r>
    </w:p>
    <w:p>
      <w:pPr>
        <w:pStyle w:val="BodyText"/>
      </w:pPr>
      <w:r>
        <w:t xml:space="preserve">144 Based on Table 1, the average fund size would increase from EUR 365 million to 401.5 million. In calculating the</w:t>
      </w:r>
      <w:r>
        <w:t xml:space="preserve"> </w:t>
      </w:r>
      <w:r>
        <w:t xml:space="preserve">aggregate cost savings due to a 10% increase in average fund size, each fund saves EUR 8,030 from lower ongoing</w:t>
      </w:r>
      <w:r>
        <w:t xml:space="preserve"> </w:t>
      </w:r>
      <w:r>
        <w:t xml:space="preserve">costs, as per ESMA (2025) study’s indication of a 0.002 percentage point reduction. With 65,000 funds in the industry</w:t>
      </w:r>
      <w:r>
        <w:t xml:space="preserve"> </w:t>
      </w:r>
      <w:r>
        <w:t xml:space="preserve">(see Table 1), this results in total savings of EUR 521.95 million. This calculation stems from multiplying the</w:t>
      </w:r>
      <w:r>
        <w:t xml:space="preserve"> </w:t>
      </w:r>
      <w:r>
        <w:t xml:space="preserve">individual savings with the total number of funds, demonstrating significant scale efficiencies across the asset</w:t>
      </w:r>
      <w:r>
        <w:t xml:space="preserve"> </w:t>
      </w:r>
      <w:r>
        <w:t xml:space="preserve">management sector.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in the EU. Increasing the scale and the scope of the DLTPR would remove some of the current</w:t>
      </w:r>
      <w:r>
        <w:t xml:space="preserve"> </w:t>
      </w:r>
      <w:r>
        <w:t xml:space="preserve">regulatory obstacles stifling innovation.</w:t>
      </w:r>
      <w:r>
        <w:t xml:space="preserve"> </w:t>
      </w:r>
      <w:r>
        <w:t xml:space="preserve">Secondly, measures under this option would increase the regulatory flexibility and compliance</w:t>
      </w:r>
      <w:r>
        <w:t xml:space="preserve"> </w:t>
      </w:r>
      <w:r>
        <w:t xml:space="preserve">proportionality of the DLTPR. By establishing a special segment within the DLTPR aimed at</w:t>
      </w:r>
      <w:r>
        <w:t xml:space="preserve"> </w:t>
      </w:r>
      <w:r>
        <w:t xml:space="preserve">small-scale businesses (‘tier 2’ segment) that would benefit from a simplified rulebook, this option</w:t>
      </w:r>
      <w:r>
        <w:t xml:space="preserve"> </w:t>
      </w:r>
      <w:r>
        <w:t xml:space="preserve">would directly deliver on the objective of ensuring proportionality and flexibility of the DLTPR</w:t>
      </w:r>
      <w:r>
        <w:t xml:space="preserve"> </w:t>
      </w:r>
      <w:r>
        <w:t xml:space="preserve">for small innovative businesses. Evidence from supervisory sandboxes as shown by the OECD145</w:t>
      </w:r>
      <w:r>
        <w:t xml:space="preserve"> </w:t>
      </w:r>
      <w:r>
        <w:t xml:space="preserve">indicate that proportionate, principles-based approaches and lighter rulebooks for small firms</w:t>
      </w:r>
      <w:r>
        <w:t xml:space="preserve"> </w:t>
      </w:r>
      <w:r>
        <w:t xml:space="preserve">reduce entry barriers while preserving consumer and market safeguards when combined with</w:t>
      </w:r>
      <w:r>
        <w:t xml:space="preserve"> </w:t>
      </w:r>
      <w:r>
        <w:t xml:space="preserve">active supervision. By establishing a more general framework that disapplies parts of level 2</w:t>
      </w:r>
      <w:r>
        <w:t xml:space="preserve"> </w:t>
      </w:r>
      <w:r>
        <w:t xml:space="preserve">requirements and potentially non-essential level 1 requirements, competent authorities applying</w:t>
      </w:r>
      <w:r>
        <w:t xml:space="preserve"> </w:t>
      </w:r>
      <w:r>
        <w:t xml:space="preserve">this rulebook would rely on the principles-based obligations of CSDR to approve and supervise</w:t>
      </w:r>
      <w:r>
        <w:t xml:space="preserve"> </w:t>
      </w:r>
      <w:r>
        <w:t xml:space="preserve">firms wanting to provide CSD services. By doing so, they may be able to better take into account</w:t>
      </w:r>
      <w:r>
        <w:t xml:space="preserve"> </w:t>
      </w:r>
      <w:r>
        <w:t xml:space="preserve">the specific business model of a DLTPR applicant and its risk profile. This would make it easier</w:t>
      </w:r>
      <w:r>
        <w:t xml:space="preserve"> </w:t>
      </w:r>
      <w:r>
        <w:t xml:space="preserve">for smaller businesses to deploy DLT-based trading and CSD services. It would also allow the</w:t>
      </w:r>
      <w:r>
        <w:t xml:space="preserve"> </w:t>
      </w:r>
      <w:r>
        <w:t xml:space="preserve">competent authorities implementing the DLTPR to consider applications based on the risk and</w:t>
      </w:r>
      <w:r>
        <w:t xml:space="preserve"> </w:t>
      </w:r>
      <w:r>
        <w:t xml:space="preserve">operational features of a particular project or business model, rather than adhering to a one-size-</w:t>
      </w:r>
      <w:r>
        <w:t xml:space="preserve"> </w:t>
      </w:r>
      <w:r>
        <w:t xml:space="preserve">fits-all approach. Well-designed proportionate regimes can accelerate learning for both regulators</w:t>
      </w:r>
      <w:r>
        <w:t xml:space="preserve"> </w:t>
      </w:r>
      <w:r>
        <w:t xml:space="preserve">and firms while preserving financial stability as shown by OECD. In addition, clarifying</w:t>
      </w:r>
      <w:r>
        <w:t xml:space="preserve"> </w:t>
      </w:r>
      <w:r>
        <w:t xml:space="preserve">ambiguities regarding the long-term viability of the Pilot regime, along with a service-specific</w:t>
      </w:r>
      <w:r>
        <w:t xml:space="preserve"> </w:t>
      </w:r>
      <w:r>
        <w:t xml:space="preserve">approach to regulating CSD services and application-driven derogations from the standard</w:t>
      </w:r>
      <w:r>
        <w:t xml:space="preserve"> </w:t>
      </w:r>
      <w:r>
        <w:t xml:space="preserve">rulebooks, would provide additional flexibility for experimenting with new business models and</w:t>
      </w:r>
      <w:r>
        <w:t xml:space="preserve"> </w:t>
      </w:r>
      <w:r>
        <w:t xml:space="preserve">intermediary roles on DLT – not just for small entities but also large ones. Such flexibility aligns</w:t>
      </w:r>
      <w:r>
        <w:t xml:space="preserve"> </w:t>
      </w:r>
      <w:r>
        <w:t xml:space="preserve">with recommendations from the Bank for International Settlements, which emphasised</w:t>
      </w:r>
      <w:r>
        <w:t xml:space="preserve"> </w:t>
      </w:r>
      <w:r>
        <w:t xml:space="preserve">proportional innovation pathways as key enablers for distributed ledger adoption in regulated</w:t>
      </w:r>
      <w:r>
        <w:t xml:space="preserve"> </w:t>
      </w:r>
      <w:r>
        <w:t xml:space="preserve">markets.146</w:t>
      </w:r>
      <w:r>
        <w:t xml:space="preserve"> </w:t>
      </w:r>
      <w:r>
        <w:t xml:space="preserve">Thirdly, as neither the DLTPR nor the authorisations granted under this option would have an</w:t>
      </w:r>
      <w:r>
        <w:t xml:space="preserve"> </w:t>
      </w:r>
      <w:r>
        <w:t xml:space="preserve">expiration date, it would reinforce investors’ confidence and provide the market with legal</w:t>
      </w:r>
      <w:r>
        <w:t xml:space="preserve"> </w:t>
      </w:r>
      <w:r>
        <w:t xml:space="preserve">certainty for long-term investments in projects under the DLTPR, therefore removing a regulatory</w:t>
      </w:r>
      <w:r>
        <w:t xml:space="preserve"> </w:t>
      </w:r>
      <w:r>
        <w:t xml:space="preserve">uncertainty of the DLTPR.</w:t>
      </w:r>
      <w:r>
        <w:br/>
      </w:r>
      <w:r>
        <w:t xml:space="preserve">Efficiency</w:t>
      </w:r>
      <w:r>
        <w:br/>
      </w:r>
      <w:r>
        <w:t xml:space="preserve">Trading</w:t>
      </w:r>
      <w:r>
        <w:br/>
      </w:r>
      <w:r>
        <w:t xml:space="preserve">The adaptation to a new, further harmonised rulebook will entail some costs for entities managing</w:t>
      </w:r>
      <w:r>
        <w:t xml:space="preserve"> </w:t>
      </w:r>
      <w:r>
        <w:t xml:space="preserve">trading infrastructure because of the modification of national rules (i.e., the deletion of national</w:t>
      </w:r>
      <w:r>
        <w:t xml:space="preserve"> </w:t>
      </w:r>
      <w:r>
        <w:t xml:space="preserve">specificities). However, these costs are expected to be mostly one-off and by no means comparable</w:t>
      </w:r>
      <w:r>
        <w:t xml:space="preserve"> </w:t>
      </w:r>
      <w:r>
        <w:t xml:space="preserve">to the benefits that are expected to be drawn by those same entities from the simplification of the</w:t>
      </w:r>
      <w:r>
        <w:t xml:space="preserve"> </w:t>
      </w:r>
      <w:r>
        <w:t xml:space="preserve">regulatory landscape. Therefore, while it was impossible to quantify the level of one-off adaptation</w:t>
      </w:r>
      <w:r>
        <w:t xml:space="preserve"> </w:t>
      </w:r>
      <w:r>
        <w:t xml:space="preserve">costs nor a precise level of generated benefits, it is expected that overall infrastructure entities are</w:t>
      </w:r>
      <w:r>
        <w:t xml:space="preserve"> </w:t>
      </w:r>
      <w:r>
        <w:t xml:space="preserve">likely to obtain a net benefit over a mid to longer term horizon.</w:t>
      </w:r>
    </w:p>
    <w:p>
      <w:pPr>
        <w:pStyle w:val="BodyText"/>
      </w:pPr>
      <w:r>
        <w:t xml:space="preserve">145 OECD The role of sandboxes in promoting flexibility and innovation in the digital age</w:t>
      </w:r>
      <w:r>
        <w:t xml:space="preserve"> </w:t>
      </w:r>
      <w:r>
        <w:t xml:space="preserve">https://www.oecd.org/content/dam/oecd/en/publications/reports/2020/06/the-role-of-sandboxes-in-promoting-</w:t>
      </w:r>
      <w:r>
        <w:t xml:space="preserve"> </w:t>
      </w:r>
      <w:r>
        <w:t xml:space="preserve">flexibility-and-innovation-in-the-digital-age_ddcd3d40/cdf5ed45-en.pdf?utm_source=chatgpt.com</w:t>
      </w:r>
      <w:r>
        <w:br/>
      </w:r>
      <w:r>
        <w:t xml:space="preserve">146</w:t>
      </w:r>
      <w:r>
        <w:t xml:space="preserve"> </w:t>
      </w:r>
      <w:r>
        <w:t xml:space="preserve">BIS</w:t>
      </w:r>
      <w:r>
        <w:t xml:space="preserve"> </w:t>
      </w:r>
      <w:r>
        <w:t xml:space="preserve">Wholesale</w:t>
      </w:r>
      <w:r>
        <w:t xml:space="preserve"> </w:t>
      </w:r>
      <w:r>
        <w:t xml:space="preserve">central</w:t>
      </w:r>
      <w:r>
        <w:t xml:space="preserve"> </w:t>
      </w:r>
      <w:r>
        <w:t xml:space="preserve">bank</w:t>
      </w:r>
      <w:r>
        <w:t xml:space="preserve"> </w:t>
      </w:r>
      <w:r>
        <w:t xml:space="preserve">money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innovation,</w:t>
      </w:r>
      <w:r>
        <w:t xml:space="preserve"> </w:t>
      </w:r>
      <w:r>
        <w:t xml:space="preserve">https://www.bis.org/publ/othp99.htm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Measures such as enhanced passporting opportunities for RMs, the creation of a PEMO status to</w:t>
      </w:r>
      <w:r>
        <w:t xml:space="preserve"> </w:t>
      </w:r>
      <w:r>
        <w:t xml:space="preserve">allow the operation of multiple trading venues in multiple Member States on the basis of a single</w:t>
      </w:r>
      <w:r>
        <w:t xml:space="preserve"> </w:t>
      </w:r>
      <w:r>
        <w:t xml:space="preserve">licence, and harmonisation and simplification of requirements on trading venues would bring about</w:t>
      </w:r>
      <w:r>
        <w:t xml:space="preserve"> </w:t>
      </w:r>
      <w:r>
        <w:t xml:space="preserve">significant cost savings for entities with cross-border activities. Submission of data and views of</w:t>
      </w:r>
      <w:r>
        <w:t xml:space="preserve"> </w:t>
      </w:r>
      <w:r>
        <w:t xml:space="preserve">multiple operators of trading venues support this. Exchange groups report the largest potential</w:t>
      </w:r>
      <w:r>
        <w:t xml:space="preserve"> </w:t>
      </w:r>
      <w:r>
        <w:t xml:space="preserve">saving from the removal of the requirement to maintain multiple legal entities to operate cross-</w:t>
      </w:r>
      <w:r>
        <w:t xml:space="preserve"> </w:t>
      </w:r>
      <w:r>
        <w:t xml:space="preserve">border as a group. Removing discretion to impose additional requirements at national level and</w:t>
      </w:r>
      <w:r>
        <w:t xml:space="preserve"> </w:t>
      </w:r>
      <w:r>
        <w:t xml:space="preserve">removing the need to obtain approval for updates of exchange rulebooks from several competent</w:t>
      </w:r>
      <w:r>
        <w:t xml:space="preserve"> </w:t>
      </w:r>
      <w:r>
        <w:t xml:space="preserve">authorities bring about additional cost savings. In total, the groups that contributed input reported</w:t>
      </w:r>
      <w:r>
        <w:t xml:space="preserve"> </w:t>
      </w:r>
      <w:r>
        <w:t xml:space="preserve">expect savings between EUR 29 and 74 million per year. If all groups of trading venues that operate</w:t>
      </w:r>
      <w:r>
        <w:t xml:space="preserve"> </w:t>
      </w:r>
      <w:r>
        <w:t xml:space="preserve">across Member States would similarly benefit from the proposed measures in proportion to the</w:t>
      </w:r>
      <w:r>
        <w:t xml:space="preserve"> </w:t>
      </w:r>
      <w:r>
        <w:t xml:space="preserve">volume traded, one can extrapolate that expected savings would range between EUR 47 and 120</w:t>
      </w:r>
      <w:r>
        <w:t xml:space="preserve"> </w:t>
      </w:r>
      <w:r>
        <w:t xml:space="preserve">million per year across all trading venues belonging to a group. These are predominately</w:t>
      </w:r>
      <w:r>
        <w:t xml:space="preserve"> </w:t>
      </w:r>
      <w:r>
        <w:t xml:space="preserve">administrative costs that currently arise from duplicative compliance functions and processes</w:t>
      </w:r>
      <w:r>
        <w:t xml:space="preserve"> </w:t>
      </w:r>
      <w:r>
        <w:t xml:space="preserve">across groups and their trading venues operated in different Member States. In some cases,</w:t>
      </w:r>
      <w:r>
        <w:t xml:space="preserve"> </w:t>
      </w:r>
      <w:r>
        <w:t xml:space="preserve">diverging supervisory practices add further costs as procedures must be tailored to the respective</w:t>
      </w:r>
      <w:r>
        <w:t xml:space="preserve"> </w:t>
      </w:r>
      <w:r>
        <w:t xml:space="preserve">approach taken by NCAs. Parts of the cost savings will be passed on to brokers and downstream</w:t>
      </w:r>
      <w:r>
        <w:t xml:space="preserve"> </w:t>
      </w:r>
      <w:r>
        <w:t xml:space="preserve">investors. Downstream investors in particular are estimated to save EUR 11.25 to 30 million given</w:t>
      </w:r>
      <w:r>
        <w:t xml:space="preserve"> </w:t>
      </w:r>
      <w:r>
        <w:t xml:space="preserve">the current market structure and expected pass-through rate (see Annex 7 for details). In addition,</w:t>
      </w:r>
      <w:r>
        <w:t xml:space="preserve"> </w:t>
      </w:r>
      <w:r>
        <w:t xml:space="preserve">the creation of a PEMO status would further facilitate the streamlining of operational and</w:t>
      </w:r>
      <w:r>
        <w:t xml:space="preserve"> </w:t>
      </w:r>
      <w:r>
        <w:t xml:space="preserve">supervisory arrangements of groups of trading venues, while maintaining the existence of local</w:t>
      </w:r>
      <w:r>
        <w:t xml:space="preserve"> </w:t>
      </w:r>
      <w:r>
        <w:t xml:space="preserve">‘national’ markets. Lastly, it is expected that the PEMO structure, by enabling a leaner operational</w:t>
      </w:r>
      <w:r>
        <w:t xml:space="preserve"> </w:t>
      </w:r>
      <w:r>
        <w:t xml:space="preserve">structure of trading venues, would act as a first step towards the effective pooling of liquidity</w:t>
      </w:r>
      <w:r>
        <w:t xml:space="preserve"> </w:t>
      </w:r>
      <w:r>
        <w:t xml:space="preserve">across trading venues operated by PEMOs (while maintaining national ‘entry points’). Those</w:t>
      </w:r>
      <w:r>
        <w:t xml:space="preserve"> </w:t>
      </w:r>
      <w:r>
        <w:t xml:space="preserve">effects are even likelier to materialise as actions at the level of post-trade, such as the facilitation</w:t>
      </w:r>
      <w:r>
        <w:t xml:space="preserve"> </w:t>
      </w:r>
      <w:r>
        <w:t xml:space="preserve">of cross-border CSD operations, will enhance synergies at the trading level. Therefore, brokers</w:t>
      </w:r>
      <w:r>
        <w:t xml:space="preserve"> </w:t>
      </w:r>
      <w:r>
        <w:t xml:space="preserve">(and, eventually, end-clients) will, in the longer term, benefit from a more efficient trading</w:t>
      </w:r>
      <w:r>
        <w:t xml:space="preserve"> </w:t>
      </w:r>
      <w:r>
        <w:t xml:space="preserve">environment derived from the more efficient organisational and supervisory structures enabled by</w:t>
      </w:r>
      <w:r>
        <w:t xml:space="preserve"> </w:t>
      </w:r>
      <w:r>
        <w:t xml:space="preserve">the PEMO status.</w:t>
      </w:r>
      <w:r>
        <w:t xml:space="preserve"> </w:t>
      </w:r>
      <w:r>
        <w:t xml:space="preserve">Likewise, enhanced intra-group efficiencies, particularly through recognising the operational</w:t>
      </w:r>
      <w:r>
        <w:t xml:space="preserve"> </w:t>
      </w:r>
      <w:r>
        <w:t xml:space="preserve">specificities of groups, would save these entities thousands of work hours annually in managing</w:t>
      </w:r>
      <w:r>
        <w:t xml:space="preserve"> </w:t>
      </w:r>
      <w:r>
        <w:t xml:space="preserve">different regulatory requirements. Additional savings from operational efficiencies – such optimal</w:t>
      </w:r>
      <w:r>
        <w:t xml:space="preserve"> </w:t>
      </w:r>
      <w:r>
        <w:t xml:space="preserve">allocation of resources and avoiding duplicative functions – could be substantial. For instance, one</w:t>
      </w:r>
      <w:r>
        <w:t xml:space="preserve"> </w:t>
      </w:r>
      <w:r>
        <w:t xml:space="preserve">exchange has noted significant potential savings as a result of:</w:t>
      </w:r>
      <w:r>
        <w:t xml:space="preserve"> </w:t>
      </w:r>
      <w:r>
        <w:t xml:space="preserve">-</w:t>
      </w:r>
      <w:r>
        <w:t xml:space="preserve"> </w:t>
      </w:r>
      <w:r>
        <w:t xml:space="preserve">rationalising compliance function teams, especially if combined with compliance function</w:t>
      </w:r>
      <w:r>
        <w:t xml:space="preserve"> </w:t>
      </w:r>
      <w:r>
        <w:t xml:space="preserve">related to post-trading activities, where applicable; and</w:t>
      </w:r>
      <w:r>
        <w:br/>
      </w:r>
      <w:r>
        <w:t xml:space="preserve">-</w:t>
      </w:r>
      <w:r>
        <w:t xml:space="preserve"> </w:t>
      </w:r>
      <w:r>
        <w:t xml:space="preserve">rationalising resources dedicated to market operations, including market surveillance (for</w:t>
      </w:r>
      <w:r>
        <w:t xml:space="preserve"> </w:t>
      </w:r>
      <w:r>
        <w:t xml:space="preserve">example to detect possible market abuse cases), regulatory reporting and membership, and</w:t>
      </w:r>
      <w:r>
        <w:t xml:space="preserve"> </w:t>
      </w:r>
      <w:r>
        <w:t xml:space="preserve">reducing costs for such operations by up to 30%, which can result in savings amounting to</w:t>
      </w:r>
      <w:r>
        <w:t xml:space="preserve"> </w:t>
      </w:r>
      <w:r>
        <w:t xml:space="preserve">figures in the low millions), plus additional savings from the avoidance of duplicative</w:t>
      </w:r>
      <w:r>
        <w:t xml:space="preserve"> </w:t>
      </w:r>
      <w:r>
        <w:t xml:space="preserve">teams in certain Member States only. It would also facilitate more efficient use of capital</w:t>
      </w:r>
      <w:r>
        <w:t xml:space="preserve"> </w:t>
      </w:r>
      <w:r>
        <w:t xml:space="preserve">and human resources across the group, reducing duplication of efforts and enabling</w:t>
      </w:r>
      <w:r>
        <w:t xml:space="preserve"> </w:t>
      </w:r>
      <w:r>
        <w:t xml:space="preserve">consistent policy implementation.</w:t>
      </w:r>
      <w:r>
        <w:br/>
      </w:r>
      <w:r>
        <w:t xml:space="preserve">Streamlining of trading venue membership processes would give rise to only small costs for venue</w:t>
      </w:r>
      <w:r>
        <w:t xml:space="preserve"> </w:t>
      </w:r>
      <w:r>
        <w:t xml:space="preserve">operators, while brokers would be able to make significant savings both in terms of initial</w:t>
      </w:r>
      <w:r>
        <w:t xml:space="preserve"> </w:t>
      </w:r>
      <w:r>
        <w:t xml:space="preserve">membership on-boarding processes as well as ongoing monitoring of compliance with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membership rules. A majority of trading venues polled147 on this specific topic concur that the</w:t>
      </w:r>
      <w:r>
        <w:t xml:space="preserve"> </w:t>
      </w:r>
      <w:r>
        <w:t xml:space="preserve">overall benefits of these measures would significantly exceed the costs. It is estimated that large</w:t>
      </w:r>
      <w:r>
        <w:t xml:space="preserve"> </w:t>
      </w:r>
      <w:r>
        <w:t xml:space="preserve">broker active in the entire EU could save EUR 100-500 000 per year by not having to maintain</w:t>
      </w:r>
      <w:r>
        <w:t xml:space="preserve"> </w:t>
      </w:r>
      <w:r>
        <w:t xml:space="preserve">separate memberships, should this measure lead to a total alleviation of membership fees.</w:t>
      </w:r>
      <w:r>
        <w:br/>
      </w:r>
      <w:r>
        <w:t xml:space="preserve">Post-trade</w:t>
      </w:r>
      <w:r>
        <w:t xml:space="preserve"> </w:t>
      </w:r>
      <w:r>
        <w:t xml:space="preserve">This option would ease the regulatory burden, reduce costs and thus improve the efficiency of</w:t>
      </w:r>
      <w:r>
        <w:t xml:space="preserve"> </w:t>
      </w:r>
      <w:r>
        <w:t xml:space="preserve">providing services across borders. It would do so by: ensuring freedom of issuance; facilitating</w:t>
      </w:r>
      <w:r>
        <w:t xml:space="preserve"> </w:t>
      </w:r>
      <w:r>
        <w:t xml:space="preserve">passporting and the cross-border provision of services; simplifying the application process for</w:t>
      </w:r>
      <w:r>
        <w:t xml:space="preserve"> </w:t>
      </w:r>
      <w:r>
        <w:t xml:space="preserve">establishing links between CSDs; and promoting inter-CSD connectivity. CSDs would benefit</w:t>
      </w:r>
      <w:r>
        <w:t xml:space="preserve"> </w:t>
      </w:r>
      <w:r>
        <w:t xml:space="preserve">from a decrease in compliance costs, the benefits of which should trickle down to their participants</w:t>
      </w:r>
      <w:r>
        <w:t xml:space="preserve"> </w:t>
      </w:r>
      <w:r>
        <w:t xml:space="preserve">and through to end investors. Legal clarity would also reduce costs for issuers, ensuring freedom</w:t>
      </w:r>
      <w:r>
        <w:t xml:space="preserve"> </w:t>
      </w:r>
      <w:r>
        <w:t xml:space="preserve">to issue their securities in whichever EU CSD they prefer, which would also have implications for</w:t>
      </w:r>
      <w:r>
        <w:t xml:space="preserve"> </w:t>
      </w:r>
      <w:r>
        <w:t xml:space="preserve">increased competition, leading ultimately to a further decrease in settlement costs for market</w:t>
      </w:r>
      <w:r>
        <w:t xml:space="preserve"> </w:t>
      </w:r>
      <w:r>
        <w:t xml:space="preserve">participants along the settlement chain.</w:t>
      </w:r>
      <w:r>
        <w:br/>
      </w:r>
      <w:r>
        <w:t xml:space="preserve">In the case that a CSD needed to establish a connection to T2S, the CSDs would have to incur an</w:t>
      </w:r>
      <w:r>
        <w:t xml:space="preserve"> </w:t>
      </w:r>
      <w:r>
        <w:t xml:space="preserve">initial one-off investment in the technical and legal arrangements necessary to facilitate</w:t>
      </w:r>
      <w:r>
        <w:t xml:space="preserve"> </w:t>
      </w:r>
      <w:r>
        <w:t xml:space="preserve">connectivity and the outsourcing of settlement to the T2S platform. As the nine CSDs in the EU</w:t>
      </w:r>
      <w:r>
        <w:t xml:space="preserve"> </w:t>
      </w:r>
      <w:r>
        <w:t xml:space="preserve">that are not yet connected to T2S are relatively small, and using an estimate on the low end of the</w:t>
      </w:r>
      <w:r>
        <w:t xml:space="preserve"> </w:t>
      </w:r>
      <w:r>
        <w:t xml:space="preserve">range for costs of connecting to T2S (see Section 2.2.1.), a total one-off cost could amount to over</w:t>
      </w:r>
      <w:r>
        <w:t xml:space="preserve"> </w:t>
      </w:r>
      <w:r>
        <w:t xml:space="preserve">EUR 200 million. In addition, annual maintenance costs could amount to up to EUR 9 million for</w:t>
      </w:r>
      <w:r>
        <w:t xml:space="preserve"> </w:t>
      </w:r>
      <w:r>
        <w:t xml:space="preserve">the concerned CSDs. However, as more settlement is concentrated in the T2S platform, the cost</w:t>
      </w:r>
      <w:r>
        <w:t xml:space="preserve"> </w:t>
      </w:r>
      <w:r>
        <w:t xml:space="preserve">of settlement services should drop as the CSD would no longer need to maintain its own</w:t>
      </w:r>
      <w:r>
        <w:t xml:space="preserve"> </w:t>
      </w:r>
      <w:r>
        <w:t xml:space="preserve">proprietary settlement infrastructure, and as the cost of settling in T2S decreases with the growing</w:t>
      </w:r>
      <w:r>
        <w:t xml:space="preserve"> </w:t>
      </w:r>
      <w:r>
        <w:t xml:space="preserve">amount of settled transactions. Cost savings would be compounded by harmonisation of standards,</w:t>
      </w:r>
      <w:r>
        <w:t xml:space="preserve"> </w:t>
      </w:r>
      <w:r>
        <w:t xml:space="preserve">which would streamline processes and decrease compliance costs. As a result, transaction costs</w:t>
      </w:r>
      <w:r>
        <w:t xml:space="preserve"> </w:t>
      </w:r>
      <w:r>
        <w:t xml:space="preserve">could decrease by about 30% compared to settling in a CSD not connected to the platform. This</w:t>
      </w:r>
      <w:r>
        <w:t xml:space="preserve"> </w:t>
      </w:r>
      <w:r>
        <w:t xml:space="preserve">would translate to a savings of at least 0.15 euro per transaction and a saving of at least EUR 86</w:t>
      </w:r>
      <w:r>
        <w:t xml:space="preserve"> </w:t>
      </w:r>
      <w:r>
        <w:t xml:space="preserve">million in settlement fees paid by market participants if T2S was fully utilised by EU CSDs. Once</w:t>
      </w:r>
      <w:r>
        <w:t xml:space="preserve"> </w:t>
      </w:r>
      <w:r>
        <w:t xml:space="preserve">the Eurosystem amortises the cost of the T2S platform (envisaged in 2029), it is expected that T2S</w:t>
      </w:r>
      <w:r>
        <w:t xml:space="preserve"> </w:t>
      </w:r>
      <w:r>
        <w:t xml:space="preserve">fees will further decrease.</w:t>
      </w:r>
      <w:r>
        <w:t xml:space="preserve"> </w:t>
      </w:r>
      <w:r>
        <w:t xml:space="preserve">Investments would also be needed for CSDs required to establish and maintain inter-CSD links.</w:t>
      </w:r>
      <w:r>
        <w:t xml:space="preserve"> </w:t>
      </w:r>
      <w:r>
        <w:t xml:space="preserve">Cost of establishing the necessary technical and legal arrangements for an inbound link can vary</w:t>
      </w:r>
      <w:r>
        <w:t xml:space="preserve"> </w:t>
      </w:r>
      <w:r>
        <w:t xml:space="preserve">widely. A simple link established between two T2S-connected CSDs could entail an initial cost of</w:t>
      </w:r>
      <w:r>
        <w:t xml:space="preserve"> </w:t>
      </w:r>
      <w:r>
        <w:t xml:space="preserve">EUR 30 000 to EUR 60 000. Such costs should however be offset by the fact that a peripheral</w:t>
      </w:r>
      <w:r>
        <w:t xml:space="preserve"> </w:t>
      </w:r>
      <w:r>
        <w:t xml:space="preserve">CSD would only be required to establish a single link to one CSD hub while most CSDs in the EU</w:t>
      </w:r>
      <w:r>
        <w:t xml:space="preserve"> </w:t>
      </w:r>
      <w:r>
        <w:t xml:space="preserve">currently maintain up to four links. Moreover, the increased interconnectivity should reduce the</w:t>
      </w:r>
      <w:r>
        <w:t xml:space="preserve"> </w:t>
      </w:r>
      <w:r>
        <w:t xml:space="preserve">fragmentation in the settlement landscape, promote competition, and ultimately improve access to</w:t>
      </w:r>
      <w:r>
        <w:t xml:space="preserve"> </w:t>
      </w:r>
      <w:r>
        <w:t xml:space="preserve">investment opportunities, leading to a deeper, more liquid capital market with lower costs borne</w:t>
      </w:r>
      <w:r>
        <w:t xml:space="preserve"> </w:t>
      </w:r>
      <w:r>
        <w:t xml:space="preserve">by market participants. Investment costs should be fully amortised within up to 5 years, allowing</w:t>
      </w:r>
      <w:r>
        <w:t xml:space="preserve"> </w:t>
      </w:r>
      <w:r>
        <w:t xml:space="preserve">for a further decline in settlement costs (For more details, see Section 6.1.2.4 of Annex 8 ‘Post-</w:t>
      </w:r>
      <w:r>
        <w:t xml:space="preserve"> </w:t>
      </w:r>
      <w:r>
        <w:t xml:space="preserve">trade’). As a result, up to EUR 0.5 billion annually in efficiency gains could be potentially achieved</w:t>
      </w:r>
      <w:r>
        <w:t xml:space="preserve"> </w:t>
      </w:r>
      <w:r>
        <w:t xml:space="preserve">if the cost of the two CSDs in the USA are taken as a benchmark (although it is important to keep</w:t>
      </w:r>
    </w:p>
    <w:p>
      <w:pPr>
        <w:pStyle w:val="BodyText"/>
      </w:pPr>
      <w:r>
        <w:t xml:space="preserve">147 Results from a targeted outreach to a representative set of relevant and significant stakeholders for that matter.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in mind that the settlement landscape is more complex in the EU, e.g. due to the greater number</w:t>
      </w:r>
      <w:r>
        <w:t xml:space="preserve"> </w:t>
      </w:r>
      <w:r>
        <w:t xml:space="preserve">of settlement infrastructures in the EU)148.</w:t>
      </w:r>
      <w:r>
        <w:br/>
      </w:r>
      <w:r>
        <w:t xml:space="preserve">Asset management</w:t>
      </w:r>
      <w:r>
        <w:t xml:space="preserve"> </w:t>
      </w:r>
      <w:r>
        <w:t xml:space="preserve">Measures under this option concerning investment funds, asset managers, and depositaries are</w:t>
      </w:r>
      <w:r>
        <w:t xml:space="preserve"> </w:t>
      </w:r>
      <w:r>
        <w:t xml:space="preserve">designed to directly target existing barriers to cross-border activities within the EU. By reducing</w:t>
      </w:r>
      <w:r>
        <w:t xml:space="preserve"> </w:t>
      </w:r>
      <w:r>
        <w:t xml:space="preserve">legal and operational frictions that currently fragment the market, these measures would strengthen</w:t>
      </w:r>
      <w:r>
        <w:t xml:space="preserve"> </w:t>
      </w:r>
      <w:r>
        <w:t xml:space="preserve">the integration of the fund sector and reduce costs caused by regulatory burden.</w:t>
      </w:r>
      <w:r>
        <w:br/>
      </w:r>
      <w:r>
        <w:t xml:space="preserve">In parallel, the review of marketing rules would tackle costly national divergences. Moreover,</w:t>
      </w:r>
      <w:r>
        <w:t xml:space="preserve"> </w:t>
      </w:r>
      <w:r>
        <w:t xml:space="preserve">while the changes to existing marketing processes may entail short-term costs, these are expected</w:t>
      </w:r>
      <w:r>
        <w:t xml:space="preserve"> </w:t>
      </w:r>
      <w:r>
        <w:t xml:space="preserve">to be outweighed by the long-term benefits. EU-wide harmonisation of marketing communications</w:t>
      </w:r>
      <w:r>
        <w:t xml:space="preserve"> </w:t>
      </w:r>
      <w:r>
        <w:t xml:space="preserve">and disclosure requirements eliminates the burden of country-specific rules, while ending NCAs</w:t>
      </w:r>
      <w:r>
        <w:t xml:space="preserve"> </w:t>
      </w:r>
      <w:r>
        <w:t xml:space="preserve">optionality for ex-ante checks of marketing communications and new share class notifications</w:t>
      </w:r>
      <w:r>
        <w:t xml:space="preserve"> </w:t>
      </w:r>
      <w:r>
        <w:t xml:space="preserve">would remove current delays that slow down fund distribution in the single market.</w:t>
      </w:r>
      <w:r>
        <w:br/>
      </w:r>
      <w:r>
        <w:t xml:space="preserve">On intra-group delegation, one large asset manager, which is authorised in four Member States</w:t>
      </w:r>
      <w:r>
        <w:t xml:space="preserve"> </w:t>
      </w:r>
      <w:r>
        <w:t xml:space="preserve">and has branches in seven Member States, reported that recognising the notion of asset</w:t>
      </w:r>
      <w:r>
        <w:t xml:space="preserve"> </w:t>
      </w:r>
      <w:r>
        <w:t xml:space="preserve">management group in the specific case of intragroup delegation arrangements will result</w:t>
      </w:r>
      <w:r>
        <w:br/>
      </w:r>
      <w:r>
        <w:t xml:space="preserve">in avoiding duplication of reporting and would substantially alleviate the regulatory burden</w:t>
      </w:r>
      <w:r>
        <w:br/>
      </w:r>
      <w:r>
        <w:t xml:space="preserve">and associated costs.</w:t>
      </w:r>
      <w:r>
        <w:t xml:space="preserve"> </w:t>
      </w:r>
      <w:r>
        <w:t xml:space="preserve">These measures would be further supported and reinforced by stronger supervisory coordination.</w:t>
      </w:r>
      <w:r>
        <w:t xml:space="preserve"> </w:t>
      </w:r>
      <w:r>
        <w:t xml:space="preserve">Creating common rules and procedures would make ESMA-led cooperation with NCAs more</w:t>
      </w:r>
      <w:r>
        <w:t xml:space="preserve"> </w:t>
      </w:r>
      <w:r>
        <w:t xml:space="preserve">effective, particularly for the largest cross-border groups. Enhanced supervisory convergence</w:t>
      </w:r>
      <w:r>
        <w:t xml:space="preserve"> </w:t>
      </w:r>
      <w:r>
        <w:t xml:space="preserve">would ensure consistent application of rules across Member States, preventing protectionist</w:t>
      </w:r>
      <w:r>
        <w:t xml:space="preserve"> </w:t>
      </w:r>
      <w:r>
        <w:t xml:space="preserve">practices and reducing compliance uncertainty. In this way, the efficiency gains from simplified</w:t>
      </w:r>
      <w:r>
        <w:t xml:space="preserve"> </w:t>
      </w:r>
      <w:r>
        <w:t xml:space="preserve">cross-border activity and lower costs would be safeguarded by a more coherent supervisory</w:t>
      </w:r>
      <w:r>
        <w:t xml:space="preserve"> </w:t>
      </w:r>
      <w:r>
        <w:t xml:space="preserve">framework, where harmonised rules and stronger coordination are mutually reinforcing.</w:t>
      </w:r>
      <w:r>
        <w:t xml:space="preserve"> </w:t>
      </w:r>
      <w:r>
        <w:t xml:space="preserve">Innovation (DLTPR)</w:t>
      </w:r>
      <w:r>
        <w:t xml:space="preserve"> </w:t>
      </w:r>
      <w:r>
        <w:t xml:space="preserve">Improving regulatory flexibility and making compliance more proportionate within the DLTPR,</w:t>
      </w:r>
      <w:r>
        <w:t xml:space="preserve"> </w:t>
      </w:r>
      <w:r>
        <w:t xml:space="preserve">along with expanding the scale and scope of activities carried out and assets issued under this</w:t>
      </w:r>
      <w:r>
        <w:t xml:space="preserve"> </w:t>
      </w:r>
      <w:r>
        <w:t xml:space="preserve">framework, would create the conditions for a higher uptake of the regime. Greater flexibility in</w:t>
      </w:r>
      <w:r>
        <w:t xml:space="preserve"> </w:t>
      </w:r>
      <w:r>
        <w:t xml:space="preserve">the DLTPR may increase supervisory costs of EU and national competent authorities, as more</w:t>
      </w:r>
      <w:r>
        <w:t xml:space="preserve"> </w:t>
      </w:r>
      <w:r>
        <w:t xml:space="preserve">entities are expected to apply. However, these incremental supervisory costs would likely be minor</w:t>
      </w:r>
      <w:r>
        <w:t xml:space="preserve"> </w:t>
      </w:r>
      <w:r>
        <w:t xml:space="preserve">and manageable within existing resource frameworks., This is because most oversight is handled</w:t>
      </w:r>
      <w:r>
        <w:t xml:space="preserve"> </w:t>
      </w:r>
      <w:r>
        <w:t xml:space="preserve">through pre-existing supervisory structures, thus offering a favourable cost-benefit ratio for</w:t>
      </w:r>
      <w:r>
        <w:t xml:space="preserve"> </w:t>
      </w:r>
      <w:r>
        <w:t xml:space="preserve">broader market participation. Additionally, digitalisation generally reduces per‑transaction</w:t>
      </w:r>
      <w:r>
        <w:t xml:space="preserve"> </w:t>
      </w:r>
      <w:r>
        <w:t xml:space="preserve">oversight costs over time, meaning that potential short‑term increases in supervisory efforts should</w:t>
      </w:r>
      <w:r>
        <w:t xml:space="preserve"> </w:t>
      </w:r>
      <w:r>
        <w:t xml:space="preserve">not be seen as a barrier to innovation or as a justification to delay the deployment of DLT‑based</w:t>
      </w:r>
      <w:r>
        <w:t xml:space="preserve"> </w:t>
      </w:r>
      <w:r>
        <w:t xml:space="preserve">infrastructures in regulated markets.</w:t>
      </w:r>
    </w:p>
    <w:p>
      <w:pPr>
        <w:pStyle w:val="BodyText"/>
      </w:pPr>
      <w:r>
        <w:t xml:space="preserve">148 Any such comparisons and extrapolations are prone to uncertainty. The estimates need to be interpreted accordingly</w:t>
      </w:r>
      <w:r>
        <w:t xml:space="preserve"> </w:t>
      </w:r>
      <w:r>
        <w:t xml:space="preserve">and are provided to illustrate the order of magnitude.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The Tier 2 framework for small businesses would allow for more NCA flexibility in applying the</w:t>
      </w:r>
      <w:r>
        <w:t xml:space="preserve"> </w:t>
      </w:r>
      <w:r>
        <w:t xml:space="preserve">rulebook, hence would necessitate close ESMA involvement to ensure supervisory convergence</w:t>
      </w:r>
      <w:r>
        <w:t xml:space="preserve"> </w:t>
      </w:r>
      <w:r>
        <w:t xml:space="preserve">across the EU.</w:t>
      </w:r>
      <w:r>
        <w:br/>
      </w:r>
      <w:r>
        <w:t xml:space="preserve">Service-specific licencing of CSD services could result in these services being provided by a group</w:t>
      </w:r>
      <w:r>
        <w:t xml:space="preserve"> </w:t>
      </w:r>
      <w:r>
        <w:t xml:space="preserve">of non-CSD entities. This may require NCAs to allocate more resources to ensure effective</w:t>
      </w:r>
      <w:r>
        <w:t xml:space="preserve"> </w:t>
      </w:r>
      <w:r>
        <w:t xml:space="preserve">supervision of new business models which operate as networks of intermediaries across multiple</w:t>
      </w:r>
      <w:r>
        <w:t xml:space="preserve"> </w:t>
      </w:r>
      <w:r>
        <w:t xml:space="preserve">jurisdictions. Consequently, ESMA’s closer involvement might be necessary to supervise these</w:t>
      </w:r>
      <w:r>
        <w:t xml:space="preserve"> </w:t>
      </w:r>
      <w:r>
        <w:t xml:space="preserve">networks of CSD service providers, where post-trading value chains may end up being more</w:t>
      </w:r>
      <w:r>
        <w:t xml:space="preserve"> </w:t>
      </w:r>
      <w:r>
        <w:t xml:space="preserve">distributed and complex, while potentially more efficient. At the same time, easier auditability of</w:t>
      </w:r>
      <w:r>
        <w:t xml:space="preserve"> </w:t>
      </w:r>
      <w:r>
        <w:t xml:space="preserve">blockchains – as the technology provides transparent, immutable, and cryptographically verifiable</w:t>
      </w:r>
      <w:r>
        <w:t xml:space="preserve"> </w:t>
      </w:r>
      <w:r>
        <w:t xml:space="preserve">records – may facilitate supervision compared to non-cryptographically secured ledgers. Service-</w:t>
      </w:r>
      <w:r>
        <w:t xml:space="preserve"> </w:t>
      </w:r>
      <w:r>
        <w:t xml:space="preserve">specific licencing may increase operational risks in CSD services where networks of providers,</w:t>
      </w:r>
      <w:r>
        <w:t xml:space="preserve"> </w:t>
      </w:r>
      <w:r>
        <w:t xml:space="preserve">rather than a centralised provider (traditional CSD), need to coordinate on DLT to ensure issuance,</w:t>
      </w:r>
      <w:r>
        <w:t xml:space="preserve"> </w:t>
      </w:r>
      <w:r>
        <w:t xml:space="preserve">account and transfer services. The increased operational risks could be somewhat offset by the</w:t>
      </w:r>
      <w:r>
        <w:t xml:space="preserve"> </w:t>
      </w:r>
      <w:r>
        <w:t xml:space="preserve">heightened resilience of a distributed post-trading ecosystem.</w:t>
      </w:r>
      <w:r>
        <w:br/>
      </w:r>
      <w:r>
        <w:t xml:space="preserve">Expanding the scale and scope of the DLTPR, while keeping the activities subject to aggregate</w:t>
      </w:r>
      <w:r>
        <w:t xml:space="preserve"> </w:t>
      </w:r>
      <w:r>
        <w:t xml:space="preserve">thresholds that can be revised in view of market developments and based on concrete DLTPR</w:t>
      </w:r>
      <w:r>
        <w:t xml:space="preserve"> </w:t>
      </w:r>
      <w:r>
        <w:t xml:space="preserve">experience, would balance the need to allow businesses to grow under the DLTPR while keeping</w:t>
      </w:r>
      <w:r>
        <w:t xml:space="preserve"> </w:t>
      </w:r>
      <w:r>
        <w:t xml:space="preserve">systemic risks from large scale deployment of next generation digital platforms under close</w:t>
      </w:r>
      <w:r>
        <w:t xml:space="preserve"> </w:t>
      </w:r>
      <w:r>
        <w:t xml:space="preserve">control.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would be coherent with the broader goals of the SIU strategy. It would also be coherent</w:t>
      </w:r>
      <w:r>
        <w:t xml:space="preserve"> </w:t>
      </w:r>
      <w:r>
        <w:t xml:space="preserve">with the Commission’s priority to boost Europe’s competitiveness, the strategy outlined in the</w:t>
      </w:r>
      <w:r>
        <w:t xml:space="preserve"> </w:t>
      </w:r>
      <w:r>
        <w:t xml:space="preserve">Competitiveness Compass, the Single Market Strategy, the EU Start Up and Scale Up strategy,</w:t>
      </w:r>
      <w:r>
        <w:br/>
      </w:r>
      <w:r>
        <w:t xml:space="preserve">as well as the Communication on a Simpler and Faster Europe.</w:t>
      </w:r>
      <w:r>
        <w:t xml:space="preserve"> </w:t>
      </w:r>
      <w:r>
        <w:t xml:space="preserve">By removing barriers to further deepening and integrating capital markets, the measures under this</w:t>
      </w:r>
      <w:r>
        <w:t xml:space="preserve"> </w:t>
      </w:r>
      <w:r>
        <w:t xml:space="preserve">option complement other EU initiatives, such as the 28th regime. By streamlining cross-border</w:t>
      </w:r>
      <w:r>
        <w:t xml:space="preserve"> </w:t>
      </w:r>
      <w:r>
        <w:t xml:space="preserve">offering of trading, post trading services and asset management services, thereby simplifying</w:t>
      </w:r>
      <w:r>
        <w:t xml:space="preserve"> </w:t>
      </w:r>
      <w:r>
        <w:t xml:space="preserve">access to public markets, this option enhances the ability of companies operating under a 28th</w:t>
      </w:r>
      <w:r>
        <w:t xml:space="preserve"> </w:t>
      </w:r>
      <w:r>
        <w:t xml:space="preserve">regime to leverage the benefits of a more integrated EU capital markets even more effectively.</w:t>
      </w:r>
      <w:r>
        <w:br/>
      </w:r>
      <w:r>
        <w:t xml:space="preserve">Measures under this option would boost the attractiveness of EU capital markets, contributing to</w:t>
      </w:r>
      <w:r>
        <w:t xml:space="preserve"> </w:t>
      </w:r>
      <w:r>
        <w:t xml:space="preserve">financing EU priorities. It would do so notably by increasing the harmonisation of the rulebook</w:t>
      </w:r>
      <w:r>
        <w:t xml:space="preserve"> </w:t>
      </w:r>
      <w:r>
        <w:t xml:space="preserve">and reducing the burden for trading venues, CSDs and asset managers to operate and provide</w:t>
      </w:r>
      <w:r>
        <w:t xml:space="preserve"> </w:t>
      </w:r>
      <w:r>
        <w:t xml:space="preserve">services across borders, thereby reducing the costs for all market participants and, in the innovation</w:t>
      </w:r>
      <w:r>
        <w:t xml:space="preserve"> </w:t>
      </w:r>
      <w:r>
        <w:t xml:space="preserve">area, by ensuring that the DLTPR framework, designed to support DLT-based innovation in</w:t>
      </w:r>
      <w:r>
        <w:t xml:space="preserve"> </w:t>
      </w:r>
      <w:r>
        <w:t xml:space="preserve">financial services, remains fit for purpose.</w:t>
      </w:r>
      <w:r>
        <w:br/>
      </w:r>
      <w:r>
        <w:t xml:space="preserve">Measures under this option would also contribute to the Commission’s simplification agenda</w:t>
      </w:r>
      <w:r>
        <w:br/>
      </w:r>
      <w:r>
        <w:t xml:space="preserve">and the Single Market Strategy. It would do so notably by harmonising and streamlining certain</w:t>
      </w:r>
      <w:r>
        <w:t xml:space="preserve"> </w:t>
      </w:r>
      <w:r>
        <w:t xml:space="preserve">parts of the rulebook in the trading, post-trading and asset management sectors. Measures in the</w:t>
      </w:r>
      <w:r>
        <w:t xml:space="preserve"> </w:t>
      </w:r>
      <w:r>
        <w:t xml:space="preserve">trading venues sector, such as enhancing passporting opportunities, recognising the group concept</w:t>
      </w:r>
      <w:r>
        <w:t xml:space="preserve"> </w:t>
      </w:r>
      <w:r>
        <w:t xml:space="preserve">and streamlining the membership process would play a key role. Similarly, in the post-trading</w:t>
      </w:r>
      <w:r>
        <w:t xml:space="preserve"> </w:t>
      </w:r>
      <w:r>
        <w:t xml:space="preserve">sector, ensuring freedom of issuance, facilitating cross-border provision of services, promoting the</w:t>
      </w:r>
      <w:r>
        <w:t xml:space="preserve"> </w:t>
      </w:r>
      <w:r>
        <w:t xml:space="preserve">use of T2S and simplifying the process for establishing links between CSDs, harmonising</w:t>
      </w:r>
      <w:r>
        <w:t xml:space="preserve"> </w:t>
      </w:r>
      <w:r>
        <w:t xml:space="preserve">settlement standards, would, among other benefits, contribute to simplifying regulatory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Finally, this option would be in line with the Commission’s Digital Finance Strategy149, which</w:t>
      </w:r>
      <w:r>
        <w:t xml:space="preserve"> </w:t>
      </w:r>
      <w:r>
        <w:t xml:space="preserve">explicitly supports the deployment of new technologies in financial services, by ambitiously</w:t>
      </w:r>
      <w:r>
        <w:t xml:space="preserve"> </w:t>
      </w:r>
      <w:r>
        <w:t xml:space="preserve">adapting the existing rulebook to accommodate new technologies, like DLT. It would allow service</w:t>
      </w:r>
      <w:r>
        <w:t xml:space="preserve"> </w:t>
      </w:r>
      <w:r>
        <w:t xml:space="preserve">specialisation in line with the technology’s specificities, derogations from the established rulebook</w:t>
      </w:r>
      <w:r>
        <w:t xml:space="preserve"> </w:t>
      </w:r>
      <w:r>
        <w:t xml:space="preserve">upon duly motivated requests by applicants. Furthermore, by increasing the activity thresholds of</w:t>
      </w:r>
      <w:r>
        <w:t xml:space="preserve"> </w:t>
      </w:r>
      <w:r>
        <w:t xml:space="preserve">the DLTPR and the scope of eligible products, this option would support the scaling of DLT-based</w:t>
      </w:r>
      <w:r>
        <w:t xml:space="preserve"> </w:t>
      </w:r>
      <w:r>
        <w:t xml:space="preserve">projects while still keeping the DLTPR in Pilot form. This is important to signal to the market that</w:t>
      </w:r>
      <w:r>
        <w:t xml:space="preserve"> </w:t>
      </w:r>
      <w:r>
        <w:t xml:space="preserve">DLT-specific rules will evolve with the maturity and scale of DLT-based financial market</w:t>
      </w:r>
      <w:r>
        <w:t xml:space="preserve"> </w:t>
      </w:r>
      <w:r>
        <w:t xml:space="preserve">infrastructures, incorporating policy learnings as they arise. This approach ensures coherence with</w:t>
      </w:r>
      <w:r>
        <w:t xml:space="preserve"> </w:t>
      </w:r>
      <w:r>
        <w:t xml:space="preserve">the Digital Finance Strategy’s aim to accompany fast innovation cycles with regular adjustments</w:t>
      </w:r>
      <w:r>
        <w:t xml:space="preserve"> </w:t>
      </w:r>
      <w:r>
        <w:t xml:space="preserve">to the applicable legislation.</w:t>
      </w:r>
      <w:r>
        <w:t xml:space="preserve"> </w:t>
      </w:r>
      <w:r>
        <w:t xml:space="preserve">6.1.2. Far-reaching review of the functioning of capital markets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Trading</w:t>
      </w:r>
      <w:r>
        <w:br/>
      </w:r>
      <w:r>
        <w:t xml:space="preserve">The measures under this option would be effective in enabling further market integration and scale</w:t>
      </w:r>
      <w:r>
        <w:t xml:space="preserve"> </w:t>
      </w:r>
      <w:r>
        <w:t xml:space="preserve">effects through increased cross-border activity. In particular, this option would be effective in</w:t>
      </w:r>
      <w:r>
        <w:t xml:space="preserve"> </w:t>
      </w:r>
      <w:r>
        <w:t xml:space="preserve">addressing the current challenges faced by brokers in directly accessing liquidity and financial</w:t>
      </w:r>
      <w:r>
        <w:t xml:space="preserve"> </w:t>
      </w:r>
      <w:r>
        <w:t xml:space="preserve">instruments, which is currently costly and complex. By eliminating the need for brokers to become</w:t>
      </w:r>
      <w:r>
        <w:t xml:space="preserve"> </w:t>
      </w:r>
      <w:r>
        <w:t xml:space="preserve">members of multiple trading venues, or get indirect access to trading venues via intermediaries,</w:t>
      </w:r>
      <w:r>
        <w:t xml:space="preserve"> </w:t>
      </w:r>
      <w:r>
        <w:t xml:space="preserve">this option would be more effective in addressing broker’s current needs than Option 2.</w:t>
      </w:r>
      <w:r>
        <w:br/>
      </w:r>
      <w:r>
        <w:t xml:space="preserve">However, for this solution to function as envisaged, seamless interoperability in post-trading –</w:t>
      </w:r>
      <w:r>
        <w:t xml:space="preserve"> </w:t>
      </w:r>
      <w:r>
        <w:t xml:space="preserve">meaning direct connectivity between all CSDs and all CCPs – would be essential, particularly</w:t>
      </w:r>
      <w:r>
        <w:t xml:space="preserve"> </w:t>
      </w:r>
      <w:r>
        <w:t xml:space="preserve">given the currently very fragmented settlement infrastructure. Without comprehensive</w:t>
      </w:r>
      <w:r>
        <w:t xml:space="preserve"> </w:t>
      </w:r>
      <w:r>
        <w:t xml:space="preserve">infrastructure connectivity in post-trading, the effectiveness of this measure would be limited.</w:t>
      </w:r>
      <w:r>
        <w:t xml:space="preserve"> </w:t>
      </w:r>
      <w:r>
        <w:t xml:space="preserve">While connectivity and access would improve at the trading-level, cross-border trades would</w:t>
      </w:r>
      <w:r>
        <w:t xml:space="preserve"> </w:t>
      </w:r>
      <w:r>
        <w:t xml:space="preserve">remain costly and less attractive, in particular for investors which trade smaller lot sizes (such as</w:t>
      </w:r>
      <w:r>
        <w:t xml:space="preserve"> </w:t>
      </w:r>
      <w:r>
        <w:t xml:space="preserve">retail investors and small asset managers), because of the lack of economies of scale associated</w:t>
      </w:r>
      <w:r>
        <w:t xml:space="preserve"> </w:t>
      </w:r>
      <w:r>
        <w:t xml:space="preserve">with the settlement of low volumes. Benefits for large institutional investors would also be limited</w:t>
      </w:r>
      <w:r>
        <w:t xml:space="preserve"> </w:t>
      </w:r>
      <w:r>
        <w:t xml:space="preserve">compared to the costs, as they already have options to access fragmented liquidity pools.</w:t>
      </w:r>
      <w:r>
        <w:br/>
      </w:r>
      <w:r>
        <w:t xml:space="preserve">Post-trade</w:t>
      </w:r>
      <w:r>
        <w:t xml:space="preserve"> </w:t>
      </w:r>
      <w:r>
        <w:t xml:space="preserve">By removing barriers to freedom of issuance, and by facilitating passporting and the cross-border</w:t>
      </w:r>
      <w:r>
        <w:t xml:space="preserve"> </w:t>
      </w:r>
      <w:r>
        <w:t xml:space="preserve">provision of services, this option would increase cross-border activity, as it would reduce barriers</w:t>
      </w:r>
      <w:r>
        <w:t xml:space="preserve"> </w:t>
      </w:r>
      <w:r>
        <w:t xml:space="preserve">to entry and allow CSDs to operate more easily across borders. By so doing, it would help meet</w:t>
      </w:r>
      <w:r>
        <w:t xml:space="preserve"> </w:t>
      </w:r>
      <w:r>
        <w:t xml:space="preserve">the specific objective of enabling further market integration and scale effects. However, removing</w:t>
      </w:r>
      <w:r>
        <w:t xml:space="preserve"> </w:t>
      </w:r>
      <w:r>
        <w:t xml:space="preserve">all additional passporting requirements and notifications could lead to a lack of transparency and</w:t>
      </w:r>
      <w:r>
        <w:t xml:space="preserve"> </w:t>
      </w:r>
      <w:r>
        <w:t xml:space="preserve">accountability, as the home authority would not be notified of the intention to provide cross-border</w:t>
      </w:r>
      <w:r>
        <w:t xml:space="preserve"> </w:t>
      </w:r>
      <w:r>
        <w:t xml:space="preserve">notary and central maintenance services by the CSD. Host Member States would also not be</w:t>
      </w:r>
      <w:r>
        <w:t xml:space="preserve"> </w:t>
      </w:r>
      <w:r>
        <w:t xml:space="preserve">notified and hence have limited oversight and control over the CSD’s activities. Hence, while</w:t>
      </w:r>
      <w:r>
        <w:t xml:space="preserve"> </w:t>
      </w:r>
      <w:r>
        <w:t xml:space="preserve">integrating the market, this option would also present potential risks to financial stability as well</w:t>
      </w:r>
      <w:r>
        <w:t xml:space="preserve"> </w:t>
      </w:r>
      <w:r>
        <w:t xml:space="preserve">as pose a challenge to ensuring compliance with national and EU law. While turning T2S into a</w:t>
      </w:r>
      <w:r>
        <w:t xml:space="preserve"> </w:t>
      </w:r>
      <w:r>
        <w:t xml:space="preserve">CSD and requiring all CSDs to link to it would enable further market integration and scale effects,</w:t>
      </w:r>
    </w:p>
    <w:p>
      <w:pPr>
        <w:pStyle w:val="BodyText"/>
      </w:pPr>
      <w:r>
        <w:t xml:space="preserve">149 https://eur-lex.europa.eu/legal-content/EN/TXT/?uri=CELEX:52020DC0591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concentrating most of the issuance and settlement activity in T2S CSD could also reduce</w:t>
      </w:r>
      <w:r>
        <w:t xml:space="preserve"> </w:t>
      </w:r>
      <w:r>
        <w:t xml:space="preserve">competition and would risk reducing innovation in the sector.</w:t>
      </w:r>
      <w:r>
        <w:t xml:space="preserve"> </w:t>
      </w:r>
      <w:r>
        <w:t xml:space="preserve">Broadly speaking, removing many of the burdens for CSDs to provide cross-border services and</w:t>
      </w:r>
      <w:r>
        <w:t xml:space="preserve"> </w:t>
      </w:r>
      <w:r>
        <w:t xml:space="preserve">mandating a fully interconnected settlement landscape with all CSDs connected to one another</w:t>
      </w:r>
      <w:r>
        <w:t xml:space="preserve"> </w:t>
      </w:r>
      <w:r>
        <w:t xml:space="preserve">will have the combined effect of decreasing existing frictions in cross-border settlement operations</w:t>
      </w:r>
      <w:r>
        <w:t xml:space="preserve"> </w:t>
      </w:r>
      <w:r>
        <w:t xml:space="preserve">and make for a more interconnected settlement network in the EU.</w:t>
      </w:r>
      <w:r>
        <w:t xml:space="preserve"> </w:t>
      </w:r>
      <w:r>
        <w:t xml:space="preserve">This far-reaching review would help improve supervision by reducing fragmentation, in particular</w:t>
      </w:r>
      <w:r>
        <w:t xml:space="preserve"> </w:t>
      </w:r>
      <w:r>
        <w:t xml:space="preserve">thanks to the harmonisation of requirements for settlement and improvements for groups, exactly</w:t>
      </w:r>
      <w:r>
        <w:t xml:space="preserve"> </w:t>
      </w:r>
      <w:r>
        <w:t xml:space="preserve">the same way as for Option 2.</w:t>
      </w:r>
      <w:r>
        <w:br/>
      </w:r>
      <w:r>
        <w:t xml:space="preserve">Asset management</w:t>
      </w:r>
      <w:r>
        <w:t xml:space="preserve"> </w:t>
      </w:r>
      <w:r>
        <w:t xml:space="preserve">The measures under this option would be effective in enabling further market integration and scale</w:t>
      </w:r>
      <w:r>
        <w:t xml:space="preserve"> </w:t>
      </w:r>
      <w:r>
        <w:t xml:space="preserve">effects through increased cross-border activity. This option would involve authorising and</w:t>
      </w:r>
      <w:r>
        <w:t xml:space="preserve"> </w:t>
      </w:r>
      <w:r>
        <w:t xml:space="preserve">regulating asset managers based on their group structure rather than at the individual entity level.</w:t>
      </w:r>
      <w:r>
        <w:t xml:space="preserve"> </w:t>
      </w:r>
      <w:r>
        <w:t xml:space="preserve">Other measures proposed under option 2 would be kept, notably: harmonising and streamlining</w:t>
      </w:r>
      <w:r>
        <w:t xml:space="preserve"> </w:t>
      </w:r>
      <w:r>
        <w:t xml:space="preserve">marketing requirements for UCITS funds and AIFs across the EU, such as the current fragmented</w:t>
      </w:r>
      <w:r>
        <w:t xml:space="preserve"> </w:t>
      </w:r>
      <w:r>
        <w:t xml:space="preserve">national requirements for disclosures in fund documentation and ex-ante verification of marketing</w:t>
      </w:r>
      <w:r>
        <w:t xml:space="preserve"> </w:t>
      </w:r>
      <w:r>
        <w:t xml:space="preserve">communications; and eliminating divergences in national laws and local regulatory practices to</w:t>
      </w:r>
      <w:r>
        <w:t xml:space="preserve"> </w:t>
      </w:r>
      <w:r>
        <w:t xml:space="preserve">ensure consistency and reduce administrative burdens for cross-border marketing.</w:t>
      </w:r>
      <w:r>
        <w:br/>
      </w:r>
      <w:r>
        <w:t xml:space="preserve">However, this approach would imply a fundamental overhaul of the current authorisation regime</w:t>
      </w:r>
      <w:r>
        <w:t xml:space="preserve"> </w:t>
      </w:r>
      <w:r>
        <w:t xml:space="preserve">for asset managers under the sectoral frameworks and would entail certain risks. First, the AIFMD</w:t>
      </w:r>
      <w:r>
        <w:t xml:space="preserve"> </w:t>
      </w:r>
      <w:r>
        <w:t xml:space="preserve">and UCITSD license would most likely be granted to the parent entity of the group, which could</w:t>
      </w:r>
      <w:r>
        <w:t xml:space="preserve"> </w:t>
      </w:r>
      <w:r>
        <w:t xml:space="preserve">be different from the entities that carry out regulated activities across the EU. This would require</w:t>
      </w:r>
      <w:r>
        <w:t xml:space="preserve"> </w:t>
      </w:r>
      <w:r>
        <w:t xml:space="preserve">that NCAs in the Member States of AIFMs and management companies within the group</w:t>
      </w:r>
      <w:r>
        <w:t xml:space="preserve"> </w:t>
      </w:r>
      <w:r>
        <w:t xml:space="preserve">relinquish supervisory responsibilities over subsidiaries operating within their jurisdictions, raising</w:t>
      </w:r>
      <w:r>
        <w:t xml:space="preserve"> </w:t>
      </w:r>
      <w:r>
        <w:t xml:space="preserve">concerns about the loss of local oversight. Second, there is a risk that the home supervisor may</w:t>
      </w:r>
      <w:r>
        <w:t xml:space="preserve"> </w:t>
      </w:r>
      <w:r>
        <w:t xml:space="preserve">lack sufficient insight into the specific activities, market conditions, or risks associated with</w:t>
      </w:r>
      <w:r>
        <w:t xml:space="preserve"> </w:t>
      </w:r>
      <w:r>
        <w:t xml:space="preserve">subsidiaries operating in other Member States, potentially undermining effective supervision and</w:t>
      </w:r>
      <w:r>
        <w:t xml:space="preserve"> </w:t>
      </w:r>
      <w:r>
        <w:t xml:space="preserve">investor protection.</w:t>
      </w:r>
      <w:r>
        <w:br/>
      </w:r>
      <w:r>
        <w:t xml:space="preserve">Innovation (DLTPR)</w:t>
      </w:r>
      <w:r>
        <w:t xml:space="preserve"> </w:t>
      </w:r>
      <w:r>
        <w:t xml:space="preserve">By increasing proportionality and flexibility of the DLTPR, based on a similar set of measures</w:t>
      </w:r>
      <w:r>
        <w:br/>
      </w:r>
      <w:r>
        <w:t xml:space="preserve">as under the broad review, this option would be equally effective in removing regulatory barriers</w:t>
      </w:r>
      <w:r>
        <w:t xml:space="preserve"> </w:t>
      </w:r>
      <w:r>
        <w:t xml:space="preserve">to facilitate innovation for projects that apply for the DLTPR.</w:t>
      </w:r>
      <w:r>
        <w:t xml:space="preserve"> </w:t>
      </w:r>
      <w:r>
        <w:t xml:space="preserve">Going beyond option 2, this option would remove aggregate and product-specific limits applicable</w:t>
      </w:r>
      <w:r>
        <w:t xml:space="preserve"> </w:t>
      </w:r>
      <w:r>
        <w:t xml:space="preserve">to assets eligible to be intermediated by DLTPR participants. This would maximise the potential</w:t>
      </w:r>
      <w:r>
        <w:t xml:space="preserve"> </w:t>
      </w:r>
      <w:r>
        <w:t xml:space="preserve">scale and scope of DLTPR projects, de facto abolishing the sandbox nature of the DLTPR</w:t>
      </w:r>
      <w:r>
        <w:t xml:space="preserve"> </w:t>
      </w:r>
      <w:r>
        <w:t xml:space="preserve">framework, thereby making it more effective in allowing DLT market infrastructures to scale</w:t>
      </w:r>
      <w:r>
        <w:t xml:space="preserve"> </w:t>
      </w:r>
      <w:r>
        <w:t xml:space="preserve">without constraints and with a high degree of legal certainty. All this would support the</w:t>
      </w:r>
      <w:r>
        <w:t xml:space="preserve"> </w:t>
      </w:r>
      <w:r>
        <w:t xml:space="preserve">commercial viability of large and diverse projects, encourage participation from major players</w:t>
      </w:r>
      <w:r>
        <w:t xml:space="preserve"> </w:t>
      </w:r>
      <w:r>
        <w:t xml:space="preserve">such as banks and CSDs, and foster innovation and long-term investment. Under this option, a</w:t>
      </w:r>
      <w:r>
        <w:t xml:space="preserve"> </w:t>
      </w:r>
      <w:r>
        <w:t xml:space="preserve">larger set of eligible participants to the DLTPR could attract wider variety of projects from broader</w:t>
      </w:r>
      <w:r>
        <w:t xml:space="preserve"> </w:t>
      </w:r>
      <w:r>
        <w:t xml:space="preserve">parts of the financial industry under the DLTPR.</w:t>
      </w:r>
      <w:r>
        <w:br/>
      </w:r>
      <w:r>
        <w:t xml:space="preserve">However, converting the DLTPR into an unlimited framework, especially when policy learnings</w:t>
      </w:r>
      <w:r>
        <w:t xml:space="preserve"> </w:t>
      </w:r>
      <w:r>
        <w:t xml:space="preserve">from concrete projects are still limited, could result in rules that are poorly suited to this fast-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evolving area of finance, undermining the effectiveness of this option in supporting innovation by</w:t>
      </w:r>
      <w:r>
        <w:t xml:space="preserve"> </w:t>
      </w:r>
      <w:r>
        <w:t xml:space="preserve">removing regulatory barriers.</w:t>
      </w:r>
      <w:r>
        <w:t xml:space="preserve"> </w:t>
      </w:r>
      <w:r>
        <w:t xml:space="preserve">Efficiency</w:t>
      </w:r>
      <w:r>
        <w:t xml:space="preserve"> </w:t>
      </w:r>
      <w:r>
        <w:t xml:space="preserve">Trading</w:t>
      </w:r>
      <w:r>
        <w:br/>
      </w:r>
      <w:r>
        <w:t xml:space="preserve">The option would mandate interconnection of larger trading venues. The cost-related data collected</w:t>
      </w:r>
      <w:r>
        <w:t xml:space="preserve"> </w:t>
      </w:r>
      <w:r>
        <w:t xml:space="preserve">from stakeholders lacks consistency, making it challenging to provide a reliable estimate of the</w:t>
      </w:r>
      <w:r>
        <w:t xml:space="preserve"> </w:t>
      </w:r>
      <w:r>
        <w:t xml:space="preserve">costs. Estimates of the average costs for setting up the network provided by stakeholders vary from</w:t>
      </w:r>
      <w:r>
        <w:t xml:space="preserve"> </w:t>
      </w:r>
      <w:r>
        <w:t xml:space="preserve">EUR 300 000 to EUR 100 million. Additionally, the precise amount would depend on the actual</w:t>
      </w:r>
      <w:r>
        <w:t xml:space="preserve"> </w:t>
      </w:r>
      <w:r>
        <w:t xml:space="preserve">setup, the number of venues that participate in the system, the type of connectivity (bilateral links</w:t>
      </w:r>
      <w:r>
        <w:t xml:space="preserve"> </w:t>
      </w:r>
      <w:r>
        <w:t xml:space="preserve">versus hub system), the quality of the links used, the type of software which would be implemented</w:t>
      </w:r>
      <w:r>
        <w:t xml:space="preserve"> </w:t>
      </w:r>
      <w:r>
        <w:t xml:space="preserve">and the trading sessions costs, among others.</w:t>
      </w:r>
      <w:r>
        <w:br/>
      </w:r>
      <w:r>
        <w:t xml:space="preserve">Some trading venues polled150 on this specific topic provided additional cost breakdown,</w:t>
      </w:r>
      <w:r>
        <w:br/>
      </w:r>
      <w:r>
        <w:t xml:space="preserve">as presented below. Given a wide divergence in the overall cost figures provided by stakeholders,</w:t>
      </w:r>
      <w:r>
        <w:t xml:space="preserve"> </w:t>
      </w:r>
      <w:r>
        <w:t xml:space="preserve">the true costs are difficult to estimate and would depend on the detailed specifications of the</w:t>
      </w:r>
      <w:r>
        <w:t xml:space="preserve"> </w:t>
      </w:r>
      <w:r>
        <w:t xml:space="preserve">interconnectivity set-up between trading venues. Direct bilateral connections would cost</w:t>
      </w:r>
      <w:r>
        <w:br/>
      </w:r>
      <w:r>
        <w:t xml:space="preserve">in the range of EUR 2 000-10 000 per month, while in-house software development and</w:t>
      </w:r>
      <w:r>
        <w:t xml:space="preserve"> </w:t>
      </w:r>
      <w:r>
        <w:t xml:space="preserve">maintenance was estimated to cost between EUR 1.5 and EUR 3 million per year. Buying software</w:t>
      </w:r>
      <w:r>
        <w:t xml:space="preserve"> </w:t>
      </w:r>
      <w:r>
        <w:t xml:space="preserve">from third-party vendors was estimated to be cheaper but may also create performance issues and</w:t>
      </w:r>
      <w:r>
        <w:t xml:space="preserve"> </w:t>
      </w:r>
      <w:r>
        <w:t xml:space="preserve">operators would still need to supervise and maintain the platform. The connectivity fees would</w:t>
      </w:r>
      <w:r>
        <w:t xml:space="preserve"> </w:t>
      </w:r>
      <w:r>
        <w:t xml:space="preserve">vary greatly depending on number of order books access, speed, through-put requirements and</w:t>
      </w:r>
      <w:r>
        <w:t xml:space="preserve"> </w:t>
      </w:r>
      <w:r>
        <w:t xml:space="preserve">type of connections. Research shows that the cost of a trading session can vary between EUR 210</w:t>
      </w:r>
      <w:r>
        <w:t xml:space="preserve"> </w:t>
      </w:r>
      <w:r>
        <w:t xml:space="preserve">and EUR 780 per month. Respective costs for the same type of interconnection would be similar</w:t>
      </w:r>
      <w:r>
        <w:t xml:space="preserve"> </w:t>
      </w:r>
      <w:r>
        <w:t xml:space="preserve">per exchange, i.e. there would be no effects related to the size of the exchange (for more details,</w:t>
      </w:r>
      <w:r>
        <w:t xml:space="preserve"> </w:t>
      </w:r>
      <w:r>
        <w:t xml:space="preserve">see Section 3.2. of Annex 7 ‘Trading’).</w:t>
      </w:r>
      <w:r>
        <w:t xml:space="preserve"> </w:t>
      </w:r>
      <w:r>
        <w:t xml:space="preserve">In terms of benefits generated by the interconnection, trading venues in scope would be expected</w:t>
      </w:r>
      <w:r>
        <w:t xml:space="preserve"> </w:t>
      </w:r>
      <w:r>
        <w:t xml:space="preserve">to benefit in the form of increased cross-border order-flow, potentially generating higher revenue</w:t>
      </w:r>
      <w:r>
        <w:t xml:space="preserve"> </w:t>
      </w:r>
      <w:r>
        <w:t xml:space="preserve">through execution fees. However, and despite the uncertainty linked to the estimation of the costs</w:t>
      </w:r>
      <w:r>
        <w:t xml:space="preserve"> </w:t>
      </w:r>
      <w:r>
        <w:t xml:space="preserve">for trading venues, it is clear that for trading venues these costs will be significantly higher than</w:t>
      </w:r>
      <w:r>
        <w:t xml:space="preserve"> </w:t>
      </w:r>
      <w:r>
        <w:t xml:space="preserve">the potential benefits.</w:t>
      </w:r>
      <w:r>
        <w:t xml:space="preserve"> </w:t>
      </w:r>
      <w:r>
        <w:t xml:space="preserve">Brokers would not bear any direct costs with respect to the initial set-up and ongoing maintenance</w:t>
      </w:r>
      <w:r>
        <w:t xml:space="preserve"> </w:t>
      </w:r>
      <w:r>
        <w:t xml:space="preserve">of the interconnected network. They would benefit from significantly facilitated access to markets</w:t>
      </w:r>
      <w:r>
        <w:t xml:space="preserve"> </w:t>
      </w:r>
      <w:r>
        <w:t xml:space="preserve">on a cross-border basis, with reduced membership-related costs and burden, thereby offering their</w:t>
      </w:r>
      <w:r>
        <w:t xml:space="preserve"> </w:t>
      </w:r>
      <w:r>
        <w:t xml:space="preserve">clients easier and broader access to markets across borders. Nevertheless, these benefits are likely</w:t>
      </w:r>
      <w:r>
        <w:t xml:space="preserve"> </w:t>
      </w:r>
      <w:r>
        <w:t xml:space="preserve">to materialise only after implementation costs are incurred, and they are contingent upon the</w:t>
      </w:r>
      <w:r>
        <w:t xml:space="preserve"> </w:t>
      </w:r>
      <w:r>
        <w:t xml:space="preserve">solution being widely adopted by brokers.</w:t>
      </w:r>
      <w:r>
        <w:br/>
      </w:r>
      <w:r>
        <w:t xml:space="preserve">At the same time, brokers may bear indirect costs. Whether and to what extent such an increase in</w:t>
      </w:r>
      <w:r>
        <w:t xml:space="preserve"> </w:t>
      </w:r>
      <w:r>
        <w:t xml:space="preserve">execution fees would materialise is complex to determine and quantify, given the uncertainty</w:t>
      </w:r>
      <w:r>
        <w:t xml:space="preserve"> </w:t>
      </w:r>
      <w:r>
        <w:t xml:space="preserve">around the costs borne by venues to set up and maintain the network, and the uptake of the</w:t>
      </w:r>
      <w:r>
        <w:t xml:space="preserve"> </w:t>
      </w:r>
      <w:r>
        <w:t xml:space="preserve">interconnection system among brokers (the broader the use, the lower the costs per individual</w:t>
      </w:r>
      <w:r>
        <w:t xml:space="preserve"> </w:t>
      </w:r>
      <w:r>
        <w:t xml:space="preserve">transaction). At present, brokers are paying either the fees for connecting directly to a trading</w:t>
      </w:r>
      <w:r>
        <w:t xml:space="preserve"> </w:t>
      </w:r>
      <w:r>
        <w:t xml:space="preserve">venue, or the intermediation fees charged by larger brokers. If an interconnectivity mechanism</w:t>
      </w:r>
      <w:r>
        <w:t xml:space="preserve"> </w:t>
      </w:r>
      <w:r>
        <w:t xml:space="preserve">were established, brokers would be able to place orders on multiple venues, while being connected</w:t>
      </w:r>
    </w:p>
    <w:p>
      <w:pPr>
        <w:pStyle w:val="BodyText"/>
      </w:pPr>
      <w:r>
        <w:t xml:space="preserve">150 Results from a targeted outreach to a representative set of relevant and significant stakeholders for that matter.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to and being a member of only one venue, thereby reducing their reliance on intermediation. Due</w:t>
      </w:r>
      <w:r>
        <w:t xml:space="preserve"> </w:t>
      </w:r>
      <w:r>
        <w:t xml:space="preserve">to the absence of intermediation fees data, which are very client-specific, it is not possible to</w:t>
      </w:r>
      <w:r>
        <w:t xml:space="preserve"> </w:t>
      </w:r>
      <w:r>
        <w:t xml:space="preserve">provide precise savings figures for these fees. Yet, the Commission is aware that those</w:t>
      </w:r>
      <w:r>
        <w:t xml:space="preserve"> </w:t>
      </w:r>
      <w:r>
        <w:t xml:space="preserve">intermediation fees can be high, in particular for shares of smaller companies.</w:t>
      </w:r>
      <w:r>
        <w:t xml:space="preserve"> </w:t>
      </w:r>
      <w:r>
        <w:t xml:space="preserve">Given the above, the Commission can conclude that the benefits for the brokers are likely to</w:t>
      </w:r>
      <w:r>
        <w:t xml:space="preserve"> </w:t>
      </w:r>
      <w:r>
        <w:t xml:space="preserve">outweigh the costs they would incur, and that this set-up would lead to a more efficient trading</w:t>
      </w:r>
      <w:r>
        <w:t xml:space="preserve"> </w:t>
      </w:r>
      <w:r>
        <w:t xml:space="preserve">environment for them compared to Option 2.</w:t>
      </w:r>
      <w:r>
        <w:br/>
      </w:r>
      <w:r>
        <w:t xml:space="preserve">Overall, given the uncertainty around costs and benefits of the interconnection for trading venues,</w:t>
      </w:r>
      <w:r>
        <w:t xml:space="preserve"> </w:t>
      </w:r>
      <w:r>
        <w:t xml:space="preserve">at this stage it is impossible to estimate with certainty the net outcome of this option when</w:t>
      </w:r>
      <w:r>
        <w:t xml:space="preserve"> </w:t>
      </w:r>
      <w:r>
        <w:t xml:space="preserve">considering its impact on all stakeholders (trading venues, brokers, end-investors). One of the main</w:t>
      </w:r>
      <w:r>
        <w:t xml:space="preserve"> </w:t>
      </w:r>
      <w:r>
        <w:t xml:space="preserve">advantages of 2 option compared to option 3 is that the costs to-be-incurred are known with</w:t>
      </w:r>
      <w:r>
        <w:t xml:space="preserve"> </w:t>
      </w:r>
      <w:r>
        <w:t xml:space="preserve">reasonable accuracy in advance, allowing the Commission to determine with better precision that</w:t>
      </w:r>
      <w:r>
        <w:t xml:space="preserve"> </w:t>
      </w:r>
      <w:r>
        <w:t xml:space="preserve">the cost-benefit ratio underscores the efficiency of Option 2. By contrast, the costs for the</w:t>
      </w:r>
      <w:r>
        <w:t xml:space="preserve"> </w:t>
      </w:r>
      <w:r>
        <w:t xml:space="preserve">implementation of Option 3 cannot be accurately calculated, even provisionally, at the present</w:t>
      </w:r>
      <w:r>
        <w:t xml:space="preserve"> </w:t>
      </w:r>
      <w:r>
        <w:t xml:space="preserve">moment, and the benefits of option 3 are contingent on many other factors (notably on changes in</w:t>
      </w:r>
      <w:r>
        <w:t xml:space="preserve"> </w:t>
      </w:r>
      <w:r>
        <w:t xml:space="preserve">the operation of post-trade infrastructure) whose realisation is at this stage not fully certain (see</w:t>
      </w:r>
      <w:r>
        <w:t xml:space="preserve"> </w:t>
      </w:r>
      <w:r>
        <w:t xml:space="preserve">section below for the cost-benefit analysis for Option 3). Those costs are likely to be significant</w:t>
      </w:r>
      <w:r>
        <w:t xml:space="preserve"> </w:t>
      </w:r>
      <w:r>
        <w:t xml:space="preserve">for trading venues in particular, compared to the more market-driven solutions that would emerge</w:t>
      </w:r>
      <w:r>
        <w:t xml:space="preserve"> </w:t>
      </w:r>
      <w:r>
        <w:t xml:space="preserve">from Option 2. Thus, as regards the efficiency criterion, based on the cost-benefit analysis of both</w:t>
      </w:r>
      <w:r>
        <w:t xml:space="preserve"> </w:t>
      </w:r>
      <w:r>
        <w:t xml:space="preserve">Options, the Commission deems Option 2 to be the more efficient one, hence the preferred one.</w:t>
      </w:r>
      <w:r>
        <w:t xml:space="preserve"> </w:t>
      </w:r>
      <w:r>
        <w:t xml:space="preserve">Post-trade</w:t>
      </w:r>
      <w:r>
        <w:t xml:space="preserve"> </w:t>
      </w:r>
      <w:r>
        <w:t xml:space="preserve">This option would entail very high costs as CSDs would need to assess the compliance with all</w:t>
      </w:r>
      <w:r>
        <w:t xml:space="preserve"> </w:t>
      </w:r>
      <w:r>
        <w:t xml:space="preserve">Member States’ laws, irrespective of whether they want to provide their services in all Member</w:t>
      </w:r>
      <w:r>
        <w:t xml:space="preserve"> </w:t>
      </w:r>
      <w:r>
        <w:t xml:space="preserve">States. This could cost approximately EUR 30 000 per assessment of a given Member State’s legal</w:t>
      </w:r>
      <w:r>
        <w:t xml:space="preserve"> </w:t>
      </w:r>
      <w:r>
        <w:t xml:space="preserve">framework.151 The transformation of T2S into a CSD would likely require a significant initial</w:t>
      </w:r>
      <w:r>
        <w:t xml:space="preserve"> </w:t>
      </w:r>
      <w:r>
        <w:t xml:space="preserve">investment to expand its functionalities, which would have to be reflected in the price of its</w:t>
      </w:r>
      <w:r>
        <w:t xml:space="preserve"> </w:t>
      </w:r>
      <w:r>
        <w:t xml:space="preserve">services. CSDs would need to adapt to a new platform and those not yet connected to it would</w:t>
      </w:r>
      <w:r>
        <w:t xml:space="preserve"> </w:t>
      </w:r>
      <w:r>
        <w:t xml:space="preserve">need to establish new links (with costs as quantified under option 2). There would also be some</w:t>
      </w:r>
      <w:r>
        <w:t xml:space="preserve"> </w:t>
      </w:r>
      <w:r>
        <w:t xml:space="preserve">costs for market participants as they would need to adjust to the CSDs’ adaptations. At the same</w:t>
      </w:r>
      <w:r>
        <w:t xml:space="preserve"> </w:t>
      </w:r>
      <w:r>
        <w:t xml:space="preserve">time, using the T2S CSD as a settlement hub would likely reduce the cost of cross-border</w:t>
      </w:r>
      <w:r>
        <w:t xml:space="preserve"> </w:t>
      </w:r>
      <w:r>
        <w:t xml:space="preserve">settlement, by making existing bilateral links obsolete and eliminating the cost of maintaining</w:t>
      </w:r>
      <w:r>
        <w:t xml:space="preserve"> </w:t>
      </w:r>
      <w:r>
        <w:t xml:space="preserve">them. If all settlement activity (settlement, issuance, account maintenance) were to be concentrated</w:t>
      </w:r>
      <w:r>
        <w:t xml:space="preserve"> </w:t>
      </w:r>
      <w:r>
        <w:t xml:space="preserve">in the T2S CSD, it could bring down post-trading transaction costs. These cost savings, however,</w:t>
      </w:r>
      <w:r>
        <w:t xml:space="preserve"> </w:t>
      </w:r>
      <w:r>
        <w:t xml:space="preserve">would come at the expense of significant upfront costs and administrative burden on the part of</w:t>
      </w:r>
      <w:r>
        <w:t xml:space="preserve"> </w:t>
      </w:r>
      <w:r>
        <w:t xml:space="preserve">market participants. Considering the costs associated with pursuing this option on the one hand</w:t>
      </w:r>
      <w:r>
        <w:t xml:space="preserve"> </w:t>
      </w:r>
      <w:r>
        <w:t xml:space="preserve">and the prospective cost -savings and benefits on the other, in particular in comparison with option</w:t>
      </w:r>
      <w:r>
        <w:t xml:space="preserve"> </w:t>
      </w:r>
      <w:r>
        <w:t xml:space="preserve">2, this option would not be the preferred way forward.</w:t>
      </w:r>
      <w:r>
        <w:t xml:space="preserve"> </w:t>
      </w:r>
      <w:r>
        <w:t xml:space="preserve">Asset management</w:t>
      </w:r>
      <w:r>
        <w:t xml:space="preserve"> </w:t>
      </w:r>
      <w:r>
        <w:t xml:space="preserve">This option would likely increase costs in the short term due to the need for asset managers</w:t>
      </w:r>
      <w:r>
        <w:br/>
      </w:r>
      <w:r>
        <w:t xml:space="preserve">to reorganize their business and organisation, including vis-à-vis the investment funds they manage</w:t>
      </w:r>
      <w:r>
        <w:t xml:space="preserve"> </w:t>
      </w:r>
      <w:r>
        <w:t xml:space="preserve">(e.g. by replacing the current authorised fund manager with the parent company of the group). It</w:t>
      </w:r>
      <w:r>
        <w:t xml:space="preserve"> </w:t>
      </w:r>
      <w:r>
        <w:t xml:space="preserve">would require EU financial conglomerates or standalone asset management groups to designate an</w:t>
      </w:r>
    </w:p>
    <w:p>
      <w:pPr>
        <w:pStyle w:val="BodyText"/>
      </w:pPr>
      <w:r>
        <w:t xml:space="preserve">151 Confidential information provided to DG FISMA services.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EU parent entity. The competent authorities of the parent entity would also need to effectively</w:t>
      </w:r>
      <w:r>
        <w:t xml:space="preserve"> </w:t>
      </w:r>
      <w:r>
        <w:t xml:space="preserve">supervise and control all subsidiaries and branches for the purposes of this framework, which could</w:t>
      </w:r>
      <w:r>
        <w:t xml:space="preserve"> </w:t>
      </w:r>
      <w:r>
        <w:t xml:space="preserve">be a complex and challenging process. Asset managers operate with very diverse business models,</w:t>
      </w:r>
      <w:r>
        <w:t xml:space="preserve"> </w:t>
      </w:r>
      <w:r>
        <w:t xml:space="preserve">and there is no uniform structure across the industry. Additionally, asset managers are not</w:t>
      </w:r>
      <w:r>
        <w:t xml:space="preserve"> </w:t>
      </w:r>
      <w:r>
        <w:t xml:space="preserve">prudentially regulated on a consolidated basis and do not typically centralise risk management</w:t>
      </w:r>
      <w:r>
        <w:t xml:space="preserve"> </w:t>
      </w:r>
      <w:r>
        <w:t xml:space="preserve">across their EU operations.</w:t>
      </w:r>
      <w:r>
        <w:br/>
      </w:r>
      <w:r>
        <w:t xml:space="preserve">Innovation (DLTPR)</w:t>
      </w:r>
      <w:r>
        <w:t xml:space="preserve"> </w:t>
      </w:r>
      <w:r>
        <w:t xml:space="preserve">By removing thresholds on the DLTPR activity and broadly widening the eligible participants in</w:t>
      </w:r>
      <w:r>
        <w:t xml:space="preserve"> </w:t>
      </w:r>
      <w:r>
        <w:t xml:space="preserve">the DLTPR, this option raises costs for regulators, in addition to introducing higher financial and</w:t>
      </w:r>
      <w:r>
        <w:t xml:space="preserve"> </w:t>
      </w:r>
      <w:r>
        <w:t xml:space="preserve">operational risks and increased supervisory complexity. Removing the DLTPR thresholds entirely</w:t>
      </w:r>
      <w:r>
        <w:t xml:space="preserve"> </w:t>
      </w:r>
      <w:r>
        <w:t xml:space="preserve">at this early stage of market development, when business models and supervisory responses are</w:t>
      </w:r>
      <w:r>
        <w:t xml:space="preserve"> </w:t>
      </w:r>
      <w:r>
        <w:t xml:space="preserve">still evolving, could lead to increased risk that could jeopardize responsible innovation and hurt</w:t>
      </w:r>
      <w:r>
        <w:t xml:space="preserve"> </w:t>
      </w:r>
      <w:r>
        <w:t xml:space="preserve">trust in DLT infrastructure. Therefore, while representing the most ambitious intervention for the</w:t>
      </w:r>
      <w:r>
        <w:t xml:space="preserve"> </w:t>
      </w:r>
      <w:r>
        <w:t xml:space="preserve">DLTPR, this option scores lower in efficiency compared to the other option as the costs incurred</w:t>
      </w:r>
      <w:r>
        <w:t xml:space="preserve"> </w:t>
      </w:r>
      <w:r>
        <w:t xml:space="preserve">in terms of risks and supervisory complexity outweigh the potential benefits, which can be also</w:t>
      </w:r>
      <w:r>
        <w:t xml:space="preserve"> </w:t>
      </w:r>
      <w:r>
        <w:t xml:space="preserve">achieved through alternative means (e.g. revisable thresholds based on the assessment of risks and</w:t>
      </w:r>
      <w:r>
        <w:t xml:space="preserve"> </w:t>
      </w:r>
      <w:r>
        <w:t xml:space="preserve">market conditions).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far-reaching review, as a package, would not be fully aligned with the objective of the SIU</w:t>
      </w:r>
      <w:r>
        <w:t xml:space="preserve"> </w:t>
      </w:r>
      <w:r>
        <w:t xml:space="preserve">strategy to build a single market for financial services, promoting market integration</w:t>
      </w:r>
      <w:r>
        <w:br/>
      </w:r>
      <w:r>
        <w:t xml:space="preserve">and efficiency, and supporting innovation.</w:t>
      </w:r>
      <w:r>
        <w:br/>
      </w:r>
      <w:r>
        <w:t xml:space="preserve">For instance, while being coherent by bringing some benefits to investors in the trading sector or</w:t>
      </w:r>
      <w:r>
        <w:t xml:space="preserve"> </w:t>
      </w:r>
      <w:r>
        <w:t xml:space="preserve">groups in the asset management sector, in the post-trading sector this option would present</w:t>
      </w:r>
      <w:r>
        <w:t xml:space="preserve"> </w:t>
      </w:r>
      <w:r>
        <w:t xml:space="preserve">potential risks to financial stability as well as to ensuring compliance with national and EU law</w:t>
      </w:r>
      <w:r>
        <w:t xml:space="preserve"> </w:t>
      </w:r>
      <w:r>
        <w:t xml:space="preserve">due to the lack of transparency on the intention of a CSD to provide cross-border notary and central</w:t>
      </w:r>
      <w:r>
        <w:t xml:space="preserve"> </w:t>
      </w:r>
      <w:r>
        <w:t xml:space="preserve">maintenance services cross-border, as explained in the effectiveness section above. It could also</w:t>
      </w:r>
      <w:r>
        <w:t xml:space="preserve"> </w:t>
      </w:r>
      <w:r>
        <w:t xml:space="preserve">create unintended consequences such as reduced competition.</w:t>
      </w:r>
      <w:r>
        <w:br/>
      </w:r>
      <w:r>
        <w:t xml:space="preserve">Converting the DLTPR into a framework with unlimited thresholds and wide market accessibility</w:t>
      </w:r>
      <w:r>
        <w:t xml:space="preserve"> </w:t>
      </w:r>
      <w:r>
        <w:t xml:space="preserve">would not align well with the priorities of the Digital Finance Strategy and the SIU strategy, which</w:t>
      </w:r>
      <w:r>
        <w:t xml:space="preserve"> </w:t>
      </w:r>
      <w:r>
        <w:t xml:space="preserve">both refer to the need for the regulatory framework to facilitate digital innovation in the interest of</w:t>
      </w:r>
      <w:r>
        <w:t xml:space="preserve"> </w:t>
      </w:r>
      <w:r>
        <w:t xml:space="preserve">consumers and market efficiency. Furthermore, allowing a broad set of regulated participants in</w:t>
      </w:r>
      <w:r>
        <w:t xml:space="preserve"> </w:t>
      </w:r>
      <w:r>
        <w:t xml:space="preserve">the DLTPR would support the comingling of DLTPR-regulated activities (trading, CSD services)</w:t>
      </w:r>
      <w:r>
        <w:t xml:space="preserve"> </w:t>
      </w:r>
      <w:r>
        <w:t xml:space="preserve">with other financial services, increasing risks of contagion in the financial markets. This option</w:t>
      </w:r>
      <w:r>
        <w:t xml:space="preserve"> </w:t>
      </w:r>
      <w:r>
        <w:t xml:space="preserve">would turn the DLTPR into an unlimited framework at a time when learnings from concrete DLT-</w:t>
      </w:r>
      <w:r>
        <w:t xml:space="preserve"> </w:t>
      </w:r>
      <w:r>
        <w:t xml:space="preserve">based projects are still limited, increasing the risk of irresponsible innovation affecting market</w:t>
      </w:r>
      <w:r>
        <w:t xml:space="preserve"> </w:t>
      </w:r>
      <w:r>
        <w:t xml:space="preserve">confidence in the technology and their users. Finally, this option would be less coherent with the</w:t>
      </w:r>
      <w:r>
        <w:t xml:space="preserve"> </w:t>
      </w:r>
      <w:r>
        <w:t xml:space="preserve">early stage of development of DLT-based markets, viewed through one other key objective of the</w:t>
      </w:r>
      <w:r>
        <w:t xml:space="preserve"> </w:t>
      </w:r>
      <w:r>
        <w:t xml:space="preserve">DLTPR – to maximise flexibility and proportionality of the Pilot rules for participants. The latter,</w:t>
      </w:r>
      <w:r>
        <w:t xml:space="preserve"> </w:t>
      </w:r>
      <w:r>
        <w:t xml:space="preserve">which is meant to increase experimentation with DLT, is difficult to reconcile with an unbounded</w:t>
      </w:r>
      <w:r>
        <w:t xml:space="preserve"> </w:t>
      </w:r>
      <w:r>
        <w:t xml:space="preserve">framework, more appropriate for more mature and stable markets.</w:t>
      </w:r>
      <w:r>
        <w:br/>
      </w:r>
      <w:r>
        <w:t xml:space="preserve">6.1.3. How do the options on addressing barriers to cross-border activities and</w:t>
      </w:r>
      <w:r>
        <w:t xml:space="preserve"> </w:t>
      </w:r>
      <w:r>
        <w:t xml:space="preserve">innovation compare</w:t>
      </w:r>
      <w:r>
        <w:br/>
      </w:r>
      <w:r>
        <w:t xml:space="preserve">The table below provides a high-level summary of how the described packages of options compare</w:t>
      </w:r>
      <w:r>
        <w:t xml:space="preserve"> </w:t>
      </w:r>
      <w:r>
        <w:t xml:space="preserve">(for the sake of readability, the labels of the options have been shortened). A more detailed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overview of the impacts of the different options per area of intervention (trading, post-trading,</w:t>
      </w:r>
      <w:r>
        <w:t xml:space="preserve"> </w:t>
      </w:r>
      <w:r>
        <w:t xml:space="preserve">asset management, innovation) can be found in the respective sectoral Annexes.</w:t>
      </w:r>
      <w:r>
        <w:t xml:space="preserve"> </w:t>
      </w:r>
      <w:r>
        <w:t xml:space="preserve">Taking into account the assessment and explanations provided above, and in view of the</w:t>
      </w:r>
      <w:r>
        <w:t xml:space="preserve"> </w:t>
      </w:r>
      <w:r>
        <w:t xml:space="preserve">importance of integrated and efficient financial markets for the implementation of the SIU strategy,</w:t>
      </w:r>
      <w:r>
        <w:t xml:space="preserve"> </w:t>
      </w:r>
      <w:r>
        <w:t xml:space="preserve">option 2 is considered the preferred option to address the problems identified in chapter 2.</w:t>
      </w:r>
      <w:r>
        <w:t xml:space="preserve"> </w:t>
      </w:r>
      <w:r>
        <w:t xml:space="preserve">In terms of effectiveness, option 2 would simplify the overall regulatory landscape, thereby</w:t>
      </w:r>
      <w:r>
        <w:t xml:space="preserve"> </w:t>
      </w:r>
      <w:r>
        <w:t xml:space="preserve">facilitate cross-border provision of services and the possibility for infrastructures and investments</w:t>
      </w:r>
      <w:r>
        <w:t xml:space="preserve"> </w:t>
      </w:r>
      <w:r>
        <w:t xml:space="preserve">funds to scale up their activities. It will remove differences in national implementation of EU rules,</w:t>
      </w:r>
      <w:r>
        <w:t xml:space="preserve"> </w:t>
      </w:r>
      <w:r>
        <w:t xml:space="preserve">enhance the passporting regime in the trading, post-trading and asset management sectors, reduce</w:t>
      </w:r>
      <w:r>
        <w:t xml:space="preserve"> </w:t>
      </w:r>
      <w:r>
        <w:t xml:space="preserve">the burden related to provision of cross-border services, and improve the interconnections of</w:t>
      </w:r>
      <w:r>
        <w:t xml:space="preserve"> </w:t>
      </w:r>
      <w:r>
        <w:t xml:space="preserve">entities across markets. The proposed measures on depositaries would help boost the provision of</w:t>
      </w:r>
      <w:r>
        <w:t xml:space="preserve"> </w:t>
      </w:r>
      <w:r>
        <w:t xml:space="preserve">such services across the EU, without restrictions. By removing these barriers to cross-border</w:t>
      </w:r>
      <w:r>
        <w:t xml:space="preserve"> </w:t>
      </w:r>
      <w:r>
        <w:t xml:space="preserve">activities and making the possibility to access other EU markets in a less burdensome and faster</w:t>
      </w:r>
      <w:r>
        <w:t xml:space="preserve"> </w:t>
      </w:r>
      <w:r>
        <w:t xml:space="preserve">way, option 2 will also increase competition among entities. Finally, this option will update</w:t>
      </w:r>
      <w:r>
        <w:t xml:space="preserve"> </w:t>
      </w:r>
      <w:r>
        <w:t xml:space="preserve">definitions and concepts in existing rules to cover new technologies in these sectors. The DLT is</w:t>
      </w:r>
      <w:r>
        <w:t xml:space="preserve"> </w:t>
      </w:r>
      <w:r>
        <w:t xml:space="preserve">an important part of the package because DLT can offer transformative benefits for the trading and</w:t>
      </w:r>
      <w:r>
        <w:t xml:space="preserve"> </w:t>
      </w:r>
      <w:r>
        <w:t xml:space="preserve">post-trading value chain and can therefore enhance the efficiency of these infrastructures in the</w:t>
      </w:r>
      <w:r>
        <w:t xml:space="preserve"> </w:t>
      </w:r>
      <w:r>
        <w:t xml:space="preserve">EU. Option 2 would address those limitation in the DLT framework to ensure that the DLT-related</w:t>
      </w:r>
      <w:r>
        <w:t xml:space="preserve"> </w:t>
      </w:r>
      <w:r>
        <w:t xml:space="preserve">innovation in the EU is not lagging behind other jurisdictions.</w:t>
      </w:r>
      <w:r>
        <w:br/>
      </w:r>
      <w:r>
        <w:t xml:space="preserve">In terms of efficiency, option 2 would deliver intended benefits while containing related costs. The</w:t>
      </w:r>
      <w:r>
        <w:t xml:space="preserve"> </w:t>
      </w:r>
      <w:r>
        <w:t xml:space="preserve">compliance with the amendments and with a more harmonised rulebook would imply costs to</w:t>
      </w:r>
      <w:r>
        <w:t xml:space="preserve"> </w:t>
      </w:r>
      <w:r>
        <w:t xml:space="preserve">adjust to the new requirements, but these costs are largely one-off in nature and expected to be</w:t>
      </w:r>
      <w:r>
        <w:t xml:space="preserve"> </w:t>
      </w:r>
      <w:r>
        <w:t xml:space="preserve">small. The improved interconnections between entities would also imply initial one-off adjustment</w:t>
      </w:r>
      <w:r>
        <w:t xml:space="preserve"> </w:t>
      </w:r>
      <w:r>
        <w:t xml:space="preserve">and investment cost. The consequent relief in the burden currently generated by the regulatory</w:t>
      </w:r>
      <w:r>
        <w:t xml:space="preserve"> </w:t>
      </w:r>
      <w:r>
        <w:t xml:space="preserve">fragmentation for the provision of cross-border services and the improved interconnectivity would</w:t>
      </w:r>
      <w:r>
        <w:t xml:space="preserve"> </w:t>
      </w:r>
      <w:r>
        <w:t xml:space="preserve">improve the efficiency of providing services cross-border and allow entities to scale up their</w:t>
      </w:r>
      <w:r>
        <w:t xml:space="preserve"> </w:t>
      </w:r>
      <w:r>
        <w:t xml:space="preserve">activities. The recognition of group entities would allow a more efficient allocation of resources</w:t>
      </w:r>
      <w:r>
        <w:t xml:space="preserve"> </w:t>
      </w:r>
      <w:r>
        <w:t xml:space="preserve">and cost savings for group entities active cross-border in the trading, post-trading and asset</w:t>
      </w:r>
      <w:r>
        <w:t xml:space="preserve"> </w:t>
      </w:r>
      <w:r>
        <w:t xml:space="preserve">management sector. Legal clarity when providing services cross-border would also reduce costs.</w:t>
      </w:r>
      <w:r>
        <w:t xml:space="preserve"> </w:t>
      </w:r>
      <w:r>
        <w:t xml:space="preserve">These benefits would reduce the costs for cross-border investors, also because competition would</w:t>
      </w:r>
      <w:r>
        <w:t xml:space="preserve"> </w:t>
      </w:r>
      <w:r>
        <w:t xml:space="preserve">be promoted. The increased flexibility of the DLTPR would balance the need to allow the uptake</w:t>
      </w:r>
      <w:r>
        <w:t xml:space="preserve"> </w:t>
      </w:r>
      <w:r>
        <w:t xml:space="preserve">of DLT-based technologies while keeping systemic risks from large scale deployment of next</w:t>
      </w:r>
      <w:r>
        <w:t xml:space="preserve"> </w:t>
      </w:r>
      <w:r>
        <w:t xml:space="preserve">generation digital platforms under close control. As concerns cyber security, DLTs by virtue are</w:t>
      </w:r>
      <w:r>
        <w:t xml:space="preserve"> </w:t>
      </w:r>
      <w:r>
        <w:t xml:space="preserve">not necessarily more prone to attacks than existing trade and post-trade infrastructure which is also</w:t>
      </w:r>
      <w:r>
        <w:t xml:space="preserve"> </w:t>
      </w:r>
      <w:r>
        <w:t xml:space="preserve">heavily digitalised and automated. Some public DLTs have shown significant resistance to cyber-</w:t>
      </w:r>
      <w:r>
        <w:t xml:space="preserve"> </w:t>
      </w:r>
      <w:r>
        <w:t xml:space="preserve">attacks while others were left exposed due to bad coding or structural setup. In terms of regulation,</w:t>
      </w:r>
      <w:r>
        <w:t xml:space="preserve"> </w:t>
      </w:r>
      <w:r>
        <w:t xml:space="preserve">the DORA framework should help provide additional security and raise preparedness for cyber</w:t>
      </w:r>
      <w:r>
        <w:t xml:space="preserve"> </w:t>
      </w:r>
      <w:r>
        <w:t xml:space="preserve">incidents across all sectors concerned by the initiative.</w:t>
      </w:r>
      <w:r>
        <w:t xml:space="preserve"> </w:t>
      </w:r>
      <w:r>
        <w:t xml:space="preserve">In terms of coherence, option 2 measures have been designed having in mind internal coherence</w:t>
      </w:r>
      <w:r>
        <w:t xml:space="preserve"> </w:t>
      </w:r>
      <w:r>
        <w:t xml:space="preserve">among the various elements as a package to increase the integration of EU capital market and</w:t>
      </w:r>
      <w:r>
        <w:t xml:space="preserve"> </w:t>
      </w:r>
      <w:r>
        <w:t xml:space="preserve">address inefficiencies in supervision in the single market. The measures under option 2 are also</w:t>
      </w:r>
      <w:r>
        <w:t xml:space="preserve"> </w:t>
      </w:r>
      <w:r>
        <w:t xml:space="preserve">coherent with the Commission’s priorities, as discussed in Section 6.1.1, under “Coherence”.</w:t>
      </w:r>
      <w:r>
        <w:br/>
      </w:r>
      <w:r>
        <w:t xml:space="preserve">The more extensive and far-reaching reform envisaged under Option 3, while potentially bringing</w:t>
      </w:r>
      <w:r>
        <w:t xml:space="preserve"> </w:t>
      </w:r>
      <w:r>
        <w:t xml:space="preserve">greater benefits in terms of integration, would present some potential risks to financial stability</w:t>
      </w:r>
      <w:r>
        <w:t xml:space="preserve"> </w:t>
      </w:r>
      <w:r>
        <w:t xml:space="preserve">and unintended consequences in terms of its impact on competition, innovation and trust in capital</w:t>
      </w:r>
      <w:r>
        <w:t xml:space="preserve"> </w:t>
      </w:r>
      <w:r>
        <w:t xml:space="preserve">markets. Moreover, the costs of mandating interconnection between trading venues and mandating</w:t>
      </w:r>
      <w:r>
        <w:t xml:space="preserve"> </w:t>
      </w:r>
      <w:r>
        <w:t xml:space="preserve">further upgrades in the post-trade infrastructures are potentially very high, according to feedback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received from stakeholders. The changes proposed for the asset management sector would require</w:t>
      </w:r>
      <w:r>
        <w:t xml:space="preserve"> </w:t>
      </w:r>
      <w:r>
        <w:t xml:space="preserve">fundamental changes in the operations of the sector which do not seem well justified.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br/>
      </w:r>
      <w:r>
        <w:t xml:space="preserve">(Cost 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br/>
      </w:r>
      <w:r>
        <w:t xml:space="preserve">Baseline</w:t>
      </w:r>
      <w:r>
        <w:t xml:space="preserve"> </w:t>
      </w:r>
      <w:r>
        <w:t xml:space="preserve">scenario (Option</w:t>
      </w:r>
      <w:r>
        <w:t xml:space="preserve"> </w:t>
      </w:r>
      <w:r>
        <w:t xml:space="preserve">1)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2:</w:t>
      </w:r>
      <w:r>
        <w:t xml:space="preserve"> </w:t>
      </w:r>
      <w:r>
        <w:t xml:space="preserve">Broad review of</w:t>
      </w:r>
      <w:r>
        <w:t xml:space="preserve"> </w:t>
      </w:r>
      <w:r>
        <w:t xml:space="preserve">the functioning</w:t>
      </w:r>
      <w:r>
        <w:t xml:space="preserve"> </w:t>
      </w:r>
      <w:r>
        <w:t xml:space="preserve">of capital</w:t>
      </w:r>
      <w:r>
        <w:t xml:space="preserve"> </w:t>
      </w:r>
      <w:r>
        <w:t xml:space="preserve">markets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3:</w:t>
      </w:r>
      <w:r>
        <w:t xml:space="preserve"> </w:t>
      </w:r>
      <w:r>
        <w:t xml:space="preserve">Far-reaching</w:t>
      </w:r>
      <w:r>
        <w:t xml:space="preserve"> </w:t>
      </w:r>
      <w:r>
        <w:t xml:space="preserve">review of the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capital markets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Legend: ++ = positive + = slightly positive +/- = mixed effect 0 = no effect - = slightly negative – = negative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Impact on stakeholder groups</w:t>
      </w:r>
    </w:p>
    <w:p>
      <w:pPr>
        <w:pStyle w:val="BodyText"/>
      </w:pPr>
      <w:r>
        <w:t xml:space="preserve">Trading venues</w:t>
      </w:r>
      <w:r>
        <w:t xml:space="preserve"> </w:t>
      </w:r>
      <w:r>
        <w:t xml:space="preserve">CSDs</w:t>
      </w:r>
      <w:r>
        <w:t xml:space="preserve"> </w:t>
      </w:r>
      <w:r>
        <w:t xml:space="preserve">Asset managers</w:t>
      </w:r>
      <w:r>
        <w:t xml:space="preserve"> </w:t>
      </w:r>
      <w:r>
        <w:t xml:space="preserve">Investors</w:t>
      </w:r>
      <w:r>
        <w:t xml:space="preserve"> </w:t>
      </w:r>
      <w:r>
        <w:t xml:space="preserve">Non financial corporates</w:t>
      </w:r>
      <w:r>
        <w:t xml:space="preserve"> </w:t>
      </w:r>
      <w:r>
        <w:t xml:space="preserve">Baseline (Option 1)</w:t>
      </w:r>
      <w:r>
        <w:br/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Option 2</w:t>
      </w:r>
      <w:r>
        <w:t xml:space="preserve"> </w:t>
      </w:r>
      <w:r>
        <w:t xml:space="preserve">++ Remove differences in</w:t>
      </w:r>
      <w:r>
        <w:t xml:space="preserve"> </w:t>
      </w:r>
      <w:r>
        <w:t xml:space="preserve">national transpositions</w:t>
      </w:r>
    </w:p>
    <w:p>
      <w:pPr>
        <w:pStyle w:val="BodyText"/>
      </w:pPr>
      <w:r>
        <w:t xml:space="preserve">++ Reduce compliance costs</w:t>
      </w:r>
    </w:p>
    <w:p>
      <w:pPr>
        <w:pStyle w:val="BodyText"/>
      </w:pPr>
      <w:r>
        <w:t xml:space="preserve">++Higher legal certainty</w:t>
      </w:r>
    </w:p>
    <w:p>
      <w:pPr>
        <w:pStyle w:val="BodyText"/>
      </w:pPr>
      <w:r>
        <w:t xml:space="preserve">++Foster</w:t>
      </w:r>
      <w:r>
        <w:t xml:space="preserve"> </w:t>
      </w:r>
      <w:r>
        <w:t xml:space="preserve">cross-border</w:t>
      </w:r>
      <w:r>
        <w:t xml:space="preserve"> </w:t>
      </w:r>
      <w:r>
        <w:t xml:space="preserve">operations/activities thanks</w:t>
      </w:r>
      <w:r>
        <w:t xml:space="preserve"> </w:t>
      </w:r>
      <w:r>
        <w:t xml:space="preserve">to</w:t>
      </w:r>
      <w:r>
        <w:t xml:space="preserve"> </w:t>
      </w:r>
      <w:r>
        <w:t xml:space="preserve">enhancement</w:t>
      </w:r>
      <w:r>
        <w:t xml:space="preserve"> </w:t>
      </w:r>
      <w:r>
        <w:t xml:space="preserve">of</w:t>
      </w:r>
      <w:r>
        <w:t xml:space="preserve"> </w:t>
      </w:r>
      <w:r>
        <w:t xml:space="preserve">passporting</w:t>
      </w:r>
      <w:r>
        <w:t xml:space="preserve"> </w:t>
      </w:r>
      <w:r>
        <w:t xml:space="preserve">regime</w:t>
      </w:r>
      <w:r>
        <w:t xml:space="preserve"> </w:t>
      </w:r>
      <w:r>
        <w:t xml:space="preserve">and</w:t>
      </w:r>
      <w:r>
        <w:t xml:space="preserve"> </w:t>
      </w:r>
      <w:r>
        <w:t xml:space="preserve">single</w:t>
      </w:r>
      <w:r>
        <w:t xml:space="preserve"> </w:t>
      </w:r>
      <w:r>
        <w:t xml:space="preserve">licence</w:t>
      </w:r>
      <w:r>
        <w:t xml:space="preserve"> </w:t>
      </w:r>
      <w:r>
        <w:t xml:space="preserve">for</w:t>
      </w:r>
      <w:r>
        <w:t xml:space="preserve"> </w:t>
      </w:r>
      <w:r>
        <w:t xml:space="preserve">pan-</w:t>
      </w:r>
      <w:r>
        <w:t xml:space="preserve"> </w:t>
      </w:r>
      <w:r>
        <w:t xml:space="preserve">European market operators</w:t>
      </w:r>
    </w:p>
    <w:p>
      <w:pPr>
        <w:pStyle w:val="BodyText"/>
      </w:pPr>
      <w:r>
        <w:t xml:space="preserve">++ Facilitate allocation of</w:t>
      </w:r>
      <w:r>
        <w:t xml:space="preserve"> </w:t>
      </w:r>
      <w:r>
        <w:t xml:space="preserve">resources within groups</w:t>
      </w:r>
    </w:p>
    <w:p>
      <w:pPr>
        <w:pStyle w:val="BodyText"/>
      </w:pPr>
      <w:r>
        <w:t xml:space="preserve">++Economies of scale and</w:t>
      </w:r>
      <w:r>
        <w:t xml:space="preserve"> </w:t>
      </w:r>
      <w:r>
        <w:t xml:space="preserve">efficiency</w:t>
      </w:r>
      <w:r>
        <w:t xml:space="preserve"> </w:t>
      </w:r>
      <w:r>
        <w:t xml:space="preserve">gains/lower</w:t>
      </w:r>
      <w:r>
        <w:t xml:space="preserve"> </w:t>
      </w:r>
      <w:r>
        <w:t xml:space="preserve">operational costs</w:t>
      </w:r>
    </w:p>
    <w:p>
      <w:pPr>
        <w:numPr>
          <w:ilvl w:val="0"/>
          <w:numId w:val="1009"/>
        </w:numPr>
      </w:pPr>
      <w:r>
        <w:t xml:space="preserve">Facilitated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multiple venues</w:t>
      </w:r>
    </w:p>
    <w:p>
      <w:pPr>
        <w:numPr>
          <w:ilvl w:val="0"/>
          <w:numId w:val="1009"/>
        </w:numPr>
      </w:pPr>
      <w:r>
        <w:t xml:space="preserve">Incentives to develop</w:t>
      </w:r>
      <w:r>
        <w:t xml:space="preserve"> </w:t>
      </w:r>
      <w:r>
        <w:t xml:space="preserve">solutions to pool liquidity</w:t>
      </w:r>
    </w:p>
    <w:p>
      <w:pPr>
        <w:pStyle w:val="FirstParagraph"/>
      </w:pPr>
      <w:r>
        <w:t xml:space="preserve">++ Reduce differences in</w:t>
      </w:r>
      <w:r>
        <w:t xml:space="preserve"> </w:t>
      </w:r>
      <w:r>
        <w:t xml:space="preserve">national approaches</w:t>
      </w:r>
    </w:p>
    <w:p>
      <w:pPr>
        <w:pStyle w:val="BodyText"/>
      </w:pPr>
      <w:r>
        <w:t xml:space="preserve">++ Reduce compliance costs</w:t>
      </w:r>
    </w:p>
    <w:p>
      <w:pPr>
        <w:pStyle w:val="BodyText"/>
      </w:pPr>
      <w:r>
        <w:t xml:space="preserve">++Less fragmentation</w:t>
      </w:r>
    </w:p>
    <w:p>
      <w:pPr>
        <w:pStyle w:val="BodyText"/>
      </w:pPr>
      <w:r>
        <w:t xml:space="preserve">++Higher legal certainty</w:t>
      </w:r>
    </w:p>
    <w:p>
      <w:pPr>
        <w:pStyle w:val="BodyText"/>
      </w:pPr>
      <w:r>
        <w:t xml:space="preserve">++Foster</w:t>
      </w:r>
      <w:r>
        <w:t xml:space="preserve"> </w:t>
      </w:r>
      <w:r>
        <w:t xml:space="preserve">cross-border</w:t>
      </w:r>
      <w:r>
        <w:t xml:space="preserve"> </w:t>
      </w:r>
      <w:r>
        <w:t xml:space="preserve">operations/activities thanks</w:t>
      </w:r>
      <w:r>
        <w:t xml:space="preserve"> </w:t>
      </w:r>
      <w:r>
        <w:t xml:space="preserve">to</w:t>
      </w:r>
      <w:r>
        <w:t xml:space="preserve"> </w:t>
      </w:r>
      <w:r>
        <w:t xml:space="preserve">enhancement</w:t>
      </w:r>
      <w:r>
        <w:t xml:space="preserve"> </w:t>
      </w:r>
      <w:r>
        <w:t xml:space="preserve">of</w:t>
      </w:r>
      <w:r>
        <w:t xml:space="preserve"> </w:t>
      </w:r>
      <w:r>
        <w:t xml:space="preserve">passporting regime</w:t>
      </w:r>
    </w:p>
    <w:p>
      <w:pPr>
        <w:pStyle w:val="BodyText"/>
      </w:pPr>
      <w:r>
        <w:t xml:space="preserve">++ Facilitate allocation of</w:t>
      </w:r>
      <w:r>
        <w:t xml:space="preserve"> </w:t>
      </w:r>
      <w:r>
        <w:t xml:space="preserve">resources for group entities</w:t>
      </w:r>
    </w:p>
    <w:p>
      <w:pPr>
        <w:pStyle w:val="BodyText"/>
      </w:pPr>
      <w:r>
        <w:t xml:space="preserve">++Economies of scale and</w:t>
      </w:r>
      <w:r>
        <w:t xml:space="preserve"> </w:t>
      </w:r>
      <w:r>
        <w:t xml:space="preserve">efficiency</w:t>
      </w:r>
      <w:r>
        <w:t xml:space="preserve"> </w:t>
      </w:r>
      <w:r>
        <w:t xml:space="preserve">gains/lower</w:t>
      </w:r>
      <w:r>
        <w:t xml:space="preserve"> </w:t>
      </w:r>
      <w:r>
        <w:t xml:space="preserve">operational costs</w:t>
      </w:r>
    </w:p>
    <w:p>
      <w:pPr>
        <w:pStyle w:val="BodyText"/>
      </w:pPr>
      <w:r>
        <w:t xml:space="preserve">++Support market structure</w:t>
      </w:r>
      <w:r>
        <w:t xml:space="preserve"> </w:t>
      </w:r>
      <w:r>
        <w:t xml:space="preserve">modernisation/innovation</w:t>
      </w:r>
      <w:r>
        <w:t xml:space="preserve"> </w:t>
      </w:r>
      <w:r>
        <w:t xml:space="preserve">(via DLTPR review)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Remove</w:t>
      </w:r>
      <w:r>
        <w:t xml:space="preserve"> </w:t>
      </w:r>
      <w:r>
        <w:t xml:space="preserve">differences</w:t>
      </w:r>
      <w:r>
        <w:t xml:space="preserve"> </w:t>
      </w:r>
      <w:r>
        <w:t xml:space="preserve">between</w:t>
      </w:r>
      <w:r>
        <w:t xml:space="preserve"> </w:t>
      </w:r>
      <w:r>
        <w:t xml:space="preserve">national</w:t>
      </w:r>
      <w:r>
        <w:t xml:space="preserve"> </w:t>
      </w:r>
      <w:r>
        <w:t xml:space="preserve">transpositions</w:t>
      </w:r>
    </w:p>
    <w:p>
      <w:pPr>
        <w:pStyle w:val="BodyText"/>
      </w:pPr>
      <w:r>
        <w:t xml:space="preserve">++ Reduce compliance costs</w:t>
      </w:r>
      <w:r>
        <w:t xml:space="preserve"> </w:t>
      </w:r>
      <w:r>
        <w:t xml:space="preserve">and regulatory burden</w:t>
      </w:r>
    </w:p>
    <w:p>
      <w:pPr>
        <w:pStyle w:val="BodyText"/>
      </w:pPr>
      <w:r>
        <w:t xml:space="preserve">++Less fragmentation in the</w:t>
      </w:r>
      <w:r>
        <w:t xml:space="preserve"> </w:t>
      </w:r>
      <w:r>
        <w:t xml:space="preserve">single market</w:t>
      </w:r>
    </w:p>
    <w:p>
      <w:pPr>
        <w:pStyle w:val="BodyText"/>
      </w:pPr>
      <w:r>
        <w:t xml:space="preserve">++ Higher legal certainty</w:t>
      </w:r>
    </w:p>
    <w:p>
      <w:pPr>
        <w:pStyle w:val="BodyText"/>
      </w:pPr>
      <w:r>
        <w:t xml:space="preserve">++Increase</w:t>
      </w:r>
      <w:r>
        <w:t xml:space="preserve"> </w:t>
      </w:r>
      <w:r>
        <w:t xml:space="preserve">cross-border</w:t>
      </w:r>
      <w:r>
        <w:t xml:space="preserve"> </w:t>
      </w:r>
      <w:r>
        <w:t xml:space="preserve">distribution of investments</w:t>
      </w:r>
      <w:r>
        <w:t xml:space="preserve"> </w:t>
      </w:r>
      <w:r>
        <w:t xml:space="preserve">funds</w:t>
      </w:r>
    </w:p>
    <w:p>
      <w:pPr>
        <w:pStyle w:val="BodyText"/>
      </w:pPr>
      <w:r>
        <w:t xml:space="preserve">++Economies of scale and</w:t>
      </w:r>
      <w:r>
        <w:t xml:space="preserve"> </w:t>
      </w:r>
      <w:r>
        <w:t xml:space="preserve">efficiency</w:t>
      </w:r>
      <w:r>
        <w:t xml:space="preserve"> </w:t>
      </w:r>
      <w:r>
        <w:t xml:space="preserve">gains/lower</w:t>
      </w:r>
      <w:r>
        <w:t xml:space="preserve"> </w:t>
      </w:r>
      <w:r>
        <w:t xml:space="preserve">operational costs</w:t>
      </w:r>
    </w:p>
    <w:p>
      <w:pPr>
        <w:pStyle w:val="BodyText"/>
      </w:pPr>
      <w:r>
        <w:t xml:space="preserve">++Improve</w:t>
      </w:r>
      <w:r>
        <w:t xml:space="preserve"> </w:t>
      </w:r>
      <w:r>
        <w:t xml:space="preserve">operating</w:t>
      </w:r>
      <w:r>
        <w:t xml:space="preserve"> </w:t>
      </w:r>
      <w:r>
        <w:t xml:space="preserve">conditions for cross-border</w:t>
      </w:r>
      <w:r>
        <w:t xml:space="preserve"> </w:t>
      </w:r>
      <w:r>
        <w:t xml:space="preserve">groups</w:t>
      </w:r>
    </w:p>
    <w:p>
      <w:pPr>
        <w:pStyle w:val="BodyText"/>
      </w:pPr>
      <w:r>
        <w:t xml:space="preserve">++Diverse</w:t>
      </w:r>
      <w:r>
        <w:t xml:space="preserve"> </w:t>
      </w:r>
      <w:r>
        <w:t xml:space="preserve">investment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 pricing</w:t>
      </w:r>
    </w:p>
    <w:p>
      <w:pPr>
        <w:pStyle w:val="BodyText"/>
      </w:pPr>
      <w:r>
        <w:t xml:space="preserve">++ Savings and economies</w:t>
      </w:r>
      <w:r>
        <w:t xml:space="preserve"> </w:t>
      </w:r>
      <w:r>
        <w:t xml:space="preserve">of scale partially passed on</w:t>
      </w:r>
      <w:r>
        <w:t xml:space="preserve"> </w:t>
      </w:r>
      <w:r>
        <w:t xml:space="preserve">to users of infrastructure,</w:t>
      </w:r>
      <w:r>
        <w:t xml:space="preserve"> </w:t>
      </w:r>
      <w:r>
        <w:t xml:space="preserve">leading to lower costs for</w:t>
      </w:r>
      <w:r>
        <w:t xml:space="preserve"> </w:t>
      </w:r>
      <w:r>
        <w:t xml:space="preserve">investing in capital markets</w:t>
      </w:r>
      <w:r>
        <w:t xml:space="preserve"> </w:t>
      </w:r>
      <w:r>
        <w:t xml:space="preserve">++ better access to funding</w:t>
      </w:r>
      <w:r>
        <w:t xml:space="preserve"> </w:t>
      </w:r>
      <w:r>
        <w:t xml:space="preserve">via larger investor base</w:t>
      </w:r>
      <w:r>
        <w:t xml:space="preserve"> </w:t>
      </w:r>
      <w:r>
        <w:t xml:space="preserve">Option 3</w:t>
      </w:r>
      <w:r>
        <w:t xml:space="preserve"> </w:t>
      </w:r>
      <w:r>
        <w:t xml:space="preserve">+/- Same as Option 2 but</w:t>
      </w:r>
      <w:r>
        <w:t xml:space="preserve"> </w:t>
      </w:r>
      <w:r>
        <w:t xml:space="preserve">implementing costs linked</w:t>
      </w:r>
      <w:r>
        <w:t xml:space="preserve"> </w:t>
      </w:r>
      <w:r>
        <w:t xml:space="preserve">to interconnection mandate</w:t>
      </w:r>
      <w:r>
        <w:t xml:space="preserve"> </w:t>
      </w:r>
      <w:r>
        <w:t xml:space="preserve">+/- Same benefits as under</w:t>
      </w:r>
      <w:r>
        <w:t xml:space="preserve"> </w:t>
      </w:r>
      <w:r>
        <w:t xml:space="preserve">option 2 at the risk of higher</w:t>
      </w:r>
      <w:r>
        <w:t xml:space="preserve"> </w:t>
      </w:r>
      <w:r>
        <w:t xml:space="preserve">financial stability risks</w:t>
      </w:r>
      <w:r>
        <w:t xml:space="preserve"> </w:t>
      </w:r>
      <w:r>
        <w:t xml:space="preserve">+/- Disproportionate for the</w:t>
      </w:r>
      <w:r>
        <w:t xml:space="preserve"> </w:t>
      </w:r>
      <w:r>
        <w:t xml:space="preserve">sector,</w:t>
      </w:r>
      <w:r>
        <w:t xml:space="preserve"> </w:t>
      </w:r>
      <w:r>
        <w:t xml:space="preserve">with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undermining</w:t>
      </w:r>
      <w:r>
        <w:t xml:space="preserve"> </w:t>
      </w:r>
      <w:r>
        <w:t xml:space="preserve">effective</w:t>
      </w:r>
      <w:r>
        <w:t xml:space="preserve"> </w:t>
      </w:r>
      <w:r>
        <w:t xml:space="preserve">+/_Same as option 2 in</w:t>
      </w:r>
      <w:r>
        <w:t xml:space="preserve"> </w:t>
      </w:r>
      <w:r>
        <w:t xml:space="preserve">terms of access to more</w:t>
      </w:r>
      <w:r>
        <w:t xml:space="preserve"> </w:t>
      </w:r>
      <w:r>
        <w:t xml:space="preserve">diverse</w:t>
      </w:r>
      <w:r>
        <w:t xml:space="preserve"> </w:t>
      </w:r>
      <w:r>
        <w:t xml:space="preserve">investment</w:t>
      </w:r>
      <w:r>
        <w:t xml:space="preserve"> </w:t>
      </w:r>
      <w:r>
        <w:t xml:space="preserve">+/- Same as option 2 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simplicity</w:t>
      </w:r>
      <w:r>
        <w:t xml:space="preserve"> </w:t>
      </w:r>
      <w:r>
        <w:t xml:space="preserve">of</w:t>
      </w:r>
      <w:r>
        <w:t xml:space="preserve"> </w:t>
      </w:r>
      <w:r>
        <w:t xml:space="preserve">accessing public markets,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higher</w:t>
      </w:r>
    </w:p>
    <w:p>
      <w:pPr>
        <w:pStyle w:val="BodyText"/>
      </w:pPr>
      <w:r>
        <w:t xml:space="preserve">+/- Potential for innovation</w:t>
      </w:r>
      <w:r>
        <w:t xml:space="preserve"> </w:t>
      </w:r>
      <w:r>
        <w:t xml:space="preserve">and scale under DLTPR</w:t>
      </w:r>
      <w:r>
        <w:t xml:space="preserve"> </w:t>
      </w:r>
      <w:r>
        <w:t xml:space="preserve">would be maximised for</w:t>
      </w:r>
      <w:r>
        <w:t xml:space="preserve"> </w:t>
      </w:r>
      <w:r>
        <w:t xml:space="preserve">market infrastructures, but at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lower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regulatory framework</w:t>
      </w:r>
    </w:p>
    <w:p>
      <w:pPr>
        <w:pStyle w:val="BodyText"/>
      </w:pPr>
      <w:r>
        <w:t xml:space="preserve">+/- Reduce competition and</w:t>
      </w:r>
      <w:r>
        <w:t xml:space="preserve"> </w:t>
      </w:r>
      <w:r>
        <w:t xml:space="preserve">innovation in the post-</w:t>
      </w:r>
      <w:r>
        <w:t xml:space="preserve"> </w:t>
      </w:r>
      <w:r>
        <w:t xml:space="preserve">trading sector</w:t>
      </w:r>
    </w:p>
    <w:p>
      <w:pPr>
        <w:pStyle w:val="BodyText"/>
      </w:pPr>
      <w:r>
        <w:t xml:space="preserve">+/- Potential for innovation</w:t>
      </w:r>
      <w:r>
        <w:t xml:space="preserve"> </w:t>
      </w:r>
      <w:r>
        <w:t xml:space="preserve">and scale under DLTPR</w:t>
      </w:r>
      <w:r>
        <w:t xml:space="preserve"> </w:t>
      </w:r>
      <w:r>
        <w:t xml:space="preserve">would be maximised for</w:t>
      </w:r>
      <w:r>
        <w:t xml:space="preserve"> </w:t>
      </w:r>
      <w:r>
        <w:t xml:space="preserve">market infrastructures, but at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lower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supervision</w:t>
      </w:r>
      <w:r>
        <w:t xml:space="preserve"> </w:t>
      </w:r>
      <w:r>
        <w:t xml:space="preserve">and</w:t>
      </w:r>
      <w:r>
        <w:t xml:space="preserve"> </w:t>
      </w:r>
      <w:r>
        <w:t xml:space="preserve">investor</w:t>
      </w:r>
      <w:r>
        <w:t xml:space="preserve"> </w:t>
      </w:r>
      <w:r>
        <w:t xml:space="preserve">protection</w:t>
      </w:r>
      <w:r>
        <w:t xml:space="preserve"> </w:t>
      </w:r>
      <w:r>
        <w:t xml:space="preserve">opportunities, but higher</w:t>
      </w:r>
      <w:r>
        <w:t xml:space="preserve"> </w:t>
      </w:r>
      <w:r>
        <w:t xml:space="preserve">costs could be transferred to</w:t>
      </w:r>
      <w:r>
        <w:t xml:space="preserve"> </w:t>
      </w:r>
      <w:r>
        <w:t xml:space="preserve">investors</w:t>
      </w:r>
      <w:r>
        <w:t xml:space="preserve"> </w:t>
      </w:r>
      <w:r>
        <w:t xml:space="preserve">but higher costs could be</w:t>
      </w:r>
      <w:r>
        <w:t xml:space="preserve"> </w:t>
      </w:r>
      <w:r>
        <w:t xml:space="preserve">transferred to investors</w:t>
      </w:r>
      <w:r>
        <w:t xml:space="preserve"> </w:t>
      </w:r>
      <w:r>
        <w:t xml:space="preserve">Legend: +++ = Very positive ++ = Positive + = Slightly positive +/- = Mixed effect</w:t>
      </w:r>
      <w:r>
        <w:br/>
      </w:r>
      <w:r>
        <w:t xml:space="preserve">0 = no effect - = Slightly negative – = Negative — = very negative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6.2. NON-ALIGNED SUPERVISORY PRACTICES ACROSS MEMBER STATES AND WEAK TOOLS</w:t>
      </w:r>
      <w:r>
        <w:t xml:space="preserve"> </w:t>
      </w:r>
      <w:r>
        <w:t xml:space="preserve">AND POWERS AT EU LEVEL</w:t>
      </w:r>
      <w:r>
        <w:br/>
      </w:r>
      <w:r>
        <w:t xml:space="preserve">6.2.1. Improved supervisory convergence and an enhanced role for ESMA in</w:t>
      </w:r>
      <w:r>
        <w:t xml:space="preserve"> </w:t>
      </w:r>
      <w:r>
        <w:t xml:space="preserve">supervision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This option directly targets the shortcomings stemming from divergent supervisory practices and</w:t>
      </w:r>
      <w:r>
        <w:t xml:space="preserve"> </w:t>
      </w:r>
      <w:r>
        <w:t xml:space="preserve">weak tools and powers at EU level by enabling a more coherent, proportionate, and strategic</w:t>
      </w:r>
      <w:r>
        <w:t xml:space="preserve"> </w:t>
      </w:r>
      <w:r>
        <w:t xml:space="preserve">allocation of supervisory tasks.</w:t>
      </w:r>
      <w:r>
        <w:br/>
      </w:r>
      <w:r>
        <w:t xml:space="preserve">This option significantly enhances the effectiveness of EU financial supervision by centralising it</w:t>
      </w:r>
      <w:r>
        <w:t xml:space="preserve"> </w:t>
      </w:r>
      <w:r>
        <w:t xml:space="preserve">for EU CCPs, CSDs and trading venues whose size, cross-border activities/dimension or systemic</w:t>
      </w:r>
      <w:r>
        <w:t xml:space="preserve"> </w:t>
      </w:r>
      <w:r>
        <w:t xml:space="preserve">importance warrant a more integrated approach. In general, ESMA’s oversight would allow for</w:t>
      </w:r>
      <w:r>
        <w:t xml:space="preserve"> </w:t>
      </w:r>
      <w:r>
        <w:t xml:space="preserve">more consistent and coordinated enforcement, particularly in areas where the failure or</w:t>
      </w:r>
      <w:r>
        <w:t xml:space="preserve"> </w:t>
      </w:r>
      <w:r>
        <w:t xml:space="preserve">mismanagement of a single entity can produce ripple effects throughout the EU. Giving ESMA</w:t>
      </w:r>
      <w:r>
        <w:t xml:space="preserve"> </w:t>
      </w:r>
      <w:r>
        <w:t xml:space="preserve">direct supervision over these entities would ensure that conduct risks are assessed with a uniform,</w:t>
      </w:r>
      <w:r>
        <w:t xml:space="preserve"> </w:t>
      </w:r>
      <w:r>
        <w:t xml:space="preserve">EU-wide perspective. Such an approach would give ESMA full visibility over both the trading and</w:t>
      </w:r>
      <w:r>
        <w:t xml:space="preserve"> </w:t>
      </w:r>
      <w:r>
        <w:t xml:space="preserve">post-trade operations of supervised entities across the Member States, which would enable it to</w:t>
      </w:r>
      <w:r>
        <w:t xml:space="preserve"> </w:t>
      </w:r>
      <w:r>
        <w:t xml:space="preserve">better detect systemic risks, monitor market developments, and ensure consistent application of</w:t>
      </w:r>
      <w:r>
        <w:t xml:space="preserve"> </w:t>
      </w:r>
      <w:r>
        <w:t xml:space="preserve">the single rulebook. ESMA’s direct engagement would also simplify supervisory interactions,</w:t>
      </w:r>
      <w:r>
        <w:t xml:space="preserve"> </w:t>
      </w:r>
      <w:r>
        <w:t xml:space="preserve">provide firms with a single point of contact, and create a level playing field among them. By</w:t>
      </w:r>
      <w:r>
        <w:t xml:space="preserve"> </w:t>
      </w:r>
      <w:r>
        <w:t xml:space="preserve">retaining the supervision of smaller, locally focused entities at national level, this option strikes</w:t>
      </w:r>
      <w:r>
        <w:t xml:space="preserve"> </w:t>
      </w:r>
      <w:r>
        <w:t xml:space="preserve">the right balance between the need for local expertise and the advantages of centralised oversight.</w:t>
      </w:r>
      <w:r>
        <w:t xml:space="preserve"> </w:t>
      </w:r>
      <w:r>
        <w:t xml:space="preserve">It avoids a one-size-fits-all approach within sectors and ensures that supervision remains</w:t>
      </w:r>
      <w:r>
        <w:t xml:space="preserve"> </w:t>
      </w:r>
      <w:r>
        <w:t xml:space="preserve">proportionate to the risks posed by each entity.</w:t>
      </w:r>
      <w:r>
        <w:br/>
      </w:r>
      <w:r>
        <w:t xml:space="preserve">More specifically, each sector would benefit from ESMA’s role in reducing fragmentation,</w:t>
      </w:r>
      <w:r>
        <w:t xml:space="preserve"> </w:t>
      </w:r>
      <w:r>
        <w:t xml:space="preserve">enforcing uniform standards, and addressing cross-border risks through EU level supervision and</w:t>
      </w:r>
      <w:r>
        <w:t xml:space="preserve"> </w:t>
      </w:r>
      <w:r>
        <w:t xml:space="preserve">enhanced tools.</w:t>
      </w:r>
      <w:r>
        <w:br/>
      </w:r>
      <w:r>
        <w:t xml:space="preserve">For significant EU CCPs, supervision by ESMA would result in harmonised supervisory processes</w:t>
      </w:r>
      <w:r>
        <w:t xml:space="preserve"> </w:t>
      </w:r>
      <w:r>
        <w:t xml:space="preserve">for authorising new services, risk model changes, and prudential assessments. EU supervision</w:t>
      </w:r>
      <w:r>
        <w:t xml:space="preserve"> </w:t>
      </w:r>
      <w:r>
        <w:t xml:space="preserve">would ensure a uniform EU-wide perspective on prudential and conduct risks, enabling timely</w:t>
      </w:r>
      <w:r>
        <w:t xml:space="preserve"> </w:t>
      </w:r>
      <w:r>
        <w:t xml:space="preserve">detection of systemic risks.</w:t>
      </w:r>
      <w:r>
        <w:br/>
      </w:r>
      <w:r>
        <w:t xml:space="preserve">For significant EU CSDs, EU supervision would result in harmonised supervisory processes,</w:t>
      </w:r>
      <w:r>
        <w:t xml:space="preserve"> </w:t>
      </w:r>
      <w:r>
        <w:t xml:space="preserve">particularly in areas like intra-group outsourcing and service extensions. ESMA’s oversight would</w:t>
      </w:r>
      <w:r>
        <w:t xml:space="preserve"> </w:t>
      </w:r>
      <w:r>
        <w:t xml:space="preserve">ensure consistent application of rules across Member States, monitoring cross-border risks from</w:t>
      </w:r>
      <w:r>
        <w:t xml:space="preserve"> </w:t>
      </w:r>
      <w:r>
        <w:t xml:space="preserve">increased transaction volumes. This centralised approach would promote a level playing field for</w:t>
      </w:r>
      <w:r>
        <w:t xml:space="preserve"> </w:t>
      </w:r>
      <w:r>
        <w:t xml:space="preserve">CSDs, enhance transparency in securities services, and mitigate systemic risks associated with</w:t>
      </w:r>
      <w:r>
        <w:t xml:space="preserve"> </w:t>
      </w:r>
      <w:r>
        <w:t xml:space="preserve">cross-border operations.</w:t>
      </w:r>
      <w:r>
        <w:t xml:space="preserve"> </w:t>
      </w:r>
      <w:r>
        <w:t xml:space="preserve">In the trading sector, the centralisation of supervisory powers as envisaged in Option 2 would</w:t>
      </w:r>
      <w:r>
        <w:t xml:space="preserve"> </w:t>
      </w:r>
      <w:r>
        <w:t xml:space="preserve">foster fair competition among trading venues and facilitate cross-border operations by reducing</w:t>
      </w:r>
      <w:r>
        <w:t xml:space="preserve"> </w:t>
      </w:r>
      <w:r>
        <w:t xml:space="preserve">costs and enabling the synergies which a friction-less single market for capital should offer.</w:t>
      </w:r>
      <w:r>
        <w:t xml:space="preserve"> </w:t>
      </w:r>
      <w:r>
        <w:t xml:space="preserve">Because of the significant part of the sector falling in scope as well as the enhanced supervisory</w:t>
      </w:r>
      <w:r>
        <w:t xml:space="preserve"> </w:t>
      </w:r>
      <w:r>
        <w:t xml:space="preserve">convergence tools for ESMA foreseen under this option, it is also expected to support an</w:t>
      </w:r>
      <w:r>
        <w:t xml:space="preserve"> </w:t>
      </w:r>
      <w:r>
        <w:t xml:space="preserve">improvement in the alignment of supervisory approaches towards those trading venues which,</w:t>
      </w:r>
      <w:r>
        <w:t xml:space="preserve"> </w:t>
      </w:r>
      <w:r>
        <w:t xml:space="preserve">because of their smaller size and national dimension, would remain under national supervision.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For the asset management sector, this option proposes to enhance ESMA’s coordination role to</w:t>
      </w:r>
      <w:r>
        <w:t xml:space="preserve"> </w:t>
      </w:r>
      <w:r>
        <w:t xml:space="preserve">increase supervisory convergence. This goal will be achieved by giving ESMA a mandate to (1)</w:t>
      </w:r>
      <w:r>
        <w:br/>
      </w:r>
      <w:r>
        <w:t xml:space="preserve">bring together all the necessary information that each NCA holds on group entities so that</w:t>
      </w:r>
      <w:r>
        <w:t xml:space="preserve"> </w:t>
      </w:r>
      <w:r>
        <w:t xml:space="preserve">supervisors can have a full overview of the market and monitor all relevant risks, (2) carry out,</w:t>
      </w:r>
      <w:r>
        <w:t xml:space="preserve"> </w:t>
      </w:r>
      <w:r>
        <w:t xml:space="preserve">together with NCAs, periodical group-wide reviews of the supervisory approach for asset</w:t>
      </w:r>
      <w:r>
        <w:t xml:space="preserve"> </w:t>
      </w:r>
      <w:r>
        <w:t xml:space="preserve">management companies, (3) coordinate the supervision of cross-border provision of investment</w:t>
      </w:r>
      <w:r>
        <w:t xml:space="preserve"> </w:t>
      </w:r>
      <w:r>
        <w:t xml:space="preserve">funds by receiving marketing notifications and, through its role and powers in collaboration</w:t>
      </w:r>
      <w:r>
        <w:t xml:space="preserve"> </w:t>
      </w:r>
      <w:r>
        <w:t xml:space="preserve">platforms, ensuring that asset managers receive a single, consistent conclusion and set of</w:t>
      </w:r>
      <w:r>
        <w:t xml:space="preserve"> </w:t>
      </w:r>
      <w:r>
        <w:t xml:space="preserve">requirements on their marketing documents.</w:t>
      </w:r>
      <w:r>
        <w:t xml:space="preserve"> </w:t>
      </w:r>
      <w:r>
        <w:t xml:space="preserve">This approach will make oversight more effective for the asset management sector, since it would</w:t>
      </w:r>
      <w:r>
        <w:t xml:space="preserve"> </w:t>
      </w:r>
      <w:r>
        <w:t xml:space="preserve">give everyone a clearer picture of how those asset manager groups are organised and operate in</w:t>
      </w:r>
      <w:r>
        <w:t xml:space="preserve"> </w:t>
      </w:r>
      <w:r>
        <w:t xml:space="preserve">Member States. It would also prevent duplicative information requests when different functions</w:t>
      </w:r>
      <w:r>
        <w:t xml:space="preserve"> </w:t>
      </w:r>
      <w:r>
        <w:t xml:space="preserve">are allocated to different entities in different Member States. By ensuring that rules are applied in</w:t>
      </w:r>
      <w:r>
        <w:t xml:space="preserve"> </w:t>
      </w:r>
      <w:r>
        <w:t xml:space="preserve">a consistent way, ESMA would help create a level playing field and make cross-border operations</w:t>
      </w:r>
      <w:r>
        <w:t xml:space="preserve"> </w:t>
      </w:r>
      <w:r>
        <w:t xml:space="preserve">easier for firms. In addition, under the current AIFMD/UCITSD frameworks, Member States must</w:t>
      </w:r>
      <w:r>
        <w:t xml:space="preserve"> </w:t>
      </w:r>
      <w:r>
        <w:t xml:space="preserve">still establish their own rules of conduct, organisational requirements, prudential rules, product</w:t>
      </w:r>
      <w:r>
        <w:t xml:space="preserve"> </w:t>
      </w:r>
      <w:r>
        <w:t xml:space="preserve">rules, and other related matters. This limits ESMA’s capacity to promote convergence, since</w:t>
      </w:r>
      <w:r>
        <w:t xml:space="preserve"> </w:t>
      </w:r>
      <w:r>
        <w:t xml:space="preserve">national authorities cannot move beyond the boundaries of their national rules. Under the proposed</w:t>
      </w:r>
      <w:r>
        <w:t xml:space="preserve"> </w:t>
      </w:r>
      <w:r>
        <w:t xml:space="preserve">changes, part of the Member States’ prerogatives would be replaced by EU rules, and discretionary</w:t>
      </w:r>
      <w:r>
        <w:t xml:space="preserve"> </w:t>
      </w:r>
      <w:r>
        <w:t xml:space="preserve">options currently granted to Member States would be removed.</w:t>
      </w:r>
      <w:r>
        <w:t xml:space="preserve"> </w:t>
      </w:r>
      <w:r>
        <w:t xml:space="preserve">In the case of CASPs, giving ESMA direct supervision will build a strong common supervisory</w:t>
      </w:r>
      <w:r>
        <w:t xml:space="preserve"> </w:t>
      </w:r>
      <w:r>
        <w:t xml:space="preserve">framework from the start in a sector that is operating electronically and cross-border and where</w:t>
      </w:r>
      <w:r>
        <w:t xml:space="preserve"> </w:t>
      </w:r>
      <w:r>
        <w:t xml:space="preserve">national authorities have less on-the ground knowledge. Direct supervision in this case would also</w:t>
      </w:r>
      <w:r>
        <w:t xml:space="preserve"> </w:t>
      </w:r>
      <w:r>
        <w:t xml:space="preserve">be more effective because the implementation and interpretation of MiCA would fall in the hands</w:t>
      </w:r>
      <w:r>
        <w:t xml:space="preserve"> </w:t>
      </w:r>
      <w:r>
        <w:t xml:space="preserve">on a single supervisor which would have the capacity to develop strong expertise on new</w:t>
      </w:r>
      <w:r>
        <w:t xml:space="preserve"> </w:t>
      </w:r>
      <w:r>
        <w:t xml:space="preserve">technologies and ensure that the same requirements are applied across the board.</w:t>
      </w:r>
      <w:r>
        <w:br/>
      </w:r>
      <w:r>
        <w:t xml:space="preserve">Stakeholders perceive limitations in convergence tools as well as the incentives to use them, as</w:t>
      </w:r>
      <w:r>
        <w:t xml:space="preserve"> </w:t>
      </w:r>
      <w:r>
        <w:t xml:space="preserve">reflected in the consultation responses: only 21 respondents consider ESMA’s current supervisory</w:t>
      </w:r>
      <w:r>
        <w:t xml:space="preserve"> </w:t>
      </w:r>
      <w:r>
        <w:t xml:space="preserve">convergence tools to be used effectively, while 44 do not, and only 19 respondents feel that</w:t>
      </w:r>
      <w:r>
        <w:t xml:space="preserve"> </w:t>
      </w:r>
      <w:r>
        <w:t xml:space="preserve">ESMA’s governance and decision-making processes provide sufficient incentives for their use,</w:t>
      </w:r>
      <w:r>
        <w:t xml:space="preserve"> </w:t>
      </w:r>
      <w:r>
        <w:t xml:space="preserve">compared with 26 who do not.152 Several stakeholders, in particular those from the concerned</w:t>
      </w:r>
      <w:r>
        <w:t xml:space="preserve"> </w:t>
      </w:r>
      <w:r>
        <w:t xml:space="preserve">sectors, support enhancing ESMA’s central supervisory role in targeted areas, and emphasise the</w:t>
      </w:r>
      <w:r>
        <w:t xml:space="preserve"> </w:t>
      </w:r>
      <w:r>
        <w:t xml:space="preserve">need to ensure that ESMA focuses on areas where EU-level oversight adds the most value.</w:t>
      </w:r>
      <w:r>
        <w:t xml:space="preserve"> </w:t>
      </w:r>
      <w:r>
        <w:t xml:space="preserve">Reforms to the supervisory convergence tools would significantly improve the effectiveness of</w:t>
      </w:r>
      <w:r>
        <w:t xml:space="preserve"> </w:t>
      </w:r>
      <w:r>
        <w:t xml:space="preserve">ESMA’s ability to tackle divergent national practices. Enhancements to existing tools – such as</w:t>
      </w:r>
      <w:r>
        <w:t xml:space="preserve"> </w:t>
      </w:r>
      <w:r>
        <w:t xml:space="preserve">binding mediation, breach of Union law procedures, and peer reviews – would equip ESMA with</w:t>
      </w:r>
      <w:r>
        <w:t xml:space="preserve"> </w:t>
      </w:r>
      <w:r>
        <w:t xml:space="preserve">the mechanisms to enforce uniformity where it is most needed. Furthermore, new tools that have</w:t>
      </w:r>
      <w:r>
        <w:t xml:space="preserve"> </w:t>
      </w:r>
      <w:r>
        <w:t xml:space="preserve">proven their effectiveness in sector legislation, such as collaboration platforms, would be added to</w:t>
      </w:r>
      <w:r>
        <w:t xml:space="preserve"> </w:t>
      </w:r>
      <w:r>
        <w:t xml:space="preserve">ESMA’s supervisory toolbox. The result would be a more stable and integrated supervisory</w:t>
      </w:r>
      <w:r>
        <w:t xml:space="preserve"> </w:t>
      </w:r>
      <w:r>
        <w:t xml:space="preserve">framework, better equipped to address emerging financial risks and reinforce investor trust in the</w:t>
      </w:r>
      <w:r>
        <w:t xml:space="preserve"> </w:t>
      </w:r>
      <w:r>
        <w:t xml:space="preserve">EU financial system.</w:t>
      </w:r>
    </w:p>
    <w:p>
      <w:pPr>
        <w:pStyle w:val="BodyText"/>
      </w:pPr>
      <w:r>
        <w:t xml:space="preserve">152 This is based on several questions in Section 7.2 and 7.3. Question 7 asked: Please rate the effectiveness of</w:t>
      </w:r>
      <w:r>
        <w:t xml:space="preserve"> </w:t>
      </w:r>
      <w:r>
        <w:t xml:space="preserve">supervisory convergence tools from 1 to 5. Question 8 asked: Do you think that the current supervisory convergence</w:t>
      </w:r>
      <w:r>
        <w:t xml:space="preserve"> </w:t>
      </w:r>
      <w:r>
        <w:t xml:space="preserve">tools are used effectively and to the extent that is possible? Question 9 asked: Do you think that the current governance</w:t>
      </w:r>
      <w:r>
        <w:t xml:space="preserve"> </w:t>
      </w:r>
      <w:r>
        <w:t xml:space="preserve">and decision-making processes within ESAs provide sufficient incentives for the use of supervisory convergence</w:t>
      </w:r>
      <w:r>
        <w:t xml:space="preserve"> </w:t>
      </w:r>
      <w:r>
        <w:t xml:space="preserve">tools?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This option would bring substantial efficiency gains by centralising supervisory responsibilities in</w:t>
      </w:r>
      <w:r>
        <w:t xml:space="preserve"> </w:t>
      </w:r>
      <w:r>
        <w:t xml:space="preserve">a targeted and proportionate manner. In doing so, it would reduce redundancies and remove the</w:t>
      </w:r>
      <w:r>
        <w:t xml:space="preserve"> </w:t>
      </w:r>
      <w:r>
        <w:t xml:space="preserve">inefficiencies associated with fragmented supervision, particularly for entities operating across</w:t>
      </w:r>
      <w:r>
        <w:t xml:space="preserve"> </w:t>
      </w:r>
      <w:r>
        <w:t xml:space="preserve">multiple jurisdictions. While this option would entail one-off and recurring costs for supervisors</w:t>
      </w:r>
      <w:r>
        <w:t xml:space="preserve"> </w:t>
      </w:r>
      <w:r>
        <w:t xml:space="preserve">and businesses, the benefits of this option are considered to outweigh the costs in the long-term.</w:t>
      </w:r>
      <w:r>
        <w:t xml:space="preserve"> </w:t>
      </w:r>
      <w:r>
        <w:t xml:space="preserve">Notably, while transferring supervision of certain entities to ESMA would create costs for</w:t>
      </w:r>
      <w:r>
        <w:t xml:space="preserve"> </w:t>
      </w:r>
      <w:r>
        <w:t xml:space="preserve">businesses, these costs are expected to be outweighed by the cost savings for NCAs.</w:t>
      </w:r>
      <w:r>
        <w:br/>
      </w:r>
      <w:r>
        <w:t xml:space="preserve">From a resource perspective, the expectation is that consolidation of supervisory functions for</w:t>
      </w:r>
      <w:r>
        <w:t xml:space="preserve"> </w:t>
      </w:r>
      <w:r>
        <w:t xml:space="preserve">significant entities at the EU level will reduce the need for each Member State to independently</w:t>
      </w:r>
      <w:r>
        <w:t xml:space="preserve"> </w:t>
      </w:r>
      <w:r>
        <w:t xml:space="preserve">maintain full supervisory capacity in all areas. This would result in economies of scale and a more</w:t>
      </w:r>
      <w:r>
        <w:t xml:space="preserve"> </w:t>
      </w:r>
      <w:r>
        <w:t xml:space="preserve">focused allocation of supervisory expertise. For firms, especially those with a pan-European</w:t>
      </w:r>
      <w:r>
        <w:t xml:space="preserve"> </w:t>
      </w:r>
      <w:r>
        <w:t xml:space="preserve">presence, the centralisation of supervision would reduce the administrative burden and compliance</w:t>
      </w:r>
      <w:r>
        <w:t xml:space="preserve"> </w:t>
      </w:r>
      <w:r>
        <w:t xml:space="preserve">costs caused by navigating multiple national supervisory approaches. A single supervisory</w:t>
      </w:r>
      <w:r>
        <w:t xml:space="preserve"> </w:t>
      </w:r>
      <w:r>
        <w:t xml:space="preserve">authority with clearly defined competencies would reduce duplicative and sometimes inconsistent</w:t>
      </w:r>
      <w:r>
        <w:t xml:space="preserve"> </w:t>
      </w:r>
      <w:r>
        <w:t xml:space="preserve">supervisory requirements and would enhance the predictability of supervisory outcomes. For</w:t>
      </w:r>
      <w:r>
        <w:t xml:space="preserve"> </w:t>
      </w:r>
      <w:r>
        <w:t xml:space="preserve">instance, one major exchange group has estimated that full centralisation of its supervision could</w:t>
      </w:r>
      <w:r>
        <w:t xml:space="preserve"> </w:t>
      </w:r>
      <w:r>
        <w:t xml:space="preserve">yield direct ongoing cost reductions of EUR 6-9 million annually. A key area of improvement in</w:t>
      </w:r>
      <w:r>
        <w:t xml:space="preserve"> </w:t>
      </w:r>
      <w:r>
        <w:t xml:space="preserve">this context is data and supervisory reporting where single reporting to ESMA in the area of trading</w:t>
      </w:r>
      <w:r>
        <w:t xml:space="preserve"> </w:t>
      </w:r>
      <w:r>
        <w:t xml:space="preserve">and post-trading would improve consistency and avoid possible data reconciliation issues.</w:t>
      </w:r>
      <w:r>
        <w:t xml:space="preserve"> </w:t>
      </w:r>
      <w:r>
        <w:t xml:space="preserve">However, not all data collection would be centralised under this option, meaning that some synergy</w:t>
      </w:r>
      <w:r>
        <w:t xml:space="preserve"> </w:t>
      </w:r>
      <w:r>
        <w:t xml:space="preserve">gains are foregone. In general, the centralisation of data collection would create one-off costs but</w:t>
      </w:r>
      <w:r>
        <w:t xml:space="preserve"> </w:t>
      </w:r>
      <w:r>
        <w:t xml:space="preserve">would result in significant on-going cost savings. In addition to the reduction of direct cost, further</w:t>
      </w:r>
      <w:r>
        <w:t xml:space="preserve"> </w:t>
      </w:r>
      <w:r>
        <w:t xml:space="preserve">benefits would lie in shortened approval timelines in trading and post trading, resulting in a better</w:t>
      </w:r>
      <w:r>
        <w:t xml:space="preserve"> </w:t>
      </w:r>
      <w:r>
        <w:t xml:space="preserve">environment for innovation and shorter time-to-market for new products.</w:t>
      </w:r>
      <w:r>
        <w:br/>
      </w:r>
      <w:r>
        <w:t xml:space="preserve">The governance reforms proposed under this option would further improve efficiency by</w:t>
      </w:r>
      <w:r>
        <w:t xml:space="preserve"> </w:t>
      </w:r>
      <w:r>
        <w:t xml:space="preserve">introducing a streamlined decision-making process through a dedicated Executive Board</w:t>
      </w:r>
      <w:r>
        <w:t xml:space="preserve"> </w:t>
      </w:r>
      <w:r>
        <w:t xml:space="preserve">composed of full-time, independent members. This body would replace the slower, consensus-</w:t>
      </w:r>
      <w:r>
        <w:t xml:space="preserve"> </w:t>
      </w:r>
      <w:r>
        <w:t xml:space="preserve">based model of the current Board of Supervisors, enabling quicker and more decisive supervisory</w:t>
      </w:r>
      <w:r>
        <w:t xml:space="preserve"> </w:t>
      </w:r>
      <w:r>
        <w:t xml:space="preserve">actions.</w:t>
      </w:r>
      <w:r>
        <w:br/>
      </w:r>
      <w:r>
        <w:t xml:space="preserve">By adopting a clear, fee-based approach for direct supervision – grounded in the user-pays</w:t>
      </w:r>
      <w:r>
        <w:t xml:space="preserve"> </w:t>
      </w:r>
      <w:r>
        <w:t xml:space="preserve">principle – ESMA’s financial autonomy and responsiveness would be reinforced. At the same</w:t>
      </w:r>
      <w:r>
        <w:t xml:space="preserve"> </w:t>
      </w:r>
      <w:r>
        <w:t xml:space="preserve">time, tasks with broader public value, such as regulatory development and supervisory</w:t>
      </w:r>
      <w:r>
        <w:t xml:space="preserve"> </w:t>
      </w:r>
      <w:r>
        <w:t xml:space="preserve">convergence, where ESMA would not have direct supervisory powers, would continue to be</w:t>
      </w:r>
      <w:r>
        <w:t xml:space="preserve"> </w:t>
      </w:r>
      <w:r>
        <w:t xml:space="preserve">supported by the EU budget and NCAs contributions, reflecting their collective benefit to the</w:t>
      </w:r>
      <w:r>
        <w:t xml:space="preserve"> </w:t>
      </w:r>
      <w:r>
        <w:t xml:space="preserve">single market. Clarifying and consolidating ESMA’s mandates to levy fees on supervised entities</w:t>
      </w:r>
      <w:r>
        <w:t xml:space="preserve"> </w:t>
      </w:r>
      <w:r>
        <w:t xml:space="preserve">would ensure transparency, proportionality, and administrative simplicity. Taken together, these</w:t>
      </w:r>
      <w:r>
        <w:t xml:space="preserve"> </w:t>
      </w:r>
      <w:r>
        <w:t xml:space="preserve">elements would allow the supervisory system to keep pace effectively with market developments</w:t>
      </w:r>
      <w:r>
        <w:t xml:space="preserve"> </w:t>
      </w:r>
      <w:r>
        <w:t xml:space="preserve">and ensure that resources are aligned with risk and complexity.</w:t>
      </w:r>
      <w:r>
        <w:t xml:space="preserve"> </w:t>
      </w:r>
      <w:r>
        <w:t xml:space="preserve">The total cost of implementing the proposed option is comprised of various components. Cost</w:t>
      </w:r>
      <w:r>
        <w:t xml:space="preserve"> </w:t>
      </w:r>
      <w:r>
        <w:t xml:space="preserve">figures are based on estimates from ESMA and the Commission in terms of FTEs needed and</w:t>
      </w:r>
      <w:r>
        <w:t xml:space="preserve"> </w:t>
      </w:r>
      <w:r>
        <w:t xml:space="preserve">expected average costs per FTE.153 In the trading sector, the cost of direct supervision is estimated</w:t>
      </w:r>
      <w:r>
        <w:t xml:space="preserve"> </w:t>
      </w:r>
      <w:r>
        <w:t xml:space="preserve">to range from EUR 17 to 19.5 million, EUR 5.5 to 9.5 million in the post-trading sector for CCPs,</w:t>
      </w:r>
      <w:r>
        <w:t xml:space="preserve"> </w:t>
      </w:r>
      <w:r>
        <w:t xml:space="preserve">and EUR 5.5 to 7.5 million for CSDs. Additionally, supervising the CASPs would require EUR</w:t>
      </w:r>
      <w:r>
        <w:t xml:space="preserve"> </w:t>
      </w:r>
      <w:r>
        <w:t xml:space="preserve">12 to 30 million annually, while the enhanced role for ESMA in the asset management sector</w:t>
      </w:r>
    </w:p>
    <w:p>
      <w:pPr>
        <w:pStyle w:val="BodyText"/>
      </w:pPr>
      <w:r>
        <w:t xml:space="preserve">153 Average cost per FTE used to derive total costs was EUR 186 000 per FTE.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would need EUR 2 to 4 million for the coordination of supervision, with an additional EUR 2 to 3</w:t>
      </w:r>
      <w:r>
        <w:t xml:space="preserve"> </w:t>
      </w:r>
      <w:r>
        <w:t xml:space="preserve">million required for the oversight of cross-border fund distribution.</w:t>
      </w:r>
      <w:r>
        <w:t xml:space="preserve"> </w:t>
      </w:r>
      <w:r>
        <w:t xml:space="preserve">These figures include temporary setup costs, estimated at EUR 1 to 2 million per sector. They</w:t>
      </w:r>
      <w:r>
        <w:t xml:space="preserve"> </w:t>
      </w:r>
      <w:r>
        <w:t xml:space="preserve">would be incurred to prepare ESMA for its new responsibilities. Strengthening supervisory</w:t>
      </w:r>
      <w:r>
        <w:t xml:space="preserve"> </w:t>
      </w:r>
      <w:r>
        <w:t xml:space="preserve">convergence across the relevant sectors would require an additional EUR 1 to 2 million per sector</w:t>
      </w:r>
      <w:r>
        <w:t xml:space="preserve"> </w:t>
      </w:r>
      <w:r>
        <w:t xml:space="preserve">in terms of FTEs. At the same time, some cost reductions can be expected at NCAs once ESMA</w:t>
      </w:r>
      <w:r>
        <w:t xml:space="preserve"> </w:t>
      </w:r>
      <w:r>
        <w:t xml:space="preserve">takes over certain supervisory tasks and NCAs reduce or reallocate supervisory capacity.</w:t>
      </w:r>
      <w:r>
        <w:t xml:space="preserve"> </w:t>
      </w:r>
      <w:r>
        <w:t xml:space="preserve">To support ESMA’s expanded supervisory responsibilities and ensure consistent supervisory</w:t>
      </w:r>
      <w:r>
        <w:t xml:space="preserve"> </w:t>
      </w:r>
      <w:r>
        <w:t xml:space="preserve">outcomes across the Union, further development of centralised IT systems is required.</w:t>
      </w:r>
      <w:r>
        <w:t xml:space="preserve"> </w:t>
      </w:r>
      <w:r>
        <w:t xml:space="preserve">First, a supervisory data platform covering CCPs, CSDs and trading venues would consolidate</w:t>
      </w:r>
      <w:r>
        <w:t xml:space="preserve"> </w:t>
      </w:r>
      <w:r>
        <w:t xml:space="preserve">data collection, document exchange and supervisory workflows for the direct oversight of these</w:t>
      </w:r>
      <w:r>
        <w:t xml:space="preserve"> </w:t>
      </w:r>
      <w:r>
        <w:t xml:space="preserve">entities, enabling secure and timely access for national competent authorities and supervised</w:t>
      </w:r>
      <w:r>
        <w:t xml:space="preserve"> </w:t>
      </w:r>
      <w:r>
        <w:t xml:space="preserve">entities. The estimated cost is EUR 8 million for development and EUR 3.7 million annually for</w:t>
      </w:r>
      <w:r>
        <w:t xml:space="preserve"> </w:t>
      </w:r>
      <w:r>
        <w:t xml:space="preserve">maintenance.</w:t>
      </w:r>
      <w:r>
        <w:t xml:space="preserve"> </w:t>
      </w:r>
      <w:r>
        <w:t xml:space="preserve">Second, a central register for CASPs market surveillance under MiCA would function as a pan-</w:t>
      </w:r>
      <w:r>
        <w:t xml:space="preserve"> </w:t>
      </w:r>
      <w:r>
        <w:t xml:space="preserve">EU hub for the collection, aggregation and analysis of transaction and order data reported by</w:t>
      </w:r>
      <w:r>
        <w:t xml:space="preserve"> </w:t>
      </w:r>
      <w:r>
        <w:t xml:space="preserve">CASPs. Building on ESMA’s MIDAS system, it would enhance market integrity by detecting</w:t>
      </w:r>
      <w:r>
        <w:t xml:space="preserve"> </w:t>
      </w:r>
      <w:r>
        <w:t xml:space="preserve">potential market abuse and facilitate cooperation between ESMA and national competent</w:t>
      </w:r>
      <w:r>
        <w:t xml:space="preserve"> </w:t>
      </w:r>
      <w:r>
        <w:t xml:space="preserve">authorities. The estimated cost amounts to EUR 4.2 million for development and EUR 2.5 million</w:t>
      </w:r>
      <w:r>
        <w:t xml:space="preserve"> </w:t>
      </w:r>
      <w:r>
        <w:t xml:space="preserve">per year for maintenance.</w:t>
      </w:r>
      <w:r>
        <w:t xml:space="preserve"> </w:t>
      </w:r>
      <w:r>
        <w:t xml:space="preserve">Third, a data platform for cross-border notifications of funds would streamline home–host</w:t>
      </w:r>
      <w:r>
        <w:t xml:space="preserve"> </w:t>
      </w:r>
      <w:r>
        <w:t xml:space="preserve">supervisory cooperation for the cross-border marketing of AIFs and UCITS. This one-stop-shop</w:t>
      </w:r>
      <w:r>
        <w:t xml:space="preserve"> </w:t>
      </w:r>
      <w:r>
        <w:t xml:space="preserve">system would provide a secure interface for submitting, accessing and exchanging reliable, up-to-</w:t>
      </w:r>
      <w:r>
        <w:t xml:space="preserve"> </w:t>
      </w:r>
      <w:r>
        <w:t xml:space="preserve">date documentation, including automated translation services. The expected cost is EUR 1 million</w:t>
      </w:r>
      <w:r>
        <w:t xml:space="preserve"> </w:t>
      </w:r>
      <w:r>
        <w:t xml:space="preserve">for development and EUR 0.2 million annually for maintenance.</w:t>
      </w:r>
      <w:r>
        <w:t xml:space="preserve"> </w:t>
      </w:r>
      <w:r>
        <w:t xml:space="preserve">Finally, a centralised data and analytics capability would reinforce ESMA’s Union-level data</w:t>
      </w:r>
      <w:r>
        <w:t xml:space="preserve"> </w:t>
      </w:r>
      <w:r>
        <w:t xml:space="preserve">infrastructure and support the efficient exchange of information as part of a common Union</w:t>
      </w:r>
      <w:r>
        <w:t xml:space="preserve"> </w:t>
      </w:r>
      <w:r>
        <w:t xml:space="preserve">financial data strategy. It would provide shared analytical tools, timely supervisory insights and</w:t>
      </w:r>
      <w:r>
        <w:t xml:space="preserve"> </w:t>
      </w:r>
      <w:r>
        <w:t xml:space="preserve">secure, standardised data access for competent authorities. The estimated cost is EUR 15 million</w:t>
      </w:r>
      <w:r>
        <w:t xml:space="preserve"> </w:t>
      </w:r>
      <w:r>
        <w:t xml:space="preserve">for development and EUR 4 million annually for maintenance.</w:t>
      </w:r>
      <w:r>
        <w:t xml:space="preserve"> </w:t>
      </w:r>
      <w:r>
        <w:t xml:space="preserve">Taken together, these investments would support the efficient exercise of ESMA’s direct</w:t>
      </w:r>
      <w:r>
        <w:t xml:space="preserve"> </w:t>
      </w:r>
      <w:r>
        <w:t xml:space="preserve">supervisory tasks, reduce duplication of systems and processes across Member States, and</w:t>
      </w:r>
      <w:r>
        <w:t xml:space="preserve"> </w:t>
      </w:r>
      <w:r>
        <w:t xml:space="preserve">strengthen coordination between authorities and supervised entities.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would be coherent with the objectives of the SIU strategy by reducing supervisory</w:t>
      </w:r>
      <w:r>
        <w:t xml:space="preserve"> </w:t>
      </w:r>
      <w:r>
        <w:t xml:space="preserve">fragmentation, which is essential for building investor trust, reducing costs and burdens for</w:t>
      </w:r>
      <w:r>
        <w:t xml:space="preserve"> </w:t>
      </w:r>
      <w:r>
        <w:t xml:space="preserve">companies, and enabling efficient cross-border business. It would reflect a careful and calibrated</w:t>
      </w:r>
      <w:r>
        <w:t xml:space="preserve"> </w:t>
      </w:r>
      <w:r>
        <w:t xml:space="preserve">application of the principles of subsidiarity and proportionality, by ensuring that supervisory</w:t>
      </w:r>
      <w:r>
        <w:t xml:space="preserve"> </w:t>
      </w:r>
      <w:r>
        <w:t xml:space="preserve">responsibilities are allocated based on where they can be exercised most effectively. ESMA’s role</w:t>
      </w:r>
      <w:r>
        <w:t xml:space="preserve"> </w:t>
      </w:r>
      <w:r>
        <w:t xml:space="preserve">would be strengthened in areas with a clear need for central oversight, such as large or systemically</w:t>
      </w:r>
      <w:r>
        <w:t xml:space="preserve"> </w:t>
      </w:r>
      <w:r>
        <w:t xml:space="preserve">important entities with a significant cross-border dimension, while NCAs would retain their roles</w:t>
      </w:r>
      <w:r>
        <w:t xml:space="preserve"> </w:t>
      </w:r>
      <w:r>
        <w:t xml:space="preserve">in supervising smaller, nationally focused institutions. This approach would preserve national</w:t>
      </w:r>
      <w:r>
        <w:t xml:space="preserve"> </w:t>
      </w:r>
      <w:r>
        <w:t xml:space="preserve">knowledge and proximity while addressing the limitations of the current framework in dealing</w:t>
      </w:r>
      <w:r>
        <w:t xml:space="preserve"> </w:t>
      </w:r>
      <w:r>
        <w:t xml:space="preserve">with EU-wide challenges.</w:t>
      </w:r>
      <w:r>
        <w:t xml:space="preserve"> </w:t>
      </w:r>
      <w:r>
        <w:t xml:space="preserve">The proposed governance reforms would also improve coherence by aligning decision-making</w:t>
      </w:r>
      <w:r>
        <w:t xml:space="preserve"> </w:t>
      </w:r>
      <w:r>
        <w:t xml:space="preserve">processes with ESMA’s evolving role. Introducing an Executive Board would enhance the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independence of the decision-making process and ensure that decisions are guided by technical</w:t>
      </w:r>
      <w:r>
        <w:t xml:space="preserve"> </w:t>
      </w:r>
      <w:r>
        <w:t xml:space="preserve">expertise and the EU interest. By keeping the Board of Supervisors involved through a non-</w:t>
      </w:r>
      <w:r>
        <w:t xml:space="preserve"> </w:t>
      </w:r>
      <w:r>
        <w:t xml:space="preserve">objection and consultation procedures, the model would also preserve a degree of national input</w:t>
      </w:r>
      <w:r>
        <w:t xml:space="preserve"> </w:t>
      </w:r>
      <w:r>
        <w:t xml:space="preserve">and legitimacy, reinforcing the balance between centralisation and inclusiveness.</w:t>
      </w:r>
      <w:r>
        <w:t xml:space="preserve"> </w:t>
      </w:r>
      <w:r>
        <w:t xml:space="preserve">Furthermore, the measures to strengthen ESMA’s supervisory convergence tools would promote</w:t>
      </w:r>
      <w:r>
        <w:t xml:space="preserve"> </w:t>
      </w:r>
      <w:r>
        <w:t xml:space="preserve">coherence across the broader supervisory ecosystem. They would ensure that where national</w:t>
      </w:r>
      <w:r>
        <w:t xml:space="preserve"> </w:t>
      </w:r>
      <w:r>
        <w:t xml:space="preserve">supervision remains in place, it is supported by consistent guidance, improved coordination, and</w:t>
      </w:r>
      <w:r>
        <w:t xml:space="preserve"> </w:t>
      </w:r>
      <w:r>
        <w:t xml:space="preserve">common enforcement standards. In doing so, this option would reinforce the EU’s broader policy</w:t>
      </w:r>
      <w:r>
        <w:t xml:space="preserve"> </w:t>
      </w:r>
      <w:r>
        <w:t xml:space="preserve">goals of the SIU and fostering a genuine single market for financial services.</w:t>
      </w:r>
      <w:r>
        <w:t xml:space="preserve"> </w:t>
      </w:r>
      <w:r>
        <w:t xml:space="preserve">This option would also be coherent with the Commission’s priority to boost Europe’s</w:t>
      </w:r>
      <w:r>
        <w:t xml:space="preserve"> </w:t>
      </w:r>
      <w:r>
        <w:t xml:space="preserve">competitiveness, the strategy outlined in the Competitiveness Compass, the Single Market</w:t>
      </w:r>
      <w:r>
        <w:t xml:space="preserve"> </w:t>
      </w:r>
      <w:r>
        <w:t xml:space="preserve">Strategy, the EU Start Up and Scale Up strategy, as well as the Communication on a Simpler and</w:t>
      </w:r>
      <w:r>
        <w:t xml:space="preserve"> </w:t>
      </w:r>
      <w:r>
        <w:t xml:space="preserve">Faster Europe.</w:t>
      </w:r>
      <w:r>
        <w:t xml:space="preserve"> </w:t>
      </w:r>
      <w:r>
        <w:t xml:space="preserve">Overall, this policy option would be coherent not only with EU institutional and legal frameworks,</w:t>
      </w:r>
      <w:r>
        <w:t xml:space="preserve"> </w:t>
      </w:r>
      <w:r>
        <w:t xml:space="preserve">but also with the strategic direction of European financial integration.</w:t>
      </w:r>
      <w:r>
        <w:br/>
      </w:r>
      <w:r>
        <w:t xml:space="preserve">Annex 11 on ‘Supervision’ provides for additional detail and analysis of the changes in the</w:t>
      </w:r>
      <w:r>
        <w:t xml:space="preserve"> </w:t>
      </w:r>
      <w:r>
        <w:t xml:space="preserve">concerned sectors.</w:t>
      </w:r>
      <w:r>
        <w:br/>
      </w:r>
      <w:r>
        <w:t xml:space="preserve">6.2.2. ESMA as a supervisor for all EU trading venues, CSDs, CCPs, asset</w:t>
      </w:r>
      <w:r>
        <w:t xml:space="preserve"> </w:t>
      </w:r>
      <w:r>
        <w:t xml:space="preserve">managers and crypto asset service providers</w:t>
      </w:r>
      <w:r>
        <w:t xml:space="preserve"> </w:t>
      </w:r>
      <w:r>
        <w:t xml:space="preserve">Effectiveness in meeting the specific objectives</w:t>
      </w:r>
      <w:r>
        <w:t xml:space="preserve"> </w:t>
      </w:r>
      <w:r>
        <w:t xml:space="preserve">Fully centralising supervision of all CCPs, CSDs, trading venues, asset managers and CASPs at</w:t>
      </w:r>
      <w:r>
        <w:t xml:space="preserve"> </w:t>
      </w:r>
      <w:r>
        <w:t xml:space="preserve">ESMA would directly target the issue of fragmented supervisory practices. This option would</w:t>
      </w:r>
      <w:r>
        <w:t xml:space="preserve"> </w:t>
      </w:r>
      <w:r>
        <w:t xml:space="preserve">address fragmentation by eliminating inconsistent national practices and providing a holistic</w:t>
      </w:r>
      <w:r>
        <w:t xml:space="preserve"> </w:t>
      </w:r>
      <w:r>
        <w:t xml:space="preserve">perspective of the EU supervisor over the market, directly meeting the core of the objective. This</w:t>
      </w:r>
      <w:r>
        <w:t xml:space="preserve"> </w:t>
      </w:r>
      <w:r>
        <w:t xml:space="preserve">approach would eliminate forum shopping and regulatory arbitrage, ensure consistent practices,</w:t>
      </w:r>
      <w:r>
        <w:t xml:space="preserve"> </w:t>
      </w:r>
      <w:r>
        <w:t xml:space="preserve">and reduce costs by consolidating supervision under one authority. However, for mid-size, small</w:t>
      </w:r>
      <w:r>
        <w:t xml:space="preserve"> </w:t>
      </w:r>
      <w:r>
        <w:t xml:space="preserve">or local entities, whose business models and risks are inherently linked to national markets, deep</w:t>
      </w:r>
      <w:r>
        <w:t xml:space="preserve"> </w:t>
      </w:r>
      <w:r>
        <w:t xml:space="preserve">on-the-ground knowledge of local specificities would be lacking, which could lead to an</w:t>
      </w:r>
      <w:r>
        <w:t xml:space="preserve"> </w:t>
      </w:r>
      <w:r>
        <w:t xml:space="preserve">underestimation of risks or insufficient support towards market development in smaller markets.</w:t>
      </w:r>
      <w:r>
        <w:t xml:space="preserve"> </w:t>
      </w:r>
      <w:r>
        <w:t xml:space="preserve">Moreover, supervising thousands of firms would demand an unprecedented scale of direct EU-</w:t>
      </w:r>
      <w:r>
        <w:t xml:space="preserve"> </w:t>
      </w:r>
      <w:r>
        <w:t xml:space="preserve">level supervision, for which ESMA currently lacks the operational capacity. This could result in</w:t>
      </w:r>
      <w:r>
        <w:t xml:space="preserve"> </w:t>
      </w:r>
      <w:r>
        <w:t xml:space="preserve">weakened oversight during the transition. These constraints are less evident in a new area of</w:t>
      </w:r>
      <w:r>
        <w:t xml:space="preserve"> </w:t>
      </w:r>
      <w:r>
        <w:t xml:space="preserve">financial activity as are the CASPs, because of their cross-border nature and the fact that any</w:t>
      </w:r>
      <w:r>
        <w:t xml:space="preserve"> </w:t>
      </w:r>
      <w:r>
        <w:t xml:space="preserve">transitional period would impact less entities, as MiCA entered into force recently and therefore</w:t>
      </w:r>
      <w:r>
        <w:t xml:space="preserve"> </w:t>
      </w:r>
      <w:r>
        <w:t xml:space="preserve">only a few entities are already licensed.</w:t>
      </w:r>
      <w:r>
        <w:br/>
      </w:r>
      <w:r>
        <w:t xml:space="preserve">Efficiency</w:t>
      </w:r>
      <w:r>
        <w:t xml:space="preserve"> </w:t>
      </w:r>
      <w:r>
        <w:t xml:space="preserve">The centralisation of supervision at ESMA offers theoretical cost savings and economies of scale.</w:t>
      </w:r>
      <w:r>
        <w:t xml:space="preserve"> </w:t>
      </w:r>
      <w:r>
        <w:t xml:space="preserve">Reducing duplication among 27 Member States, centralising coordination tasks and ensuring one</w:t>
      </w:r>
      <w:r>
        <w:t xml:space="preserve"> </w:t>
      </w:r>
      <w:r>
        <w:t xml:space="preserve">uniform supervisory approach can lower costs over time. NCAs would benefit in terms of reduced</w:t>
      </w:r>
      <w:r>
        <w:t xml:space="preserve"> </w:t>
      </w:r>
      <w:r>
        <w:t xml:space="preserve">need for staffing and resources, in particular IT, data collection and monitoring systems. Pooling</w:t>
      </w:r>
      <w:r>
        <w:t xml:space="preserve"> </w:t>
      </w:r>
      <w:r>
        <w:t xml:space="preserve">resources within ESMA would create significant synergies and ensure the application of fully</w:t>
      </w:r>
      <w:r>
        <w:t xml:space="preserve"> </w:t>
      </w:r>
      <w:r>
        <w:t xml:space="preserve">consistent reporting practices and standards. Firms operating across borders could face less</w:t>
      </w:r>
      <w:r>
        <w:t xml:space="preserve"> </w:t>
      </w:r>
      <w:r>
        <w:t xml:space="preserve">regulatory fragmentation. However, these potential efficiencies are offset by significant practical,</w:t>
      </w:r>
      <w:r>
        <w:t xml:space="preserve"> </w:t>
      </w:r>
      <w:r>
        <w:t xml:space="preserve">structural, and financial inefficiencies in the short and medium term. Indeed, under option 3, the</w:t>
      </w:r>
      <w:r>
        <w:t xml:space="preserve"> </w:t>
      </w:r>
      <w:r>
        <w:t xml:space="preserve">immediate financial and logistical cost of scaling ESMA’s supervisory capacity would be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substantial. ESMA would for instance oversee about 1 700 UCITS management companies and 4</w:t>
      </w:r>
      <w:r>
        <w:t xml:space="preserve"> </w:t>
      </w:r>
      <w:r>
        <w:t xml:space="preserve">500 AIFMs, requiring significant resource expansion and a multi-year transition.</w:t>
      </w:r>
      <w:r>
        <w:br/>
      </w:r>
      <w:r>
        <w:t xml:space="preserve">Sector</w:t>
      </w:r>
      <w:r>
        <w:br/>
      </w:r>
      <w:r>
        <w:t xml:space="preserve">FTEs154,155</w:t>
      </w:r>
      <w:r>
        <w:br/>
      </w:r>
      <w:r>
        <w:t xml:space="preserve">Budget implication</w:t>
      </w:r>
      <w:r>
        <w:t xml:space="preserve"> </w:t>
      </w:r>
      <w:r>
        <w:t xml:space="preserve">Trading Venues</w:t>
      </w:r>
      <w:r>
        <w:t xml:space="preserve"> </w:t>
      </w:r>
      <w:r>
        <w:t xml:space="preserve">340- 580</w:t>
      </w:r>
      <w:r>
        <w:t xml:space="preserve"> </w:t>
      </w:r>
      <w:r>
        <w:t xml:space="preserve">EUR 63 – 108 mil.</w:t>
      </w:r>
      <w:r>
        <w:br/>
      </w:r>
      <w:r>
        <w:t xml:space="preserve">CCPs</w:t>
      </w:r>
      <w:r>
        <w:br/>
      </w:r>
      <w:r>
        <w:t xml:space="preserve">50– 55</w:t>
      </w:r>
      <w:r>
        <w:t xml:space="preserve"> </w:t>
      </w:r>
      <w:r>
        <w:t xml:space="preserve">EUR 9 – 10 mil.</w:t>
      </w:r>
      <w:r>
        <w:t xml:space="preserve"> </w:t>
      </w:r>
      <w:r>
        <w:t xml:space="preserve">CSDs</w:t>
      </w:r>
      <w:r>
        <w:t xml:space="preserve"> </w:t>
      </w:r>
      <w:r>
        <w:t xml:space="preserve">40- 50</w:t>
      </w:r>
      <w:r>
        <w:t xml:space="preserve"> </w:t>
      </w:r>
      <w:r>
        <w:t xml:space="preserve">EUR 7 – 9 mil.</w:t>
      </w:r>
      <w:r>
        <w:t xml:space="preserve"> </w:t>
      </w:r>
      <w:r>
        <w:t xml:space="preserve">Asset Managers</w:t>
      </w:r>
      <w:r>
        <w:t xml:space="preserve"> </w:t>
      </w:r>
      <w:r>
        <w:t xml:space="preserve">200- 360</w:t>
      </w:r>
      <w:r>
        <w:t xml:space="preserve"> </w:t>
      </w:r>
      <w:r>
        <w:t xml:space="preserve">EUR 37 – 67 mil.</w:t>
      </w:r>
      <w:r>
        <w:t xml:space="preserve"> </w:t>
      </w:r>
      <w:r>
        <w:t xml:space="preserve">Note: Further details on the scope of entities and operational considerations underpinning these estimates are provided</w:t>
      </w:r>
      <w:r>
        <w:t xml:space="preserve"> </w:t>
      </w:r>
      <w:r>
        <w:t xml:space="preserve">in the Supervision Annex 11 (Section 4.5).</w:t>
      </w:r>
      <w:r>
        <w:t xml:space="preserve"> </w:t>
      </w:r>
      <w:r>
        <w:t xml:space="preserve">Although most of the additional entities that would fall under ESMA’s supervision under this</w:t>
      </w:r>
      <w:r>
        <w:t xml:space="preserve"> </w:t>
      </w:r>
      <w:r>
        <w:t xml:space="preserve">option would be small, ESMA would need to recruit an unprecedented number of experts</w:t>
      </w:r>
      <w:r>
        <w:t xml:space="preserve"> </w:t>
      </w:r>
      <w:r>
        <w:t xml:space="preserve">(numbering in the hundreds), establish decentralised infrastructure across Member States, and</w:t>
      </w:r>
      <w:r>
        <w:t xml:space="preserve"> </w:t>
      </w:r>
      <w:r>
        <w:t xml:space="preserve">replicate the breadth of NCA capabilities. The recruitment of a significant number of qualified</w:t>
      </w:r>
      <w:r>
        <w:t xml:space="preserve"> </w:t>
      </w:r>
      <w:r>
        <w:t xml:space="preserve">experts could have bottleneck effects. Moreover, the replacement of national structures is expected</w:t>
      </w:r>
      <w:r>
        <w:t xml:space="preserve"> </w:t>
      </w:r>
      <w:r>
        <w:t xml:space="preserve">to raise strong political opposition at national level. The funding of the transition phase would need</w:t>
      </w:r>
      <w:r>
        <w:t xml:space="preserve"> </w:t>
      </w:r>
      <w:r>
        <w:t xml:space="preserve">to come from the EU budget as long as companies do not yet pay fees. A</w:t>
      </w:r>
      <w:r>
        <w:t xml:space="preserve"> </w:t>
      </w:r>
      <w:r>
        <w:t xml:space="preserve">“one-size-fits-all”</w:t>
      </w:r>
      <w:r>
        <w:t xml:space="preserve"> </w:t>
      </w:r>
      <w:r>
        <w:t xml:space="preserve">funding</w:t>
      </w:r>
      <w:r>
        <w:t xml:space="preserve"> </w:t>
      </w:r>
      <w:r>
        <w:t xml:space="preserve">mechanism could unfairly penalise small or low-risk entities. Without tailored fee structures, the</w:t>
      </w:r>
      <w:r>
        <w:t xml:space="preserve"> </w:t>
      </w:r>
      <w:r>
        <w:t xml:space="preserve">model could discourage market entry and competition, particularly for local players. During the</w:t>
      </w:r>
      <w:r>
        <w:t xml:space="preserve"> </w:t>
      </w:r>
      <w:r>
        <w:t xml:space="preserve">build-up phase and until full centralisation is achieved, both NCAs and ESMA may duplicate</w:t>
      </w:r>
      <w:r>
        <w:t xml:space="preserve"> </w:t>
      </w:r>
      <w:r>
        <w:t xml:space="preserve">efforts, leading to inefficiencies rather than savings. Although centralisation promises theoretical</w:t>
      </w:r>
      <w:r>
        <w:t xml:space="preserve"> </w:t>
      </w:r>
      <w:r>
        <w:t xml:space="preserve">efficiencies, the transition costs, disproportionate burdens on small actors, and rigidity would make</w:t>
      </w:r>
      <w:r>
        <w:t xml:space="preserve"> </w:t>
      </w:r>
      <w:r>
        <w:t xml:space="preserve">this option inefficient in practice, at least in the short to medium term.</w:t>
      </w:r>
      <w:r>
        <w:br/>
      </w:r>
      <w:r>
        <w:t xml:space="preserve">Full centralisation is less adapted to cases where the risks relate mostly to the domestic market and</w:t>
      </w:r>
      <w:r>
        <w:t xml:space="preserve"> </w:t>
      </w:r>
      <w:r>
        <w:t xml:space="preserve">markets are primarily local. Consultation responses, in particular smaller and more domestically</w:t>
      </w:r>
      <w:r>
        <w:t xml:space="preserve"> </w:t>
      </w:r>
      <w:r>
        <w:t xml:space="preserve">focused infrastructures, revealed widespread resistance to blanket centralisation of supervision.</w:t>
      </w:r>
      <w:r>
        <w:t xml:space="preserve"> </w:t>
      </w:r>
      <w:r>
        <w:t xml:space="preserve">Concerns focus on loss of national influence, poor fit for small entities, and increased distance</w:t>
      </w:r>
      <w:r>
        <w:t xml:space="preserve"> </w:t>
      </w:r>
      <w:r>
        <w:t xml:space="preserve">between supervisor and market. Pursuit of this option may be less warranted on the grounds of</w:t>
      </w:r>
      <w:r>
        <w:t xml:space="preserve"> </w:t>
      </w:r>
      <w:r>
        <w:t xml:space="preserve">proportionality, and it may distort regulatory outcomes that we seek to achieve with the revision</w:t>
      </w:r>
      <w:r>
        <w:t xml:space="preserve"> </w:t>
      </w:r>
      <w:r>
        <w:t xml:space="preserve">of the supervisory framework for capital markets.</w:t>
      </w:r>
      <w:r>
        <w:t xml:space="preserve"> </w:t>
      </w:r>
      <w:r>
        <w:t xml:space="preserve">While aligned with long-term integration ambitions, it could be perceived that it goes too far, too</w:t>
      </w:r>
      <w:r>
        <w:t xml:space="preserve"> </w:t>
      </w:r>
      <w:r>
        <w:t xml:space="preserve">fast, in a regulatory context that is not yet harmonised or politically unified, at least in some of the</w:t>
      </w:r>
      <w:r>
        <w:t xml:space="preserve"> </w:t>
      </w:r>
      <w:r>
        <w:t xml:space="preserve">sectors considered unless warranted by other considerations (such as the relative novelty of the</w:t>
      </w:r>
      <w:r>
        <w:t xml:space="preserve"> </w:t>
      </w:r>
      <w:r>
        <w:t xml:space="preserve">sector).</w:t>
      </w:r>
      <w:r>
        <w:t xml:space="preserve"> </w:t>
      </w:r>
      <w:r>
        <w:t xml:space="preserve">Coherence</w:t>
      </w:r>
      <w:r>
        <w:t xml:space="preserve"> </w:t>
      </w:r>
      <w:r>
        <w:t xml:space="preserve">This option would align with the long-term goals of EU market integration and supervisory</w:t>
      </w:r>
      <w:r>
        <w:t xml:space="preserve"> </w:t>
      </w:r>
      <w:r>
        <w:t xml:space="preserve">consistency that underpin the SIU strategy. However, it would also face a major hurdle of existing</w:t>
      </w:r>
      <w:r>
        <w:t xml:space="preserve"> </w:t>
      </w:r>
      <w:r>
        <w:t xml:space="preserve">legal fragmentation and resulting operational frictions. Furthermore, option 3 appears to be less</w:t>
      </w:r>
    </w:p>
    <w:p>
      <w:pPr>
        <w:pStyle w:val="BodyText"/>
      </w:pPr>
      <w:r>
        <w:t xml:space="preserve">154 A cost per FTE of EUR 186,000 is assumed.</w:t>
      </w:r>
      <w:r>
        <w:t xml:space="preserve"> </w:t>
      </w:r>
      <w:r>
        <w:t xml:space="preserve">155 Given that the entities captured in addition to the ones covered in option 2 would be considerably smaller and less</w:t>
      </w:r>
      <w:r>
        <w:t xml:space="preserve"> </w:t>
      </w:r>
      <w:r>
        <w:t xml:space="preserve">complex, it is no appropriate to convert them on an entity-proportional basis. Instead, it is assumed that the number of</w:t>
      </w:r>
      <w:r>
        <w:t xml:space="preserve"> </w:t>
      </w:r>
      <w:r>
        <w:t xml:space="preserve">FTEs needed for these smaller entities is only 5-10% (trading venues, asset manager) and 20-40% (CCPs, CSDs)</w:t>
      </w:r>
      <w:r>
        <w:t xml:space="preserve"> </w:t>
      </w:r>
      <w:r>
        <w:t xml:space="preserve">compared to option 2.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coherent than option 2 with the rest of the package, as it does not align with the choices made on</w:t>
      </w:r>
      <w:r>
        <w:t xml:space="preserve"> </w:t>
      </w:r>
      <w:r>
        <w:t xml:space="preserve">the review of the functioning of capital markets. Specifically, the decision to opt for a broad review</w:t>
      </w:r>
      <w:r>
        <w:t xml:space="preserve"> </w:t>
      </w:r>
      <w:r>
        <w:t xml:space="preserve">of the framework, but not a far-reaching one that requires full harmonisation in all areas, suggests</w:t>
      </w:r>
      <w:r>
        <w:t xml:space="preserve"> </w:t>
      </w:r>
      <w:r>
        <w:t xml:space="preserve">that a more proportionate approach for supervision is needed.</w:t>
      </w:r>
      <w:r>
        <w:br/>
      </w:r>
      <w:r>
        <w:t xml:space="preserve">6.2.3. How do the options on non-aligned supervisory practices across Member</w:t>
      </w:r>
      <w:r>
        <w:t xml:space="preserve"> </w:t>
      </w:r>
      <w:r>
        <w:t xml:space="preserve">States and weak tools and powers at EU level compare</w:t>
      </w:r>
      <w:r>
        <w:br/>
      </w:r>
      <w:r>
        <w:t xml:space="preserve">The tables below provide a high-level summary of how the described package of options compare</w:t>
      </w:r>
      <w:r>
        <w:t xml:space="preserve"> </w:t>
      </w:r>
      <w:r>
        <w:t xml:space="preserve">(for the sake of readability, the labels of the options have been shortened). A more detailed</w:t>
      </w:r>
      <w:r>
        <w:t xml:space="preserve"> </w:t>
      </w:r>
      <w:r>
        <w:t xml:space="preserve">overview of the impacts of the different options on supervision can be found in the respective</w:t>
      </w:r>
      <w:r>
        <w:t xml:space="preserve"> </w:t>
      </w:r>
      <w:r>
        <w:t xml:space="preserve">sectoral annex.</w:t>
      </w:r>
      <w:r>
        <w:t xml:space="preserve"> </w:t>
      </w:r>
      <w:r>
        <w:t xml:space="preserve">Taking into account the assessment and explanations provided above, the preferred option is</w:t>
      </w:r>
      <w:r>
        <w:t xml:space="preserve"> </w:t>
      </w:r>
      <w:r>
        <w:t xml:space="preserve">Option 2: a combination of enhancing supervisory convergence via an improved set of tools and</w:t>
      </w:r>
      <w:r>
        <w:t xml:space="preserve"> </w:t>
      </w:r>
      <w:r>
        <w:t xml:space="preserve">direct supervision of certain financial entities by ESMA. This option strikes the best balance</w:t>
      </w:r>
      <w:r>
        <w:t xml:space="preserve"> </w:t>
      </w:r>
      <w:r>
        <w:t xml:space="preserve">between effectiveness, efficiency, and coherence, offering tangible improvements in supervisory</w:t>
      </w:r>
      <w:r>
        <w:t xml:space="preserve"> </w:t>
      </w:r>
      <w:r>
        <w:t xml:space="preserve">quality and consistency while maintaining proportionality and political feasibility. It strengthens</w:t>
      </w:r>
      <w:r>
        <w:t xml:space="preserve"> </w:t>
      </w:r>
      <w:r>
        <w:t xml:space="preserve">the EU’s supervisory framework without overstepping the bounds of national autonomy or</w:t>
      </w:r>
      <w:r>
        <w:t xml:space="preserve"> </w:t>
      </w:r>
      <w:r>
        <w:t xml:space="preserve">institutional capacity. By contrast, Option 3, while potentially more effective in achieving full</w:t>
      </w:r>
      <w:r>
        <w:t xml:space="preserve"> </w:t>
      </w:r>
      <w:r>
        <w:t xml:space="preserve">supervisory integration, does so at the expense of efficiency and raises subsidiarity concerns, as it</w:t>
      </w:r>
      <w:r>
        <w:t xml:space="preserve"> </w:t>
      </w:r>
      <w:r>
        <w:t xml:space="preserve">would remove the role of national authorities even in areas where local supervision would be</w:t>
      </w:r>
      <w:r>
        <w:t xml:space="preserve"> </w:t>
      </w:r>
      <w:r>
        <w:t xml:space="preserve">preferred. It would also require substantial financial and institutional investment and deep</w:t>
      </w:r>
      <w:r>
        <w:t xml:space="preserve"> </w:t>
      </w:r>
      <w:r>
        <w:t xml:space="preserve">structural changes that are not immediately feasible. As such, it could be seen as a longer-term</w:t>
      </w:r>
      <w:r>
        <w:t xml:space="preserve"> </w:t>
      </w:r>
      <w:r>
        <w:t xml:space="preserve">vision for future integration rather than a realistic short- to medium-term reform path. Option 2</w:t>
      </w:r>
      <w:r>
        <w:t xml:space="preserve"> </w:t>
      </w:r>
      <w:r>
        <w:t xml:space="preserve">therefore represents a pragmatic and cost-effective step forward, and one that meaningfully</w:t>
      </w:r>
      <w:r>
        <w:t xml:space="preserve"> </w:t>
      </w:r>
      <w:r>
        <w:t xml:space="preserve">improves coherence and trust across the supervisory landscape while reinforcing ESMA’s role as</w:t>
      </w:r>
      <w:r>
        <w:t xml:space="preserve"> </w:t>
      </w:r>
      <w:r>
        <w:t xml:space="preserve">a hub for convergence and expertise. In the current context, it provides the optimal path to</w:t>
      </w:r>
      <w:r>
        <w:t xml:space="preserve"> </w:t>
      </w:r>
      <w:r>
        <w:t xml:space="preserve">strengthen supervisory consistency, reduce fragmentation, and build the foundations for potential</w:t>
      </w:r>
      <w:r>
        <w:t xml:space="preserve"> </w:t>
      </w:r>
      <w:r>
        <w:t xml:space="preserve">deeper integration in the future.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br/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Baseline scenario (Option 1)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2:</w:t>
      </w:r>
      <w:r>
        <w:t xml:space="preserve"> </w:t>
      </w:r>
      <w:r>
        <w:t xml:space="preserve">Improved supervisory</w:t>
      </w:r>
      <w:r>
        <w:t xml:space="preserve"> </w:t>
      </w:r>
      <w:r>
        <w:t xml:space="preserve">convergence and an</w:t>
      </w:r>
      <w:r>
        <w:t xml:space="preserve"> </w:t>
      </w:r>
      <w:r>
        <w:t xml:space="preserve">enhanced role for ESMA in</w:t>
      </w:r>
      <w:r>
        <w:t xml:space="preserve"> </w:t>
      </w:r>
      <w:r>
        <w:t xml:space="preserve">supervision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3:</w:t>
      </w:r>
      <w:r>
        <w:t xml:space="preserve"> </w:t>
      </w:r>
      <w:r>
        <w:t xml:space="preserve">ESMA single supervisor for</w:t>
      </w:r>
      <w:r>
        <w:t xml:space="preserve"> </w:t>
      </w:r>
      <w:r>
        <w:t xml:space="preserve">all EU trading venues, post</w:t>
      </w:r>
      <w:r>
        <w:t xml:space="preserve"> </w:t>
      </w:r>
      <w:r>
        <w:t xml:space="preserve">trading, asset managers, and</w:t>
      </w:r>
      <w:r>
        <w:t xml:space="preserve"> </w:t>
      </w:r>
      <w:r>
        <w:t xml:space="preserve">CASPs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Legend: ++ = positive + = slightly positive +/- = mixed effect 0 = no effect - = slightly negative and – = negative.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Impact on stakeholder groups</w:t>
      </w:r>
    </w:p>
    <w:p>
      <w:pPr>
        <w:pStyle w:val="BodyText"/>
      </w:pPr>
      <w:r>
        <w:t xml:space="preserve">Supervisory authorities</w:t>
      </w:r>
      <w:r>
        <w:t xml:space="preserve"> </w:t>
      </w:r>
      <w:r>
        <w:t xml:space="preserve">CCPs, CSDs, Trading venues</w:t>
      </w:r>
      <w:r>
        <w:t xml:space="preserve"> </w:t>
      </w:r>
      <w:r>
        <w:t xml:space="preserve">CASPs</w:t>
      </w:r>
      <w:r>
        <w:t xml:space="preserve"> </w:t>
      </w:r>
      <w:r>
        <w:t xml:space="preserve">Asset management</w:t>
      </w:r>
      <w:r>
        <w:t xml:space="preserve"> </w:t>
      </w:r>
      <w:r>
        <w:t xml:space="preserve">Baseline</w:t>
      </w:r>
      <w:r>
        <w:t xml:space="preserve"> </w:t>
      </w:r>
      <w:r>
        <w:t xml:space="preserve">(Option 1)</w:t>
      </w:r>
      <w:r>
        <w:br/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Option 2</w:t>
      </w:r>
      <w:r>
        <w:t xml:space="preserve"> </w:t>
      </w:r>
      <w:r>
        <w:t xml:space="preserve">+++ Better overview of the financial system</w:t>
      </w:r>
      <w:r>
        <w:t xml:space="preserve"> </w:t>
      </w:r>
      <w:r>
        <w:t xml:space="preserve">and monitoring of risks</w:t>
      </w:r>
      <w:r>
        <w:br/>
      </w:r>
      <w:r>
        <w:t xml:space="preserve">+++Consistent supervisory practices</w:t>
      </w:r>
      <w:r>
        <w:br/>
      </w:r>
      <w:r>
        <w:t xml:space="preserve">+++Economies of scale and efficiency gains</w:t>
      </w:r>
      <w:r>
        <w:t xml:space="preserve"> </w:t>
      </w:r>
      <w:r>
        <w:t xml:space="preserve">thanks to proportional approach</w:t>
      </w:r>
      <w:r>
        <w:br/>
      </w:r>
      <w:r>
        <w:t xml:space="preserve">++Local expertise for smaller CCPs, and</w:t>
      </w:r>
      <w:r>
        <w:t xml:space="preserve"> </w:t>
      </w:r>
      <w:r>
        <w:t xml:space="preserve">CSDs is preserved</w:t>
      </w:r>
      <w:r>
        <w:t xml:space="preserve"> </w:t>
      </w:r>
      <w:r>
        <w:t xml:space="preserve">++Local expertise for asset management and</w:t>
      </w:r>
      <w:r>
        <w:t xml:space="preserve"> </w:t>
      </w:r>
      <w:r>
        <w:t xml:space="preserve">all profiles of trading venues is preserved</w:t>
      </w:r>
      <w:r>
        <w:t xml:space="preserve"> </w:t>
      </w:r>
      <w:r>
        <w:t xml:space="preserve">+Lower supervisory costs for cross border</w:t>
      </w:r>
      <w:r>
        <w:t xml:space="preserve"> </w:t>
      </w:r>
      <w:r>
        <w:t xml:space="preserve">entities</w:t>
      </w:r>
      <w:r>
        <w:t xml:space="preserve"> </w:t>
      </w:r>
      <w:r>
        <w:t xml:space="preserve">++Single point of contact for supervisory</w:t>
      </w:r>
      <w:r>
        <w:t xml:space="preserve"> </w:t>
      </w:r>
      <w:r>
        <w:t xml:space="preserve">issues for systemic cross border entities</w:t>
      </w:r>
      <w:r>
        <w:t xml:space="preserve"> </w:t>
      </w:r>
      <w:r>
        <w:t xml:space="preserve">+++Consistent supervisory guidance</w:t>
      </w:r>
      <w:r>
        <w:t xml:space="preserve"> </w:t>
      </w:r>
      <w:r>
        <w:t xml:space="preserve">++Smaller CCPs and CSDs can benefit from</w:t>
      </w:r>
      <w:r>
        <w:t xml:space="preserve"> </w:t>
      </w:r>
      <w:r>
        <w:t xml:space="preserve">local guidance</w:t>
      </w:r>
      <w:r>
        <w:t xml:space="preserve"> </w:t>
      </w:r>
      <w:r>
        <w:t xml:space="preserve">+/- For trading venues, all entities continue to</w:t>
      </w:r>
      <w:r>
        <w:t xml:space="preserve"> </w:t>
      </w:r>
      <w:r>
        <w:t xml:space="preserve">benefit from local market surveillance by</w:t>
      </w:r>
      <w:r>
        <w:t xml:space="preserve"> </w:t>
      </w:r>
      <w:r>
        <w:t xml:space="preserve">NCAs responding to local specificities.</w:t>
      </w:r>
      <w:r>
        <w:br/>
      </w:r>
      <w:r>
        <w:t xml:space="preserve">+++ Level playing field in terms of regulatory</w:t>
      </w:r>
      <w:r>
        <w:t xml:space="preserve"> </w:t>
      </w:r>
      <w:r>
        <w:t xml:space="preserve">treatment facilitating fair competition among</w:t>
      </w:r>
      <w:r>
        <w:t xml:space="preserve"> </w:t>
      </w:r>
      <w:r>
        <w:t xml:space="preserve">entities from different MS</w:t>
      </w:r>
      <w:r>
        <w:t xml:space="preserve"> </w:t>
      </w:r>
      <w:r>
        <w:t xml:space="preserve">+Lower</w:t>
      </w:r>
      <w:r>
        <w:t xml:space="preserve"> </w:t>
      </w:r>
      <w:r>
        <w:t xml:space="preserve">supervisory</w:t>
      </w:r>
      <w:r>
        <w:t xml:space="preserve"> </w:t>
      </w:r>
      <w:r>
        <w:t xml:space="preserve">costs for cross border</w:t>
      </w:r>
      <w:r>
        <w:t xml:space="preserve"> </w:t>
      </w:r>
      <w:r>
        <w:t xml:space="preserve">entities</w:t>
      </w:r>
      <w:r>
        <w:t xml:space="preserve"> </w:t>
      </w:r>
      <w:r>
        <w:t xml:space="preserve">++Single</w:t>
      </w:r>
      <w:r>
        <w:t xml:space="preserve"> </w:t>
      </w:r>
      <w:r>
        <w:t xml:space="preserve">point</w:t>
      </w:r>
      <w:r>
        <w:t xml:space="preserve"> </w:t>
      </w:r>
      <w:r>
        <w:t xml:space="preserve">of</w:t>
      </w:r>
      <w:r>
        <w:t xml:space="preserve"> </w:t>
      </w:r>
      <w:r>
        <w:t xml:space="preserve">contact for supervisory</w:t>
      </w:r>
      <w:r>
        <w:t xml:space="preserve"> </w:t>
      </w:r>
      <w:r>
        <w:t xml:space="preserve">issues</w:t>
      </w:r>
      <w:r>
        <w:br/>
      </w:r>
      <w:r>
        <w:t xml:space="preserve">+++Consistent</w:t>
      </w:r>
      <w:r>
        <w:t xml:space="preserve"> </w:t>
      </w:r>
      <w:r>
        <w:t xml:space="preserve">supervisory guidance</w:t>
      </w:r>
      <w:r>
        <w:t xml:space="preserve"> </w:t>
      </w:r>
      <w:r>
        <w:t xml:space="preserve">+++Fair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among</w:t>
      </w:r>
      <w:r>
        <w:t xml:space="preserve"> </w:t>
      </w:r>
      <w:r>
        <w:t xml:space="preserve">entities</w:t>
      </w:r>
      <w:r>
        <w:t xml:space="preserve"> </w:t>
      </w:r>
      <w:r>
        <w:t xml:space="preserve">from</w:t>
      </w:r>
      <w:r>
        <w:t xml:space="preserve"> </w:t>
      </w:r>
      <w:r>
        <w:t xml:space="preserve">different MS</w:t>
      </w:r>
      <w:r>
        <w:t xml:space="preserve"> </w:t>
      </w:r>
      <w:r>
        <w:t xml:space="preserve">+Lower compliance costs for cross border</w:t>
      </w:r>
      <w:r>
        <w:t xml:space="preserve"> </w:t>
      </w:r>
      <w:r>
        <w:t xml:space="preserve">entities</w:t>
      </w:r>
      <w:r>
        <w:t xml:space="preserve"> </w:t>
      </w:r>
      <w:r>
        <w:t xml:space="preserve">+++Consistent supervisory guidance</w:t>
      </w:r>
      <w:r>
        <w:br/>
      </w:r>
      <w:r>
        <w:t xml:space="preserve">+++Fair competition among entities from</w:t>
      </w:r>
      <w:r>
        <w:t xml:space="preserve"> </w:t>
      </w:r>
      <w:r>
        <w:t xml:space="preserve">different MS</w:t>
      </w:r>
      <w:r>
        <w:t xml:space="preserve"> </w:t>
      </w:r>
      <w:r>
        <w:t xml:space="preserve">++Asset managers can benefit from local</w:t>
      </w:r>
      <w:r>
        <w:t xml:space="preserve"> </w:t>
      </w:r>
      <w:r>
        <w:t xml:space="preserve">guidance</w:t>
      </w:r>
      <w:r>
        <w:t xml:space="preserve"> </w:t>
      </w:r>
      <w:r>
        <w:t xml:space="preserve">Option 3</w:t>
      </w:r>
      <w:r>
        <w:t xml:space="preserve"> </w:t>
      </w:r>
      <w:r>
        <w:t xml:space="preserve">+++ Better overview of the financial system</w:t>
      </w:r>
      <w:r>
        <w:t xml:space="preserve"> </w:t>
      </w:r>
      <w:r>
        <w:t xml:space="preserve">and monitoring of risks</w:t>
      </w:r>
      <w:r>
        <w:t xml:space="preserve"> </w:t>
      </w:r>
      <w:r>
        <w:t xml:space="preserve">+++Consistent supervisory practices</w:t>
      </w:r>
      <w:r>
        <w:t xml:space="preserve"> </w:t>
      </w:r>
      <w:r>
        <w:t xml:space="preserve">—Loss of local expertise for smaller CCPs,</w:t>
      </w:r>
      <w:r>
        <w:t xml:space="preserve"> </w:t>
      </w:r>
      <w:r>
        <w:t xml:space="preserve">CSDs and trading venues</w:t>
      </w:r>
      <w:r>
        <w:t xml:space="preserve"> </w:t>
      </w:r>
      <w:r>
        <w:t xml:space="preserve">—Loss of local expertise for asset managers</w:t>
      </w:r>
      <w:r>
        <w:t xml:space="preserve"> </w:t>
      </w:r>
      <w:r>
        <w:t xml:space="preserve">-Economies of scale and efficiency gains</w:t>
      </w:r>
      <w:r>
        <w:t xml:space="preserve"> </w:t>
      </w:r>
      <w:r>
        <w:t xml:space="preserve">outweighed by significant costs to centralise</w:t>
      </w:r>
      <w:r>
        <w:t xml:space="preserve"> </w:t>
      </w:r>
      <w:r>
        <w:t xml:space="preserve">supervision for all entities and replicate NCA</w:t>
      </w:r>
      <w:r>
        <w:t xml:space="preserve"> </w:t>
      </w:r>
      <w:r>
        <w:t xml:space="preserve">capabilities</w:t>
      </w:r>
      <w:r>
        <w:t xml:space="preserve"> </w:t>
      </w:r>
      <w:r>
        <w:t xml:space="preserve">++Single point of contact for supervisory</w:t>
      </w:r>
      <w:r>
        <w:t xml:space="preserve"> </w:t>
      </w:r>
      <w:r>
        <w:t xml:space="preserve">issues</w:t>
      </w:r>
      <w:r>
        <w:br/>
      </w:r>
      <w:r>
        <w:t xml:space="preserve">+++Consistent supervisory guidance</w:t>
      </w:r>
      <w:r>
        <w:t xml:space="preserve"> </w:t>
      </w:r>
      <w:r>
        <w:t xml:space="preserve">+++Fair competition among entities from</w:t>
      </w:r>
      <w:r>
        <w:t xml:space="preserve"> </w:t>
      </w:r>
      <w:r>
        <w:t xml:space="preserve">different MS</w:t>
      </w:r>
      <w:r>
        <w:t xml:space="preserve"> </w:t>
      </w:r>
      <w:r>
        <w:t xml:space="preserve">—Smaller CCPs, CSDs and trading venues</w:t>
      </w:r>
      <w:r>
        <w:t xml:space="preserve"> </w:t>
      </w:r>
      <w:r>
        <w:t xml:space="preserve">cannot benefit from local guidance</w:t>
      </w:r>
      <w:r>
        <w:t xml:space="preserve"> </w:t>
      </w:r>
      <w:r>
        <w:t xml:space="preserve">-Economies of scale and efficiency gains</w:t>
      </w:r>
      <w:r>
        <w:t xml:space="preserve"> </w:t>
      </w:r>
      <w:r>
        <w:t xml:space="preserve">outweighed by significant costs to centralise</w:t>
      </w:r>
      <w:r>
        <w:t xml:space="preserve"> </w:t>
      </w:r>
      <w:r>
        <w:t xml:space="preserve">supervision for all entities and replicate NCA</w:t>
      </w:r>
      <w:r>
        <w:t xml:space="preserve"> </w:t>
      </w:r>
      <w:r>
        <w:t xml:space="preserve">capabilities</w:t>
      </w:r>
      <w:r>
        <w:t xml:space="preserve"> </w:t>
      </w:r>
      <w:r>
        <w:t xml:space="preserve">+Lower</w:t>
      </w:r>
      <w:r>
        <w:t xml:space="preserve"> </w:t>
      </w:r>
      <w:r>
        <w:t xml:space="preserve">supervisory</w:t>
      </w:r>
      <w:r>
        <w:t xml:space="preserve"> </w:t>
      </w:r>
      <w:r>
        <w:t xml:space="preserve">costs for cross border</w:t>
      </w:r>
      <w:r>
        <w:t xml:space="preserve"> </w:t>
      </w:r>
      <w:r>
        <w:t xml:space="preserve">entities</w:t>
      </w:r>
      <w:r>
        <w:t xml:space="preserve"> </w:t>
      </w:r>
      <w:r>
        <w:t xml:space="preserve">++Single</w:t>
      </w:r>
      <w:r>
        <w:t xml:space="preserve"> </w:t>
      </w:r>
      <w:r>
        <w:t xml:space="preserve">point</w:t>
      </w:r>
      <w:r>
        <w:t xml:space="preserve"> </w:t>
      </w:r>
      <w:r>
        <w:t xml:space="preserve">of</w:t>
      </w:r>
      <w:r>
        <w:t xml:space="preserve"> </w:t>
      </w:r>
      <w:r>
        <w:t xml:space="preserve">contact for supervisory</w:t>
      </w:r>
      <w:r>
        <w:t xml:space="preserve"> </w:t>
      </w:r>
      <w:r>
        <w:t xml:space="preserve">issues</w:t>
      </w:r>
      <w:r>
        <w:br/>
      </w:r>
      <w:r>
        <w:t xml:space="preserve">+++Consistent</w:t>
      </w:r>
      <w:r>
        <w:t xml:space="preserve"> </w:t>
      </w:r>
      <w:r>
        <w:t xml:space="preserve">supervisory guidance</w:t>
      </w:r>
      <w:r>
        <w:br/>
      </w:r>
      <w:r>
        <w:t xml:space="preserve">+++Fair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among</w:t>
      </w:r>
      <w:r>
        <w:t xml:space="preserve"> </w:t>
      </w:r>
      <w:r>
        <w:t xml:space="preserve">entities</w:t>
      </w:r>
      <w:r>
        <w:t xml:space="preserve"> </w:t>
      </w:r>
      <w:r>
        <w:t xml:space="preserve">from</w:t>
      </w:r>
      <w:r>
        <w:t xml:space="preserve"> </w:t>
      </w:r>
      <w:r>
        <w:t xml:space="preserve">different MS</w:t>
      </w:r>
      <w:r>
        <w:t xml:space="preserve"> </w:t>
      </w:r>
      <w:r>
        <w:t xml:space="preserve">++Single point of contact for supervisory</w:t>
      </w:r>
      <w:r>
        <w:t xml:space="preserve"> </w:t>
      </w:r>
      <w:r>
        <w:t xml:space="preserve">issues</w:t>
      </w:r>
      <w:r>
        <w:br/>
      </w:r>
      <w:r>
        <w:t xml:space="preserve">+++Consistent supervisory guidance</w:t>
      </w:r>
      <w:r>
        <w:t xml:space="preserve"> </w:t>
      </w:r>
      <w:r>
        <w:t xml:space="preserve">+++Fair competition among entities from</w:t>
      </w:r>
      <w:r>
        <w:t xml:space="preserve"> </w:t>
      </w:r>
      <w:r>
        <w:t xml:space="preserve">different MS</w:t>
      </w:r>
      <w:r>
        <w:t xml:space="preserve"> </w:t>
      </w:r>
      <w:r>
        <w:t xml:space="preserve">—Local guidance is lost</w:t>
      </w:r>
      <w:r>
        <w:t xml:space="preserve"> </w:t>
      </w:r>
      <w:r>
        <w:t xml:space="preserve">-Economies of scale and efficiency gains</w:t>
      </w:r>
      <w:r>
        <w:t xml:space="preserve"> </w:t>
      </w:r>
      <w:r>
        <w:t xml:space="preserve">outweighed by significant costs to centralise</w:t>
      </w:r>
      <w:r>
        <w:t xml:space="preserve"> </w:t>
      </w:r>
      <w:r>
        <w:t xml:space="preserve">supervision for all entities and replicate NCA</w:t>
      </w:r>
      <w:r>
        <w:t xml:space="preserve"> </w:t>
      </w:r>
      <w:r>
        <w:t xml:space="preserve">capabilities</w:t>
      </w:r>
      <w:r>
        <w:t xml:space="preserve"> </w:t>
      </w:r>
      <w:r>
        <w:t xml:space="preserve">Legend: +++ = Very positive ++ = Positive + = Slightly positive +/- = Mixed effect</w:t>
      </w:r>
      <w:r>
        <w:br/>
      </w:r>
      <w:r>
        <w:t xml:space="preserve">0 = no effect - = Slightly negative – = Negative — = very negative</w:t>
      </w:r>
    </w:p>
    <w:p>
      <w:pPr>
        <w:pStyle w:val="BodyText"/>
      </w:pPr>
      <w:r>
        <w:t xml:space="preserve">96</w:t>
      </w:r>
    </w:p>
    <w:p>
      <w:pPr>
        <w:pStyle w:val="Compact"/>
        <w:numPr>
          <w:ilvl w:val="0"/>
          <w:numId w:val="1010"/>
        </w:numPr>
      </w:pPr>
      <w:r>
        <w:t xml:space="preserve">PREFERRED OPTION</w:t>
      </w:r>
      <w:r>
        <w:t xml:space="preserve"> </w:t>
      </w:r>
      <w:r>
        <w:t xml:space="preserve">7.1. IMPACTS AND ASSESSMENT OF THE PREFERRED OPTION</w:t>
      </w:r>
      <w:r>
        <w:t xml:space="preserve"> </w:t>
      </w:r>
      <w:r>
        <w:t xml:space="preserve">Option 2 is the preferred option for both the measures addressing the barriers to cross-border</w:t>
      </w:r>
      <w:r>
        <w:t xml:space="preserve"> </w:t>
      </w:r>
      <w:r>
        <w:t xml:space="preserve">activities and innovation, as well as fragmentation in supervision. This option recognises the</w:t>
      </w:r>
      <w:r>
        <w:t xml:space="preserve"> </w:t>
      </w:r>
      <w:r>
        <w:t xml:space="preserve">intrinsic links between sectoral improvements, supervision, and innovation, and seeks to create a</w:t>
      </w:r>
      <w:r>
        <w:t xml:space="preserve"> </w:t>
      </w:r>
      <w:r>
        <w:t xml:space="preserve">more integrated and dynamic EU capital market. It removes barriers to cross-border operations</w:t>
      </w:r>
      <w:r>
        <w:t xml:space="preserve"> </w:t>
      </w:r>
      <w:r>
        <w:t xml:space="preserve">and innovation by further harmonising requirements for trading venues, as well as facilitating</w:t>
      </w:r>
      <w:r>
        <w:t xml:space="preserve"> </w:t>
      </w:r>
      <w:r>
        <w:t xml:space="preserve">settlement processes, notably but not only through increased interconnectivity, refining asset</w:t>
      </w:r>
      <w:r>
        <w:t xml:space="preserve"> </w:t>
      </w:r>
      <w:r>
        <w:t xml:space="preserve">management requirements and improving the DLTPR, as well as strengthening the technological</w:t>
      </w:r>
      <w:r>
        <w:t xml:space="preserve"> </w:t>
      </w:r>
      <w:r>
        <w:t xml:space="preserve">neutrality of sectoral legislation. Revisiting these regimes would also allow simplifying provisions</w:t>
      </w:r>
      <w:r>
        <w:t xml:space="preserve"> </w:t>
      </w:r>
      <w:r>
        <w:t xml:space="preserve">whenever possible. Harmonising and streamlining requirements for passporting and intra-group</w:t>
      </w:r>
      <w:r>
        <w:t xml:space="preserve"> </w:t>
      </w:r>
      <w:r>
        <w:t xml:space="preserve">activities would promote cross-border activities and increase operational efficiencies. By</w:t>
      </w:r>
      <w:r>
        <w:t xml:space="preserve"> </w:t>
      </w:r>
      <w:r>
        <w:t xml:space="preserve">improving, harmonising, and streamlining requirements across these sectors, the option would</w:t>
      </w:r>
      <w:r>
        <w:t xml:space="preserve"> </w:t>
      </w:r>
      <w:r>
        <w:t xml:space="preserve">directly benefit trading venues, CSDs, CCPs, asset managers and DLTPs operating in the EU</w:t>
      </w:r>
      <w:r>
        <w:t xml:space="preserve"> </w:t>
      </w:r>
      <w:r>
        <w:t xml:space="preserve">which should profit from lower compliance costs related to cross-border provision of their</w:t>
      </w:r>
      <w:r>
        <w:t xml:space="preserve"> </w:t>
      </w:r>
      <w:r>
        <w:t xml:space="preserve">financial services, cost reductions arising from rationalisation of intra-group operations and cost</w:t>
      </w:r>
      <w:r>
        <w:t xml:space="preserve"> </w:t>
      </w:r>
      <w:r>
        <w:t xml:space="preserve">reductions related to streamlining of requirements and increased clarity and legal certainty.</w:t>
      </w:r>
      <w:r>
        <w:br/>
      </w:r>
      <w:r>
        <w:t xml:space="preserve">Supervision plays a crucial role in driving integration, scale, and reducing fragmentation. In</w:t>
      </w:r>
      <w:r>
        <w:t xml:space="preserve"> </w:t>
      </w:r>
      <w:r>
        <w:t xml:space="preserve">particular, effective supervision is critical to ensuring that EU capital markets can operate as one</w:t>
      </w:r>
      <w:r>
        <w:t xml:space="preserve"> </w:t>
      </w:r>
      <w:r>
        <w:t xml:space="preserve">interlinked market. This is why Option 2 proposes strengthening the European supervisory</w:t>
      </w:r>
      <w:r>
        <w:t xml:space="preserve"> </w:t>
      </w:r>
      <w:r>
        <w:t xml:space="preserve">framework, particularly by enhancing the role of ESMA. Financial market participants under</w:t>
      </w:r>
      <w:r>
        <w:t xml:space="preserve"> </w:t>
      </w:r>
      <w:r>
        <w:t xml:space="preserve">strengthened EU supervision (i.e. cross-border significant trading venues, CSDs, CCPs, asset</w:t>
      </w:r>
      <w:r>
        <w:t xml:space="preserve"> </w:t>
      </w:r>
      <w:r>
        <w:t xml:space="preserve">management firms and CASPs) would directly benefit from: 1) reduced compliance cost and</w:t>
      </w:r>
      <w:r>
        <w:t xml:space="preserve"> </w:t>
      </w:r>
      <w:r>
        <w:t xml:space="preserve">administrative burden for entities currently supervised by multiple NCAs; 2) savings stemming</w:t>
      </w:r>
      <w:r>
        <w:t xml:space="preserve"> </w:t>
      </w:r>
      <w:r>
        <w:t xml:space="preserve">from less duplications, differences in instructions and procedural delays; 3) reduction of</w:t>
      </w:r>
      <w:r>
        <w:t xml:space="preserve"> </w:t>
      </w:r>
      <w:r>
        <w:t xml:space="preserve">supervisory fees for entities currently supervised by several NCAs and 4) savings due to synergies</w:t>
      </w:r>
      <w:r>
        <w:t xml:space="preserve"> </w:t>
      </w:r>
      <w:r>
        <w:t xml:space="preserve">and increased intra-group outsourcing/delegation.</w:t>
      </w:r>
      <w:r>
        <w:br/>
      </w:r>
      <w:r>
        <w:t xml:space="preserve">Moreover, by increasing market integration and scale, the option would indirectly benefit the entire</w:t>
      </w:r>
      <w:r>
        <w:t xml:space="preserve"> </w:t>
      </w:r>
      <w:r>
        <w:t xml:space="preserve">EU capital market ecosystem and its participants. Both institutional and retail investors are likely</w:t>
      </w:r>
      <w:r>
        <w:t xml:space="preserve"> </w:t>
      </w:r>
      <w:r>
        <w:t xml:space="preserve">to experience lower trading costs and enjoy a wider range of financial products and services.</w:t>
      </w:r>
      <w:r>
        <w:t xml:space="preserve"> </w:t>
      </w:r>
      <w:r>
        <w:t xml:space="preserve">Enhanced and more agile supervision of capital markets will bolster investor trust and confidence</w:t>
      </w:r>
      <w:r>
        <w:t xml:space="preserve"> </w:t>
      </w:r>
      <w:r>
        <w:t xml:space="preserve">in market governance and oversight. This should spur cross-border investments within the Single</w:t>
      </w:r>
      <w:r>
        <w:t xml:space="preserve"> </w:t>
      </w:r>
      <w:r>
        <w:t xml:space="preserve">Market, offering companies broader access to funding and reducing their financing costs. By</w:t>
      </w:r>
      <w:r>
        <w:t xml:space="preserve"> </w:t>
      </w:r>
      <w:r>
        <w:t xml:space="preserve">promoting risk sharing, financial market integration and consistent supervision should also</w:t>
      </w:r>
      <w:r>
        <w:t xml:space="preserve"> </w:t>
      </w:r>
      <w:r>
        <w:t xml:space="preserve">strengthen financial stability across the EU.</w:t>
      </w:r>
      <w:r>
        <w:t xml:space="preserve"> </w:t>
      </w:r>
      <w:r>
        <w:t xml:space="preserve">The overall impact of the expected changes under option 2 should be further enhanced by progress</w:t>
      </w:r>
      <w:r>
        <w:t xml:space="preserve"> </w:t>
      </w:r>
      <w:r>
        <w:t xml:space="preserve">on all pillars of the SIU strategy, as well as parallel efforts in the competitiveness agenda. In</w:t>
      </w:r>
      <w:r>
        <w:t xml:space="preserve"> </w:t>
      </w:r>
      <w:r>
        <w:t xml:space="preserve">particular, the recently adopted Financial Literacy Strategy156 seeks to improve citizens’ financial</w:t>
      </w:r>
      <w:r>
        <w:t xml:space="preserve"> </w:t>
      </w:r>
      <w:r>
        <w:t xml:space="preserve">literacy and empower them to take conscious personal finance decisions, including savings and</w:t>
      </w:r>
      <w:r>
        <w:t xml:space="preserve"> </w:t>
      </w:r>
      <w:r>
        <w:t xml:space="preserve">investment decisions, that contribute to their (financial) well-being. In addition, the Commission’s</w:t>
      </w:r>
      <w:r>
        <w:t xml:space="preserve"> </w:t>
      </w:r>
      <w:r>
        <w:t xml:space="preserve">Savings and Investment Account Recommendation provide concrete suggestions to support retail</w:t>
      </w:r>
    </w:p>
    <w:p>
      <w:pPr>
        <w:pStyle w:val="FirstParagraph"/>
      </w:pPr>
      <w:r>
        <w:t xml:space="preserve">156 EU to boost financial literacy and investment opportunities for citizens - European Commission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participation in capital markets and make it easier for them to diversify their savings across</w:t>
      </w:r>
      <w:r>
        <w:t xml:space="preserve"> </w:t>
      </w:r>
      <w:r>
        <w:t xml:space="preserve">financial instruments.157 In November, the Commission also adopted a comprehensive package on</w:t>
      </w:r>
      <w:r>
        <w:t xml:space="preserve"> </w:t>
      </w:r>
      <w:r>
        <w:t xml:space="preserve">pensions, including both non-legislative and legislative measures, with a view to enhancing</w:t>
      </w:r>
      <w:r>
        <w:t xml:space="preserve"> </w:t>
      </w:r>
      <w:r>
        <w:t xml:space="preserve">pension income, attract institutional investors into EU capital markets and increase their</w:t>
      </w:r>
      <w:r>
        <w:t xml:space="preserve"> </w:t>
      </w:r>
      <w:r>
        <w:t xml:space="preserve">contribution as provider of long-term financing to the EU economy. Finally, the recent</w:t>
      </w:r>
      <w:r>
        <w:t xml:space="preserve"> </w:t>
      </w:r>
      <w:r>
        <w:t xml:space="preserve">Commission proposals to facilitate securitisation activity in the EU158 should help channel more</w:t>
      </w:r>
      <w:r>
        <w:t xml:space="preserve"> </w:t>
      </w:r>
      <w:r>
        <w:t xml:space="preserve">investments into the real economy – supporting economic growth, innovation and job creation</w:t>
      </w:r>
      <w:r>
        <w:t xml:space="preserve"> </w:t>
      </w:r>
      <w:r>
        <w:t xml:space="preserve">across the EU.</w:t>
      </w:r>
      <w:r>
        <w:br/>
      </w:r>
      <w:r>
        <w:t xml:space="preserve">By removing barriers and facilitating further integration, this initiative is expected to bring</w:t>
      </w:r>
      <w:r>
        <w:t xml:space="preserve"> </w:t>
      </w:r>
      <w:r>
        <w:t xml:space="preserve">significant macroeconomic benefits. Estimates are derived based on several assumptions, notably</w:t>
      </w:r>
      <w:r>
        <w:t xml:space="preserve"> </w:t>
      </w:r>
      <w:r>
        <w:t xml:space="preserve">on how research findings from existing studies translate into the expected impact of this initiative</w:t>
      </w:r>
      <w:r>
        <w:t xml:space="preserve"> </w:t>
      </w:r>
      <w:r>
        <w:t xml:space="preserve">(see Annex 4 for more information). Using this approach and assuming that this initiative is</w:t>
      </w:r>
      <w:r>
        <w:t xml:space="preserve"> </w:t>
      </w:r>
      <w:r>
        <w:t xml:space="preserve">effective, economic growth is estimated to increase by as much as EUR 1.36- 3.62 trillion</w:t>
      </w:r>
      <w:r>
        <w:t xml:space="preserve"> </w:t>
      </w:r>
      <w:r>
        <w:t xml:space="preserve">(cumulatively) over the next 30 years based on the economic analysis in a study159 analysing the</w:t>
      </w:r>
      <w:r>
        <w:t xml:space="preserve"> </w:t>
      </w:r>
      <w:r>
        <w:t xml:space="preserve">negative growth effects of market fragmentation.</w:t>
      </w:r>
      <w:r>
        <w:t xml:space="preserve"> </w:t>
      </w:r>
      <w:r>
        <w:t xml:space="preserve">This estimate is notably broad given the long period and significant uncertainties surrounding</w:t>
      </w:r>
      <w:r>
        <w:t xml:space="preserve"> </w:t>
      </w:r>
      <w:r>
        <w:t xml:space="preserve">market development and impacts. Given these significant limitations, it would also make no sense</w:t>
      </w:r>
      <w:r>
        <w:t xml:space="preserve"> </w:t>
      </w:r>
      <w:r>
        <w:t xml:space="preserve">to attempt to provide a more detailed breakdown of economic impacts by individual measures. The</w:t>
      </w:r>
      <w:r>
        <w:t xml:space="preserve"> </w:t>
      </w:r>
      <w:r>
        <w:t xml:space="preserve">estimate serves primarily to demonstrate the potential scale of growth impacts. Even more</w:t>
      </w:r>
      <w:r>
        <w:t xml:space="preserve"> </w:t>
      </w:r>
      <w:r>
        <w:t xml:space="preserve">conservative estimates would still show that the positive impacts outweigh the costs of</w:t>
      </w:r>
      <w:r>
        <w:t xml:space="preserve"> </w:t>
      </w:r>
      <w:r>
        <w:t xml:space="preserve">implementing the measures described in Option 2, in particular the costs for certain CSDs to</w:t>
      </w:r>
      <w:r>
        <w:t xml:space="preserve"> </w:t>
      </w:r>
      <w:r>
        <w:t xml:space="preserve">establish links to CSD hubs and T2S (quantified in Section 6.1.1) and the costs of enhanced EU</w:t>
      </w:r>
      <w:r>
        <w:t xml:space="preserve"> </w:t>
      </w:r>
      <w:r>
        <w:t xml:space="preserve">supervision (quantified in Section 6.2.1).</w:t>
      </w:r>
      <w:r>
        <w:br/>
      </w:r>
      <w:r>
        <w:t xml:space="preserve">As regards administrative burden, the measures include diverting reporting to ESMA to fulfil its</w:t>
      </w:r>
      <w:r>
        <w:t xml:space="preserve"> </w:t>
      </w:r>
      <w:r>
        <w:t xml:space="preserve">functions as a competent authority. These are not new reporting requirements, as the rules already</w:t>
      </w:r>
      <w:r>
        <w:t xml:space="preserve"> </w:t>
      </w:r>
      <w:r>
        <w:t xml:space="preserve">provided for such reporting to national competent authorities. Nevertheless, there may be one-off</w:t>
      </w:r>
      <w:r>
        <w:t xml:space="preserve"> </w:t>
      </w:r>
      <w:r>
        <w:t xml:space="preserve">adjustments to reporting templates and formats needed implying some administrative costs. These</w:t>
      </w:r>
      <w:r>
        <w:t xml:space="preserve"> </w:t>
      </w:r>
      <w:r>
        <w:t xml:space="preserve">will depend on the level of detail and formats of the current national reporting and how it differs</w:t>
      </w:r>
      <w:r>
        <w:t xml:space="preserve"> </w:t>
      </w:r>
      <w:r>
        <w:t xml:space="preserve">from the future new more harmonised reports to ESMA. Following a further cost-benefit</w:t>
      </w:r>
      <w:r>
        <w:t xml:space="preserve"> </w:t>
      </w:r>
      <w:r>
        <w:t xml:space="preserve">assessment, ESMA, which is in general obliged to keep reporting and related burden to the</w:t>
      </w:r>
      <w:r>
        <w:t xml:space="preserve"> </w:t>
      </w:r>
      <w:r>
        <w:t xml:space="preserve">minimum, would develop the relevant level 2 requirements. The redirection of reporting flows will</w:t>
      </w:r>
      <w:r>
        <w:t xml:space="preserve"> </w:t>
      </w:r>
      <w:r>
        <w:t xml:space="preserve">require investment estimated at EUR 15 million into ITC systems by ESMA and approximately</w:t>
      </w:r>
      <w:r>
        <w:t xml:space="preserve"> </w:t>
      </w:r>
      <w:r>
        <w:t xml:space="preserve">EUR 4 million in annual maintenance (see Annex 11).</w:t>
      </w:r>
      <w:r>
        <w:br/>
      </w:r>
      <w:r>
        <w:t xml:space="preserve">In addition, one-off adjustment costs for directly affected financial intermediaries to comply with</w:t>
      </w:r>
      <w:r>
        <w:t xml:space="preserve"> </w:t>
      </w:r>
      <w:r>
        <w:t xml:space="preserve">streamlined and simplified rules are expected to be relatively small. One-off indirect costs could</w:t>
      </w:r>
      <w:r>
        <w:t xml:space="preserve"> </w:t>
      </w:r>
      <w:r>
        <w:t xml:space="preserve">arise for users of affected services (e.g. contractual changes) are also expected to be relatively</w:t>
      </w:r>
      <w:r>
        <w:t xml:space="preserve"> </w:t>
      </w:r>
      <w:r>
        <w:t xml:space="preserve">small. Overall, while there will likely be one-off adjustment costs, new administrative burdens are</w:t>
      </w:r>
      <w:r>
        <w:t xml:space="preserve"> </w:t>
      </w:r>
      <w:r>
        <w:t xml:space="preserve">expected to be small and are therefore not further quantified.</w:t>
      </w:r>
    </w:p>
    <w:p>
      <w:pPr>
        <w:pStyle w:val="BodyText"/>
      </w:pPr>
      <w:r>
        <w:t xml:space="preserve">157 Ibid.</w:t>
      </w:r>
      <w:r>
        <w:t xml:space="preserve"> </w:t>
      </w:r>
      <w:r>
        <w:t xml:space="preserve">158 Commission proposes measures to revive the EU securitisation framework - Finance</w:t>
      </w:r>
      <w:r>
        <w:t xml:space="preserve"> </w:t>
      </w:r>
      <w:r>
        <w:t xml:space="preserve">159 ‘Capital Market Fragmentation and Economic Value Migration How Europe’s Financial System Promotes Wealth</w:t>
      </w:r>
      <w:r>
        <w:t xml:space="preserve"> </w:t>
      </w:r>
      <w:r>
        <w:t xml:space="preserve">Transfer to the U.S’; Holste, Bjoern and Bergström, Mattias - April 03, 2025 - Link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The package is not expected to have any direct significant social, environment or fundamental</w:t>
      </w:r>
      <w:r>
        <w:t xml:space="preserve"> </w:t>
      </w:r>
      <w:r>
        <w:t xml:space="preserve">right impacts.</w:t>
      </w:r>
      <w:r>
        <w:t xml:space="preserve"> </w:t>
      </w:r>
      <w:r>
        <w:t xml:space="preserve">7.2. REFIT</w:t>
      </w:r>
      <w:r>
        <w:br/>
      </w:r>
      <w:r>
        <w:t xml:space="preserve">The initiative contains a range of simplification efforts which consist of removing barriers to cross-</w:t>
      </w:r>
      <w:r>
        <w:t xml:space="preserve"> </w:t>
      </w:r>
      <w:r>
        <w:t xml:space="preserve">border provisions of financial services in trading, post-trading and asset management. They aim to</w:t>
      </w:r>
      <w:r>
        <w:t xml:space="preserve"> </w:t>
      </w:r>
      <w:r>
        <w:t xml:space="preserve">simplify procedures as well clarify and harmonise requirements and the approach taken by</w:t>
      </w:r>
      <w:r>
        <w:t xml:space="preserve"> </w:t>
      </w:r>
      <w:r>
        <w:t xml:space="preserve">supervisors. These measures represent the substantial and integral part of the overall package and</w:t>
      </w:r>
      <w:r>
        <w:t xml:space="preserve"> </w:t>
      </w:r>
      <w:r>
        <w:t xml:space="preserve">largely account for the overall benefits quantified (see Annex 3).</w:t>
      </w:r>
      <w:r>
        <w:br/>
      </w:r>
      <w:r>
        <w:t xml:space="preserve">7.3. APPLICATION OF THE ‘ONE IN, ONE OUT’ APPROACH</w:t>
      </w:r>
      <w:r>
        <w:t xml:space="preserve"> </w:t>
      </w:r>
      <w:r>
        <w:t xml:space="preserve">New administrative burden created by the initiative is largely of a one-off nature, specifically to</w:t>
      </w:r>
      <w:r>
        <w:t xml:space="preserve"> </w:t>
      </w:r>
      <w:r>
        <w:t xml:space="preserve">adapt to legal changes and redirect reporting flows to ESMA. While not quantified for the reasons</w:t>
      </w:r>
      <w:r>
        <w:t xml:space="preserve"> </w:t>
      </w:r>
      <w:r>
        <w:t xml:space="preserve">set out above and in Annex 4, the related costs are expected to be relatively small as the initiative</w:t>
      </w:r>
      <w:r>
        <w:t xml:space="preserve"> </w:t>
      </w:r>
      <w:r>
        <w:t xml:space="preserve">is not above adding new requirements but removing national gold-plating and other barriers. It is</w:t>
      </w:r>
      <w:r>
        <w:t xml:space="preserve"> </w:t>
      </w:r>
      <w:r>
        <w:t xml:space="preserve">not expected that there will be substantial on-going administrative costs. In some cases, the more</w:t>
      </w:r>
      <w:r>
        <w:t xml:space="preserve"> </w:t>
      </w:r>
      <w:r>
        <w:t xml:space="preserve">harmonised procedures or the approach taken by ESMA may incur minor on-going administrative</w:t>
      </w:r>
      <w:r>
        <w:t xml:space="preserve"> </w:t>
      </w:r>
      <w:r>
        <w:t xml:space="preserve">costs. Likewise, there may be some entities for which on-going costs are expected to decrease (e.g. </w:t>
      </w:r>
      <w:r>
        <w:t xml:space="preserve"> </w:t>
      </w:r>
      <w:r>
        <w:t xml:space="preserve">removal of gold-plating provisions). The exact effect is difficult to pin-point and will depend on</w:t>
      </w:r>
      <w:r>
        <w:t xml:space="preserve"> </w:t>
      </w:r>
      <w:r>
        <w:t xml:space="preserve">different aspects such as the entity, respective compliance, currently responsible NCA.</w:t>
      </w:r>
      <w:r>
        <w:br/>
      </w:r>
      <w:r>
        <w:t xml:space="preserve">Some administrative burden reductions are quantified in Annex 3, notably (i) EUR 435,500 -</w:t>
      </w:r>
      <w:r>
        <w:t xml:space="preserve"> </w:t>
      </w:r>
      <w:r>
        <w:t xml:space="preserve">585,500 per exchange group per year (rationalisation of intra-group operations), (ii) EUR 0.5 to 5</w:t>
      </w:r>
      <w:r>
        <w:t xml:space="preserve"> </w:t>
      </w:r>
      <w:r>
        <w:t xml:space="preserve">million per cross-border operating exchange groups per year (supervisory convergence, reduced</w:t>
      </w:r>
      <w:r>
        <w:t xml:space="preserve"> </w:t>
      </w:r>
      <w:r>
        <w:t xml:space="preserve">fragmentation of requirements) and (iii) a significant part of EUR 20,000 – 60,000 (current</w:t>
      </w:r>
      <w:r>
        <w:t xml:space="preserve"> </w:t>
      </w:r>
      <w:r>
        <w:t xml:space="preserve">administrative costs) per fund registered in another Member State. Administrative costs should</w:t>
      </w:r>
      <w:r>
        <w:t xml:space="preserve"> </w:t>
      </w:r>
      <w:r>
        <w:t xml:space="preserve">also be reduced for intragroup operations and through streamlined member onboarding / due</w:t>
      </w:r>
      <w:r>
        <w:t xml:space="preserve"> </w:t>
      </w:r>
      <w:r>
        <w:t xml:space="preserve">diligence checks (trading venues &amp; brokers), increased legal clarity / certainty (CSDs),</w:t>
      </w:r>
      <w:r>
        <w:t xml:space="preserve"> </w:t>
      </w:r>
      <w:r>
        <w:t xml:space="preserve">standardised authorisation procedures, notifications and requirements concerning marketing (asset</w:t>
      </w:r>
      <w:r>
        <w:t xml:space="preserve"> </w:t>
      </w:r>
      <w:r>
        <w:t xml:space="preserve">management) and by reduced divergence in requirements and approach taken across multiple</w:t>
      </w:r>
      <w:r>
        <w:t xml:space="preserve"> </w:t>
      </w:r>
      <w:r>
        <w:t xml:space="preserve">NCAs.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initiative is expected to follow normal implementation procedures. Ex-post evaluation of all</w:t>
      </w:r>
      <w:r>
        <w:t xml:space="preserve"> </w:t>
      </w:r>
      <w:r>
        <w:t xml:space="preserve">new legislative measures is a priority for the Commission. The Commission services will review</w:t>
      </w:r>
      <w:r>
        <w:t xml:space="preserve"> </w:t>
      </w:r>
      <w:r>
        <w:t xml:space="preserve">the outputs, results and impacts of this initiative once the legal instrument becomes effective.</w:t>
      </w:r>
      <w:r>
        <w:br/>
      </w:r>
      <w:r>
        <w:t xml:space="preserve">An evaluation is envisaged 5 years after the implementation of the measure and in accordance with</w:t>
      </w:r>
      <w:r>
        <w:t xml:space="preserve"> </w:t>
      </w:r>
      <w:r>
        <w:t xml:space="preserve">the Commission’s better regulation guidelines.</w:t>
      </w:r>
      <w:r>
        <w:br/>
      </w:r>
      <w:r>
        <w:t xml:space="preserve">For further monitoring and preparing an evaluation of the impact of the legislative initiative,</w:t>
      </w:r>
      <w:r>
        <w:br/>
      </w:r>
      <w:r>
        <w:t xml:space="preserve">the following non-exhaustive list of sources could provide for a basis for information gathering:</w:t>
      </w:r>
      <w:r>
        <w:t xml:space="preserve"> </w:t>
      </w:r>
      <w:r>
        <w:t xml:space="preserve">i.</w:t>
      </w:r>
      <w:r>
        <w:t xml:space="preserve"> </w:t>
      </w:r>
      <w:r>
        <w:t xml:space="preserve">Websites of competent authorities</w:t>
      </w:r>
      <w:r>
        <w:t xml:space="preserve"> </w:t>
      </w:r>
      <w:r>
        <w:t xml:space="preserve">ii.</w:t>
      </w:r>
      <w:r>
        <w:t xml:space="preserve"> </w:t>
      </w:r>
      <w:r>
        <w:t xml:space="preserve">ESMA databases on financial instruments (MiFID/MiFIR)</w:t>
      </w:r>
      <w:r>
        <w:t xml:space="preserve"> </w:t>
      </w:r>
      <w:r>
        <w:t xml:space="preserve">iii.</w:t>
      </w:r>
      <w:r>
        <w:t xml:space="preserve"> </w:t>
      </w:r>
      <w:r>
        <w:t xml:space="preserve">ESMA databases on clearing (EMIR)</w:t>
      </w:r>
      <w:r>
        <w:br/>
      </w:r>
      <w:r>
        <w:t xml:space="preserve">iv.</w:t>
      </w:r>
      <w:r>
        <w:t xml:space="preserve"> </w:t>
      </w:r>
      <w:r>
        <w:t xml:space="preserve">ESMA database for notifications (notifications, updates, de-notification regarding cross-</w:t>
      </w:r>
      <w:r>
        <w:t xml:space="preserve"> </w:t>
      </w:r>
      <w:r>
        <w:t xml:space="preserve">border distribution of funds) (AIFMD/UCITS)</w:t>
      </w:r>
      <w:r>
        <w:br/>
      </w:r>
      <w:r>
        <w:t xml:space="preserve">v.</w:t>
      </w:r>
      <w:r>
        <w:t xml:space="preserve"> </w:t>
      </w:r>
      <w:r>
        <w:t xml:space="preserve">Third-party databases (including Clarus CCP View, Bloomberg, Refinitiv, Morningstar)</w:t>
      </w:r>
    </w:p>
    <w:p>
      <w:pPr>
        <w:pStyle w:val="BodyText"/>
      </w:pPr>
      <w:r>
        <w:t xml:space="preserve">99</w:t>
      </w:r>
    </w:p>
    <w:p>
      <w:pPr>
        <w:pStyle w:val="Compact"/>
        <w:numPr>
          <w:ilvl w:val="0"/>
          <w:numId w:val="1011"/>
        </w:numPr>
      </w:pPr>
      <w:r>
        <w:t xml:space="preserve">Regular market reports from industry associations</w:t>
      </w:r>
    </w:p>
    <w:p>
      <w:pPr>
        <w:pStyle w:val="Compact"/>
        <w:numPr>
          <w:ilvl w:val="0"/>
          <w:numId w:val="1011"/>
        </w:numPr>
      </w:pPr>
      <w:r>
        <w:t xml:space="preserve">FISMA indicators to measure overall capital market developments160</w:t>
      </w:r>
    </w:p>
    <w:p>
      <w:pPr>
        <w:pStyle w:val="Compact"/>
        <w:numPr>
          <w:ilvl w:val="0"/>
          <w:numId w:val="1011"/>
        </w:numPr>
      </w:pPr>
      <w:r>
        <w:t xml:space="preserve">Stakeholder engagements</w:t>
      </w:r>
      <w:r>
        <w:br/>
      </w:r>
      <w:r>
        <w:t xml:space="preserve">The Commission presents below a series of metrics to be monitored following the adoption of the</w:t>
      </w:r>
      <w:r>
        <w:t xml:space="preserve"> </w:t>
      </w:r>
      <w:r>
        <w:t xml:space="preserve">changes included in the initiative. The metrics listed focus on the indicators per sector, but broader</w:t>
      </w:r>
      <w:r>
        <w:t xml:space="preserve"> </w:t>
      </w:r>
      <w:r>
        <w:t xml:space="preserve">indicators to measure wider market impacts will also be monitored, even if those can be less</w:t>
      </w:r>
      <w:r>
        <w:t xml:space="preserve"> </w:t>
      </w:r>
      <w:r>
        <w:t xml:space="preserve">directly attributed to this initiative – e.g. measures assessing access to capital and corporate</w:t>
      </w:r>
      <w:r>
        <w:t xml:space="preserve"> </w:t>
      </w:r>
      <w:r>
        <w:t xml:space="preserve">financing structures or the level of retail investor participation in capital market. The sectoral</w:t>
      </w:r>
      <w:r>
        <w:t xml:space="preserve"> </w:t>
      </w:r>
      <w:r>
        <w:t xml:space="preserve">metrics listed below present a mix of direct indicators of the level of (cross-border activity) and</w:t>
      </w:r>
      <w:r>
        <w:t xml:space="preserve"> </w:t>
      </w:r>
      <w:r>
        <w:t xml:space="preserve">also the key indicators that relate to market outcomes in terms of costs and prices. Based on the</w:t>
      </w:r>
      <w:r>
        <w:t xml:space="preserve"> </w:t>
      </w:r>
      <w:r>
        <w:t xml:space="preserve">known data limitations, we expect that some data will be more difficult to obtain than other – but</w:t>
      </w:r>
      <w:r>
        <w:t xml:space="preserve"> </w:t>
      </w:r>
      <w:r>
        <w:t xml:space="preserve">the below sets out an ambitious approach to be able to put a monitoring in place, also with the help</w:t>
      </w:r>
      <w:r>
        <w:t xml:space="preserve"> </w:t>
      </w:r>
      <w:r>
        <w:t xml:space="preserve">of ESMA and other stakeholders and using a mix of different types of indicators. Given the</w:t>
      </w:r>
      <w:r>
        <w:t xml:space="preserve"> </w:t>
      </w:r>
      <w:r>
        <w:t xml:space="preserve">methodological challenges, including the fact that market outcomes are affected by many different</w:t>
      </w:r>
      <w:r>
        <w:t xml:space="preserve"> </w:t>
      </w:r>
      <w:r>
        <w:t xml:space="preserve">factors that are difficult to control, no quantitative targets are set for the specific objectives and</w:t>
      </w:r>
      <w:r>
        <w:t xml:space="preserve"> </w:t>
      </w:r>
      <w:r>
        <w:t xml:space="preserve">related indicators; the table only reports the expected direction of evolution as a result of the policy</w:t>
      </w:r>
      <w:r>
        <w:t xml:space="preserve"> </w:t>
      </w:r>
      <w:r>
        <w:t xml:space="preserve">intervention.</w:t>
      </w:r>
      <w:r>
        <w:br/>
      </w:r>
      <w:r>
        <w:t xml:space="preserve">Trading</w:t>
      </w:r>
      <w:r>
        <w:br/>
      </w:r>
      <w:r>
        <w:t xml:space="preserve">Objective</w:t>
      </w:r>
      <w:r>
        <w:br/>
      </w:r>
      <w:r>
        <w:t xml:space="preserve">Proposed indicator (expected direction in brackets)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Enable further market</w:t>
      </w:r>
      <w:r>
        <w:t xml:space="preserve"> </w:t>
      </w:r>
      <w:r>
        <w:t xml:space="preserve">integration and scale</w:t>
      </w:r>
      <w:r>
        <w:t xml:space="preserve"> </w:t>
      </w:r>
      <w:r>
        <w:t xml:space="preserve">effects by increasing</w:t>
      </w:r>
      <w:r>
        <w:t xml:space="preserve"> </w:t>
      </w:r>
      <w:r>
        <w:t xml:space="preserve">cross-border activity</w:t>
      </w:r>
    </w:p>
    <w:p>
      <w:pPr>
        <w:pStyle w:val="FirstParagraph"/>
      </w:pPr>
      <w:r>
        <w:t xml:space="preserve">Number of PEMO licenses (increase)</w:t>
      </w:r>
      <w:r>
        <w:t xml:space="preserve"> </w:t>
      </w:r>
      <w:r>
        <w:t xml:space="preserve">Average number of broker-venue connections (increase)</w:t>
      </w:r>
      <w:r>
        <w:t xml:space="preserve"> </w:t>
      </w:r>
      <w:r>
        <w:t xml:space="preserve">Number of brokers offering cross-border trading (increase)</w:t>
      </w:r>
      <w:r>
        <w:t xml:space="preserve"> </w:t>
      </w:r>
      <w:r>
        <w:t xml:space="preserve">Average gap in fees charged between domestic and cross-border</w:t>
      </w:r>
      <w:r>
        <w:t xml:space="preserve"> </w:t>
      </w:r>
      <w:r>
        <w:t xml:space="preserve">trading within the EU (decline)</w:t>
      </w:r>
      <w:r>
        <w:t xml:space="preserve"> </w:t>
      </w:r>
      <w:r>
        <w:t xml:space="preserve">Volume of cross-border transactions in the EU (increase)</w:t>
      </w:r>
      <w:r>
        <w:t xml:space="preserve"> </w:t>
      </w:r>
      <w:r>
        <w:t xml:space="preserve">Average transaction costs (per asset class; domestic/cross-border)</w:t>
      </w:r>
      <w:r>
        <w:t xml:space="preserve"> </w:t>
      </w:r>
      <w:r>
        <w:t xml:space="preserve">(decline)</w:t>
      </w:r>
      <w:r>
        <w:t xml:space="preserve"> </w:t>
      </w:r>
      <w:r>
        <w:t xml:space="preserve">Number of open access arrangements / applications under open</w:t>
      </w:r>
      <w:r>
        <w:t xml:space="preserve"> </w:t>
      </w:r>
      <w:r>
        <w:t xml:space="preserve">access provisions (increase)</w:t>
      </w:r>
      <w:r>
        <w:t xml:space="preserve"> </w:t>
      </w:r>
      <w:r>
        <w:t xml:space="preserve">ESMA,</w:t>
      </w:r>
      <w:r>
        <w:t xml:space="preserve"> </w:t>
      </w:r>
      <w:r>
        <w:t xml:space="preserve">industry,</w:t>
      </w:r>
      <w:r>
        <w:t xml:space="preserve"> </w:t>
      </w:r>
      <w:r>
        <w:t xml:space="preserve">commercial</w:t>
      </w:r>
      <w:r>
        <w:t xml:space="preserve"> </w:t>
      </w:r>
      <w:r>
        <w:t xml:space="preserve">databases,</w:t>
      </w:r>
      <w:r>
        <w:t xml:space="preserve"> </w:t>
      </w:r>
      <w:r>
        <w:t xml:space="preserve">CMU</w:t>
      </w:r>
      <w:r>
        <w:t xml:space="preserve"> </w:t>
      </w:r>
      <w:r>
        <w:t xml:space="preserve">indicators</w:t>
      </w:r>
    </w:p>
    <w:p>
      <w:pPr>
        <w:pStyle w:val="BodyText"/>
      </w:pPr>
      <w:r>
        <w:t xml:space="preserve">Post-Trade</w:t>
      </w:r>
    </w:p>
    <w:p>
      <w:pPr>
        <w:pStyle w:val="BodyText"/>
      </w:pPr>
      <w:r>
        <w:t xml:space="preserve">Objective</w:t>
      </w:r>
      <w:r>
        <w:br/>
      </w:r>
      <w:r>
        <w:t xml:space="preserve">Proposed indicator (expected direction in brackets)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Enable further market</w:t>
      </w:r>
      <w:r>
        <w:t xml:space="preserve"> </w:t>
      </w:r>
      <w:r>
        <w:t xml:space="preserve">integration and scale</w:t>
      </w:r>
      <w:r>
        <w:t xml:space="preserve"> </w:t>
      </w:r>
      <w:r>
        <w:t xml:space="preserve">effects by increasing</w:t>
      </w:r>
      <w:r>
        <w:t xml:space="preserve"> </w:t>
      </w:r>
      <w:r>
        <w:t xml:space="preserve">cross-border activity</w:t>
      </w:r>
    </w:p>
    <w:p>
      <w:pPr>
        <w:pStyle w:val="BodyText"/>
      </w:pPr>
      <w:r>
        <w:t xml:space="preserve">Total cross-border settlement activity (volume/value by</w:t>
      </w:r>
      <w:r>
        <w:t xml:space="preserve"> </w:t>
      </w:r>
      <w:r>
        <w:t xml:space="preserve">instrument) (increase)</w:t>
      </w:r>
      <w:r>
        <w:t xml:space="preserve"> </w:t>
      </w:r>
      <w:r>
        <w:t xml:space="preserve">Total cross-border issuance (value/volume) (increase)</w:t>
      </w:r>
      <w:r>
        <w:br/>
      </w:r>
      <w:r>
        <w:t xml:space="preserve">Settlement fees for domestic and cross-border transactions</w:t>
      </w:r>
      <w:r>
        <w:t xml:space="preserve"> </w:t>
      </w:r>
      <w:r>
        <w:t xml:space="preserve">(decline)</w:t>
      </w:r>
      <w:r>
        <w:t xml:space="preserve"> </w:t>
      </w:r>
      <w:r>
        <w:t xml:space="preserve">Number of CSDs that are part of a group that engage in intra-</w:t>
      </w:r>
      <w:r>
        <w:t xml:space="preserve"> </w:t>
      </w:r>
      <w:r>
        <w:t xml:space="preserve">group outsourcing of core CSD activities (increase)</w:t>
      </w:r>
      <w:r>
        <w:t xml:space="preserve"> </w:t>
      </w:r>
      <w:r>
        <w:t xml:space="preserve">Number of CSDs experimenting with new technologies (increase)</w:t>
      </w:r>
      <w:r>
        <w:t xml:space="preserve"> </w:t>
      </w:r>
      <w:r>
        <w:t xml:space="preserve">Volume and value of settlement conducted by settlement</w:t>
      </w:r>
      <w:r>
        <w:t xml:space="preserve"> </w:t>
      </w:r>
      <w:r>
        <w:t xml:space="preserve">internalisers (increase)</w:t>
      </w:r>
      <w:r>
        <w:t xml:space="preserve"> </w:t>
      </w:r>
      <w:r>
        <w:t xml:space="preserve">Number of CSDs that designate credit institutions to provide</w:t>
      </w:r>
      <w:r>
        <w:t xml:space="preserve"> </w:t>
      </w:r>
      <w:r>
        <w:t xml:space="preserve">banking-type ancillary services (increase)</w:t>
      </w:r>
      <w:r>
        <w:t xml:space="preserve"> </w:t>
      </w:r>
      <w:r>
        <w:t xml:space="preserve">Volume and value of settlement activity taking place in</w:t>
      </w:r>
      <w:r>
        <w:t xml:space="preserve"> </w:t>
      </w:r>
      <w:r>
        <w:t xml:space="preserve">T2S (increase)</w:t>
      </w:r>
      <w:r>
        <w:t xml:space="preserve"> </w:t>
      </w:r>
      <w:r>
        <w:t xml:space="preserve">ESMA,</w:t>
      </w:r>
      <w:r>
        <w:t xml:space="preserve"> </w:t>
      </w:r>
      <w:r>
        <w:t xml:space="preserve">industry,</w:t>
      </w:r>
      <w:r>
        <w:t xml:space="preserve"> </w:t>
      </w:r>
      <w:r>
        <w:t xml:space="preserve">commercial</w:t>
      </w:r>
      <w:r>
        <w:t xml:space="preserve"> </w:t>
      </w:r>
      <w:r>
        <w:t xml:space="preserve">databases,</w:t>
      </w:r>
      <w:r>
        <w:t xml:space="preserve"> </w:t>
      </w:r>
      <w:r>
        <w:t xml:space="preserve">CMU</w:t>
      </w:r>
      <w:r>
        <w:t xml:space="preserve"> </w:t>
      </w:r>
      <w:r>
        <w:t xml:space="preserve">indicators</w:t>
      </w:r>
    </w:p>
    <w:p>
      <w:pPr>
        <w:pStyle w:val="BodyText"/>
      </w:pPr>
      <w:r>
        <w:t xml:space="preserve">160 List of indicators to monitor progress towards the CMU objectives - European Commission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Total number of CSD links (increase)</w:t>
      </w:r>
      <w:r>
        <w:t xml:space="preserve"> </w:t>
      </w:r>
      <w:r>
        <w:t xml:space="preserve">Total number of third-country systems designated under the</w:t>
      </w:r>
      <w:r>
        <w:t xml:space="preserve"> </w:t>
      </w:r>
      <w:r>
        <w:t xml:space="preserve">SFD (increase)</w:t>
      </w:r>
      <w:r>
        <w:br/>
      </w:r>
      <w:r>
        <w:t xml:space="preserve">Total number of systems designated under the SFD (increase)</w:t>
      </w:r>
      <w:r>
        <w:t xml:space="preserve"> </w:t>
      </w:r>
      <w:r>
        <w:t xml:space="preserve">Settlement activity (in volume and value terms) executed using</w:t>
      </w:r>
      <w:r>
        <w:t xml:space="preserve"> </w:t>
      </w:r>
      <w:r>
        <w:t xml:space="preserve">novel technologies (increase)</w:t>
      </w:r>
      <w:r>
        <w:t xml:space="preserve"> </w:t>
      </w:r>
      <w:r>
        <w:t xml:space="preserve">Total amount of cash leg settlement executed with digital money</w:t>
      </w:r>
      <w:r>
        <w:t xml:space="preserve"> </w:t>
      </w:r>
      <w:r>
        <w:t xml:space="preserve">(increase)</w:t>
      </w:r>
      <w:r>
        <w:t xml:space="preserve"> </w:t>
      </w:r>
      <w:r>
        <w:t xml:space="preserve">Total number of DLT-based SFD designated systems (increase)</w:t>
      </w:r>
    </w:p>
    <w:p>
      <w:pPr>
        <w:pStyle w:val="BodyText"/>
      </w:pPr>
      <w:r>
        <w:t xml:space="preserve">Asset management</w:t>
      </w:r>
      <w:r>
        <w:br/>
      </w:r>
      <w:r>
        <w:t xml:space="preserve">Objective</w:t>
      </w:r>
      <w:r>
        <w:br/>
      </w:r>
      <w:r>
        <w:t xml:space="preserve">Proposed indicator (expected direction in brackets)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Enable further market</w:t>
      </w:r>
      <w:r>
        <w:t xml:space="preserve"> </w:t>
      </w:r>
      <w:r>
        <w:t xml:space="preserve">integration and scale</w:t>
      </w:r>
      <w:r>
        <w:t xml:space="preserve"> </w:t>
      </w:r>
      <w:r>
        <w:t xml:space="preserve">effects by increasing</w:t>
      </w:r>
      <w:r>
        <w:t xml:space="preserve"> </w:t>
      </w:r>
      <w:r>
        <w:t xml:space="preserve">cross-border activity</w:t>
      </w:r>
    </w:p>
    <w:p>
      <w:pPr>
        <w:pStyle w:val="BodyText"/>
      </w:pPr>
      <w:r>
        <w:t xml:space="preserve">Number of cross-border funds (marketed cross-border) (increase)</w:t>
      </w:r>
      <w:r>
        <w:t xml:space="preserve"> </w:t>
      </w:r>
      <w:r>
        <w:t xml:space="preserve">Average size of funds (increase)</w:t>
      </w:r>
      <w:r>
        <w:t xml:space="preserve"> </w:t>
      </w:r>
      <w:r>
        <w:t xml:space="preserve">Average management cost of funds (per sector / specialisation)</w:t>
      </w:r>
      <w:r>
        <w:t xml:space="preserve"> </w:t>
      </w:r>
      <w:r>
        <w:t xml:space="preserve">(decline)</w:t>
      </w:r>
      <w:r>
        <w:t xml:space="preserve"> </w:t>
      </w:r>
      <w:r>
        <w:t xml:space="preserve">Creation/cessation of funds (indication of market entry barriers)</w:t>
      </w:r>
      <w:r>
        <w:t xml:space="preserve"> </w:t>
      </w:r>
      <w:r>
        <w:t xml:space="preserve">(increase)</w:t>
      </w:r>
      <w:r>
        <w:t xml:space="preserve"> </w:t>
      </w:r>
      <w:r>
        <w:t xml:space="preserve">Number of asset managers (increase)</w:t>
      </w:r>
      <w:r>
        <w:t xml:space="preserve"> </w:t>
      </w:r>
      <w:r>
        <w:t xml:space="preserve">Size of asset managers (increase)</w:t>
      </w:r>
      <w:r>
        <w:t xml:space="preserve"> </w:t>
      </w:r>
      <w:r>
        <w:t xml:space="preserve">Number of asset management groups and number of Member</w:t>
      </w:r>
      <w:r>
        <w:t xml:space="preserve"> </w:t>
      </w:r>
      <w:r>
        <w:t xml:space="preserve">States where they operate (increase)</w:t>
      </w:r>
      <w:r>
        <w:t xml:space="preserve"> </w:t>
      </w:r>
      <w:r>
        <w:t xml:space="preserve">Number of Member States where funds will be established due to</w:t>
      </w:r>
      <w:r>
        <w:t xml:space="preserve"> </w:t>
      </w:r>
      <w:r>
        <w:t xml:space="preserve">the depositary passport (increase)</w:t>
      </w:r>
    </w:p>
    <w:p>
      <w:pPr>
        <w:pStyle w:val="BodyText"/>
      </w:pPr>
      <w:r>
        <w:t xml:space="preserve">ESMA,</w:t>
      </w:r>
      <w:r>
        <w:t xml:space="preserve"> </w:t>
      </w:r>
      <w:r>
        <w:t xml:space="preserve">commercial</w:t>
      </w:r>
      <w:r>
        <w:t xml:space="preserve"> </w:t>
      </w:r>
      <w:r>
        <w:t xml:space="preserve">database,</w:t>
      </w:r>
      <w:r>
        <w:t xml:space="preserve"> </w:t>
      </w:r>
      <w:r>
        <w:t xml:space="preserve">industry</w:t>
      </w:r>
    </w:p>
    <w:p>
      <w:pPr>
        <w:pStyle w:val="BodyText"/>
      </w:pPr>
      <w:r>
        <w:t xml:space="preserve">Innovation (DLTPR)</w:t>
      </w:r>
    </w:p>
    <w:p>
      <w:pPr>
        <w:pStyle w:val="BodyText"/>
      </w:pPr>
      <w:r>
        <w:t xml:space="preserve">Objective</w:t>
      </w:r>
      <w:r>
        <w:br/>
      </w:r>
      <w:r>
        <w:t xml:space="preserve">Proposed indicator (expected direction in brackets)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Facilitate innovation</w:t>
      </w:r>
      <w:r>
        <w:t xml:space="preserve"> </w:t>
      </w:r>
      <w:r>
        <w:t xml:space="preserve">by removing</w:t>
      </w:r>
      <w:r>
        <w:t xml:space="preserve"> </w:t>
      </w:r>
      <w:r>
        <w:t xml:space="preserve">regulatory obstacles</w:t>
      </w:r>
      <w:r>
        <w:t xml:space="preserve"> </w:t>
      </w:r>
      <w:r>
        <w:t xml:space="preserve">Number of DLT-based authorisations (increase)</w:t>
      </w:r>
      <w:r>
        <w:t xml:space="preserve"> </w:t>
      </w:r>
      <w:r>
        <w:t xml:space="preserve">Number of Member States with legal frameworks to allow DLT-</w:t>
      </w:r>
      <w:r>
        <w:t xml:space="preserve"> </w:t>
      </w:r>
      <w:r>
        <w:t xml:space="preserve">based transfer of ownership (increase)</w:t>
      </w:r>
      <w:r>
        <w:t xml:space="preserve"> </w:t>
      </w:r>
      <w:r>
        <w:t xml:space="preserve">ESMA</w:t>
      </w:r>
    </w:p>
    <w:p>
      <w:pPr>
        <w:pStyle w:val="BodyText"/>
      </w:pPr>
      <w:r>
        <w:t xml:space="preserve">Supervision</w:t>
      </w:r>
      <w:r>
        <w:t xml:space="preserve"> </w:t>
      </w:r>
      <w:r>
        <w:t xml:space="preserve">Objective</w:t>
      </w:r>
      <w:r>
        <w:br/>
      </w:r>
      <w:r>
        <w:t xml:space="preserve">Proposed indicator (expected direction in brackets)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Improve supervision</w:t>
      </w:r>
      <w:r>
        <w:t xml:space="preserve"> </w:t>
      </w:r>
      <w:r>
        <w:t xml:space="preserve">by reducing</w:t>
      </w:r>
      <w:r>
        <w:t xml:space="preserve"> </w:t>
      </w:r>
      <w:r>
        <w:t xml:space="preserve">fragmentation</w:t>
      </w:r>
      <w:r>
        <w:t xml:space="preserve"> </w:t>
      </w:r>
      <w:r>
        <w:t xml:space="preserve">Number of collaboration platforms with ESMA participation</w:t>
      </w:r>
      <w:r>
        <w:t xml:space="preserve"> </w:t>
      </w:r>
      <w:r>
        <w:t xml:space="preserve">(increase)</w:t>
      </w:r>
      <w:r>
        <w:t xml:space="preserve"> </w:t>
      </w:r>
      <w:r>
        <w:t xml:space="preserve">Number of joint on-site inspections and dedicated investigations</w:t>
      </w:r>
      <w:r>
        <w:t xml:space="preserve"> </w:t>
      </w:r>
      <w:r>
        <w:t xml:space="preserve">(increase)</w:t>
      </w:r>
      <w:r>
        <w:t xml:space="preserve"> </w:t>
      </w:r>
      <w:r>
        <w:t xml:space="preserve">Number of peer reviews conducted (increase)</w:t>
      </w:r>
      <w:r>
        <w:t xml:space="preserve"> </w:t>
      </w:r>
      <w:r>
        <w:t xml:space="preserve">Number of obstacles to convergence identified and removed</w:t>
      </w:r>
      <w:r>
        <w:t xml:space="preserve"> </w:t>
      </w:r>
      <w:r>
        <w:t xml:space="preserve">(increase)</w:t>
      </w:r>
      <w:r>
        <w:t xml:space="preserve"> </w:t>
      </w:r>
      <w:r>
        <w:t xml:space="preserve">Number of investigations of breach of EU law successfully closed</w:t>
      </w:r>
      <w:r>
        <w:t xml:space="preserve"> </w:t>
      </w:r>
      <w:r>
        <w:t xml:space="preserve">(increase)</w:t>
      </w:r>
      <w:r>
        <w:t xml:space="preserve"> </w:t>
      </w:r>
      <w:r>
        <w:t xml:space="preserve">Number of warnings on manifest breach of the EU law (increase)</w:t>
      </w:r>
    </w:p>
    <w:p>
      <w:pPr>
        <w:pStyle w:val="BodyText"/>
      </w:pPr>
      <w:r>
        <w:t xml:space="preserve">ESMA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br/>
      </w:r>
      <w:r>
        <w:t xml:space="preserve">• Lead Directorate-General: Directorate-General for Financial Stability, Financial Services</w:t>
      </w:r>
      <w:r>
        <w:t xml:space="preserve"> </w:t>
      </w:r>
      <w:r>
        <w:t xml:space="preserve">and Capital Markets Union.</w:t>
      </w:r>
      <w:r>
        <w:br/>
      </w:r>
      <w:r>
        <w:t xml:space="preserve">• Decide Planning Reference: Plan 2025/1066 and Plan 2025/1074.</w:t>
      </w:r>
      <w:r>
        <w:t xml:space="preserve"> </w:t>
      </w:r>
      <w:r>
        <w:t xml:space="preserve">• CWP references: The initiative is part of the SIU strategy, included in the Commission</w:t>
      </w:r>
      <w:r>
        <w:t xml:space="preserve"> </w:t>
      </w:r>
      <w:r>
        <w:t xml:space="preserve">Work Programme 2025.</w:t>
      </w:r>
      <w:r>
        <w:t xml:space="preserve"> </w:t>
      </w:r>
      <w:r>
        <w:t xml:space="preserve">2. ORGANISATION AND TIMING</w:t>
      </w:r>
      <w:r>
        <w:br/>
      </w:r>
      <w:r>
        <w:t xml:space="preserve">Organisation and timing of Inter Service Steering Group’s meetings: the Inter Service Steering</w:t>
      </w:r>
      <w:r>
        <w:t xml:space="preserve"> </w:t>
      </w:r>
      <w:r>
        <w:t xml:space="preserve">Group included representatives of the Directorates General (Budget (BUDG), Climate Action</w:t>
      </w:r>
      <w:r>
        <w:t xml:space="preserve"> </w:t>
      </w:r>
      <w:r>
        <w:t xml:space="preserve">(CLIMA), Communications Networks, Content and Technology (CNECT), Competition (COMP),</w:t>
      </w:r>
      <w:r>
        <w:t xml:space="preserve"> </w:t>
      </w:r>
      <w:r>
        <w:t xml:space="preserve">Education, Youth, Sport and Culture (EAC), Economic and Financial Affairs (ECFIN),</w:t>
      </w:r>
      <w:r>
        <w:t xml:space="preserve"> </w:t>
      </w:r>
      <w:r>
        <w:t xml:space="preserve">Employment, Social Affairs and Inclusion (EMPL), Energy (ENER), Environment (ENV),</w:t>
      </w:r>
      <w:r>
        <w:t xml:space="preserve"> </w:t>
      </w:r>
      <w:r>
        <w:t xml:space="preserve">European Statistics (Eurostat), Internal Market, Industry, Entrepreneurship and SMEs (GROW),</w:t>
      </w:r>
      <w:r>
        <w:t xml:space="preserve"> </w:t>
      </w:r>
      <w:r>
        <w:t xml:space="preserve">International Partnerships (INTPA), Joint Research Centre (JRC), Justice and Consumers (JUST),</w:t>
      </w:r>
      <w:r>
        <w:t xml:space="preserve"> </w:t>
      </w:r>
      <w:r>
        <w:t xml:space="preserve">Regional and Urban Policy (REGIO), Research and Innovation (RTD), Taxation and Customs</w:t>
      </w:r>
      <w:r>
        <w:t xml:space="preserve"> </w:t>
      </w:r>
      <w:r>
        <w:t xml:space="preserve">Union (TAXUD), Trade (TRADE), the Legal Service (LS) and the Secretariat General (SG)).</w:t>
      </w:r>
      <w:r>
        <w:t xml:space="preserve"> </w:t>
      </w:r>
      <w:r>
        <w:t xml:space="preserve">• 1st meeting on 26 June 2025;</w:t>
      </w:r>
      <w:r>
        <w:br/>
      </w:r>
      <w:r>
        <w:t xml:space="preserve">• 2nd meeting on 9 September 2025;</w:t>
      </w:r>
      <w:r>
        <w:t xml:space="preserve"> </w:t>
      </w:r>
      <w:r>
        <w:t xml:space="preserve">• Written consultation from 3 September to 10 September 2025.</w:t>
      </w:r>
      <w:r>
        <w:br/>
      </w:r>
      <w:r>
        <w:t xml:space="preserve">3. CONSULTATION OF THE REGULATORY SCRUTINY BOARD</w:t>
      </w:r>
      <w:r>
        <w:t xml:space="preserve"> </w:t>
      </w:r>
      <w:r>
        <w:t xml:space="preserve">The Impact Assessment report was examined by the Regulatory Scrutiny Board (RSB)</w:t>
      </w:r>
      <w:r>
        <w:br/>
      </w:r>
      <w:r>
        <w:t xml:space="preserve">on 8 October 2025. Following the first negative opinion, the IA Report was resubmitted</w:t>
      </w:r>
      <w:r>
        <w:br/>
      </w:r>
      <w:r>
        <w:t xml:space="preserve">to the RSB on 29 October 2025. In its second opinion of 14 November the Board acknowledged</w:t>
      </w:r>
      <w:r>
        <w:t xml:space="preserve"> </w:t>
      </w:r>
      <w:r>
        <w:t xml:space="preserve">the improved quality of the report, reflecting the significant efforts made to address all previous</w:t>
      </w:r>
      <w:r>
        <w:t xml:space="preserve"> </w:t>
      </w:r>
      <w:r>
        <w:t xml:space="preserve">comments,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on</w:t>
      </w:r>
      <w:r>
        <w:t xml:space="preserve"> </w:t>
      </w:r>
      <w:r>
        <w:t xml:space="preserve">economic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macroeconomic</w:t>
      </w:r>
      <w:r>
        <w:t xml:space="preserve"> </w:t>
      </w:r>
      <w:r>
        <w:t xml:space="preserve">estimates.</w:t>
      </w:r>
      <w:r>
        <w:br/>
      </w:r>
      <w:r>
        <w:t xml:space="preserve">However, the Board still had remaining concerns regarding the latter two areas, as expressed in its</w:t>
      </w:r>
      <w:r>
        <w:t xml:space="preserve"> </w:t>
      </w:r>
      <w:r>
        <w:t xml:space="preserve">2nd opinion, but nonetheless issued a positive opinion. In view of the improved quality</w:t>
      </w:r>
      <w:r>
        <w:br/>
      </w:r>
      <w:r>
        <w:t xml:space="preserve">and the remaining concerns, the Board granted a ‘positive opinion with reservations’.</w:t>
      </w:r>
      <w:r>
        <w:t xml:space="preserve"> </w:t>
      </w:r>
      <w:r>
        <w:t xml:space="preserve">Following the second opinion, the Impact Assessment was revised to (i) better clarify and frame</w:t>
      </w:r>
      <w:r>
        <w:t xml:space="preserve"> </w:t>
      </w:r>
      <w:r>
        <w:t xml:space="preserve">the estimated macroeconomic impacts, (ii) provide more details on impacts on and views</w:t>
      </w:r>
      <w:r>
        <w:br/>
      </w:r>
      <w:r>
        <w:t xml:space="preserve">held by individual stakeholder groups, and (iii) be clearer on the types of costs and savings that</w:t>
      </w:r>
      <w:r>
        <w:t xml:space="preserve"> </w:t>
      </w:r>
      <w:r>
        <w:t xml:space="preserve">are expected to arise. The RSBs suggestion to include additional modelling, extrapolate effects</w:t>
      </w:r>
      <w:r>
        <w:t xml:space="preserve"> </w:t>
      </w:r>
      <w:r>
        <w:t xml:space="preserve">and provide more detailed breakdowns, notably as regards costs and savings, could not be followed</w:t>
      </w:r>
      <w:r>
        <w:t xml:space="preserve"> </w:t>
      </w:r>
      <w:r>
        <w:t xml:space="preserve">due to lack of data and time.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The principal areas in which this Impact Assessment was reinforced following both the RSB’s</w:t>
      </w:r>
      <w:r>
        <w:t xml:space="preserve"> </w:t>
      </w:r>
      <w:r>
        <w:t xml:space="preserve">negative opinion and the reservations expressed in its second opinion are summarised in the table</w:t>
      </w:r>
      <w:r>
        <w:t xml:space="preserve"> </w:t>
      </w:r>
      <w:r>
        <w:t xml:space="preserve">below.161</w:t>
      </w:r>
      <w:r>
        <w:br/>
      </w:r>
      <w:r>
        <w:t xml:space="preserve">Areas to improve according to RSB opinion</w:t>
      </w:r>
      <w:r>
        <w:t xml:space="preserve"> </w:t>
      </w:r>
      <w:r>
        <w:t xml:space="preserve">Overview of changes</w:t>
      </w:r>
      <w:r>
        <w:br/>
      </w:r>
      <w:r>
        <w:t xml:space="preserve">(1) The report should provide a more detailed rationale</w:t>
      </w:r>
      <w:r>
        <w:br/>
      </w:r>
      <w:r>
        <w:t xml:space="preserve">for the chosen scope of the initiative, including better</w:t>
      </w:r>
      <w:r>
        <w:t xml:space="preserve"> </w:t>
      </w:r>
      <w:r>
        <w:t xml:space="preserve">explaining the focus on only two of the main pillars of the</w:t>
      </w:r>
      <w:r>
        <w:t xml:space="preserve"> </w:t>
      </w:r>
      <w:r>
        <w:t xml:space="preserve">SIU Strategy. This includes briefly outlining ongoing</w:t>
      </w:r>
      <w:r>
        <w:t xml:space="preserve"> </w:t>
      </w:r>
      <w:r>
        <w:t xml:space="preserve">initiatives to show how this initiative forms a part of a larger</w:t>
      </w:r>
      <w:r>
        <w:t xml:space="preserve"> </w:t>
      </w:r>
      <w:r>
        <w:t xml:space="preserve">context.</w:t>
      </w:r>
      <w:r>
        <w:br/>
      </w:r>
      <w:r>
        <w:t xml:space="preserve">The revised text includes more</w:t>
      </w:r>
      <w:r>
        <w:t xml:space="preserve"> </w:t>
      </w:r>
      <w:r>
        <w:t xml:space="preserve">explanations on the scope of the</w:t>
      </w:r>
      <w:r>
        <w:t xml:space="preserve"> </w:t>
      </w:r>
      <w:r>
        <w:t xml:space="preserve">initiative and its link to other SIU</w:t>
      </w:r>
      <w:r>
        <w:t xml:space="preserve"> </w:t>
      </w:r>
      <w:r>
        <w:t xml:space="preserve">initiatives (Section 1, but also</w:t>
      </w:r>
      <w:r>
        <w:t xml:space="preserve"> </w:t>
      </w:r>
      <w:r>
        <w:t xml:space="preserve">references in subsequent sections).</w:t>
      </w:r>
      <w:r>
        <w:br/>
      </w:r>
      <w:r>
        <w:t xml:space="preserve">(2) The report should provide robust evidence to demonstrate</w:t>
      </w:r>
      <w:r>
        <w:t xml:space="preserve"> </w:t>
      </w:r>
      <w:r>
        <w:t xml:space="preserve">the magnitude of the problem addressed. For example, the</w:t>
      </w:r>
      <w:r>
        <w:t xml:space="preserve"> </w:t>
      </w:r>
      <w:r>
        <w:t xml:space="preserve">number and size of market participants is not a sufficiently</w:t>
      </w:r>
      <w:r>
        <w:t xml:space="preserve"> </w:t>
      </w:r>
      <w:r>
        <w:t xml:space="preserve">informative indicator of to what extent the market is</w:t>
      </w:r>
      <w:r>
        <w:t xml:space="preserve"> </w:t>
      </w:r>
      <w:r>
        <w:t xml:space="preserve">efficient. The report should substantiate if and how barriers</w:t>
      </w:r>
      <w:r>
        <w:t xml:space="preserve"> </w:t>
      </w:r>
      <w:r>
        <w:t xml:space="preserve">between submarkets make the markets inefficient or increase</w:t>
      </w:r>
      <w:r>
        <w:t xml:space="preserve"> </w:t>
      </w:r>
      <w:r>
        <w:t xml:space="preserve">costs (such as transaction costs and fees) for operators. It</w:t>
      </w:r>
      <w:r>
        <w:t xml:space="preserve"> </w:t>
      </w:r>
      <w:r>
        <w:t xml:space="preserve">should also substantiate what the effects are on limiting the</w:t>
      </w:r>
      <w:r>
        <w:t xml:space="preserve"> </w:t>
      </w:r>
      <w:r>
        <w:t xml:space="preserve">volume of trades or investments, including for different</w:t>
      </w:r>
      <w:r>
        <w:t xml:space="preserve"> </w:t>
      </w:r>
      <w:r>
        <w:t xml:space="preserve">categories of stakeholders.</w:t>
      </w:r>
    </w:p>
    <w:p>
      <w:pPr>
        <w:pStyle w:val="BodyText"/>
      </w:pPr>
      <w:r>
        <w:t xml:space="preserve">The revised text includes further</w:t>
      </w:r>
      <w:r>
        <w:t xml:space="preserve"> </w:t>
      </w:r>
      <w:r>
        <w:t xml:space="preserve">quantitative and qualitative evidence</w:t>
      </w:r>
      <w:r>
        <w:t xml:space="preserve"> </w:t>
      </w:r>
      <w:r>
        <w:t xml:space="preserve">to substantiate the specific problems</w:t>
      </w:r>
      <w:r>
        <w:t xml:space="preserve"> </w:t>
      </w:r>
      <w:r>
        <w:t xml:space="preserve">(Section 2). As further explained in</w:t>
      </w:r>
      <w:r>
        <w:t xml:space="preserve"> </w:t>
      </w:r>
      <w:r>
        <w:t xml:space="preserve">Annex 4, there are limitations in the</w:t>
      </w:r>
      <w:r>
        <w:t xml:space="preserve"> </w:t>
      </w:r>
      <w:r>
        <w:t xml:space="preserve">available data, including on costs and</w:t>
      </w:r>
      <w:r>
        <w:t xml:space="preserve"> </w:t>
      </w:r>
      <w:r>
        <w:t xml:space="preserve">fees, and quantitative modelling is</w:t>
      </w:r>
      <w:r>
        <w:t xml:space="preserve"> </w:t>
      </w:r>
      <w:r>
        <w:t xml:space="preserve">inherently difficult, but the text also</w:t>
      </w:r>
      <w:r>
        <w:t xml:space="preserve"> </w:t>
      </w:r>
      <w:r>
        <w:t xml:space="preserve">refers to the rich body of secondary</w:t>
      </w:r>
      <w:r>
        <w:t xml:space="preserve"> </w:t>
      </w:r>
      <w:r>
        <w:t xml:space="preserve">evidence available to substantiate the</w:t>
      </w:r>
      <w:r>
        <w:t xml:space="preserve"> </w:t>
      </w:r>
      <w:r>
        <w:t xml:space="preserve">problems.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was</w:t>
      </w:r>
      <w:r>
        <w:t xml:space="preserve"> </w:t>
      </w:r>
      <w:r>
        <w:t xml:space="preserve">also</w:t>
      </w:r>
      <w:r>
        <w:t xml:space="preserve"> </w:t>
      </w:r>
      <w:r>
        <w:t xml:space="preserve">improved to explain better the</w:t>
      </w:r>
      <w:r>
        <w:t xml:space="preserve"> </w:t>
      </w:r>
      <w:r>
        <w:t xml:space="preserve">impacts on the individual categories</w:t>
      </w:r>
      <w:r>
        <w:t xml:space="preserve"> </w:t>
      </w:r>
      <w:r>
        <w:t xml:space="preserve">of stakeholders.</w:t>
      </w:r>
      <w:r>
        <w:br/>
      </w:r>
      <w:r>
        <w:t xml:space="preserve">The report should clarify the causality between the problems,</w:t>
      </w:r>
      <w:r>
        <w:t xml:space="preserve"> </w:t>
      </w:r>
      <w:r>
        <w:t xml:space="preserve">problem drivers and consequences.</w:t>
      </w:r>
      <w:r>
        <w:br/>
      </w:r>
      <w:r>
        <w:t xml:space="preserve">The revised text improves the</w:t>
      </w:r>
      <w:r>
        <w:t xml:space="preserve"> </w:t>
      </w:r>
      <w:r>
        <w:t xml:space="preserve">explanations on the causal links</w:t>
      </w:r>
      <w:r>
        <w:t xml:space="preserve"> </w:t>
      </w:r>
      <w:r>
        <w:t xml:space="preserve">between</w:t>
      </w:r>
      <w:r>
        <w:t xml:space="preserve"> </w:t>
      </w:r>
      <w:r>
        <w:t xml:space="preserve">drivers,</w:t>
      </w:r>
      <w:r>
        <w:t xml:space="preserve"> </w:t>
      </w:r>
      <w:r>
        <w:t xml:space="preserve">problems</w:t>
      </w:r>
      <w:r>
        <w:t xml:space="preserve"> </w:t>
      </w:r>
      <w:r>
        <w:t xml:space="preserve">and</w:t>
      </w:r>
      <w:r>
        <w:t xml:space="preserve"> </w:t>
      </w:r>
      <w:r>
        <w:t xml:space="preserve">consequences, also adding references</w:t>
      </w:r>
      <w:r>
        <w:t xml:space="preserve"> </w:t>
      </w:r>
      <w:r>
        <w:t xml:space="preserve">to the literature (Section 2).</w:t>
      </w:r>
      <w:r>
        <w:br/>
      </w:r>
      <w:r>
        <w:t xml:space="preserve">On supervision, the report should provide broader evidence</w:t>
      </w:r>
      <w:r>
        <w:t xml:space="preserve"> </w:t>
      </w:r>
      <w:r>
        <w:t xml:space="preserve">to better illustrate the problem, problem drivers and related</w:t>
      </w:r>
      <w:r>
        <w:t xml:space="preserve"> </w:t>
      </w:r>
      <w:r>
        <w:t xml:space="preserve">costs.</w:t>
      </w:r>
      <w:r>
        <w:t xml:space="preserve"> </w:t>
      </w:r>
      <w:r>
        <w:t xml:space="preserve">The revised text includes additional</w:t>
      </w:r>
      <w:r>
        <w:t xml:space="preserve"> </w:t>
      </w:r>
      <w:r>
        <w:t xml:space="preserve">explanations, including examples and</w:t>
      </w:r>
      <w:r>
        <w:t xml:space="preserve"> </w:t>
      </w:r>
      <w:r>
        <w:t xml:space="preserve">references, to illustrate the problems.</w:t>
      </w:r>
      <w:r>
        <w:t xml:space="preserve"> </w:t>
      </w:r>
      <w:r>
        <w:t xml:space="preserve">Quantification of these problems is</w:t>
      </w:r>
      <w:r>
        <w:t xml:space="preserve"> </w:t>
      </w:r>
      <w:r>
        <w:t xml:space="preserve">difficult,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additions</w:t>
      </w:r>
      <w:r>
        <w:t xml:space="preserve"> </w:t>
      </w:r>
      <w:r>
        <w:t xml:space="preserve">are</w:t>
      </w:r>
      <w:r>
        <w:t xml:space="preserve"> </w:t>
      </w:r>
      <w:r>
        <w:t xml:space="preserve">qualitative in nature (Section 2).</w:t>
      </w:r>
      <w:r>
        <w:br/>
      </w:r>
      <w:r>
        <w:t xml:space="preserve">(3) For Digital Ledger Technologies (DLT), the report</w:t>
      </w:r>
      <w:r>
        <w:t xml:space="preserve"> </w:t>
      </w:r>
      <w:r>
        <w:t xml:space="preserve">should explain to what extent the intervention is expected to</w:t>
      </w:r>
      <w:r>
        <w:t xml:space="preserve"> </w:t>
      </w:r>
      <w:r>
        <w:t xml:space="preserve">drive innovation, taking into account the need for related</w:t>
      </w:r>
      <w:r>
        <w:t xml:space="preserve"> </w:t>
      </w:r>
      <w:r>
        <w:t xml:space="preserve">investments. The report should also better explain the</w:t>
      </w:r>
      <w:r>
        <w:t xml:space="preserve"> </w:t>
      </w:r>
      <w:r>
        <w:t xml:space="preserve">expected outcomes in terms of the relations between DLT-</w:t>
      </w:r>
      <w:r>
        <w:t xml:space="preserve"> </w:t>
      </w:r>
      <w:r>
        <w:t xml:space="preserve">enabled solutions and “traditional” solutions.</w:t>
      </w:r>
      <w:r>
        <w:br/>
      </w:r>
      <w:r>
        <w:t xml:space="preserve">The revised text clarifies the value-</w:t>
      </w:r>
      <w:r>
        <w:t xml:space="preserve"> </w:t>
      </w:r>
      <w:r>
        <w:t xml:space="preserve">added of DLT and discusses barriers</w:t>
      </w:r>
      <w:r>
        <w:t xml:space="preserve"> </w:t>
      </w:r>
      <w:r>
        <w:t xml:space="preserve">to</w:t>
      </w:r>
      <w:r>
        <w:t xml:space="preserve"> </w:t>
      </w:r>
      <w:r>
        <w:t xml:space="preserve">uptake</w:t>
      </w:r>
      <w:r>
        <w:t xml:space="preserve"> </w:t>
      </w:r>
      <w:r>
        <w:t xml:space="preserve">and</w:t>
      </w:r>
      <w:r>
        <w:t xml:space="preserve"> </w:t>
      </w:r>
      <w:r>
        <w:t xml:space="preserve">link</w:t>
      </w:r>
      <w:r>
        <w:t xml:space="preserve"> </w:t>
      </w:r>
      <w:r>
        <w:t xml:space="preserve">between</w:t>
      </w:r>
      <w:r>
        <w:t xml:space="preserve"> </w:t>
      </w:r>
      <w:r>
        <w:t xml:space="preserve">DLT/traditional</w:t>
      </w:r>
      <w:r>
        <w:t xml:space="preserve"> </w:t>
      </w:r>
      <w:r>
        <w:t xml:space="preserve">systems</w:t>
      </w:r>
      <w:r>
        <w:t xml:space="preserve"> </w:t>
      </w:r>
      <w:r>
        <w:t xml:space="preserve">in</w:t>
      </w:r>
      <w:r>
        <w:t xml:space="preserve"> </w:t>
      </w:r>
      <w:r>
        <w:t xml:space="preserve">qualitative terms, referring also to the</w:t>
      </w:r>
      <w:r>
        <w:t xml:space="preserve"> </w:t>
      </w:r>
      <w:r>
        <w:t xml:space="preserve">literature (Section 2). It also provides</w:t>
      </w:r>
      <w:r>
        <w:t xml:space="preserve"> </w:t>
      </w:r>
      <w:r>
        <w:t xml:space="preserve">additional details in terms of stability</w:t>
      </w:r>
      <w:r>
        <w:t xml:space="preserve"> </w:t>
      </w:r>
      <w:r>
        <w:t xml:space="preserve">risks, including the susceptibility</w:t>
      </w:r>
      <w:r>
        <w:br/>
      </w:r>
      <w:r>
        <w:t xml:space="preserve">of DLTs to cyber risks.</w:t>
      </w:r>
      <w:r>
        <w:br/>
      </w:r>
      <w:r>
        <w:t xml:space="preserve">(4) In describing the context, the report should provide an</w:t>
      </w:r>
      <w:r>
        <w:t xml:space="preserve"> </w:t>
      </w:r>
      <w:r>
        <w:t xml:space="preserve">economic analysis of the EU market for savings and</w:t>
      </w:r>
      <w:r>
        <w:t xml:space="preserve"> </w:t>
      </w:r>
      <w:r>
        <w:t xml:space="preserve">investments covering background factors such as profit</w:t>
      </w:r>
      <w:r>
        <w:t xml:space="preserve"> </w:t>
      </w:r>
      <w:r>
        <w:t xml:space="preserve">Conducting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assessment of the EU market for</w:t>
      </w:r>
      <w:r>
        <w:t xml:space="preserve"> </w:t>
      </w:r>
      <w:r>
        <w:t xml:space="preserve">savings and investments is beyond</w:t>
      </w:r>
    </w:p>
    <w:p>
      <w:pPr>
        <w:pStyle w:val="BodyText"/>
      </w:pPr>
      <w:r>
        <w:t xml:space="preserve">161 The main revisions were made following the first opinion, with further targeted improvements made after the</w:t>
      </w:r>
      <w:r>
        <w:t xml:space="preserve"> </w:t>
      </w:r>
      <w:r>
        <w:t xml:space="preserve">second opinion, in particular to provide more information on stakeholder feedback, clarify the purpose and limitations</w:t>
      </w:r>
      <w:r>
        <w:t xml:space="preserve"> </w:t>
      </w:r>
      <w:r>
        <w:t xml:space="preserve">of the macroeconomic estimates, explain certain cost estimates and other aspects of the analysis, and additional editing.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margins, different fiscal or regulatory frameworks, returns</w:t>
      </w:r>
      <w:r>
        <w:t xml:space="preserve"> </w:t>
      </w:r>
      <w:r>
        <w:t xml:space="preserve">on investment and perceived risks, compared with other</w:t>
      </w:r>
      <w:r>
        <w:t xml:space="preserve"> </w:t>
      </w:r>
      <w:r>
        <w:t xml:space="preserve">relevant markets.</w:t>
      </w:r>
      <w:r>
        <w:br/>
      </w:r>
      <w:r>
        <w:t xml:space="preserve">the scope of the report and seems</w:t>
      </w:r>
      <w:r>
        <w:t xml:space="preserve"> </w:t>
      </w:r>
      <w:r>
        <w:t xml:space="preserve">disproportionate to inform about the</w:t>
      </w:r>
      <w:r>
        <w:t xml:space="preserve"> </w:t>
      </w:r>
      <w:r>
        <w:t xml:space="preserve">needs for and merits of the initiative.</w:t>
      </w:r>
      <w:r>
        <w:t xml:space="preserve"> </w:t>
      </w:r>
      <w:r>
        <w:t xml:space="preserve">The revised text includes a more</w:t>
      </w:r>
      <w:r>
        <w:t xml:space="preserve"> </w:t>
      </w:r>
      <w:r>
        <w:t xml:space="preserve">detailed description of the market</w:t>
      </w:r>
      <w:r>
        <w:t xml:space="preserve"> </w:t>
      </w:r>
      <w:r>
        <w:t xml:space="preserve">context (Section 1), plus further</w:t>
      </w:r>
      <w:r>
        <w:t xml:space="preserve"> </w:t>
      </w:r>
      <w:r>
        <w:t xml:space="preserve">country-specific descriptions in a</w:t>
      </w:r>
      <w:r>
        <w:t xml:space="preserve"> </w:t>
      </w:r>
      <w:r>
        <w:t xml:space="preserve">new Annex 12. Additional references</w:t>
      </w:r>
      <w:r>
        <w:t xml:space="preserve"> </w:t>
      </w:r>
      <w:r>
        <w:t xml:space="preserve">to studies and other background</w:t>
      </w:r>
      <w:r>
        <w:t xml:space="preserve"> </w:t>
      </w:r>
      <w:r>
        <w:t xml:space="preserve">information have also been added.</w:t>
      </w:r>
      <w:r>
        <w:br/>
      </w:r>
      <w:r>
        <w:t xml:space="preserve">(5) The report should more thoroughly analyse the variations</w:t>
      </w:r>
      <w:r>
        <w:t xml:space="preserve"> </w:t>
      </w:r>
      <w:r>
        <w:t xml:space="preserve">in financial markets performance across different Member</w:t>
      </w:r>
      <w:r>
        <w:t xml:space="preserve"> </w:t>
      </w:r>
      <w:r>
        <w:t xml:space="preserve">States and sectors, to better identify what works and what</w:t>
      </w:r>
      <w:r>
        <w:t xml:space="preserve"> </w:t>
      </w:r>
      <w:r>
        <w:t xml:space="preserve">does not, and how this can inform the design of options.</w:t>
      </w:r>
      <w:r>
        <w:br/>
      </w:r>
      <w:r>
        <w:t xml:space="preserve">The revised text includes further</w:t>
      </w:r>
      <w:r>
        <w:t xml:space="preserve"> </w:t>
      </w:r>
      <w:r>
        <w:t xml:space="preserve">background information and market</w:t>
      </w:r>
      <w:r>
        <w:t xml:space="preserve"> </w:t>
      </w:r>
      <w:r>
        <w:t xml:space="preserve">description per Member State (Annex</w:t>
      </w:r>
      <w:r>
        <w:t xml:space="preserve"> </w:t>
      </w:r>
      <w:r>
        <w:t xml:space="preserve">12). In the spirit of a proportionate</w:t>
      </w:r>
      <w:r>
        <w:t xml:space="preserve"> </w:t>
      </w:r>
      <w:r>
        <w:t xml:space="preserve">assessment, and given the timeframe</w:t>
      </w:r>
      <w:r>
        <w:t xml:space="preserve"> </w:t>
      </w:r>
      <w:r>
        <w:t xml:space="preserve">and urgency to act, it was beyond the</w:t>
      </w:r>
      <w:r>
        <w:t xml:space="preserve"> </w:t>
      </w:r>
      <w:r>
        <w:t xml:space="preserve">scope of this assessment to deliver a</w:t>
      </w:r>
      <w:r>
        <w:t xml:space="preserve"> </w:t>
      </w:r>
      <w:r>
        <w:t xml:space="preserve">country-by-country assessment of</w:t>
      </w:r>
      <w:r>
        <w:t xml:space="preserve"> </w:t>
      </w:r>
      <w:r>
        <w:t xml:space="preserve">best practices and the impacts.</w:t>
      </w:r>
      <w:r>
        <w:br/>
      </w:r>
      <w:r>
        <w:t xml:space="preserve">(6) The report should present objectives and an intervention</w:t>
      </w:r>
      <w:r>
        <w:t xml:space="preserve"> </w:t>
      </w:r>
      <w:r>
        <w:t xml:space="preserve">logic that clearly define success. The main report should</w:t>
      </w:r>
      <w:r>
        <w:t xml:space="preserve"> </w:t>
      </w:r>
      <w:r>
        <w:t xml:space="preserve">summarise the main regulatory barriers, and their associated</w:t>
      </w:r>
      <w:r>
        <w:t xml:space="preserve"> </w:t>
      </w:r>
      <w:r>
        <w:t xml:space="preserve">costs, that are to be removed or harmonised through this</w:t>
      </w:r>
      <w:r>
        <w:t xml:space="preserve"> </w:t>
      </w:r>
      <w:r>
        <w:t xml:space="preserve">initiative. The report should formulate a broader range of</w:t>
      </w:r>
      <w:r>
        <w:t xml:space="preserve"> </w:t>
      </w:r>
      <w:r>
        <w:t xml:space="preserve">options and be clear on how the options correspond to and</w:t>
      </w:r>
      <w:r>
        <w:t xml:space="preserve"> </w:t>
      </w:r>
      <w:r>
        <w:t xml:space="preserve">address the identified barriers. The options should be</w:t>
      </w:r>
      <w:r>
        <w:t xml:space="preserve"> </w:t>
      </w:r>
      <w:r>
        <w:t xml:space="preserve">formulated so as to be specific. The objectives should be</w:t>
      </w:r>
      <w:r>
        <w:t xml:space="preserve"> </w:t>
      </w:r>
      <w:r>
        <w:t xml:space="preserve">measurable as far as possible, and the report should clearly</w:t>
      </w:r>
      <w:r>
        <w:t xml:space="preserve"> </w:t>
      </w:r>
      <w:r>
        <w:t xml:space="preserve">demonstrate how they are expected to be attained. The report</w:t>
      </w:r>
      <w:r>
        <w:t xml:space="preserve"> </w:t>
      </w:r>
      <w:r>
        <w:t xml:space="preserve">should better capture to what extent the options are expected</w:t>
      </w:r>
      <w:r>
        <w:t xml:space="preserve"> </w:t>
      </w:r>
      <w:r>
        <w:t xml:space="preserve">to contribute to the completion of an integrated financial</w:t>
      </w:r>
      <w:r>
        <w:t xml:space="preserve"> </w:t>
      </w:r>
      <w:r>
        <w:t xml:space="preserve">services market, and also if and how the options are expected</w:t>
      </w:r>
      <w:r>
        <w:t xml:space="preserve"> </w:t>
      </w:r>
      <w:r>
        <w:t xml:space="preserve">to promote economies of scale and how the economies of</w:t>
      </w:r>
      <w:r>
        <w:t xml:space="preserve"> </w:t>
      </w:r>
      <w:r>
        <w:t xml:space="preserve">scale will reduce costs and drive market efficiency.</w:t>
      </w:r>
      <w:r>
        <w:br/>
      </w:r>
      <w:r>
        <w:t xml:space="preserve">The revised text expands on the</w:t>
      </w:r>
      <w:r>
        <w:t xml:space="preserve"> </w:t>
      </w:r>
      <w:r>
        <w:t xml:space="preserve">intervention logic and explains better</w:t>
      </w:r>
      <w:r>
        <w:t xml:space="preserve"> </w:t>
      </w:r>
      <w:r>
        <w:t xml:space="preserve">how the objectives link to specific</w:t>
      </w:r>
      <w:r>
        <w:t xml:space="preserve"> </w:t>
      </w:r>
      <w:r>
        <w:t xml:space="preserve">market outcomes. Quantification of</w:t>
      </w:r>
      <w:r>
        <w:t xml:space="preserve"> </w:t>
      </w:r>
      <w:r>
        <w:t xml:space="preserve">all the dimensions is not feasible, as</w:t>
      </w:r>
      <w:r>
        <w:t xml:space="preserve"> </w:t>
      </w:r>
      <w:r>
        <w:t xml:space="preserve">explained in Annex 4. Broadening</w:t>
      </w:r>
      <w:r>
        <w:t xml:space="preserve"> </w:t>
      </w:r>
      <w:r>
        <w:t xml:space="preserve">the range of options in the main part</w:t>
      </w:r>
      <w:r>
        <w:t xml:space="preserve"> </w:t>
      </w:r>
      <w:r>
        <w:t xml:space="preserve">of the IA was not considered</w:t>
      </w:r>
      <w:r>
        <w:t xml:space="preserve"> </w:t>
      </w:r>
      <w:r>
        <w:t xml:space="preserve">proportionate,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granular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options</w:t>
      </w:r>
      <w:r>
        <w:t xml:space="preserve"> </w:t>
      </w:r>
      <w:r>
        <w:t xml:space="preserve">already contained in the sectoral</w:t>
      </w:r>
      <w:r>
        <w:t xml:space="preserve"> </w:t>
      </w:r>
      <w:r>
        <w:t xml:space="preserve">annexes (options in the main part as</w:t>
      </w:r>
      <w:r>
        <w:t xml:space="preserve"> </w:t>
      </w:r>
      <w:r>
        <w:t xml:space="preserve">the annexes have the granular options</w:t>
      </w:r>
      <w:r>
        <w:t xml:space="preserve"> </w:t>
      </w:r>
      <w:r>
        <w:t xml:space="preserve">already (and adding more would</w:t>
      </w:r>
      <w:r>
        <w:t xml:space="preserve"> </w:t>
      </w:r>
      <w:r>
        <w:t xml:space="preserve">make the report even longer).</w:t>
      </w:r>
      <w:r>
        <w:br/>
      </w:r>
      <w:r>
        <w:t xml:space="preserve">The main part of the report should be</w:t>
      </w:r>
      <w:r>
        <w:t xml:space="preserve"> </w:t>
      </w:r>
      <w:r>
        <w:t xml:space="preserve">read alongside the annexes.</w:t>
      </w:r>
      <w:r>
        <w:t xml:space="preserve"> </w:t>
      </w:r>
      <w:r>
        <w:t xml:space="preserve">(7) The report should present a quantitative assessment of the</w:t>
      </w:r>
      <w:r>
        <w:t xml:space="preserve"> </w:t>
      </w:r>
      <w:r>
        <w:t xml:space="preserve">current state of play, incorporating how other related</w:t>
      </w:r>
      <w:r>
        <w:t xml:space="preserve"> </w:t>
      </w:r>
      <w:r>
        <w:t xml:space="preserve">initiatives and key economic variables evolve under the</w:t>
      </w:r>
      <w:r>
        <w:t xml:space="preserve"> </w:t>
      </w:r>
      <w:r>
        <w:t xml:space="preserve">baseline scenario.</w:t>
      </w:r>
      <w:r>
        <w:br/>
      </w:r>
      <w:r>
        <w:t xml:space="preserve">The revised text has been enriched</w:t>
      </w:r>
      <w:r>
        <w:t xml:space="preserve"> </w:t>
      </w:r>
      <w:r>
        <w:t xml:space="preserve">with better explanations on the</w:t>
      </w:r>
      <w:r>
        <w:t xml:space="preserve"> </w:t>
      </w:r>
      <w:r>
        <w:t xml:space="preserve">current problems and the interplay</w:t>
      </w:r>
      <w:r>
        <w:t xml:space="preserve"> </w:t>
      </w:r>
      <w:r>
        <w:t xml:space="preserve">between the in-scope and out-of-</w:t>
      </w:r>
      <w:r>
        <w:t xml:space="preserve"> </w:t>
      </w:r>
      <w:r>
        <w:t xml:space="preserve">scope</w:t>
      </w:r>
      <w:r>
        <w:t xml:space="preserve"> </w:t>
      </w:r>
      <w:r>
        <w:t xml:space="preserve">factors.</w:t>
      </w:r>
      <w:r>
        <w:t xml:space="preserve"> </w:t>
      </w:r>
      <w:r>
        <w:t xml:space="preserve">Quantitatively</w:t>
      </w:r>
      <w:r>
        <w:t xml:space="preserve"> </w:t>
      </w:r>
      <w:r>
        <w:t xml:space="preserve">modelling a dynamic baseline is</w:t>
      </w:r>
      <w:r>
        <w:t xml:space="preserve"> </w:t>
      </w:r>
      <w:r>
        <w:t xml:space="preserve">difficult, given the data limitations</w:t>
      </w:r>
      <w:r>
        <w:t xml:space="preserve"> </w:t>
      </w:r>
      <w:r>
        <w:t xml:space="preserve">and the modelling challenges of</w:t>
      </w:r>
      <w:r>
        <w:t xml:space="preserve"> </w:t>
      </w:r>
      <w:r>
        <w:t xml:space="preserve">controlling for the many factors that</w:t>
      </w:r>
      <w:r>
        <w:t xml:space="preserve"> </w:t>
      </w:r>
      <w:r>
        <w:t xml:space="preserve">influence market outcomes.</w:t>
      </w:r>
      <w:r>
        <w:br/>
      </w:r>
      <w:r>
        <w:t xml:space="preserve">(8) The impact chapter of the draft report should put an</w:t>
      </w:r>
      <w:r>
        <w:t xml:space="preserve"> </w:t>
      </w:r>
      <w:r>
        <w:t xml:space="preserve">emphasis on evidence-based quantification of the costs and</w:t>
      </w:r>
      <w:r>
        <w:t xml:space="preserve"> </w:t>
      </w:r>
      <w:r>
        <w:t xml:space="preserve">benefits associated with the proposed measures. It should</w:t>
      </w:r>
      <w:r>
        <w:t xml:space="preserve"> </w:t>
      </w:r>
      <w:r>
        <w:t xml:space="preserve">demonstrate to what extent the removal of the identified</w:t>
      </w:r>
      <w:r>
        <w:t xml:space="preserve"> </w:t>
      </w:r>
      <w:r>
        <w:t xml:space="preserve">barriers will result in increased efficiency and more or larger</w:t>
      </w:r>
      <w:r>
        <w:t xml:space="preserve"> </w:t>
      </w:r>
      <w:r>
        <w:t xml:space="preserve">transactions on the market.</w:t>
      </w:r>
      <w:r>
        <w:br/>
      </w:r>
      <w:r>
        <w:t xml:space="preserve">Further (quantitative and qualitative)</w:t>
      </w:r>
      <w:r>
        <w:t xml:space="preserve"> </w:t>
      </w:r>
      <w:r>
        <w:t xml:space="preserve">evidence has been added to assess the</w:t>
      </w:r>
      <w:r>
        <w:t xml:space="preserve"> </w:t>
      </w:r>
      <w:r>
        <w:t xml:space="preserve">barriers and the benefits and costs of</w:t>
      </w:r>
      <w:r>
        <w:t xml:space="preserve"> </w:t>
      </w:r>
      <w:r>
        <w:t xml:space="preserve">removing</w:t>
      </w:r>
      <w:r>
        <w:t xml:space="preserve"> </w:t>
      </w:r>
      <w:r>
        <w:t xml:space="preserve">those</w:t>
      </w:r>
      <w:r>
        <w:t xml:space="preserve"> </w:t>
      </w:r>
      <w:r>
        <w:t xml:space="preserve">barriers.</w:t>
      </w:r>
      <w:r>
        <w:t xml:space="preserve"> </w:t>
      </w:r>
      <w:r>
        <w:t xml:space="preserve">For</w:t>
      </w:r>
      <w:r>
        <w:t xml:space="preserve"> </w:t>
      </w:r>
      <w:r>
        <w:t xml:space="preserve">example, for post-trading, estimates</w:t>
      </w:r>
      <w:r>
        <w:t xml:space="preserve"> </w:t>
      </w:r>
      <w:r>
        <w:t xml:space="preserve">are</w:t>
      </w:r>
      <w:r>
        <w:t xml:space="preserve"> </w:t>
      </w:r>
      <w:r>
        <w:t xml:space="preserve">presented</w:t>
      </w:r>
      <w:r>
        <w:t xml:space="preserve"> </w:t>
      </w:r>
      <w:r>
        <w:t xml:space="preserve">to</w:t>
      </w:r>
      <w:r>
        <w:t xml:space="preserve"> </w:t>
      </w:r>
      <w:r>
        <w:t xml:space="preserve">quantify</w:t>
      </w:r>
      <w:r>
        <w:t xml:space="preserve"> </w:t>
      </w:r>
      <w:r>
        <w:t xml:space="preserve">the</w:t>
      </w:r>
      <w:r>
        <w:t xml:space="preserve"> </w:t>
      </w:r>
      <w:r>
        <w:t xml:space="preserve">reduction in settlement fees and costs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of establishing T2S connections,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certain</w:t>
      </w:r>
      <w:r>
        <w:t xml:space="preserve"> </w:t>
      </w:r>
      <w:r>
        <w:t xml:space="preserve">simplifying</w:t>
      </w:r>
      <w:r>
        <w:t xml:space="preserve"> </w:t>
      </w:r>
      <w:r>
        <w:t xml:space="preserve">assumptions. Full quantification of</w:t>
      </w:r>
      <w:r>
        <w:t xml:space="preserve"> </w:t>
      </w:r>
      <w:r>
        <w:t xml:space="preserve">all dimensions is beyond the scope of</w:t>
      </w:r>
      <w:r>
        <w:t xml:space="preserve"> </w:t>
      </w:r>
      <w:r>
        <w:t xml:space="preserve">the study.</w:t>
      </w:r>
      <w:r>
        <w:t xml:space="preserve"> </w:t>
      </w:r>
      <w:r>
        <w:t xml:space="preserve">(9) Based on the analysis of to what extent untapped</w:t>
      </w:r>
      <w:r>
        <w:t xml:space="preserve"> </w:t>
      </w:r>
      <w:r>
        <w:t xml:space="preserve">economies of scale may be available, the report needs to</w:t>
      </w:r>
      <w:r>
        <w:t xml:space="preserve"> </w:t>
      </w:r>
      <w:r>
        <w:t xml:space="preserve">develop a more fully fledged analysis, supported by</w:t>
      </w:r>
      <w:r>
        <w:t xml:space="preserve"> </w:t>
      </w:r>
      <w:r>
        <w:t xml:space="preserve">evidence, to demonstrate how, and to what extent, the</w:t>
      </w:r>
      <w:r>
        <w:t xml:space="preserve"> </w:t>
      </w:r>
      <w:r>
        <w:t xml:space="preserve">options under consideration will deliver benefits compared</w:t>
      </w:r>
      <w:r>
        <w:t xml:space="preserve"> </w:t>
      </w:r>
      <w:r>
        <w:t xml:space="preserve">to the baseline scenario due to this factor.</w:t>
      </w:r>
      <w:r>
        <w:br/>
      </w:r>
      <w:r>
        <w:t xml:space="preserve">The revised text contains more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explanations</w:t>
      </w:r>
      <w:r>
        <w:t xml:space="preserve"> </w:t>
      </w:r>
      <w:r>
        <w:t xml:space="preserve">to</w:t>
      </w:r>
      <w:r>
        <w:t xml:space="preserve"> </w:t>
      </w:r>
      <w:r>
        <w:t xml:space="preserve">substantiate economies of scale in the</w:t>
      </w:r>
      <w:r>
        <w:t xml:space="preserve"> </w:t>
      </w:r>
      <w:r>
        <w:t xml:space="preserve">market,</w:t>
      </w:r>
      <w:r>
        <w:t xml:space="preserve"> </w:t>
      </w:r>
      <w:r>
        <w:t xml:space="preserve">presenting</w:t>
      </w:r>
      <w:r>
        <w:t xml:space="preserve"> </w:t>
      </w:r>
      <w:r>
        <w:t xml:space="preserve">quantitative</w:t>
      </w:r>
      <w:r>
        <w:t xml:space="preserve"> </w:t>
      </w:r>
      <w:r>
        <w:t xml:space="preserve">evidence where possible. The data</w:t>
      </w:r>
      <w:r>
        <w:t xml:space="preserve"> </w:t>
      </w:r>
      <w:r>
        <w:t xml:space="preserve">limitations</w:t>
      </w:r>
      <w:r>
        <w:t xml:space="preserve"> </w:t>
      </w:r>
      <w:r>
        <w:t xml:space="preserve">and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challenges of conducting a fully-</w:t>
      </w:r>
      <w:r>
        <w:t xml:space="preserve"> </w:t>
      </w:r>
      <w:r>
        <w:t xml:space="preserve">fledge analysis are transparently</w:t>
      </w:r>
      <w:r>
        <w:t xml:space="preserve"> </w:t>
      </w:r>
      <w:r>
        <w:t xml:space="preserve">presented in the main part and Annex</w:t>
      </w:r>
      <w:r>
        <w:t xml:space="preserve"> </w:t>
      </w:r>
      <w:r>
        <w:t xml:space="preserve">4.</w:t>
      </w:r>
      <w:r>
        <w:br/>
      </w:r>
      <w:r>
        <w:t xml:space="preserve">(10) The report should include a dedicated analysis of the</w:t>
      </w:r>
      <w:r>
        <w:t xml:space="preserve"> </w:t>
      </w:r>
      <w:r>
        <w:t xml:space="preserve">initiative’s impacts on costs for various types of</w:t>
      </w:r>
      <w:r>
        <w:t xml:space="preserve"> </w:t>
      </w:r>
      <w:r>
        <w:t xml:space="preserve">stakeholders, impacts on real economy including on savings,</w:t>
      </w:r>
      <w:r>
        <w:t xml:space="preserve"> </w:t>
      </w:r>
      <w:r>
        <w:t xml:space="preserve">credits and investments, competitiveness of the EU capital</w:t>
      </w:r>
      <w:r>
        <w:t xml:space="preserve"> </w:t>
      </w:r>
      <w:r>
        <w:t xml:space="preserve">markets and the EU economy. This includes a more</w:t>
      </w:r>
      <w:r>
        <w:t xml:space="preserve"> </w:t>
      </w:r>
      <w:r>
        <w:t xml:space="preserve">disaggregated and balanced presentation of views across</w:t>
      </w:r>
      <w:r>
        <w:t xml:space="preserve"> </w:t>
      </w:r>
      <w:r>
        <w:t xml:space="preserve">different stakeholder groups.</w:t>
      </w:r>
      <w:r>
        <w:br/>
      </w:r>
      <w:r>
        <w:t xml:space="preserve">The revised text includes more</w:t>
      </w:r>
      <w:r>
        <w:t xml:space="preserve"> </w:t>
      </w:r>
      <w:r>
        <w:t xml:space="preserve">analysis, including quantification of</w:t>
      </w:r>
      <w:r>
        <w:t xml:space="preserve"> </w:t>
      </w:r>
      <w:r>
        <w:t xml:space="preserve">main costs. Stakeholder views and</w:t>
      </w:r>
      <w:r>
        <w:t xml:space="preserve"> </w:t>
      </w:r>
      <w:r>
        <w:t xml:space="preserve">impacts have also been added.</w:t>
      </w:r>
      <w:r>
        <w:br/>
      </w:r>
      <w:r>
        <w:t xml:space="preserve">For the main regulatory requirements to be harmonised the</w:t>
      </w:r>
      <w:r>
        <w:t xml:space="preserve"> </w:t>
      </w:r>
      <w:r>
        <w:t xml:space="preserve">report should indicate to what extent stricter, or less strict,</w:t>
      </w:r>
      <w:r>
        <w:t xml:space="preserve"> </w:t>
      </w:r>
      <w:r>
        <w:t xml:space="preserve">regulatory requirements will result for various regulated</w:t>
      </w:r>
      <w:r>
        <w:t xml:space="preserve"> </w:t>
      </w:r>
      <w:r>
        <w:t xml:space="preserve">actors and attempt to identify the changes in compliance</w:t>
      </w:r>
      <w:r>
        <w:t xml:space="preserve"> </w:t>
      </w:r>
      <w:r>
        <w:t xml:space="preserve">costs following from this.</w:t>
      </w:r>
      <w:r>
        <w:t xml:space="preserve"> </w:t>
      </w:r>
      <w:r>
        <w:t xml:space="preserve">Further explanations have been</w:t>
      </w:r>
      <w:r>
        <w:t xml:space="preserve"> </w:t>
      </w:r>
      <w:r>
        <w:t xml:space="preserve">added in the main text. The detailed</w:t>
      </w:r>
      <w:r>
        <w:t xml:space="preserve"> </w:t>
      </w:r>
      <w:r>
        <w:t xml:space="preserve">explanations of the specific rule and</w:t>
      </w:r>
      <w:r>
        <w:t xml:space="preserve"> </w:t>
      </w:r>
      <w:r>
        <w:t xml:space="preserve">how they would address barriers and</w:t>
      </w:r>
      <w:r>
        <w:t xml:space="preserve"> </w:t>
      </w:r>
      <w:r>
        <w:t xml:space="preserve">remove national gold-plating are set</w:t>
      </w:r>
      <w:r>
        <w:t xml:space="preserve"> </w:t>
      </w:r>
      <w:r>
        <w:t xml:space="preserve">out in the sectoral annexes.</w:t>
      </w:r>
      <w:r>
        <w:br/>
      </w:r>
      <w:r>
        <w:t xml:space="preserve">The analysis of the One in One Out principle should be</w:t>
      </w:r>
      <w:r>
        <w:t xml:space="preserve"> </w:t>
      </w:r>
      <w:r>
        <w:t xml:space="preserve">updated to contain information regarding compliance costs,</w:t>
      </w:r>
      <w:r>
        <w:t xml:space="preserve"> </w:t>
      </w:r>
      <w:r>
        <w:t xml:space="preserve">as well as administrative costs.</w:t>
      </w:r>
      <w:r>
        <w:t xml:space="preserve"> </w:t>
      </w:r>
      <w:r>
        <w:t xml:space="preserve">Annex 3 separates the adjustment</w:t>
      </w:r>
      <w:r>
        <w:t xml:space="preserve"> </w:t>
      </w:r>
      <w:r>
        <w:t xml:space="preserve">costs from the administrative costs.</w:t>
      </w:r>
      <w:r>
        <w:t xml:space="preserve"> </w:t>
      </w:r>
      <w:r>
        <w:t xml:space="preserve">Further explanations have also been</w:t>
      </w:r>
      <w:r>
        <w:t xml:space="preserve"> </w:t>
      </w:r>
      <w:r>
        <w:t xml:space="preserve">added in the discussion of the</w:t>
      </w:r>
      <w:r>
        <w:t xml:space="preserve"> </w:t>
      </w:r>
      <w:r>
        <w:t xml:space="preserve">preferred option (Section 7).</w:t>
      </w:r>
      <w:r>
        <w:br/>
      </w:r>
      <w:r>
        <w:t xml:space="preserve">(11) The costs and savings, including for trading and use of</w:t>
      </w:r>
      <w:r>
        <w:t xml:space="preserve"> </w:t>
      </w:r>
      <w:r>
        <w:t xml:space="preserve">TS2, should be quantified to the extent possible and the</w:t>
      </w:r>
      <w:r>
        <w:t xml:space="preserve"> </w:t>
      </w:r>
      <w:r>
        <w:t xml:space="preserve">report and methodological annexes should provide more</w:t>
      </w:r>
      <w:r>
        <w:t xml:space="preserve"> </w:t>
      </w:r>
      <w:r>
        <w:t xml:space="preserve">detail on the methodology of the calculations.</w:t>
      </w:r>
      <w:r>
        <w:br/>
      </w:r>
      <w:r>
        <w:t xml:space="preserve">Estimations based on simplifying</w:t>
      </w:r>
      <w:r>
        <w:t xml:space="preserve"> </w:t>
      </w:r>
      <w:r>
        <w:t xml:space="preserve">assumptions have been added to the</w:t>
      </w:r>
      <w:r>
        <w:t xml:space="preserve"> </w:t>
      </w:r>
      <w:r>
        <w:t xml:space="preserve">text.</w:t>
      </w:r>
      <w:r>
        <w:br/>
      </w:r>
      <w:r>
        <w:t xml:space="preserve">On macroeconomic impacts the report should be transparent</w:t>
      </w:r>
      <w:r>
        <w:t xml:space="preserve"> </w:t>
      </w:r>
      <w:r>
        <w:t xml:space="preserve">about the methodology, in particular related to the</w:t>
      </w:r>
      <w:r>
        <w:t xml:space="preserve"> </w:t>
      </w:r>
      <w:r>
        <w:t xml:space="preserve">contribution of the intervention to the economic growth. Any</w:t>
      </w:r>
      <w:r>
        <w:t xml:space="preserve"> </w:t>
      </w:r>
      <w:r>
        <w:t xml:space="preserve">comparisons, such as to the US market, need to be</w:t>
      </w:r>
      <w:r>
        <w:t xml:space="preserve"> </w:t>
      </w:r>
      <w:r>
        <w:t xml:space="preserve">substantiated and take into account that the full</w:t>
      </w:r>
      <w:r>
        <w:t xml:space="preserve"> </w:t>
      </w:r>
      <w:r>
        <w:t xml:space="preserve">harmonisation is not the preferred option. The robustness of</w:t>
      </w:r>
      <w:r>
        <w:t xml:space="preserve"> </w:t>
      </w:r>
      <w:r>
        <w:t xml:space="preserve">this estimate, the range, the contribution of other factors and</w:t>
      </w:r>
      <w:r>
        <w:t xml:space="preserve"> </w:t>
      </w:r>
      <w:r>
        <w:t xml:space="preserve">the assumptions used should be clarified. If monetisation is</w:t>
      </w:r>
      <w:r>
        <w:t xml:space="preserve"> </w:t>
      </w:r>
      <w:r>
        <w:t xml:space="preserve">not feasible the report should provide a reason why.</w:t>
      </w:r>
      <w:r>
        <w:t xml:space="preserve"> </w:t>
      </w:r>
      <w:r>
        <w:t xml:space="preserve">The text, and Annex 4 in particular,</w:t>
      </w:r>
      <w:r>
        <w:t xml:space="preserve"> </w:t>
      </w:r>
      <w:r>
        <w:t xml:space="preserve">includes a more detailed discussion</w:t>
      </w:r>
      <w:r>
        <w:t xml:space="preserve"> </w:t>
      </w:r>
      <w:r>
        <w:t xml:space="preserve">of the macroeconomic impacts. The</w:t>
      </w:r>
      <w:r>
        <w:t xml:space="preserve"> </w:t>
      </w:r>
      <w:r>
        <w:t xml:space="preserve">estimates presented give an order of</w:t>
      </w:r>
      <w:r>
        <w:t xml:space="preserve"> </w:t>
      </w:r>
      <w:r>
        <w:t xml:space="preserve">magnitude only, given the modelling</w:t>
      </w:r>
      <w:r>
        <w:t xml:space="preserve"> </w:t>
      </w:r>
      <w:r>
        <w:t xml:space="preserve">challenges and inability to control for</w:t>
      </w:r>
      <w:r>
        <w:t xml:space="preserve"> </w:t>
      </w:r>
      <w:r>
        <w:t xml:space="preserve">many other factors that shape</w:t>
      </w:r>
      <w:r>
        <w:t xml:space="preserve"> </w:t>
      </w:r>
      <w:r>
        <w:t xml:space="preserve">macroeconomic outcomes.</w:t>
      </w:r>
    </w:p>
    <w:p>
      <w:pPr>
        <w:pStyle w:val="Compact"/>
        <w:numPr>
          <w:ilvl w:val="0"/>
          <w:numId w:val="1012"/>
        </w:numPr>
      </w:pPr>
      <w:r>
        <w:t xml:space="preserve">The report should also assess potential risk to the</w:t>
      </w:r>
      <w:r>
        <w:t xml:space="preserve"> </w:t>
      </w:r>
      <w:r>
        <w:t xml:space="preserve">stability of the EU financial system, including as to the</w:t>
      </w:r>
      <w:r>
        <w:t xml:space="preserve"> </w:t>
      </w:r>
      <w:r>
        <w:t xml:space="preserve">significant liberalisation of DLT-based solutions.</w:t>
      </w:r>
      <w:r>
        <w:br/>
      </w:r>
      <w:r>
        <w:t xml:space="preserve">Explanations have been added to</w:t>
      </w:r>
      <w:r>
        <w:t xml:space="preserve"> </w:t>
      </w:r>
      <w:r>
        <w:t xml:space="preserve">explain the stability risks, including</w:t>
      </w:r>
      <w:r>
        <w:t xml:space="preserve"> </w:t>
      </w:r>
      <w:r>
        <w:t xml:space="preserve">why the DLTPR related measures do</w:t>
      </w:r>
      <w:r>
        <w:t xml:space="preserve"> </w:t>
      </w:r>
      <w:r>
        <w:t xml:space="preserve">not increase such risk. References are</w:t>
      </w:r>
      <w:r>
        <w:t xml:space="preserve"> </w:t>
      </w:r>
      <w:r>
        <w:t xml:space="preserve">also provided to explain why more</w:t>
      </w:r>
    </w:p>
    <w:p>
      <w:pPr>
        <w:pStyle w:val="FirstParagraph"/>
      </w:pPr>
      <w:r>
        <w:t xml:space="preserve">105</w:t>
      </w:r>
    </w:p>
    <w:p>
      <w:pPr>
        <w:pStyle w:val="BodyText"/>
      </w:pPr>
      <w:r>
        <w:t xml:space="preserve">integrated and developed EU capital</w:t>
      </w:r>
      <w:r>
        <w:t xml:space="preserve"> </w:t>
      </w:r>
      <w:r>
        <w:t xml:space="preserve">markets</w:t>
      </w:r>
      <w:r>
        <w:t xml:space="preserve"> </w:t>
      </w:r>
      <w:r>
        <w:t xml:space="preserve">promote</w:t>
      </w:r>
      <w:r>
        <w:t xml:space="preserve"> </w:t>
      </w:r>
      <w:r>
        <w:t xml:space="preserve">stability</w:t>
      </w:r>
      <w:r>
        <w:t xml:space="preserve"> </w:t>
      </w:r>
      <w:r>
        <w:t xml:space="preserve">and</w:t>
      </w:r>
      <w:r>
        <w:t xml:space="preserve"> </w:t>
      </w:r>
      <w:r>
        <w:t xml:space="preserve">resilience, through more risk-sharing.</w:t>
      </w:r>
      <w:r>
        <w:br/>
      </w:r>
      <w:r>
        <w:t xml:space="preserve">(13) The report should be a concise self-standing document</w:t>
      </w:r>
      <w:r>
        <w:t xml:space="preserve"> </w:t>
      </w:r>
      <w:r>
        <w:t xml:space="preserve">in line with better regulation requirements, legible and</w:t>
      </w:r>
      <w:r>
        <w:t xml:space="preserve"> </w:t>
      </w:r>
      <w:r>
        <w:t xml:space="preserve">accessible to the non-specialist reader. The report should</w:t>
      </w:r>
      <w:r>
        <w:t xml:space="preserve"> </w:t>
      </w:r>
      <w:r>
        <w:t xml:space="preserve">strike a better balance between narrative and analysis with</w:t>
      </w:r>
      <w:r>
        <w:t xml:space="preserve"> </w:t>
      </w:r>
      <w:r>
        <w:t xml:space="preserve">emphasis on empirical evidence. The length of the report</w:t>
      </w:r>
      <w:r>
        <w:t xml:space="preserve"> </w:t>
      </w:r>
      <w:r>
        <w:t xml:space="preserve">should be significantly reduced.</w:t>
      </w:r>
      <w:r>
        <w:t xml:space="preserve"> </w:t>
      </w:r>
      <w:r>
        <w:t xml:space="preserve">Given all the additional requirements,</w:t>
      </w:r>
      <w:r>
        <w:t xml:space="preserve"> </w:t>
      </w:r>
      <w:r>
        <w:t xml:space="preserve">it has not been possible to cut the</w:t>
      </w:r>
      <w:r>
        <w:t xml:space="preserve"> </w:t>
      </w:r>
      <w:r>
        <w:t xml:space="preserve">length of the report. However, the</w:t>
      </w:r>
      <w:r>
        <w:t xml:space="preserve"> </w:t>
      </w:r>
      <w:r>
        <w:t xml:space="preserve">descriptions have been streamlined</w:t>
      </w:r>
      <w:r>
        <w:t xml:space="preserve"> </w:t>
      </w:r>
      <w:r>
        <w:t xml:space="preserve">and certain duplications removed.</w:t>
      </w:r>
    </w:p>
    <w:p>
      <w:pPr>
        <w:pStyle w:val="Compact"/>
        <w:numPr>
          <w:ilvl w:val="0"/>
          <w:numId w:val="1013"/>
        </w:numPr>
      </w:pPr>
      <w:r>
        <w:t xml:space="preserve">EVIDENCE, SOURCES AND QUALITY</w:t>
      </w:r>
      <w:r>
        <w:br/>
      </w:r>
      <w:r>
        <w:t xml:space="preserve">Evidence used in the impact assessment came from a variety of sources, including</w:t>
      </w:r>
      <w:r>
        <w:br/>
      </w:r>
      <w:r>
        <w:t xml:space="preserve">(list is not exhaustive and further references are included in text):</w:t>
      </w:r>
      <w:r>
        <w:br/>
      </w:r>
    </w:p>
    <w:p>
      <w:pPr>
        <w:numPr>
          <w:ilvl w:val="0"/>
          <w:numId w:val="1014"/>
        </w:numPr>
      </w:pPr>
      <w:r>
        <w:t xml:space="preserve">Replies by stakeholders to a targeted consultation which ran from 15 April to 10 June 2025;</w:t>
      </w:r>
      <w:r>
        <w:br/>
      </w:r>
    </w:p>
    <w:p>
      <w:pPr>
        <w:numPr>
          <w:ilvl w:val="0"/>
          <w:numId w:val="1014"/>
        </w:numPr>
      </w:pPr>
      <w:r>
        <w:t xml:space="preserve">Targeted bilateral outreach to key stakeholders;</w:t>
      </w:r>
      <w:r>
        <w:br/>
      </w:r>
      <w:r>
        <w:t xml:space="preserve">-September 2024 roundtables on the on consolidation in the investment funds sector and trading</w:t>
      </w:r>
      <w:r>
        <w:t xml:space="preserve"> </w:t>
      </w:r>
      <w:r>
        <w:t xml:space="preserve">and post-trading infrastructure; Joint ECB-Commission conference on financial integration</w:t>
      </w:r>
      <w:r>
        <w:br/>
      </w:r>
      <w:r>
        <w:t xml:space="preserve">in 2024, with focus on SIU, market infrastructure and supervision; and many other workshops,</w:t>
      </w:r>
      <w:r>
        <w:t xml:space="preserve"> </w:t>
      </w:r>
      <w:r>
        <w:t xml:space="preserve">conferences and events, including those organised by stakeholders;</w:t>
      </w:r>
      <w:r>
        <w:br/>
      </w:r>
    </w:p>
    <w:p>
      <w:pPr>
        <w:numPr>
          <w:ilvl w:val="0"/>
          <w:numId w:val="1014"/>
        </w:numPr>
      </w:pPr>
      <w:r>
        <w:t xml:space="preserve">Report on the Future of the Single Market, E. Letta162;</w:t>
      </w:r>
      <w:r>
        <w:br/>
      </w:r>
    </w:p>
    <w:p>
      <w:pPr>
        <w:numPr>
          <w:ilvl w:val="0"/>
          <w:numId w:val="1014"/>
        </w:numPr>
      </w:pPr>
      <w:r>
        <w:t xml:space="preserve">Mario Draghi, ‘The Future of European Competitiveness,’ 2025163</w:t>
      </w:r>
      <w:r>
        <w:br/>
      </w:r>
    </w:p>
    <w:p>
      <w:pPr>
        <w:numPr>
          <w:ilvl w:val="0"/>
          <w:numId w:val="1014"/>
        </w:numPr>
      </w:pPr>
      <w:r>
        <w:t xml:space="preserve">Reports from the European Securities and Markets Authority including:</w:t>
      </w:r>
    </w:p>
    <w:p>
      <w:pPr>
        <w:numPr>
          <w:ilvl w:val="0"/>
          <w:numId w:val="1014"/>
        </w:numPr>
      </w:pPr>
      <w:r>
        <w:t xml:space="preserve">ESMA Working paper on Fragmentation in European Equity markets164</w:t>
      </w:r>
    </w:p>
    <w:p>
      <w:pPr>
        <w:numPr>
          <w:ilvl w:val="0"/>
          <w:numId w:val="1014"/>
        </w:numPr>
      </w:pPr>
      <w:r>
        <w:t xml:space="preserve">ESMA Report Provision of cross-border services by CSDs and handling of applications</w:t>
      </w:r>
      <w:r>
        <w:t xml:space="preserve"> </w:t>
      </w:r>
      <w:r>
        <w:t xml:space="preserve">under Article 23 of CSDR from 2020 to 2022165</w:t>
      </w:r>
    </w:p>
    <w:p>
      <w:pPr>
        <w:numPr>
          <w:ilvl w:val="0"/>
          <w:numId w:val="1014"/>
        </w:numPr>
      </w:pPr>
      <w:r>
        <w:t xml:space="preserve">ESMA MiFID Dashboard 2024</w:t>
      </w:r>
    </w:p>
    <w:p>
      <w:pPr>
        <w:pStyle w:val="Compact"/>
        <w:numPr>
          <w:ilvl w:val="1"/>
          <w:numId w:val="1015"/>
        </w:numPr>
      </w:pPr>
      <w:r>
        <w:t xml:space="preserve">ESMA EU Securities Markets Report 2023</w:t>
      </w:r>
    </w:p>
    <w:p>
      <w:pPr>
        <w:numPr>
          <w:ilvl w:val="0"/>
          <w:numId w:val="1014"/>
        </w:numPr>
      </w:pPr>
      <w:r>
        <w:t xml:space="preserve">Briefing paper for the ECON Committee at the European Parliament</w:t>
      </w:r>
      <w:r>
        <w:t xml:space="preserve"> </w:t>
      </w:r>
      <w:r>
        <w:t xml:space="preserve">Statistics and reports (selection of main input):</w:t>
      </w:r>
      <w:r>
        <w:br/>
      </w:r>
    </w:p>
    <w:p>
      <w:pPr>
        <w:numPr>
          <w:ilvl w:val="0"/>
          <w:numId w:val="1014"/>
        </w:numPr>
      </w:pPr>
      <w:r>
        <w:t xml:space="preserve">A new Vision for Europe’s capital markets, Final Report of the High-Level Forum on the Capital</w:t>
      </w:r>
      <w:r>
        <w:t xml:space="preserve"> </w:t>
      </w:r>
      <w:r>
        <w:t xml:space="preserve">Markets Union, June 2020</w:t>
      </w:r>
    </w:p>
    <w:p>
      <w:pPr>
        <w:numPr>
          <w:ilvl w:val="0"/>
          <w:numId w:val="1014"/>
        </w:numPr>
      </w:pPr>
      <w:r>
        <w:t xml:space="preserve">Study on consolidation and reducing fragmentation in trading and post-trading infrastructures</w:t>
      </w:r>
      <w:r>
        <w:br/>
      </w:r>
      <w:r>
        <w:t xml:space="preserve">in Europe: https://op.europa.eu/en/publication/doi/10.2874/2649452</w:t>
      </w:r>
    </w:p>
    <w:p>
      <w:pPr>
        <w:numPr>
          <w:ilvl w:val="0"/>
          <w:numId w:val="1014"/>
        </w:numPr>
      </w:pPr>
      <w:r>
        <w:t xml:space="preserve">Study of barriers to, and drivers of, the scaling-up of funds investing in innovative and growth</w:t>
      </w:r>
      <w:r>
        <w:t xml:space="preserve"> </w:t>
      </w:r>
      <w:r>
        <w:t xml:space="preserve">companies - Publications Office of the EU</w:t>
      </w:r>
    </w:p>
    <w:p>
      <w:pPr>
        <w:pStyle w:val="FirstParagraph"/>
      </w:pPr>
      <w:r>
        <w:t xml:space="preserve">162 https://single-market-economy.ec.europa.eu/news/enrico-lettas-report-future-single-market-2024-04-10_en;</w:t>
      </w:r>
      <w:r>
        <w:t xml:space="preserve"> </w:t>
      </w:r>
      <w:r>
        <w:t xml:space="preserve">163 https://commission.europa.eu/topics/eu-competitiveness/draghi-report_en</w:t>
      </w:r>
      <w:r>
        <w:t xml:space="preserve"> </w:t>
      </w:r>
      <w:r>
        <w:t xml:space="preserve">164 ESMA50-524821-3352 Working Paper: Fragmentation in European Equity Markets since 2019</w:t>
      </w:r>
      <w:r>
        <w:t xml:space="preserve"> </w:t>
      </w:r>
      <w:r>
        <w:t xml:space="preserve">165 ESMA74-2119945925-1568 Report on Provision of cross-border services by CSDs and handling of applications</w:t>
      </w:r>
      <w:r>
        <w:t xml:space="preserve"> </w:t>
      </w:r>
      <w:r>
        <w:t xml:space="preserve">under Article 23 of CSDR from 2020 to 2022</w:t>
      </w:r>
    </w:p>
    <w:p>
      <w:pPr>
        <w:pStyle w:val="BodyText"/>
      </w:pPr>
      <w:r>
        <w:t xml:space="preserve">106</w:t>
      </w:r>
    </w:p>
    <w:p>
      <w:pPr>
        <w:pStyle w:val="Compact"/>
        <w:numPr>
          <w:ilvl w:val="0"/>
          <w:numId w:val="1016"/>
        </w:numPr>
      </w:pPr>
      <w:r>
        <w:t xml:space="preserve">Study on the costs of compliance for the financial sector, CEPS on behalf of the European</w:t>
      </w:r>
      <w:r>
        <w:t xml:space="preserve"> </w:t>
      </w:r>
      <w:r>
        <w:t xml:space="preserve">Commission, 2019</w:t>
      </w:r>
    </w:p>
    <w:p>
      <w:pPr>
        <w:pStyle w:val="Compact"/>
        <w:numPr>
          <w:ilvl w:val="0"/>
          <w:numId w:val="1016"/>
        </w:numPr>
      </w:pPr>
      <w:r>
        <w:t xml:space="preserve">Beck, T., B. Bruno and E. Carletti, 2024. Can the Banking Union foster market integration,</w:t>
      </w:r>
      <w:r>
        <w:br/>
      </w:r>
      <w:r>
        <w:t xml:space="preserve">and what lessons does this hold for Capital Markets Union?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Bierboum, Maximilian, Christopher Breen , and William Wright, “Searching for Growth:</w:t>
      </w:r>
      <w:r>
        <w:br/>
      </w:r>
      <w:r>
        <w:t xml:space="preserve">The Future of EU Capital Markets”, September 2024</w:t>
      </w:r>
    </w:p>
    <w:p>
      <w:pPr>
        <w:pStyle w:val="Compact"/>
        <w:numPr>
          <w:ilvl w:val="0"/>
          <w:numId w:val="1016"/>
        </w:numPr>
      </w:pPr>
      <w:r>
        <w:t xml:space="preserve">European Central Bank (ECB), “Capital markets union: a deep dive - Five measures to foster</w:t>
      </w:r>
      <w:r>
        <w:br/>
      </w:r>
      <w:r>
        <w:t xml:space="preserve">a single market for capital”, ECB Occasional paper Series, May 2025</w:t>
      </w:r>
    </w:p>
    <w:p>
      <w:pPr>
        <w:pStyle w:val="Compact"/>
        <w:numPr>
          <w:ilvl w:val="0"/>
          <w:numId w:val="1016"/>
        </w:numPr>
      </w:pPr>
      <w:r>
        <w:t xml:space="preserve">European Central Bank (ECB), Changing patterns of risk-sharing channels in the United States</w:t>
      </w:r>
      <w:r>
        <w:t xml:space="preserve"> </w:t>
      </w:r>
      <w:r>
        <w:t xml:space="preserve">and the euro area”, Working Paper Series N 2849</w:t>
      </w:r>
    </w:p>
    <w:p>
      <w:pPr>
        <w:pStyle w:val="Compact"/>
        <w:numPr>
          <w:ilvl w:val="0"/>
          <w:numId w:val="1016"/>
        </w:numPr>
      </w:pPr>
      <w:r>
        <w:t xml:space="preserve">European Central Bank (ECB),Public and private risk sharing: friends or foes? The interplay</w:t>
      </w:r>
      <w:r>
        <w:t xml:space="preserve"> </w:t>
      </w:r>
      <w:r>
        <w:t xml:space="preserve">between different forms of risk sharing, ECB Occasional paper, June 2022</w:t>
      </w:r>
    </w:p>
    <w:p>
      <w:pPr>
        <w:pStyle w:val="Compact"/>
        <w:numPr>
          <w:ilvl w:val="0"/>
          <w:numId w:val="1016"/>
        </w:numPr>
      </w:pPr>
      <w:r>
        <w:t xml:space="preserve">US Government Accountability Office (GAO) report on Reg. NMS, July 2005</w:t>
      </w:r>
    </w:p>
    <w:p>
      <w:pPr>
        <w:pStyle w:val="Compact"/>
        <w:numPr>
          <w:ilvl w:val="0"/>
          <w:numId w:val="1016"/>
        </w:numPr>
      </w:pPr>
      <w:r>
        <w:t xml:space="preserve">International Monetary Fund (IMF), Euro Area: Publication of Financial Sector Assessment</w:t>
      </w:r>
      <w:r>
        <w:t xml:space="preserve"> </w:t>
      </w:r>
      <w:r>
        <w:t xml:space="preserve">Program Documentation-Technical Note on Capital Markets Union-Implications for Supervision</w:t>
      </w:r>
      <w:r>
        <w:t xml:space="preserve"> </w:t>
      </w:r>
      <w:r>
        <w:t xml:space="preserve">and Institutional Arrangements, IMF Staff Country Reports, Volume 2025: Issue 214</w:t>
      </w:r>
    </w:p>
    <w:p>
      <w:pPr>
        <w:pStyle w:val="Compact"/>
        <w:numPr>
          <w:ilvl w:val="0"/>
          <w:numId w:val="1016"/>
        </w:numPr>
      </w:pPr>
      <w:r>
        <w:t xml:space="preserve">International Monetary Fund (IMF), June 2025, FINANCE &amp; DEVELOPMENT: “Europe’s</w:t>
      </w:r>
      <w:r>
        <w:t xml:space="preserve"> </w:t>
      </w:r>
      <w:r>
        <w:t xml:space="preserve">integration imperative”.</w:t>
      </w:r>
    </w:p>
    <w:p>
      <w:pPr>
        <w:pStyle w:val="Compact"/>
        <w:numPr>
          <w:ilvl w:val="0"/>
          <w:numId w:val="1016"/>
        </w:numPr>
      </w:pPr>
      <w:r>
        <w:t xml:space="preserve">International Monetary Fund (IMF), Regional Economic Outlook for Europe, October 2024:</w:t>
      </w:r>
      <w:r>
        <w:br/>
      </w:r>
      <w:r>
        <w:t xml:space="preserve">A Recovery Short of Europe’s Full Potential</w:t>
      </w:r>
    </w:p>
    <w:p>
      <w:pPr>
        <w:pStyle w:val="Compact"/>
        <w:numPr>
          <w:ilvl w:val="0"/>
          <w:numId w:val="1016"/>
        </w:numPr>
      </w:pPr>
      <w:r>
        <w:t xml:space="preserve">Holste B., Bergström M., “Capital Market Fragmentation and Economic Value Migration:</w:t>
      </w:r>
      <w:r>
        <w:br/>
      </w:r>
      <w:r>
        <w:t xml:space="preserve">How Europe’s Financial System Promotes Wealth Transfer to the U.S”, May 2025,</w:t>
      </w:r>
      <w:r>
        <w:t xml:space="preserve"> </w:t>
      </w:r>
      <w:r>
        <w:t xml:space="preserve">https://papers.ssrn.com/sol3/papers.cfm?abstract_id=5204091</w:t>
      </w:r>
    </w:p>
    <w:p>
      <w:pPr>
        <w:pStyle w:val="Compact"/>
        <w:numPr>
          <w:ilvl w:val="0"/>
          <w:numId w:val="1016"/>
        </w:numPr>
      </w:pPr>
      <w:r>
        <w:t xml:space="preserve">“Monitoring progress towards a Capital Markets Union: a toolkit of indicators“, Commission</w:t>
      </w:r>
      <w:r>
        <w:t xml:space="preserve"> </w:t>
      </w:r>
      <w:r>
        <w:t xml:space="preserve">Staff Working Document, September 2025</w:t>
      </w:r>
    </w:p>
    <w:p>
      <w:pPr>
        <w:pStyle w:val="Compact"/>
        <w:numPr>
          <w:ilvl w:val="0"/>
          <w:numId w:val="1016"/>
        </w:numPr>
      </w:pPr>
      <w:r>
        <w:t xml:space="preserve">OECD, OECD Economic Surveys: European Union and Euro Area 2025 July 2025 Volume</w:t>
      </w:r>
      <w:r>
        <w:t xml:space="preserve"> </w:t>
      </w:r>
      <w:r>
        <w:t xml:space="preserve">2025/19</w:t>
      </w:r>
    </w:p>
    <w:p>
      <w:pPr>
        <w:pStyle w:val="Compact"/>
        <w:numPr>
          <w:ilvl w:val="0"/>
          <w:numId w:val="1016"/>
        </w:numPr>
      </w:pPr>
      <w:r>
        <w:t xml:space="preserve">EC-commissioned study on enhancing financial services with permissionless blockchains</w:t>
      </w:r>
      <w:r>
        <w:t xml:space="preserve"> </w:t>
      </w:r>
      <w:r>
        <w:t xml:space="preserve">https://op.europa.eu/en/publication-detail/-/publication/cab54e8e-ad3b-11ef-acb1-</w:t>
      </w:r>
      <w:r>
        <w:t xml:space="preserve"> </w:t>
      </w:r>
      <w:r>
        <w:t xml:space="preserve">01aa75ed71a1/language-en</w:t>
      </w:r>
    </w:p>
    <w:p>
      <w:pPr>
        <w:pStyle w:val="Compact"/>
        <w:numPr>
          <w:ilvl w:val="0"/>
          <w:numId w:val="1016"/>
        </w:numPr>
      </w:pPr>
      <w:r>
        <w:t xml:space="preserve">BlackRock</w:t>
      </w:r>
      <w:r>
        <w:t xml:space="preserve"> </w:t>
      </w:r>
      <w:r>
        <w:t xml:space="preserve">launches</w:t>
      </w:r>
      <w:r>
        <w:t xml:space="preserve"> </w:t>
      </w:r>
      <w:r>
        <w:t xml:space="preserve">first</w:t>
      </w:r>
      <w:r>
        <w:t xml:space="preserve"> </w:t>
      </w:r>
      <w:r>
        <w:t xml:space="preserve">tokenized</w:t>
      </w:r>
      <w:r>
        <w:t xml:space="preserve"> </w:t>
      </w:r>
      <w:r>
        <w:t xml:space="preserve">fund</w:t>
      </w:r>
      <w:r>
        <w:t xml:space="preserve"> </w:t>
      </w:r>
      <w:r>
        <w:t xml:space="preserve">(BUIDL)</w:t>
      </w:r>
      <w:r>
        <w:t xml:space="preserve"> </w:t>
      </w:r>
      <w:r>
        <w:t xml:space="preserve">on</w:t>
      </w:r>
      <w:r>
        <w:t xml:space="preserve"> </w:t>
      </w:r>
      <w:r>
        <w:t xml:space="preserve">Ethereum</w:t>
      </w:r>
      <w:r>
        <w:t xml:space="preserve"> </w:t>
      </w:r>
      <w:r>
        <w:t xml:space="preserve">https://securitize.io/learn/press/blackrock-launches-first-tokenized-fund-buidl-on-the-ethereum-</w:t>
      </w:r>
      <w:r>
        <w:t xml:space="preserve"> </w:t>
      </w:r>
      <w:r>
        <w:t xml:space="preserve">network</w:t>
      </w:r>
    </w:p>
    <w:p>
      <w:pPr>
        <w:pStyle w:val="Compact"/>
        <w:numPr>
          <w:ilvl w:val="0"/>
          <w:numId w:val="1016"/>
        </w:numPr>
      </w:pPr>
      <w:r>
        <w:t xml:space="preserve">BIS Bulletin No. 107 – “DeFi and tokenisation: new challenges and opportunities”</w:t>
      </w:r>
      <w:r>
        <w:t xml:space="preserve"> </w:t>
      </w:r>
      <w:r>
        <w:t xml:space="preserve">https://www.bis.org/publ/bisbull107.pdf</w:t>
      </w:r>
    </w:p>
    <w:p>
      <w:pPr>
        <w:pStyle w:val="Compact"/>
        <w:numPr>
          <w:ilvl w:val="0"/>
          <w:numId w:val="1016"/>
        </w:numPr>
      </w:pPr>
      <w:r>
        <w:t xml:space="preserve">J.P. Morgan executes first live DLT-enabled collateral mobilisation on Eurex Clearing</w:t>
      </w:r>
      <w:r>
        <w:t xml:space="preserve"> </w:t>
      </w:r>
      <w:r>
        <w:t xml:space="preserve">https://www.thetradenews.com/jp-morgan-executes-first-live-dlt-enabled-collateral-mobilisation-</w:t>
      </w:r>
      <w:r>
        <w:t xml:space="preserve"> </w:t>
      </w:r>
      <w:r>
        <w:t xml:space="preserve">transaction-on-eurex-clearing/</w:t>
      </w:r>
    </w:p>
    <w:p>
      <w:pPr>
        <w:pStyle w:val="Compact"/>
        <w:numPr>
          <w:ilvl w:val="0"/>
          <w:numId w:val="1016"/>
        </w:numPr>
      </w:pPr>
      <w:r>
        <w:t xml:space="preserve">ECB:</w:t>
      </w:r>
      <w:r>
        <w:t xml:space="preserve"> </w:t>
      </w:r>
      <w:r>
        <w:t xml:space="preserve">Eurosystem</w:t>
      </w:r>
      <w:r>
        <w:t xml:space="preserve"> </w:t>
      </w:r>
      <w:r>
        <w:t xml:space="preserve">experiments</w:t>
      </w:r>
      <w:r>
        <w:t xml:space="preserve"> </w:t>
      </w:r>
      <w:r>
        <w:t xml:space="preserve">with</w:t>
      </w:r>
      <w:r>
        <w:t xml:space="preserve"> </w:t>
      </w:r>
      <w:r>
        <w:t xml:space="preserve">DLT</w:t>
      </w:r>
      <w:r>
        <w:t xml:space="preserve"> </w:t>
      </w:r>
      <w:r>
        <w:t xml:space="preserve">for</w:t>
      </w:r>
      <w:r>
        <w:t xml:space="preserve"> </w:t>
      </w:r>
      <w:r>
        <w:t xml:space="preserve">wholesale</w:t>
      </w:r>
      <w:r>
        <w:t xml:space="preserve"> </w:t>
      </w:r>
      <w:r>
        <w:t xml:space="preserve">settlement</w:t>
      </w:r>
      <w:r>
        <w:t xml:space="preserve"> </w:t>
      </w:r>
      <w:r>
        <w:t xml:space="preserve">https://www.ecb.europa.eu/press/intro/news/html/ecb.mipnews241204.en.html</w:t>
      </w:r>
    </w:p>
    <w:p>
      <w:pPr>
        <w:pStyle w:val="FirstParagraph"/>
      </w:pPr>
      <w:r>
        <w:t xml:space="preserve">107</w:t>
      </w:r>
    </w:p>
    <w:p>
      <w:pPr>
        <w:pStyle w:val="Compact"/>
        <w:numPr>
          <w:ilvl w:val="0"/>
          <w:numId w:val="1017"/>
        </w:numPr>
      </w:pP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England</w:t>
      </w:r>
      <w:r>
        <w:t xml:space="preserve"> </w:t>
      </w:r>
      <w:r>
        <w:t xml:space="preserve">Digital</w:t>
      </w:r>
      <w:r>
        <w:t xml:space="preserve"> </w:t>
      </w:r>
      <w:r>
        <w:t xml:space="preserve">Securities</w:t>
      </w:r>
      <w:r>
        <w:t xml:space="preserve"> </w:t>
      </w:r>
      <w:r>
        <w:t xml:space="preserve">Sandbox</w:t>
      </w:r>
      <w:r>
        <w:t xml:space="preserve"> </w:t>
      </w:r>
      <w:r>
        <w:t xml:space="preserve">dashboard</w:t>
      </w:r>
      <w:r>
        <w:t xml:space="preserve"> </w:t>
      </w:r>
      <w:r>
        <w:t xml:space="preserve">https://www.bankofengland.co.uk/financial-stability/digital-securities-sandbox/digital-securities-</w:t>
      </w:r>
      <w:r>
        <w:t xml:space="preserve"> </w:t>
      </w:r>
      <w:r>
        <w:t xml:space="preserve">sandbox-dashboard</w:t>
      </w:r>
    </w:p>
    <w:p>
      <w:pPr>
        <w:pStyle w:val="Compact"/>
        <w:numPr>
          <w:ilvl w:val="0"/>
          <w:numId w:val="1017"/>
        </w:numPr>
      </w:pPr>
      <w:r>
        <w:t xml:space="preserve">BIS</w:t>
      </w:r>
      <w:r>
        <w:t xml:space="preserve"> </w:t>
      </w:r>
      <w:r>
        <w:t xml:space="preserve">Annual</w:t>
      </w:r>
      <w:r>
        <w:t xml:space="preserve"> </w:t>
      </w:r>
      <w:r>
        <w:t xml:space="preserve">Economic</w:t>
      </w:r>
      <w:r>
        <w:t xml:space="preserve"> </w:t>
      </w:r>
      <w:r>
        <w:t xml:space="preserve">Report</w:t>
      </w:r>
      <w:r>
        <w:t xml:space="preserve"> </w:t>
      </w:r>
      <w:r>
        <w:t xml:space="preserve">2025</w:t>
      </w:r>
      <w:r>
        <w:t xml:space="preserve"> </w:t>
      </w:r>
      <w:r>
        <w:t xml:space="preserve">–</w:t>
      </w:r>
      <w:r>
        <w:t xml:space="preserve"> </w:t>
      </w:r>
      <w:r>
        <w:t xml:space="preserve">Chapter</w:t>
      </w:r>
      <w:r>
        <w:t xml:space="preserve"> </w:t>
      </w:r>
      <w:r>
        <w:t xml:space="preserve">3</w:t>
      </w:r>
      <w:r>
        <w:t xml:space="preserve"> </w:t>
      </w:r>
      <w:r>
        <w:t xml:space="preserve">on</w:t>
      </w:r>
      <w:r>
        <w:t xml:space="preserve"> </w:t>
      </w:r>
      <w:r>
        <w:t xml:space="preserve">tokenisation</w:t>
      </w:r>
      <w:r>
        <w:t xml:space="preserve"> </w:t>
      </w:r>
      <w:r>
        <w:t xml:space="preserve">https://www.bis.org/publ/arpdf/ar2025e3.pdf</w:t>
      </w:r>
    </w:p>
    <w:p>
      <w:pPr>
        <w:pStyle w:val="Compact"/>
        <w:numPr>
          <w:ilvl w:val="0"/>
          <w:numId w:val="1017"/>
        </w:numPr>
      </w:pPr>
      <w:r>
        <w:t xml:space="preserve">ESMA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on</w:t>
      </w:r>
      <w:r>
        <w:t xml:space="preserve"> </w:t>
      </w:r>
      <w:r>
        <w:t xml:space="preserve">DLT</w:t>
      </w:r>
      <w:r>
        <w:t xml:space="preserve"> </w:t>
      </w:r>
      <w:r>
        <w:t xml:space="preserve">Pilot</w:t>
      </w:r>
      <w:r>
        <w:t xml:space="preserve"> </w:t>
      </w:r>
      <w:r>
        <w:t xml:space="preserve">Regime</w:t>
      </w:r>
    </w:p>
    <w:p>
      <w:pPr>
        <w:pStyle w:val="Compact"/>
        <w:numPr>
          <w:ilvl w:val="0"/>
          <w:numId w:val="1018"/>
        </w:numPr>
      </w:pPr>
      <w:r>
        <w:t xml:space="preserve">https://www.esma.europa.eu/sites/default/files/2024-04/ESMA75-117376770-</w:t>
      </w:r>
      <w:r>
        <w:t xml:space="preserve"> </w:t>
      </w:r>
      <w:r>
        <w:t xml:space="preserve">460_DLT_Pilot_Regime_-_Letter_to_EU_Institutions.pdf</w:t>
      </w:r>
    </w:p>
    <w:p>
      <w:pPr>
        <w:pStyle w:val="Compact"/>
        <w:numPr>
          <w:ilvl w:val="0"/>
          <w:numId w:val="1019"/>
        </w:numPr>
      </w:pPr>
      <w:r>
        <w:t xml:space="preserve">ESMA Report on the functioning and review of the DLT Pilot Regime (Art. 14) – June 2025</w:t>
      </w:r>
      <w:r>
        <w:t xml:space="preserve"> </w:t>
      </w:r>
      <w:r>
        <w:t xml:space="preserve">https://www.esma.europa.eu/sites/default/files/2025-06/ESMA75-117376770-</w:t>
      </w:r>
      <w:r>
        <w:t xml:space="preserve"> </w:t>
      </w:r>
      <w:r>
        <w:t xml:space="preserve">460_Report_on_the_functioning_and_review_of_the_DLTR_-_Art.14.pdf</w:t>
      </w:r>
    </w:p>
    <w:p>
      <w:pPr>
        <w:pStyle w:val="Compact"/>
        <w:numPr>
          <w:ilvl w:val="0"/>
          <w:numId w:val="1019"/>
        </w:numPr>
      </w:pPr>
      <w:r>
        <w:t xml:space="preserve">AMF &amp; CONSOB position paper: Towards a more competitive European Pilot Regime</w:t>
      </w:r>
      <w:r>
        <w:br/>
      </w:r>
      <w:r>
        <w:t xml:space="preserve">(April</w:t>
      </w:r>
    </w:p>
    <w:p>
      <w:pPr>
        <w:pStyle w:val="Compact"/>
        <w:numPr>
          <w:ilvl w:val="0"/>
          <w:numId w:val="1020"/>
        </w:numPr>
      </w:pPr>
      <w:r>
        <w:t xml:space="preserve">https://www.amf-france.org/sites/institutionnel/files/private/2025-04/amf_consob_position-</w:t>
      </w:r>
      <w:r>
        <w:t xml:space="preserve"> </w:t>
      </w:r>
      <w:r>
        <w:t xml:space="preserve">paper-towards-a-more-competitive-european-pilot-regime.pdf</w:t>
      </w:r>
      <w:r>
        <w:t xml:space="preserve"> </w:t>
      </w:r>
      <w:r>
        <w:t xml:space="preserve">-Euroclear:</w:t>
      </w:r>
      <w:r>
        <w:t xml:space="preserve"> </w:t>
      </w:r>
      <w:r>
        <w:t xml:space="preserve">Digital</w:t>
      </w:r>
      <w:r>
        <w:t xml:space="preserve"> </w:t>
      </w:r>
      <w:r>
        <w:t xml:space="preserve">Financial</w:t>
      </w:r>
      <w:r>
        <w:t xml:space="preserve"> </w:t>
      </w:r>
      <w:r>
        <w:t xml:space="preserve">Market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primary</w:t>
      </w:r>
      <w:r>
        <w:t xml:space="preserve"> </w:t>
      </w:r>
      <w:r>
        <w:t xml:space="preserve">issuance</w:t>
      </w:r>
      <w:r>
        <w:t xml:space="preserve"> </w:t>
      </w:r>
      <w:r>
        <w:t xml:space="preserve">https://www.euroclear.com/services/en/primary-issuance/digital-financial-market-</w:t>
      </w:r>
      <w:r>
        <w:t xml:space="preserve"> </w:t>
      </w:r>
      <w:r>
        <w:t xml:space="preserve">infrastructure.html</w:t>
      </w:r>
      <w:r>
        <w:t xml:space="preserve"> </w:t>
      </w:r>
      <w:r>
        <w:t xml:space="preserve">-Bindseil &amp; Malekan (2025): Public crypto networks as financial market infrastructures</w:t>
      </w:r>
      <w:r>
        <w:t xml:space="preserve"> </w:t>
      </w:r>
      <w:r>
        <w:t xml:space="preserve">https://papers.ssrn.com/sol3/papers.cfm?abstract_id=5138052</w:t>
      </w:r>
      <w:r>
        <w:t xml:space="preserve"> </w:t>
      </w:r>
      <w:r>
        <w:t xml:space="preserve">-Enhancing energy derivatives trading: Assessing the need to update the European DLT Pilot</w:t>
      </w:r>
      <w:r>
        <w:t xml:space="preserve"> </w:t>
      </w:r>
      <w:r>
        <w:t xml:space="preserve">Regime Regulation; https://ssrn.com/abstract=5189300</w:t>
      </w:r>
      <w:r>
        <w:t xml:space="preserve"> </w:t>
      </w:r>
      <w:r>
        <w:t xml:space="preserve">-ESMA Reply by Chair Verena Ross on DLT Pilot Regime Implementation (May 2024)</w:t>
      </w:r>
      <w:r>
        <w:t xml:space="preserve"> </w:t>
      </w:r>
      <w:r>
        <w:t xml:space="preserve">https://www.esma.europa.eu/sites/default/files/2024-</w:t>
      </w:r>
      <w:r>
        <w:t xml:space="preserve"> </w:t>
      </w:r>
      <w:r>
        <w:t xml:space="preserve">05/3056562_030524_Reply_Verena_Ross_on_DLT_Pilot_Regime_Implementation.pdf</w:t>
      </w:r>
    </w:p>
    <w:p>
      <w:pPr>
        <w:pStyle w:val="FirstParagraph"/>
      </w:pPr>
      <w:r>
        <w:t xml:space="preserve">108</w:t>
      </w:r>
    </w:p>
    <w:p>
      <w:pPr>
        <w:pStyle w:val="BodyText"/>
      </w:pPr>
      <w:r>
        <w:t xml:space="preserve">ANNEX 2: STAKEHOLDERS CONSULTATIONS</w:t>
      </w:r>
      <w:r>
        <w:br/>
      </w:r>
      <w:r>
        <w:t xml:space="preserve">The following consultation activities have helped to shape the content of this initiative:</w:t>
      </w:r>
      <w:r>
        <w:br/>
      </w:r>
      <w:r>
        <w:t xml:space="preserve">•</w:t>
      </w:r>
      <w:r>
        <w:t xml:space="preserve"> </w:t>
      </w:r>
      <w:r>
        <w:t xml:space="preserve">European Commission ‘Call for evidence on the Savings and Investments Union: Fostering</w:t>
      </w:r>
      <w:r>
        <w:t xml:space="preserve"> </w:t>
      </w:r>
      <w:r>
        <w:t xml:space="preserve">integration and scale and more efficient supervision in EU capital markets’, from 8 May</w:t>
      </w:r>
      <w:r>
        <w:t xml:space="preserve"> </w:t>
      </w:r>
      <w:r>
        <w:t xml:space="preserve">until 5 June 2025.</w:t>
      </w:r>
      <w:r>
        <w:br/>
      </w:r>
      <w:r>
        <w:t xml:space="preserve">•</w:t>
      </w:r>
      <w:r>
        <w:t xml:space="preserve"> </w:t>
      </w:r>
      <w:r>
        <w:t xml:space="preserve">European Commission targeted consultation on ‘Integration of EU capital markets’</w:t>
      </w:r>
      <w:r>
        <w:t xml:space="preserve"> </w:t>
      </w:r>
      <w:r>
        <w:t xml:space="preserve">between 15 April and 10 June 2025.</w:t>
      </w:r>
      <w:r>
        <w:br/>
      </w:r>
      <w:r>
        <w:t xml:space="preserve">•</w:t>
      </w:r>
      <w:r>
        <w:t xml:space="preserve"> </w:t>
      </w:r>
      <w:r>
        <w:t xml:space="preserve">Workshop to collect information from stakeholders on the recent EU initiatives on markets</w:t>
      </w:r>
      <w:r>
        <w:t xml:space="preserve"> </w:t>
      </w:r>
      <w:r>
        <w:t xml:space="preserve">in crypto assets and DLT-based infrastructures for both crypto assets and traditional</w:t>
      </w:r>
      <w:r>
        <w:t xml:space="preserve"> </w:t>
      </w:r>
      <w:r>
        <w:t xml:space="preserve">financial instruments: https://finance.ec.europa.eu/events/workshop-asset-tokenisation-</w:t>
      </w:r>
      <w:r>
        <w:t xml:space="preserve"> </w:t>
      </w:r>
      <w:r>
        <w:t xml:space="preserve">2024-06-11_en</w:t>
      </w:r>
      <w:r>
        <w:t xml:space="preserve"> </w:t>
      </w:r>
      <w:r>
        <w:t xml:space="preserve">•</w:t>
      </w:r>
      <w:r>
        <w:t xml:space="preserve"> </w:t>
      </w:r>
      <w:r>
        <w:t xml:space="preserve">Informal workshops with relevant stakeholders in the trading sector (trading venues, banks,</w:t>
      </w:r>
      <w:r>
        <w:t xml:space="preserve"> </w:t>
      </w:r>
      <w:r>
        <w:t xml:space="preserve">high frequency traders) between May and July 2025, to collect information and evidence</w:t>
      </w:r>
      <w:r>
        <w:t xml:space="preserve"> </w:t>
      </w:r>
      <w:r>
        <w:t xml:space="preserve">on the barriers to cross-border operations and investment flows within the Union and on</w:t>
      </w:r>
      <w:r>
        <w:t xml:space="preserve"> </w:t>
      </w:r>
      <w:r>
        <w:t xml:space="preserve">how to improve market efficiency to deepen liquidity, followed by bilateral meetings.</w:t>
      </w:r>
      <w:r>
        <w:t xml:space="preserve"> </w:t>
      </w:r>
      <w:r>
        <w:t xml:space="preserve">•</w:t>
      </w:r>
      <w:r>
        <w:t xml:space="preserve"> </w:t>
      </w:r>
      <w:r>
        <w:t xml:space="preserve">Multiple meetings with CCPs, CSDs, ministries, banks, and other relevant stakeholders</w:t>
      </w:r>
      <w:r>
        <w:br/>
      </w:r>
      <w:r>
        <w:t xml:space="preserve">in the post-trading area (about 20 counterparts). Several provided some quantitative</w:t>
      </w:r>
      <w:r>
        <w:t xml:space="preserve"> </w:t>
      </w:r>
      <w:r>
        <w:t xml:space="preserve">information (fees, costs of CSD links, costs of connecting to T2S, legal fees).</w:t>
      </w:r>
      <w:r>
        <w:t xml:space="preserve"> </w:t>
      </w:r>
      <w:r>
        <w:t xml:space="preserve">•</w:t>
      </w:r>
      <w:r>
        <w:t xml:space="preserve"> </w:t>
      </w:r>
      <w:r>
        <w:t xml:space="preserve">Engagement with relevant stakeholders and associations of the asset management sector</w:t>
      </w:r>
      <w:r>
        <w:br/>
      </w:r>
      <w:r>
        <w:t xml:space="preserve">to collect additional information on the topics related to the asset management sector,</w:t>
      </w:r>
      <w:r>
        <w:br/>
      </w:r>
      <w:r>
        <w:t xml:space="preserve">in particular on costs associated with the cross-border distribution of funds and intra group</w:t>
      </w:r>
      <w:r>
        <w:t xml:space="preserve"> </w:t>
      </w:r>
      <w:r>
        <w:t xml:space="preserve">delegation.</w:t>
      </w:r>
      <w:r>
        <w:t xml:space="preserve"> </w:t>
      </w:r>
      <w:r>
        <w:t xml:space="preserve">•</w:t>
      </w:r>
      <w:r>
        <w:t xml:space="preserve"> </w:t>
      </w:r>
      <w:r>
        <w:t xml:space="preserve">Bilateral calls with ESMA and contacts with NCAs to collect quantitative information</w:t>
      </w:r>
      <w:r>
        <w:br/>
      </w:r>
      <w:r>
        <w:t xml:space="preserve">on the impact of the measures on supervision.</w:t>
      </w:r>
      <w:r>
        <w:br/>
      </w:r>
      <w:r>
        <w:t xml:space="preserve">•</w:t>
      </w:r>
      <w:r>
        <w:t xml:space="preserve"> </w:t>
      </w:r>
      <w:r>
        <w:t xml:space="preserve">Additional targeted outreach to stakeholders after the consultation, in September</w:t>
      </w:r>
      <w:r>
        <w:br/>
      </w:r>
      <w:r>
        <w:t xml:space="preserve">and October, to have more information and quantitative evidence on the consequences</w:t>
      </w:r>
      <w:r>
        <w:br/>
      </w:r>
      <w:r>
        <w:t xml:space="preserve">of regulatory and supervisory barriers, taking into account different locations and sizes.</w:t>
      </w:r>
      <w:r>
        <w:br/>
      </w:r>
      <w:r>
        <w:t xml:space="preserve">1. CALL FOR EVIDENCE</w:t>
      </w:r>
      <w:r>
        <w:t xml:space="preserve"> </w:t>
      </w:r>
      <w:r>
        <w:t xml:space="preserve">The Call for Evidence received 53 responses from a broad range of stakeholders.</w:t>
      </w:r>
      <w:r>
        <w:br/>
      </w:r>
      <w:r>
        <w:t xml:space="preserve">Participation was dominated by business associations, accounting for 62.3% of submissions,</w:t>
      </w:r>
      <w:r>
        <w:t xml:space="preserve"> </w:t>
      </w:r>
      <w:r>
        <w:t xml:space="preserve">reflecting the voice of the investment, banking and asset management industries. Companies</w:t>
      </w:r>
      <w:r>
        <w:br/>
      </w:r>
      <w:r>
        <w:t xml:space="preserve">and businesses, primarily from the financial sector, represented 20.8%. Individual EU citizens</w:t>
      </w:r>
      <w:r>
        <w:t xml:space="preserve"> </w:t>
      </w:r>
      <w:r>
        <w:t xml:space="preserve">contributed 9.4% of responses, while other categories, including chambers of commerce,</w:t>
      </w:r>
      <w:r>
        <w:t xml:space="preserve"> </w:t>
      </w:r>
      <w:r>
        <w:t xml:space="preserve">professional associations and advisory firms, accounted for 5.7%. Finally, non-governmental</w:t>
      </w:r>
      <w:r>
        <w:t xml:space="preserve"> </w:t>
      </w:r>
      <w:r>
        <w:t xml:space="preserve">organisations (NGOs) represented 1.9% of total submissions.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 purpose of the call for evidence was to (i) gather stakeholder views on barriers that prevent</w:t>
      </w:r>
      <w:r>
        <w:t xml:space="preserve"> </w:t>
      </w:r>
      <w:r>
        <w:t xml:space="preserve">the EU’s trading and post-trading infrastructures from reaping the benefits of a truly frictionless</w:t>
      </w:r>
      <w:r>
        <w:t xml:space="preserve"> </w:t>
      </w:r>
      <w:r>
        <w:t xml:space="preserve">single market, (ii) examine whether the current regulatory and supervisory setting</w:t>
      </w:r>
      <w:r>
        <w:br/>
      </w:r>
      <w:r>
        <w:t xml:space="preserve">is fit for the capital markets and in particular for market operators with strong cross-border</w:t>
      </w:r>
      <w:r>
        <w:t xml:space="preserve"> </w:t>
      </w:r>
      <w:r>
        <w:t xml:space="preserve">activities or operating in new or emerging sectors; and (iii) review the European Supervisory</w:t>
      </w:r>
      <w:r>
        <w:t xml:space="preserve"> </w:t>
      </w:r>
      <w:r>
        <w:t xml:space="preserve">Authorities’ toolbox to assess areas where their effectiveness and efficiency can be strengthened</w:t>
      </w:r>
      <w:r>
        <w:t xml:space="preserve"> </w:t>
      </w:r>
      <w:r>
        <w:t xml:space="preserve">and improved.</w:t>
      </w:r>
      <w:r>
        <w:br/>
      </w:r>
      <w:r>
        <w:t xml:space="preserve">Across all stakeholder groups, there was broad alignment on the need to deepen capital markets</w:t>
      </w:r>
      <w:r>
        <w:t xml:space="preserve"> </w:t>
      </w:r>
      <w:r>
        <w:t xml:space="preserve">integration and enhance supervisory convergence, accompanied by a shared call for simplification,</w:t>
      </w:r>
      <w:r>
        <w:t xml:space="preserve"> </w:t>
      </w:r>
      <w:r>
        <w:t xml:space="preserve">proportionality and legal certainty. Stakeholders widely recognised that a more integrated and</w:t>
      </w:r>
      <w:r>
        <w:t xml:space="preserve"> </w:t>
      </w:r>
      <w:r>
        <w:t xml:space="preserve">efficient financial ecosystem would enhance Europe’s competitiveness, improve access to finance,</w:t>
      </w:r>
      <w:r>
        <w:t xml:space="preserve"> </w:t>
      </w:r>
      <w:r>
        <w:t xml:space="preserve">and expand investment opportunities. Nonetheless, they underlined that reforms must remain</w:t>
      </w:r>
      <w:r>
        <w:t xml:space="preserve"> </w:t>
      </w:r>
      <w:r>
        <w:t xml:space="preserve">balanced, transparent and inclusive, demonstrating tangible benefits for citizens and the real</w:t>
      </w:r>
      <w:r>
        <w:t xml:space="preserve"> </w:t>
      </w:r>
      <w:r>
        <w:t xml:space="preserve">economy. The extent of support for centralising supervision at EU level varied significantly among</w:t>
      </w:r>
      <w:r>
        <w:t xml:space="preserve"> </w:t>
      </w:r>
      <w:r>
        <w:t xml:space="preserve">stakeholders. Business associations and companies tended to prefer incremental progress within</w:t>
      </w:r>
      <w:r>
        <w:t xml:space="preserve"> </w:t>
      </w:r>
      <w:r>
        <w:t xml:space="preserve">the current institutional structure, while NGOs and some citizens favoured stronger EU-level</w:t>
      </w:r>
      <w:r>
        <w:t xml:space="preserve"> </w:t>
      </w:r>
      <w:r>
        <w:t xml:space="preserve">oversight to ensure coherence and accountability.</w:t>
      </w:r>
      <w:r>
        <w:t xml:space="preserve"> </w:t>
      </w:r>
      <w:r>
        <w:t xml:space="preserve">2. STAKEHOLDER TARGETED CONSULTATION (SYNOPSIS REPORT)</w:t>
      </w:r>
      <w:r>
        <w:br/>
      </w:r>
      <w:r>
        <w:t xml:space="preserve">2.1. INTRODUCTION</w:t>
      </w:r>
      <w:r>
        <w:t xml:space="preserve"> </w:t>
      </w:r>
      <w:r>
        <w:t xml:space="preserve">This Annex outlines the feedback received from stakeholders to the targeted consultation</w:t>
      </w:r>
      <w:r>
        <w:br/>
      </w:r>
      <w:r>
        <w:t xml:space="preserve">that was launched on 15 April 2025 and remained open until 10 June 2025. The online</w:t>
      </w:r>
      <w:r>
        <w:t xml:space="preserve"> </w:t>
      </w:r>
      <w:r>
        <w:t xml:space="preserve">questionnaire was structured in two parts. Part 1 covered the following topics: simplification and</w:t>
      </w:r>
      <w:r>
        <w:t xml:space="preserve"> </w:t>
      </w:r>
      <w:r>
        <w:t xml:space="preserve">burden reduction of the EU regulatory framework in the trading, post-trading and asset</w:t>
      </w:r>
      <w:r>
        <w:t xml:space="preserve"> </w:t>
      </w:r>
      <w:r>
        <w:t xml:space="preserve">management sectors; and barriers to cross-border operations in the trading space and to liquidity</w:t>
      </w:r>
      <w:r>
        <w:t xml:space="preserve"> </w:t>
      </w:r>
      <w:r>
        <w:t xml:space="preserve">deepening in EU capital markets; and barriers to cross-border provisions of post-trade services.</w:t>
      </w:r>
      <w:r>
        <w:br/>
      </w:r>
      <w:r>
        <w:t xml:space="preserve">Part 2 included questions on: horizontal barriers in trading and post-trading sectors (related, for</w:t>
      </w:r>
      <w:r>
        <w:t xml:space="preserve"> </w:t>
      </w:r>
      <w:r>
        <w:t xml:space="preserve">instance, to innovation, group synergies, issuance of financial instruments); barriers to cross-</w:t>
      </w:r>
      <w:r>
        <w:t xml:space="preserve"> </w:t>
      </w:r>
      <w:r>
        <w:t xml:space="preserve">border provision of asset management services and investment funds; and barriers specifically</w:t>
      </w:r>
      <w:r>
        <w:t xml:space="preserve"> </w:t>
      </w:r>
      <w:r>
        <w:t xml:space="preserve">linked to supervision. In parallel, bilateral meetings were held with selected stakeholders to gather</w:t>
      </w:r>
      <w:r>
        <w:t xml:space="preserve"> </w:t>
      </w:r>
      <w:r>
        <w:t xml:space="preserve">complementary input and explore specific concerns in greater depth.</w:t>
      </w:r>
      <w:r>
        <w:t xml:space="preserve"> </w:t>
      </w:r>
      <w:r>
        <w:t xml:space="preserve">Each sub-section below summarises the key messages received for each topic, supported by</w:t>
      </w:r>
      <w:r>
        <w:t xml:space="preserve"> </w:t>
      </w:r>
      <w:r>
        <w:t xml:space="preserve">quantitative and qualitative data where provided. The percentages expressed exclude those who</w:t>
      </w:r>
      <w:r>
        <w:t xml:space="preserve"> </w:t>
      </w:r>
      <w:r>
        <w:t xml:space="preserve">did not answer the questions and those who chose the option “don’t know/ no opinion”.</w:t>
      </w:r>
      <w:r>
        <w:t xml:space="preserve"> </w:t>
      </w:r>
      <w:r>
        <w:t xml:space="preserve">2.2. OVERVIEW OF RESPONDENTS</w:t>
      </w:r>
      <w:r>
        <w:t xml:space="preserve"> </w:t>
      </w:r>
      <w:r>
        <w:t xml:space="preserve">In total, 297 stakeholders166 replied to the consultation through the Commission website. However,</w:t>
      </w:r>
      <w:r>
        <w:t xml:space="preserve"> </w:t>
      </w:r>
      <w:r>
        <w:t xml:space="preserve">the number of responses per question varied considerably.</w:t>
      </w:r>
    </w:p>
    <w:p>
      <w:pPr>
        <w:pStyle w:val="BodyText"/>
      </w:pPr>
      <w:r>
        <w:t xml:space="preserve">166 Additional responses received by email were treated as confidential and not mentioned in this Annex.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In Part 1 of the consultation, the majority of contributions came from business associations,</w:t>
      </w:r>
      <w:r>
        <w:br/>
      </w:r>
      <w:r>
        <w:t xml:space="preserve">and companies or business entities. These two groups submitted 92 and 79 responses respectively.</w:t>
      </w:r>
      <w:r>
        <w:t xml:space="preserve"> </w:t>
      </w:r>
      <w:r>
        <w:t xml:space="preserve">Public authorities represented a significant share of participants as well, contributing 25 responses.</w:t>
      </w:r>
      <w:r>
        <w:t xml:space="preserve"> </w:t>
      </w:r>
      <w:r>
        <w:t xml:space="preserve">Additional input was received from seven non-governmental organisations, five trade unions, four</w:t>
      </w:r>
      <w:r>
        <w:t xml:space="preserve"> </w:t>
      </w:r>
      <w:r>
        <w:t xml:space="preserve">EU citizens, and one consumer organisation. Fifteen responses were categorised under the “other”</w:t>
      </w:r>
      <w:r>
        <w:t xml:space="preserve"> </w:t>
      </w:r>
      <w:r>
        <w:t xml:space="preserve">stakeholder type.</w:t>
      </w:r>
      <w:r>
        <w:t xml:space="preserve"> </w:t>
      </w:r>
      <w:r>
        <w:t xml:space="preserve">In Part 2 of the consultation, business associations, and companies or business entities again</w:t>
      </w:r>
      <w:r>
        <w:t xml:space="preserve"> </w:t>
      </w:r>
      <w:r>
        <w:t xml:space="preserve">accounted for the largest number of submissions, with 90 and 69 responses respectively.</w:t>
      </w:r>
      <w:r>
        <w:br/>
      </w:r>
      <w:r>
        <w:t xml:space="preserve">There were 31 submissions from public authorities, followed by seven responses from non-</w:t>
      </w:r>
      <w:r>
        <w:t xml:space="preserve"> </w:t>
      </w:r>
      <w:r>
        <w:t xml:space="preserve">governmental organisations, four from EU citizens, three from trade unions, two from consumer</w:t>
      </w:r>
      <w:r>
        <w:t xml:space="preserve"> </w:t>
      </w:r>
      <w:r>
        <w:t xml:space="preserve">organisations, and thirteen categorised as “other”.</w:t>
      </w:r>
      <w:r>
        <w:t xml:space="preserve"> </w:t>
      </w:r>
      <w:r>
        <w:t xml:space="preserve">The consultation thus attracted a diverse range of respondents, including market participants,</w:t>
      </w:r>
      <w:r>
        <w:t xml:space="preserve"> </w:t>
      </w:r>
      <w:r>
        <w:t xml:space="preserve">representative associations, public authorities, and civil society organisations.</w:t>
      </w:r>
    </w:p>
    <w:p>
      <w:pPr>
        <w:pStyle w:val="BodyText"/>
      </w:pPr>
      <w:r>
        <w:t xml:space="preserve">Table 1: Part 1’s Respondent stakeholder types</w:t>
      </w:r>
      <w:r>
        <w:t xml:space="preserve"> </w:t>
      </w:r>
      <w:r>
        <w:t xml:space="preserve">Stakeholder types</w:t>
      </w:r>
      <w:r>
        <w:t xml:space="preserve"> </w:t>
      </w:r>
      <w:r>
        <w:t xml:space="preserve">Count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92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79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EU citizen</w:t>
      </w:r>
      <w:r>
        <w:t xml:space="preserve"> </w:t>
      </w:r>
      <w:r>
        <w:t xml:space="preserve">4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</w:t>
      </w:r>
      <w:r>
        <w:t xml:space="preserve"> </w:t>
      </w:r>
      <w:r>
        <w:t xml:space="preserve">(NGO)</w:t>
      </w:r>
      <w:r>
        <w:t xml:space="preserve"> </w:t>
      </w:r>
      <w:r>
        <w:t xml:space="preserve">7</w:t>
      </w:r>
      <w:r>
        <w:t xml:space="preserve"> </w:t>
      </w:r>
      <w:r>
        <w:t xml:space="preserve">Other</w:t>
      </w:r>
      <w:r>
        <w:t xml:space="preserve"> </w:t>
      </w:r>
      <w:r>
        <w:t xml:space="preserve">15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25</w:t>
      </w:r>
      <w:r>
        <w:t xml:space="preserve"> </w:t>
      </w:r>
      <w:r>
        <w:t xml:space="preserve">Trade union</w:t>
      </w:r>
      <w:r>
        <w:t xml:space="preserve"> </w:t>
      </w:r>
      <w:r>
        <w:t xml:space="preserve">5</w:t>
      </w:r>
      <w:r>
        <w:t xml:space="preserve"> </w:t>
      </w:r>
      <w:r>
        <w:t xml:space="preserve">Total</w:t>
      </w:r>
      <w:r>
        <w:t xml:space="preserve"> </w:t>
      </w:r>
      <w:r>
        <w:t xml:space="preserve">228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Graph 1: Part 1’s shares of categories</w:t>
      </w:r>
    </w:p>
    <w:p>
      <w:pPr>
        <w:pStyle w:val="BodyText"/>
      </w:pPr>
      <w:r>
        <w:t xml:space="preserve">Table 2: Part 1’s Respondent by Country and Type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Business assoc. Company/business Public authority Other NGO Trade union EU citizen Consumer org. Total</w:t>
      </w:r>
      <w:r>
        <w:t xml:space="preserve"> </w:t>
      </w:r>
      <w:r>
        <w:t xml:space="preserve">Germany</w:t>
      </w:r>
      <w:r>
        <w:t xml:space="preserve"> </w:t>
      </w:r>
      <w:r>
        <w:t xml:space="preserve">15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37</w:t>
      </w:r>
      <w:r>
        <w:t xml:space="preserve"> </w:t>
      </w:r>
      <w:r>
        <w:t xml:space="preserve">Belgium</w:t>
      </w:r>
      <w:r>
        <w:t xml:space="preserve"> </w:t>
      </w:r>
      <w:r>
        <w:t xml:space="preserve">21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29</w:t>
      </w:r>
      <w:r>
        <w:t xml:space="preserve"> </w:t>
      </w:r>
      <w:r>
        <w:t xml:space="preserve">France</w:t>
      </w:r>
      <w:r>
        <w:t xml:space="preserve"> </w:t>
      </w:r>
      <w:r>
        <w:t xml:space="preserve">8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28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Netherlands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15</w:t>
      </w:r>
      <w:r>
        <w:t xml:space="preserve"> </w:t>
      </w:r>
      <w:r>
        <w:t xml:space="preserve">Italy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United States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11</w:t>
      </w:r>
      <w:r>
        <w:t xml:space="preserve"> </w:t>
      </w:r>
      <w:r>
        <w:t xml:space="preserve">Sweden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Luxembourg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Poland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Spain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Ireland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Finland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Malta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Austria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Slovenia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Croatia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Czechia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Switzerland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Latvia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Norway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Estonia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Portugal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Slovakia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Total</w:t>
      </w:r>
      <w:r>
        <w:t xml:space="preserve"> </w:t>
      </w:r>
      <w:r>
        <w:t xml:space="preserve">92</w:t>
      </w:r>
      <w:r>
        <w:t xml:space="preserve"> </w:t>
      </w:r>
      <w:r>
        <w:t xml:space="preserve">79</w:t>
      </w:r>
      <w:r>
        <w:t xml:space="preserve"> </w:t>
      </w:r>
      <w:r>
        <w:t xml:space="preserve">25</w:t>
      </w:r>
      <w:r>
        <w:t xml:space="preserve"> </w:t>
      </w:r>
      <w:r>
        <w:t xml:space="preserve">15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228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Table 3: Part 2’s Respondent stakeholder types</w:t>
      </w:r>
      <w:r>
        <w:t xml:space="preserve"> </w:t>
      </w:r>
      <w:r>
        <w:t xml:space="preserve">Stakeholder types</w:t>
      </w:r>
      <w:r>
        <w:t xml:space="preserve"> </w:t>
      </w:r>
      <w:r>
        <w:t xml:space="preserve">Count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90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69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31</w:t>
      </w:r>
      <w:r>
        <w:t xml:space="preserve"> </w:t>
      </w:r>
      <w:r>
        <w:t xml:space="preserve">Other</w:t>
      </w:r>
      <w:r>
        <w:t xml:space="preserve"> </w:t>
      </w:r>
      <w:r>
        <w:t xml:space="preserve">13</w:t>
      </w:r>
      <w:r>
        <w:t xml:space="preserve"> </w:t>
      </w:r>
      <w:r>
        <w:t xml:space="preserve">Non-governmental organization (NGO) 7</w:t>
      </w:r>
      <w:r>
        <w:t xml:space="preserve"> </w:t>
      </w:r>
      <w:r>
        <w:t xml:space="preserve">EU citizen</w:t>
      </w:r>
      <w:r>
        <w:t xml:space="preserve"> </w:t>
      </w:r>
      <w:r>
        <w:t xml:space="preserve">4</w:t>
      </w:r>
      <w:r>
        <w:t xml:space="preserve"> </w:t>
      </w:r>
      <w:r>
        <w:t xml:space="preserve">Trade union</w:t>
      </w:r>
      <w:r>
        <w:t xml:space="preserve"> </w:t>
      </w:r>
      <w:r>
        <w:t xml:space="preserve">3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219</w:t>
      </w:r>
    </w:p>
    <w:p>
      <w:pPr>
        <w:pStyle w:val="BodyText"/>
      </w:pPr>
      <w:r>
        <w:t xml:space="preserve">Graph 2: Part 2’s shares of categories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Table 4: Part 2’s Respondents by Country and Type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Business assoc. Company/business Public authority Other NGO EU citizen Trade union Consumer org. Total</w:t>
      </w:r>
      <w:r>
        <w:t xml:space="preserve"> </w:t>
      </w:r>
      <w:r>
        <w:t xml:space="preserve">Germany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36</w:t>
      </w:r>
      <w:r>
        <w:t xml:space="preserve"> </w:t>
      </w:r>
      <w:r>
        <w:t xml:space="preserve">Belgium</w:t>
      </w:r>
      <w:r>
        <w:t xml:space="preserve"> </w:t>
      </w:r>
      <w:r>
        <w:t xml:space="preserve">19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30</w:t>
      </w:r>
      <w:r>
        <w:t xml:space="preserve"> </w:t>
      </w:r>
      <w:r>
        <w:t xml:space="preserve">France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27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15</w:t>
      </w:r>
      <w:r>
        <w:t xml:space="preserve"> </w:t>
      </w:r>
      <w:r>
        <w:t xml:space="preserve">Netherlands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United States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Italy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Poland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Luxembourg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Ireland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Sweden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Spain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Malta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Switzerland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Slovenia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Austria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Czechia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Latvia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Norway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Portugal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Cyprus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Romania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Israel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Total</w:t>
      </w:r>
      <w:r>
        <w:t xml:space="preserve"> </w:t>
      </w:r>
      <w:r>
        <w:t xml:space="preserve">90</w:t>
      </w:r>
      <w:r>
        <w:t xml:space="preserve"> </w:t>
      </w:r>
      <w:r>
        <w:t xml:space="preserve">69</w:t>
      </w:r>
      <w:r>
        <w:t xml:space="preserve"> </w:t>
      </w:r>
      <w:r>
        <w:t xml:space="preserve">31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219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Table 5: Unique Respondents by Country and Type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Business assoc. Company/business Public authority Other NGO EU citizen Trade union Consumer org. Total</w:t>
      </w:r>
      <w:r>
        <w:t xml:space="preserve"> </w:t>
      </w:r>
      <w:r>
        <w:t xml:space="preserve">Germany</w:t>
      </w:r>
      <w:r>
        <w:t xml:space="preserve"> </w:t>
      </w:r>
      <w:r>
        <w:t xml:space="preserve">18</w:t>
      </w:r>
      <w:r>
        <w:t xml:space="preserve"> </w:t>
      </w:r>
      <w:r>
        <w:t xml:space="preserve">21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48</w:t>
      </w:r>
      <w:r>
        <w:t xml:space="preserve"> </w:t>
      </w:r>
      <w:r>
        <w:t xml:space="preserve">Belgium</w:t>
      </w:r>
      <w:r>
        <w:t xml:space="preserve"> </w:t>
      </w:r>
      <w:r>
        <w:t xml:space="preserve">24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39</w:t>
      </w:r>
      <w:r>
        <w:t xml:space="preserve"> </w:t>
      </w:r>
      <w:r>
        <w:t xml:space="preserve">France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34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25</w:t>
      </w:r>
      <w:r>
        <w:t xml:space="preserve"> </w:t>
      </w:r>
      <w:r>
        <w:t xml:space="preserve">Netherlands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18</w:t>
      </w:r>
      <w:r>
        <w:t xml:space="preserve"> </w:t>
      </w:r>
      <w:r>
        <w:t xml:space="preserve">Italy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United States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14</w:t>
      </w:r>
      <w:r>
        <w:t xml:space="preserve"> </w:t>
      </w:r>
      <w:r>
        <w:t xml:space="preserve">Poland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Sweden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Spain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Luxembourg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Malta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Slovenia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Ireland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Austria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Finland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Czechia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Switzerland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Norway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Latvia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Portugal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Romania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Estonia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Israel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Slovakia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Cyprus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Total</w:t>
      </w:r>
      <w:r>
        <w:t xml:space="preserve"> </w:t>
      </w:r>
      <w:r>
        <w:t xml:space="preserve">115</w:t>
      </w:r>
      <w:r>
        <w:t xml:space="preserve"> </w:t>
      </w:r>
      <w:r>
        <w:t xml:space="preserve">96</w:t>
      </w:r>
      <w:r>
        <w:t xml:space="preserve"> </w:t>
      </w:r>
      <w:r>
        <w:t xml:space="preserve">36</w:t>
      </w:r>
      <w:r>
        <w:t xml:space="preserve"> </w:t>
      </w:r>
      <w:r>
        <w:t xml:space="preserve">24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297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3. SUMMARY OF KEY MESSAGES</w:t>
      </w:r>
    </w:p>
    <w:p>
      <w:pPr>
        <w:pStyle w:val="BodyText"/>
      </w:pPr>
      <w:r>
        <w:t xml:space="preserve">This section provides a summary of the full targeted consultation; however, not all feedback is</w:t>
      </w:r>
      <w:r>
        <w:t xml:space="preserve"> </w:t>
      </w:r>
      <w:r>
        <w:t xml:space="preserve">directly relevant to the policy options for this initiative.</w:t>
      </w:r>
      <w:r>
        <w:br/>
      </w:r>
      <w:r>
        <w:t xml:space="preserve">3.1. SIMPLIFICATION AND BURDEN REDUCTION</w:t>
      </w:r>
      <w:r>
        <w:t xml:space="preserve"> </w:t>
      </w:r>
      <w:r>
        <w:t xml:space="preserve">Overall, stakeholders call for a more proportionate, simplified, and harmonised regulatory</w:t>
      </w:r>
      <w:r>
        <w:t xml:space="preserve"> </w:t>
      </w:r>
      <w:r>
        <w:t xml:space="preserve">framework that reduces burdens, particularly on smaller institutions, and supports innovation,</w:t>
      </w:r>
      <w:r>
        <w:t xml:space="preserve"> </w:t>
      </w:r>
      <w:r>
        <w:t xml:space="preserve">while maintaining investor protection and market stability.</w:t>
      </w:r>
      <w:r>
        <w:t xml:space="preserve"> </w:t>
      </w:r>
      <w:r>
        <w:t xml:space="preserve">Proportionality in the EU Regulatory Framework: 84.6% of the 149 respondents to this</w:t>
      </w:r>
      <w:r>
        <w:t xml:space="preserve"> </w:t>
      </w:r>
      <w:r>
        <w:t xml:space="preserve">question expressed the need for greater proportionality in the EU’s regulatory framework for</w:t>
      </w:r>
      <w:r>
        <w:t xml:space="preserve"> </w:t>
      </w:r>
      <w:r>
        <w:t xml:space="preserve">trade, post-trade, asset management, and investment funds, advocating for more tailored rules</w:t>
      </w:r>
      <w:r>
        <w:t xml:space="preserve"> </w:t>
      </w:r>
      <w:r>
        <w:t xml:space="preserve">aligned with risk profiles, sectoral specificities, and business activities. Support was</w:t>
      </w:r>
      <w:r>
        <w:t xml:space="preserve"> </w:t>
      </w:r>
      <w:r>
        <w:t xml:space="preserve">particularly high among business associations (55.7% strongly agree, 28.6% agree) and</w:t>
      </w:r>
      <w:r>
        <w:t xml:space="preserve"> </w:t>
      </w:r>
      <w:r>
        <w:t xml:space="preserve">companies (49.0% strongly agree, 33.3% agree), as well as NGOs (75.0% strongly agree,</w:t>
      </w:r>
      <w:r>
        <w:t xml:space="preserve"> </w:t>
      </w:r>
      <w:r>
        <w:t xml:space="preserve">25.0% agree) and individual citizens (75.0% strongly agree, with 25.0% expressing no</w:t>
      </w:r>
      <w:r>
        <w:t xml:space="preserve"> </w:t>
      </w:r>
      <w:r>
        <w:t xml:space="preserve">opinion). Simplified and risk-based regulation was seen as essential to lower compliance costs</w:t>
      </w:r>
      <w:r>
        <w:t xml:space="preserve"> </w:t>
      </w:r>
      <w:r>
        <w:t xml:space="preserve">and support innovation. Nonetheless, there was a strong consensus that proportionality must</w:t>
      </w:r>
      <w:r>
        <w:t xml:space="preserve"> </w:t>
      </w:r>
      <w:r>
        <w:t xml:space="preserve">not undermine investor protection, market stability, or financial integrity. Calls for</w:t>
      </w:r>
      <w:r>
        <w:t xml:space="preserve"> </w:t>
      </w:r>
      <w:r>
        <w:t xml:space="preserve">simplification were widespread, especially regarding reporting obligations under MiFIR,</w:t>
      </w:r>
      <w:r>
        <w:t xml:space="preserve"> </w:t>
      </w:r>
      <w:r>
        <w:t xml:space="preserve">EMIR and SFTR, which are often duplicative and administratively burdensome. A body</w:t>
      </w:r>
      <w:r>
        <w:t xml:space="preserve"> </w:t>
      </w:r>
      <w:r>
        <w:t xml:space="preserve">representing pension providers and some market infrastructure operators also highlighted that</w:t>
      </w:r>
      <w:r>
        <w:t xml:space="preserve"> </w:t>
      </w:r>
      <w:r>
        <w:t xml:space="preserve">existing reporting and transparency frameworks apply disproportionately across market</w:t>
      </w:r>
      <w:r>
        <w:t xml:space="preserve"> </w:t>
      </w:r>
      <w:r>
        <w:t xml:space="preserve">segments, urging horizontal simplification rather than expanded proportionality tools. Certain</w:t>
      </w:r>
      <w:r>
        <w:t xml:space="preserve"> </w:t>
      </w:r>
      <w:r>
        <w:t xml:space="preserve">business and industry associations warned that differentiated rulesets for smaller actors could</w:t>
      </w:r>
      <w:r>
        <w:t xml:space="preserve"> </w:t>
      </w:r>
      <w:r>
        <w:t xml:space="preserve">risk further fragmentation and weaken efforts to deepen EU-wide harmonisation, while some</w:t>
      </w:r>
      <w:r>
        <w:t xml:space="preserve"> </w:t>
      </w:r>
      <w:r>
        <w:t xml:space="preserve">NCAs called for clearer and more explicit proportionality clauses (similar to those under</w:t>
      </w:r>
      <w:r>
        <w:t xml:space="preserve"> </w:t>
      </w:r>
      <w:r>
        <w:t xml:space="preserve">DORA) to support consistent supervisory application. Dissent was marginal, limited to a small</w:t>
      </w:r>
      <w:r>
        <w:t xml:space="preserve"> </w:t>
      </w:r>
      <w:r>
        <w:t xml:space="preserve">minority of company respondents (5.9% neutral, 3.9% disagree, 2.0% strongly disagree, 5.9%</w:t>
      </w:r>
      <w:r>
        <w:t xml:space="preserve"> </w:t>
      </w:r>
      <w:r>
        <w:t xml:space="preserve">no opinion) and a single consumer organisation that opposed proportionality and cautioned that</w:t>
      </w:r>
      <w:r>
        <w:t xml:space="preserve"> </w:t>
      </w:r>
      <w:r>
        <w:t xml:space="preserve">proportionality should not be used as a rationale for deregulation. A stock-exchange group</w:t>
      </w:r>
      <w:r>
        <w:t xml:space="preserve"> </w:t>
      </w:r>
      <w:r>
        <w:t xml:space="preserve">likewise argued that proportionality should not lead to divergent requirements for trading</w:t>
      </w:r>
      <w:r>
        <w:t xml:space="preserve"> </w:t>
      </w:r>
      <w:r>
        <w:t xml:space="preserve">venues offering the same services, emphasising instead the need for a consistent, principle-</w:t>
      </w:r>
      <w:r>
        <w:t xml:space="preserve"> </w:t>
      </w:r>
      <w:r>
        <w:t xml:space="preserve">based framework across MiFIR, EMIR and CSDR to preserve fair competition and avoid</w:t>
      </w:r>
      <w:r>
        <w:t xml:space="preserve"> </w:t>
      </w:r>
      <w:r>
        <w:t xml:space="preserve">further fragmentation of liquidity. An investment firm also argued that repeated adjustments in</w:t>
      </w:r>
      <w:r>
        <w:t xml:space="preserve"> </w:t>
      </w:r>
      <w:r>
        <w:t xml:space="preserve">the name of proportionality could add complexity rather than reduce it.</w:t>
      </w:r>
      <w:r>
        <w:t xml:space="preserve"> </w:t>
      </w:r>
      <w:r>
        <w:t xml:space="preserve">Adjusting AIFMD Sub-thresholds for Market Evolution and Inflation: 55.5% of the 54</w:t>
      </w:r>
      <w:r>
        <w:t xml:space="preserve"> </w:t>
      </w:r>
      <w:r>
        <w:t xml:space="preserve">respondents support revising the AIFMD sub-thresholds to account for cumulative inflation</w:t>
      </w:r>
      <w:r>
        <w:t xml:space="preserve"> </w:t>
      </w:r>
      <w:r>
        <w:t xml:space="preserve">and changes in market structure since the thresholds were setover a decade ago are no longer</w:t>
      </w:r>
      <w:r>
        <w:t xml:space="preserve"> </w:t>
      </w:r>
      <w:r>
        <w:t xml:space="preserve">aligned with today’s asset valuations, leading to disproportionate burdens for smaller fund</w:t>
      </w:r>
      <w:r>
        <w:t xml:space="preserve"> </w:t>
      </w:r>
      <w:r>
        <w:t xml:space="preserve">managers. Respondents (60.5% of the 71 respondents to this point) also supported introducing</w:t>
      </w:r>
      <w:r>
        <w:t xml:space="preserve"> </w:t>
      </w:r>
      <w:r>
        <w:t xml:space="preserve">greater proportionality in the AIFMD for smaller fund managers (simplified reporting,</w:t>
      </w:r>
      <w:r>
        <w:t xml:space="preserve"> </w:t>
      </w:r>
      <w:r>
        <w:t xml:space="preserve">streamlined authorisation processes, and tailored liquidity risk management). Harmonising the</w:t>
      </w:r>
      <w:r>
        <w:t xml:space="preserve"> </w:t>
      </w:r>
      <w:r>
        <w:t xml:space="preserve">treatment of sub-threshold AIFMs across Member States was also deemed essential to prevent</w:t>
      </w:r>
      <w:r>
        <w:t xml:space="preserve"> </w:t>
      </w:r>
      <w:r>
        <w:t xml:space="preserve">fragmentation and regulatory arbitrage. Support, however, varied significantly across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stakeholder groups: NGOs were the most favourable (50.0% strongly agree, 25.0% agree),</w:t>
      </w:r>
      <w:r>
        <w:t xml:space="preserve"> </w:t>
      </w:r>
      <w:r>
        <w:t xml:space="preserve">followed by individual citizens (66.7% strongly agree, 33.3% neutral). By contrast, business</w:t>
      </w:r>
      <w:r>
        <w:t xml:space="preserve"> </w:t>
      </w:r>
      <w:r>
        <w:t xml:space="preserve">associations showed limited support (14.0% strongly agree, 8.0% agree), with a majority</w:t>
      </w:r>
      <w:r>
        <w:t xml:space="preserve"> </w:t>
      </w:r>
      <w:r>
        <w:t xml:space="preserve">(58.0%) indicating no opinion and 12.0% disagreeing. Companies were even more hesitant,</w:t>
      </w:r>
      <w:r>
        <w:t xml:space="preserve"> </w:t>
      </w:r>
      <w:r>
        <w:t xml:space="preserve">with 74.4% giving no opinion and only 7.7% strongly agreeing; 12.8% disagreed and 2.6%</w:t>
      </w:r>
      <w:r>
        <w:t xml:space="preserve"> </w:t>
      </w:r>
      <w:r>
        <w:t xml:space="preserve">strongly disagreed. Consumer organisations, in turn, unanimously expressed no opinion.</w:t>
      </w:r>
      <w:r>
        <w:t xml:space="preserve"> </w:t>
      </w:r>
      <w:r>
        <w:t xml:space="preserve">Several stakeholder groups, including business and industry associations, as well as credit and</w:t>
      </w:r>
      <w:r>
        <w:t xml:space="preserve"> </w:t>
      </w:r>
      <w:r>
        <w:t xml:space="preserve">banking institutions also expressed reservations about adjusting the current the thresholds and</w:t>
      </w:r>
      <w:r>
        <w:t xml:space="preserve"> </w:t>
      </w:r>
      <w:r>
        <w:t xml:space="preserve">stressed the importance of regulatory stability given that both AIFMD and UCITS were only</w:t>
      </w:r>
      <w:r>
        <w:t xml:space="preserve"> </w:t>
      </w:r>
      <w:r>
        <w:t xml:space="preserve">recently reviewed. They cautioned that inflation-linked adjustments could introduce</w:t>
      </w:r>
      <w:r>
        <w:t xml:space="preserve"> </w:t>
      </w:r>
      <w:r>
        <w:t xml:space="preserve">complexity, reduce legal certainty, and disrupt well-established regulatory boundaries. Some</w:t>
      </w:r>
      <w:r>
        <w:t xml:space="preserve"> </w:t>
      </w:r>
      <w:r>
        <w:t xml:space="preserve">investment firms and asset managers similarly opposed revising the thresholds at this stage,</w:t>
      </w:r>
      <w:r>
        <w:t xml:space="preserve"> </w:t>
      </w:r>
      <w:r>
        <w:t xml:space="preserve">warning that changes could create unintended consequences for the regulatory perimeter,</w:t>
      </w:r>
      <w:r>
        <w:t xml:space="preserve"> </w:t>
      </w:r>
      <w:r>
        <w:t xml:space="preserve">investor protection and supervisory consistency, and suggested that any future-proofing</w:t>
      </w:r>
      <w:r>
        <w:t xml:space="preserve"> </w:t>
      </w:r>
      <w:r>
        <w:t xml:space="preserve">mechanisms should only be considered in a later, holistic AIFMD review. Certain NCAs also</w:t>
      </w:r>
      <w:r>
        <w:t xml:space="preserve"> </w:t>
      </w:r>
      <w:r>
        <w:t xml:space="preserve">advised caution, noting that increasing thresholds could allow more AIFMs to fall outside the</w:t>
      </w:r>
      <w:r>
        <w:t xml:space="preserve"> </w:t>
      </w:r>
      <w:r>
        <w:t xml:space="preserve">authorisation regime in Member States where oversight for sub-threshold AIFMs is</w:t>
      </w:r>
      <w:r>
        <w:t xml:space="preserve"> </w:t>
      </w:r>
      <w:r>
        <w:t xml:space="preserve">comparatively light, while others indicated that an inflation adjustment could be considered</w:t>
      </w:r>
      <w:r>
        <w:t xml:space="preserve"> </w:t>
      </w:r>
      <w:r>
        <w:t xml:space="preserve">only if accompanied by reinforced enforcement powers. Additional concerns were raised by</w:t>
      </w:r>
      <w:r>
        <w:t xml:space="preserve"> </w:t>
      </w:r>
      <w:r>
        <w:t xml:space="preserve">business associations and investment firms regarding the need for a level playing field,</w:t>
      </w:r>
      <w:r>
        <w:t xml:space="preserve"> </w:t>
      </w:r>
      <w:r>
        <w:t xml:space="preserve">emphasising that managers offering similar services should not operate under materially</w:t>
      </w:r>
      <w:r>
        <w:t xml:space="preserve"> </w:t>
      </w:r>
      <w:r>
        <w:t xml:space="preserve">different oversight regimes. Several of these stakeholders argued that proportionality would be</w:t>
      </w:r>
      <w:r>
        <w:t xml:space="preserve"> </w:t>
      </w:r>
      <w:r>
        <w:t xml:space="preserve">better achieved through targeted simplification within the existing thresholds rather than</w:t>
      </w:r>
      <w:r>
        <w:t xml:space="preserve"> </w:t>
      </w:r>
      <w:r>
        <w:t xml:space="preserve">structural changes to the regime.</w:t>
      </w:r>
      <w:r>
        <w:t xml:space="preserve"> </w:t>
      </w:r>
      <w:r>
        <w:t xml:space="preserve">Converting Directives (e.g. AIFMD, UCITSD, MiFID) into Regulations: Views were</w:t>
      </w:r>
      <w:r>
        <w:t xml:space="preserve"> </w:t>
      </w:r>
      <w:r>
        <w:t xml:space="preserve">divided. The majority supported the idea, with 27.6% strongly agreeing and 23.6% agreeing,</w:t>
      </w:r>
      <w:r>
        <w:t xml:space="preserve"> </w:t>
      </w:r>
      <w:r>
        <w:t xml:space="preserve">to foster legal clarity, reduce fragmentation, and enhance supervisory convergence, especially</w:t>
      </w:r>
      <w:r>
        <w:t xml:space="preserve"> </w:t>
      </w:r>
      <w:r>
        <w:t xml:space="preserve">in cross-border contexts. However, many others feared it could increase compliance burdens</w:t>
      </w:r>
      <w:r>
        <w:t xml:space="preserve"> </w:t>
      </w:r>
      <w:r>
        <w:t xml:space="preserve">and erode national flexibility. The added rigidity was seen as particularly problematic for</w:t>
      </w:r>
      <w:r>
        <w:t xml:space="preserve"> </w:t>
      </w:r>
      <w:r>
        <w:t xml:space="preserve">smaller or regionally specific markets. Support was particularly strong among consumer</w:t>
      </w:r>
      <w:r>
        <w:t xml:space="preserve"> </w:t>
      </w:r>
      <w:r>
        <w:t xml:space="preserve">organisations (100.0% strongly agree) and EU citizens (50.0% strongly agree). Business</w:t>
      </w:r>
      <w:r>
        <w:t xml:space="preserve"> </w:t>
      </w:r>
      <w:r>
        <w:t xml:space="preserve">associations were more divided (23.6% strongly agree, 16.4% agree, with 38.2% opposed).</w:t>
      </w:r>
      <w:r>
        <w:t xml:space="preserve"> </w:t>
      </w:r>
      <w:r>
        <w:t xml:space="preserve">Companies also showed mixed views (14.6% strongly agree, 19.5% agree, 22.0% neutral,</w:t>
      </w:r>
      <w:r>
        <w:t xml:space="preserve"> </w:t>
      </w:r>
      <w:r>
        <w:t xml:space="preserve">24.4% oppose, 19.5% no opinion). NGOs were split equally between support, opposition, and</w:t>
      </w:r>
      <w:r>
        <w:t xml:space="preserve"> </w:t>
      </w:r>
      <w:r>
        <w:t xml:space="preserve">no opinion (25.0% each). “Other” stakeholders also presented a balanced distribution (9.1%</w:t>
      </w:r>
      <w:r>
        <w:t xml:space="preserve"> </w:t>
      </w:r>
      <w:r>
        <w:t xml:space="preserve">strongly agree, 27.3% agree, 18.2% neutral, 27.3% oppose, 18.2% no opinion). Opposing</w:t>
      </w:r>
      <w:r>
        <w:t xml:space="preserve"> </w:t>
      </w:r>
      <w:r>
        <w:t xml:space="preserve">views argued that the current directives generally function well and emphasised that recent</w:t>
      </w:r>
      <w:r>
        <w:t xml:space="preserve"> </w:t>
      </w:r>
      <w:r>
        <w:t xml:space="preserve">reviews of AIFMD and UCITSD should be allowed to take effect before considering structural</w:t>
      </w:r>
      <w:r>
        <w:t xml:space="preserve"> </w:t>
      </w:r>
      <w:r>
        <w:t xml:space="preserve">changes. They cautioned that converting directives into regulations could reduce</w:t>
      </w:r>
      <w:r>
        <w:t xml:space="preserve"> </w:t>
      </w:r>
      <w:r>
        <w:t xml:space="preserve">proportionality, increase transition costs and fail to address the main sources of fragmentation,</w:t>
      </w:r>
      <w:r>
        <w:t xml:space="preserve"> </w:t>
      </w:r>
      <w:r>
        <w:t xml:space="preserve">which they linked to gold-plating and divergent supervisory practices rather than the legislative</w:t>
      </w:r>
      <w:r>
        <w:t xml:space="preserve"> </w:t>
      </w:r>
      <w:r>
        <w:t xml:space="preserve">form. Some NCAs and market participants also warned that regulations may not accommodate</w:t>
      </w:r>
      <w:r>
        <w:t xml:space="preserve"> </w:t>
      </w:r>
      <w:r>
        <w:t xml:space="preserve">national market specificities and noted that directly applicable frameworks such as SFDR have</w:t>
      </w:r>
      <w:r>
        <w:t xml:space="preserve"> </w:t>
      </w:r>
      <w:r>
        <w:t xml:space="preserve">not prevented divergent interpretations. A stock exchange group took a different view and</w:t>
      </w:r>
      <w:r>
        <w:t xml:space="preserve"> </w:t>
      </w:r>
      <w:r>
        <w:t xml:space="preserve">supported converting the Financial Collateral Directive and the Settlement Finality Directive</w:t>
      </w:r>
      <w:r>
        <w:t xml:space="preserve"> </w:t>
      </w:r>
      <w:r>
        <w:t xml:space="preserve">into regulations to improve cross-border legal certainty. Overall, many sceptical stakeholders</w:t>
      </w:r>
      <w:r>
        <w:t xml:space="preserve"> </w:t>
      </w:r>
      <w:r>
        <w:t xml:space="preserve">preferred targeted amendments and stronger supervisory convergence instead of a wholesale</w:t>
      </w:r>
      <w:r>
        <w:t xml:space="preserve"> </w:t>
      </w:r>
      <w:r>
        <w:t xml:space="preserve">shift from directives to regulations.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Simplifying Interplay Between EU Regulatory Frameworks: there was near-unanimous</w:t>
      </w:r>
      <w:r>
        <w:t xml:space="preserve"> </w:t>
      </w:r>
      <w:r>
        <w:t xml:space="preserve">support for simplifying the interactions between EU financial regulations and for greater</w:t>
      </w:r>
      <w:r>
        <w:t xml:space="preserve"> </w:t>
      </w:r>
      <w:r>
        <w:t xml:space="preserve">alignment of definitions, thresholds, and reporting requirements across frameworks. Among</w:t>
      </w:r>
      <w:r>
        <w:t xml:space="preserve"> </w:t>
      </w:r>
      <w:r>
        <w:t xml:space="preserve">120 respondents, 85% agreed or strongly agreed that complexity and duplication (for instance</w:t>
      </w:r>
      <w:r>
        <w:t xml:space="preserve"> </w:t>
      </w:r>
      <w:r>
        <w:t xml:space="preserve">on reporting) across frameworks—particularly MiFID, AIFMD, and UCITSD—create legal</w:t>
      </w:r>
      <w:r>
        <w:t xml:space="preserve"> </w:t>
      </w:r>
      <w:r>
        <w:t xml:space="preserve">uncertainty and administrative inefficiencies. Support was particularly high among business</w:t>
      </w:r>
      <w:r>
        <w:t xml:space="preserve"> </w:t>
      </w:r>
      <w:r>
        <w:t xml:space="preserve">associations (36.5% strongly agree, 34.6% agree), companies (30.2% strongly agree, 34.9%</w:t>
      </w:r>
      <w:r>
        <w:t xml:space="preserve"> </w:t>
      </w:r>
      <w:r>
        <w:t xml:space="preserve">agree), NGOs (20.0% strongly agree, 60.0% agree), consumer organisations (100.0% agree),</w:t>
      </w:r>
      <w:r>
        <w:t xml:space="preserve"> </w:t>
      </w:r>
      <w:r>
        <w:t xml:space="preserve">and “other” stakeholders (55.6% strongly agree, 11.1% agree). EU citizens also supported</w:t>
      </w:r>
      <w:r>
        <w:t xml:space="preserve"> </w:t>
      </w:r>
      <w:r>
        <w:t xml:space="preserve">simplification (25.0% strongly agree, 25.0% agree, with 50.0% no opinion). Dissent was</w:t>
      </w:r>
      <w:r>
        <w:t xml:space="preserve"> </w:t>
      </w:r>
      <w:r>
        <w:t xml:space="preserve">minimal, limited to small minorities of business associations (5.8% neutral, 7.6% oppose),</w:t>
      </w:r>
      <w:r>
        <w:t xml:space="preserve"> </w:t>
      </w:r>
      <w:r>
        <w:t xml:space="preserve">companies (9.3% neutral, 4.6% oppose), and “other” stakeholders (11.1% neutral, 22.2% no</w:t>
      </w:r>
      <w:r>
        <w:t xml:space="preserve"> </w:t>
      </w:r>
      <w:r>
        <w:t xml:space="preserve">opinion). However, several stakeholders expressed reservations about deeper consolidation of</w:t>
      </w:r>
      <w:r>
        <w:t xml:space="preserve"> </w:t>
      </w:r>
      <w:r>
        <w:t xml:space="preserve">frameworks rather than targeted simplification. Some investment firms and asset managers</w:t>
      </w:r>
      <w:r>
        <w:t xml:space="preserve"> </w:t>
      </w:r>
      <w:r>
        <w:t xml:space="preserve">argued that merging elements of the asset management framework with MiFID would not</w:t>
      </w:r>
      <w:r>
        <w:t xml:space="preserve"> </w:t>
      </w:r>
      <w:r>
        <w:t xml:space="preserve">benefit EU managers and could inadvertently favour UK market structures. An NCA also noted</w:t>
      </w:r>
      <w:r>
        <w:t xml:space="preserve"> </w:t>
      </w:r>
      <w:r>
        <w:t xml:space="preserve">that MiFID and the asset management framework have distinct roles in the regulatory chain</w:t>
      </w:r>
      <w:r>
        <w:t xml:space="preserve"> </w:t>
      </w:r>
      <w:r>
        <w:t xml:space="preserve">and should remain separate, although targeted improvements to remove overlaps were</w:t>
      </w:r>
      <w:r>
        <w:t xml:space="preserve"> </w:t>
      </w:r>
      <w:r>
        <w:t xml:space="preserve">considered appropriate. Some business associations warned that broad alignment efforts could</w:t>
      </w:r>
      <w:r>
        <w:t xml:space="preserve"> </w:t>
      </w:r>
      <w:r>
        <w:t xml:space="preserve">expose very small asset managers to new requirements, and risk creating additional burdens</w:t>
      </w:r>
      <w:r>
        <w:t xml:space="preserve"> </w:t>
      </w:r>
      <w:r>
        <w:t xml:space="preserve">rather than simplification.</w:t>
      </w:r>
      <w:r>
        <w:br/>
      </w:r>
      <w:r>
        <w:t xml:space="preserve">Streamlining PRIIPs KID: of the 117 respondents, 57.3% strongly agreed and 21.4% agreed</w:t>
      </w:r>
      <w:r>
        <w:t xml:space="preserve"> </w:t>
      </w:r>
      <w:r>
        <w:t xml:space="preserve">that the PRIIPs Key Information Document (KID) is overly technical, difficult for retail</w:t>
      </w:r>
      <w:r>
        <w:t xml:space="preserve"> </w:t>
      </w:r>
      <w:r>
        <w:t xml:space="preserve">investors to understand, and burdensome for producers to comply with. Some suggested</w:t>
      </w:r>
      <w:r>
        <w:t xml:space="preserve"> </w:t>
      </w:r>
      <w:r>
        <w:t xml:space="preserve">adapting the KID to modern communication tools through layered digital formats. Support was</w:t>
      </w:r>
      <w:r>
        <w:t xml:space="preserve"> </w:t>
      </w:r>
      <w:r>
        <w:t xml:space="preserve">particularly high among business associations (44.6% strongly agree, 17.9% agree), companies</w:t>
      </w:r>
      <w:r>
        <w:t xml:space="preserve"> </w:t>
      </w:r>
      <w:r>
        <w:t xml:space="preserve">(42.9% strongly agree, 9.5% agree), NGOs (40.0% strongly agree, 40.0% agree), EU citizens</w:t>
      </w:r>
      <w:r>
        <w:t xml:space="preserve"> </w:t>
      </w:r>
      <w:r>
        <w:t xml:space="preserve">(50.0% strongly agree, 25.0% agree), and consumer organisations (100.0% strongly agree).</w:t>
      </w:r>
      <w:r>
        <w:t xml:space="preserve"> </w:t>
      </w:r>
      <w:r>
        <w:t xml:space="preserve">“Other” stakeholders were somewhat more divided (27.3% strongly agree, 9.1% agree, 27.3%</w:t>
      </w:r>
      <w:r>
        <w:t xml:space="preserve"> </w:t>
      </w:r>
      <w:r>
        <w:t xml:space="preserve">neutral, 9.1% oppose, 27.3% no opinion). Neutrality and opposition were marginal, with small</w:t>
      </w:r>
      <w:r>
        <w:t xml:space="preserve"> </w:t>
      </w:r>
      <w:r>
        <w:t xml:space="preserve">minorities of business associations, companies, and “other” stakeholders expressing such</w:t>
      </w:r>
      <w:r>
        <w:t xml:space="preserve"> </w:t>
      </w:r>
      <w:r>
        <w:t xml:space="preserve">views. Among those cautious or opposed, several business associations, credit and banking</w:t>
      </w:r>
      <w:r>
        <w:t xml:space="preserve"> </w:t>
      </w:r>
      <w:r>
        <w:t xml:space="preserve">institutions and investment firms argued that the KID has already undergone substantial</w:t>
      </w:r>
      <w:r>
        <w:t xml:space="preserve"> </w:t>
      </w:r>
      <w:r>
        <w:t xml:space="preserve">revisions and now provides an acceptable balance between accuracy, comparability and retail</w:t>
      </w:r>
      <w:r>
        <w:t xml:space="preserve"> </w:t>
      </w:r>
      <w:r>
        <w:t xml:space="preserve">comprehensibility. They stressed that further changes could create unnecessary cost and</w:t>
      </w:r>
      <w:r>
        <w:t xml:space="preserve"> </w:t>
      </w:r>
      <w:r>
        <w:t xml:space="preserve">disruption and highlighted that complaint levels from retail investors are currently very low.</w:t>
      </w:r>
      <w:r>
        <w:t xml:space="preserve"> </w:t>
      </w:r>
      <w:r>
        <w:t xml:space="preserve">Some investment firms also warned that reopening the framework could disadvantage EU</w:t>
      </w:r>
      <w:r>
        <w:t xml:space="preserve"> </w:t>
      </w:r>
      <w:r>
        <w:t xml:space="preserve">providers relative to UK competitors and noted that investors are now accustomed to the</w:t>
      </w:r>
      <w:r>
        <w:t xml:space="preserve"> </w:t>
      </w:r>
      <w:r>
        <w:t xml:space="preserve">existing format. Credit institutions and business associations further cautioned that</w:t>
      </w:r>
      <w:r>
        <w:t xml:space="preserve"> </w:t>
      </w:r>
      <w:r>
        <w:t xml:space="preserve">oversimplification may undermine the quality of information and suggested that any future</w:t>
      </w:r>
      <w:r>
        <w:t xml:space="preserve"> </w:t>
      </w:r>
      <w:r>
        <w:t xml:space="preserve">changes should be based on robust consumer testing and clear evidence of added value.</w:t>
      </w:r>
      <w:r>
        <w:t xml:space="preserve"> </w:t>
      </w:r>
      <w:r>
        <w:t xml:space="preserve">Other Recommendations for Streamlining and Simplification: an overwhelming 90.8% of</w:t>
      </w:r>
      <w:r>
        <w:t xml:space="preserve"> </w:t>
      </w:r>
      <w:r>
        <w:t xml:space="preserve">stakeholders used the opportunity to offer further recommendations for simplification. The</w:t>
      </w:r>
      <w:r>
        <w:t xml:space="preserve"> </w:t>
      </w:r>
      <w:r>
        <w:t xml:space="preserve">most common proposals included harmonising reporting regimes, simplifying supervisory</w:t>
      </w:r>
      <w:r>
        <w:t xml:space="preserve"> </w:t>
      </w:r>
      <w:r>
        <w:t xml:space="preserve">practices, and creating an EU-wide central register for funds and fund managers. Proportional</w:t>
      </w:r>
      <w:r>
        <w:t xml:space="preserve"> </w:t>
      </w:r>
      <w:r>
        <w:t xml:space="preserve">regulation tailored to smaller or less complex market participants was again a recurring theme.</w:t>
      </w:r>
      <w:r>
        <w:t xml:space="preserve"> </w:t>
      </w:r>
      <w:r>
        <w:t xml:space="preserve">Respondents also stressed the need for more coherent sequencing of Level 1, 2, and 3</w:t>
      </w:r>
      <w:r>
        <w:t xml:space="preserve"> </w:t>
      </w:r>
      <w:r>
        <w:t xml:space="preserve">legislations to ensure operational readiness and legal certainty.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Some respondents advocated for enhancing ESMA’s powers, arguing that centralisation could</w:t>
      </w:r>
      <w:r>
        <w:t xml:space="preserve"> </w:t>
      </w:r>
      <w:r>
        <w:t xml:space="preserve">improve supervisory convergence and cross-border consistency. Others suggested pausing or</w:t>
      </w:r>
      <w:r>
        <w:t xml:space="preserve"> </w:t>
      </w:r>
      <w:r>
        <w:t xml:space="preserve">reassessing new regulatory initiatives to allow for comprehensive evaluation of the current</w:t>
      </w:r>
      <w:r>
        <w:t xml:space="preserve"> </w:t>
      </w:r>
      <w:r>
        <w:t xml:space="preserve">framework and reduce compliance fatigue among market participants.</w:t>
      </w:r>
      <w:r>
        <w:t xml:space="preserve"> </w:t>
      </w:r>
      <w:r>
        <w:t xml:space="preserve">EU level supervision and simplification: Opinions on the added value of EU-level</w:t>
      </w:r>
      <w:r>
        <w:t xml:space="preserve"> </w:t>
      </w:r>
      <w:r>
        <w:t xml:space="preserve">supervision for simplification were mixed. While some respondents supported strengthening</w:t>
      </w:r>
      <w:r>
        <w:t xml:space="preserve"> </w:t>
      </w:r>
      <w:r>
        <w:t xml:space="preserve">the role of ESMA to improve consistency, legal certainty and reduce duplication, others</w:t>
      </w:r>
      <w:r>
        <w:t xml:space="preserve"> </w:t>
      </w:r>
      <w:r>
        <w:t xml:space="preserve">stressed that further centralisation risks undermining national expertise and increasing</w:t>
      </w:r>
      <w:r>
        <w:t xml:space="preserve"> </w:t>
      </w:r>
      <w:r>
        <w:t xml:space="preserve">regulatory overlap. Of the 147 responses, support was limited, with only 10.2% strongly</w:t>
      </w:r>
      <w:r>
        <w:t xml:space="preserve"> </w:t>
      </w:r>
      <w:r>
        <w:t xml:space="preserve">agreeing and 17.7% agreeing. A nearly equal share disagreed or were neutral. Support was</w:t>
      </w:r>
      <w:r>
        <w:t xml:space="preserve"> </w:t>
      </w:r>
      <w:r>
        <w:t xml:space="preserve">strongest among NGOs (20.0% strongly agree, 60.0% agree) and the single consumer</w:t>
      </w:r>
      <w:r>
        <w:t xml:space="preserve"> </w:t>
      </w:r>
      <w:r>
        <w:t xml:space="preserve">organisation (100.0% strongly agree). “Other” stakeholders also displayed support (18.2%</w:t>
      </w:r>
      <w:r>
        <w:t xml:space="preserve"> </w:t>
      </w:r>
      <w:r>
        <w:t xml:space="preserve">strongly agree, 18.2% agree) but with a notable share opposed (36.4%). Business associations</w:t>
      </w:r>
      <w:r>
        <w:t xml:space="preserve"> </w:t>
      </w:r>
      <w:r>
        <w:t xml:space="preserve">(5.8% strongly agree, 14.5% agree) and companies (10.2% strongly agree, 18.4% agree) were</w:t>
      </w:r>
      <w:r>
        <w:t xml:space="preserve"> </w:t>
      </w:r>
      <w:r>
        <w:t xml:space="preserve">mostly sceptical, with 40–45% opposed and around 30% neutral. EU citizens were divided</w:t>
      </w:r>
      <w:r>
        <w:t xml:space="preserve"> </w:t>
      </w:r>
      <w:r>
        <w:t xml:space="preserve">(25.0% strongly agree, 25.0% oppose, 50.0% no opinion).</w:t>
      </w:r>
      <w:r>
        <w:t xml:space="preserve"> </w:t>
      </w:r>
      <w:r>
        <w:t xml:space="preserve">Stakeholders cautioned that such reforms must respect subsidiarity and be accompanied by</w:t>
      </w:r>
      <w:r>
        <w:t xml:space="preserve"> </w:t>
      </w:r>
      <w:r>
        <w:t xml:space="preserve">appropriate resourcing and clear mandates. A balanced approach, combining better</w:t>
      </w:r>
      <w:r>
        <w:t xml:space="preserve"> </w:t>
      </w:r>
      <w:r>
        <w:t xml:space="preserve">coordination, mutual recognition, and strategic reinforcement of EU-level supervision where</w:t>
      </w:r>
      <w:r>
        <w:t xml:space="preserve"> </w:t>
      </w:r>
      <w:r>
        <w:t xml:space="preserve">justified, was widely favoured. Some business and industry associations, several asset</w:t>
      </w:r>
      <w:r>
        <w:t xml:space="preserve"> </w:t>
      </w:r>
      <w:r>
        <w:t xml:space="preserve">managers, stock exchanges and some NCAs emphasised that further centralisation would not</w:t>
      </w:r>
      <w:r>
        <w:t xml:space="preserve"> </w:t>
      </w:r>
      <w:r>
        <w:t xml:space="preserve">lead to simplification. These respondents argued that EU-level supervision risked adding layers</w:t>
      </w:r>
      <w:r>
        <w:t xml:space="preserve"> </w:t>
      </w:r>
      <w:r>
        <w:t xml:space="preserve">of oversight, duplicating existing national processes, increasing costs, and weakening</w:t>
      </w:r>
      <w:r>
        <w:t xml:space="preserve"> </w:t>
      </w:r>
      <w:r>
        <w:t xml:space="preserve">proximity to local markets. Many therefore called instead for stronger supervisory</w:t>
      </w:r>
      <w:r>
        <w:t xml:space="preserve"> </w:t>
      </w:r>
      <w:r>
        <w:t xml:space="preserve">convergence, clearer EU rules, and the reduction of national gold-plating. One technology</w:t>
      </w:r>
      <w:r>
        <w:t xml:space="preserve"> </w:t>
      </w:r>
      <w:r>
        <w:t xml:space="preserve">provider respondent explicitly rejected centralised supervision as lacking legal basis and</w:t>
      </w:r>
      <w:r>
        <w:t xml:space="preserve"> </w:t>
      </w:r>
      <w:r>
        <w:t xml:space="preserve">undermining EU competitiveness, while some insurance and market infrastructure stakeholders</w:t>
      </w:r>
      <w:r>
        <w:t xml:space="preserve"> </w:t>
      </w:r>
      <w:r>
        <w:t xml:space="preserve">warned that past experiences (e.g. the SSM) show that centralisation can increase</w:t>
      </w:r>
      <w:r>
        <w:t xml:space="preserve"> </w:t>
      </w:r>
      <w:r>
        <w:t xml:space="preserve">administrative burden rather than reduce it.</w:t>
      </w:r>
      <w:r>
        <w:t xml:space="preserve"> </w:t>
      </w:r>
      <w:r>
        <w:t xml:space="preserve">3.2. TRADING</w:t>
      </w:r>
      <w:r>
        <w:t xml:space="preserve"> </w:t>
      </w:r>
      <w:r>
        <w:t xml:space="preserve">This section sought stakeholders feedback on barriers to cross-border operation in the trading</w:t>
      </w:r>
      <w:r>
        <w:t xml:space="preserve"> </w:t>
      </w:r>
      <w:r>
        <w:t xml:space="preserve">space and on liquidity deepening in EU capital markets.</w:t>
      </w:r>
      <w:r>
        <w:t xml:space="preserve"> </w:t>
      </w:r>
      <w:r>
        <w:t xml:space="preserve">Integration and deepening of liquidity pools in EU capital markets: 95 out of 142</w:t>
      </w:r>
      <w:r>
        <w:t xml:space="preserve"> </w:t>
      </w:r>
      <w:r>
        <w:t xml:space="preserve">respondents answered the questions on the current level of integration of liquidity pools across</w:t>
      </w:r>
      <w:r>
        <w:t xml:space="preserve"> </w:t>
      </w:r>
      <w:r>
        <w:t xml:space="preserve">the EU, with the majority reporting it is efficient and only 18,95 % considering it absent or</w:t>
      </w:r>
      <w:r>
        <w:t xml:space="preserve"> </w:t>
      </w:r>
      <w:r>
        <w:t xml:space="preserve">inefficient. The latter category of respondents includes 5 investment firms, 2 credit institutions,</w:t>
      </w:r>
      <w:r>
        <w:t xml:space="preserve"> </w:t>
      </w:r>
      <w:r>
        <w:t xml:space="preserve">1 NCA and an organisation representing retail investors.</w:t>
      </w:r>
      <w:r>
        <w:t xml:space="preserve"> </w:t>
      </w:r>
      <w:r>
        <w:t xml:space="preserve">The main drivers for inefficient integration of liquidity pools in the EU are non-regulatory and</w:t>
      </w:r>
      <w:r>
        <w:t xml:space="preserve"> </w:t>
      </w:r>
      <w:r>
        <w:t xml:space="preserve">linked to market practices, legal/regulatory barriers at domestic level (44 respondents including</w:t>
      </w:r>
      <w:r>
        <w:t xml:space="preserve"> </w:t>
      </w:r>
      <w:r>
        <w:t xml:space="preserve">13 investment firms, 13 stock exchanges, 7 credit institutions and 2 NCAs), legal/regulatory</w:t>
      </w:r>
      <w:r>
        <w:t xml:space="preserve"> </w:t>
      </w:r>
      <w:r>
        <w:t xml:space="preserve">barriers at EU level (35 respondents including 11 investment firms, 11 stock exchanges, 4</w:t>
      </w:r>
      <w:r>
        <w:t xml:space="preserve"> </w:t>
      </w:r>
      <w:r>
        <w:t xml:space="preserve">credit institutions and 1 NCA)), and supervisory practices (29 respondents including 9</w:t>
      </w:r>
      <w:r>
        <w:t xml:space="preserve"> </w:t>
      </w:r>
      <w:r>
        <w:t xml:space="preserve">investment firms, 7 stock exchanges, 4 credit institutions and 1 NCA). 38 respondents</w:t>
      </w:r>
      <w:r>
        <w:t xml:space="preserve"> </w:t>
      </w:r>
      <w:r>
        <w:t xml:space="preserve">highlighted also other elements that prevent smooth integration of liquidity pools, including</w:t>
      </w:r>
      <w:r>
        <w:t xml:space="preserve"> </w:t>
      </w:r>
      <w:r>
        <w:t xml:space="preserve">market fragmentation, post-trade fragmentation, connectivity and access barriers and investor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home bias. Respondents would see benefits in increasing the level of harmonisation for certain</w:t>
      </w:r>
      <w:r>
        <w:t xml:space="preserve"> </w:t>
      </w:r>
      <w:r>
        <w:t xml:space="preserve">areas, including the core principles and approval processes of exchange rulebooks, fair access</w:t>
      </w:r>
      <w:r>
        <w:t xml:space="preserve"> </w:t>
      </w:r>
      <w:r>
        <w:t xml:space="preserve">and outsourcing.</w:t>
      </w:r>
      <w:r>
        <w:br/>
      </w:r>
      <w:r>
        <w:t xml:space="preserve">Connection to trading venues: Among the 79 respondents to this point, 32 out of the 56 who</w:t>
      </w:r>
      <w:r>
        <w:t xml:space="preserve"> </w:t>
      </w:r>
      <w:r>
        <w:t xml:space="preserve">expressed an opinion (including 11 investment firms, 8 credit institutions and 8 stock</w:t>
      </w:r>
      <w:r>
        <w:t xml:space="preserve"> </w:t>
      </w:r>
      <w:r>
        <w:t xml:space="preserve">exchanges), consider that the current level of direct connection to trading venues by investment</w:t>
      </w:r>
      <w:r>
        <w:t xml:space="preserve"> </w:t>
      </w:r>
      <w:r>
        <w:t xml:space="preserve">firms is adequate. Among the 13 who consider it absent or inefficient are 4 stock exchanges, 2</w:t>
      </w:r>
      <w:r>
        <w:t xml:space="preserve"> </w:t>
      </w:r>
      <w:r>
        <w:t xml:space="preserve">technology companies, 1 credit institution, 1 association representing retail investors and 1</w:t>
      </w:r>
      <w:r>
        <w:t xml:space="preserve"> </w:t>
      </w:r>
      <w:r>
        <w:t xml:space="preserve">NCA. Limits to additional connections are mainly driven by cost considerations and lack of</w:t>
      </w:r>
      <w:r>
        <w:t xml:space="preserve"> </w:t>
      </w:r>
      <w:r>
        <w:t xml:space="preserve">demand. Post-trade fragmentation and lack of full CCP interoperability are also cited as playing</w:t>
      </w:r>
      <w:r>
        <w:t xml:space="preserve"> </w:t>
      </w:r>
      <w:r>
        <w:t xml:space="preserve">a role.</w:t>
      </w:r>
      <w:r>
        <w:br/>
      </w:r>
      <w:r>
        <w:t xml:space="preserve">Indirect connection (through other intermediaries) is widely adopted and considered an</w:t>
      </w:r>
      <w:r>
        <w:t xml:space="preserve"> </w:t>
      </w:r>
      <w:r>
        <w:t xml:space="preserve">efficient way of accessing trading venues, even if some respondents pointed out the risk of</w:t>
      </w:r>
      <w:r>
        <w:t xml:space="preserve"> </w:t>
      </w:r>
      <w:r>
        <w:t xml:space="preserve">creating a two-tier market, with less benefits for smaller investment firms and their clients.</w:t>
      </w:r>
      <w:r>
        <w:t xml:space="preserve"> </w:t>
      </w:r>
      <w:r>
        <w:t xml:space="preserve">Retail clients, who usually have a strong home bias, might not get access to investment</w:t>
      </w:r>
      <w:r>
        <w:t xml:space="preserve"> </w:t>
      </w:r>
      <w:r>
        <w:t xml:space="preserve">opportunities cross-border due to absence of connection, but also due to limited visibility over</w:t>
      </w:r>
      <w:r>
        <w:t xml:space="preserve"> </w:t>
      </w:r>
      <w:r>
        <w:t xml:space="preserve">those investment options. It is broadly reported (36 ‘yes’, among which 10 investment firms</w:t>
      </w:r>
      <w:r>
        <w:t xml:space="preserve"> </w:t>
      </w:r>
      <w:r>
        <w:t xml:space="preserve">and 4 credit institutions, and 13 ‘no’, among which 6 investment firms and 1 investment</w:t>
      </w:r>
      <w:r>
        <w:t xml:space="preserve"> </w:t>
      </w:r>
      <w:r>
        <w:t xml:space="preserve">management firm) that (retail) clients are charged higher fees for trading in markets located in</w:t>
      </w:r>
      <w:r>
        <w:t xml:space="preserve"> </w:t>
      </w:r>
      <w:r>
        <w:t xml:space="preserve">a Member State different from the one of the broker, but this is mainly driven by the costs</w:t>
      </w:r>
      <w:r>
        <w:t xml:space="preserve"> </w:t>
      </w:r>
      <w:r>
        <w:t xml:space="preserve">associated with post-trade and the need to establish longer chain of intermediation.</w:t>
      </w:r>
      <w:r>
        <w:t xml:space="preserve"> </w:t>
      </w:r>
      <w:r>
        <w:t xml:space="preserve">Interoperability of CCPs and market practices of CSDs were pointed out as the main barriers</w:t>
      </w:r>
      <w:r>
        <w:t xml:space="preserve"> </w:t>
      </w:r>
      <w:r>
        <w:t xml:space="preserve">to cross-border trading, together with data licensing agreement, legal and tax complexity.</w:t>
      </w:r>
      <w:r>
        <w:t xml:space="preserve"> </w:t>
      </w:r>
      <w:r>
        <w:t xml:space="preserve">Technology —such as API aggregation, cloud-based infrastructure, and standardised</w:t>
      </w:r>
      <w:r>
        <w:t xml:space="preserve"> </w:t>
      </w:r>
      <w:r>
        <w:t xml:space="preserve">identifiers— is seen as a potential solution for integrating liquidity pools, even if it faces</w:t>
      </w:r>
      <w:r>
        <w:t xml:space="preserve"> </w:t>
      </w:r>
      <w:r>
        <w:t xml:space="preserve">barriers including cost of implementation and cost of market data, lack of standardization,</w:t>
      </w:r>
      <w:r>
        <w:t xml:space="preserve"> </w:t>
      </w:r>
      <w:r>
        <w:t xml:space="preserve">regulatory uncertainty and complexity, interoperability with legacy systems and resistance</w:t>
      </w:r>
      <w:r>
        <w:t xml:space="preserve"> </w:t>
      </w:r>
      <w:r>
        <w:t xml:space="preserve">from incumbents.</w:t>
      </w:r>
      <w:r>
        <w:br/>
      </w:r>
      <w:r>
        <w:t xml:space="preserve">The lack of seamless connectivity was seen as a key factor hindering deeper liquidity pools and</w:t>
      </w:r>
      <w:r>
        <w:t xml:space="preserve"> </w:t>
      </w:r>
      <w:r>
        <w:t xml:space="preserve">market integration. It also negatively impacts retail investors, who face limited product choice,</w:t>
      </w:r>
      <w:r>
        <w:t xml:space="preserve"> </w:t>
      </w:r>
      <w:r>
        <w:t xml:space="preserve">suboptimal execution, and higher costs. Some proposed mandating routing of retail orders to</w:t>
      </w:r>
      <w:r>
        <w:t xml:space="preserve"> </w:t>
      </w:r>
      <w:r>
        <w:t xml:space="preserve">competitive venues to ensure better execution outcomes and market transparency.</w:t>
      </w:r>
      <w:r>
        <w:t xml:space="preserve"> </w:t>
      </w:r>
      <w:r>
        <w:t xml:space="preserve">ETFs market in the EU: A majority of the 81 respondents that expressed an opinion thought</w:t>
      </w:r>
      <w:r>
        <w:t xml:space="preserve"> </w:t>
      </w:r>
      <w:r>
        <w:t xml:space="preserve">that the existence of multiple listings for ETFs had a negative impact on the attractiveness of</w:t>
      </w:r>
      <w:r>
        <w:t xml:space="preserve"> </w:t>
      </w:r>
      <w:r>
        <w:t xml:space="preserve">EU markets (34 respondents finding this very negative, rather negative or slightly negative as</w:t>
      </w:r>
      <w:r>
        <w:t xml:space="preserve"> </w:t>
      </w:r>
      <w:r>
        <w:t xml:space="preserve">compared to 22 who found it rather positive or very positive). As to the four most prominent</w:t>
      </w:r>
      <w:r>
        <w:t xml:space="preserve"> </w:t>
      </w:r>
      <w:r>
        <w:t xml:space="preserve">drivers for the existence of multiple ETF listings, respondents pointed to market practices</w:t>
      </w:r>
      <w:r>
        <w:t xml:space="preserve"> </w:t>
      </w:r>
      <w:r>
        <w:t xml:space="preserve">related to trading venues (39 respondents), other barriers (including legal barriers at EU and</w:t>
      </w:r>
      <w:r>
        <w:t xml:space="preserve"> </w:t>
      </w:r>
      <w:r>
        <w:t xml:space="preserve">national level) (38 respondents), market practices pertaining to investment firms (34</w:t>
      </w:r>
      <w:r>
        <w:t xml:space="preserve"> </w:t>
      </w:r>
      <w:r>
        <w:t xml:space="preserve">respondents) and market practices pertaining to CSDs (33 respondents). Fewer respondents</w:t>
      </w:r>
      <w:r>
        <w:t xml:space="preserve"> </w:t>
      </w:r>
      <w:r>
        <w:t xml:space="preserve">pointed to the (lack of) CCP interoperability (20 respondents) or supervisory practices (18</w:t>
      </w:r>
      <w:r>
        <w:t xml:space="preserve"> </w:t>
      </w:r>
      <w:r>
        <w:t xml:space="preserve">respondents).</w:t>
      </w:r>
      <w:r>
        <w:br/>
      </w:r>
      <w:r>
        <w:t xml:space="preserve">Interconnection solutions in trading: Asked whether intermediaries should be obliged to</w:t>
      </w:r>
      <w:r>
        <w:t xml:space="preserve"> </w:t>
      </w:r>
      <w:r>
        <w:t xml:space="preserve">connect to all venues in the EU, respondents were overall reluctant (87 respondents, of which</w:t>
      </w:r>
      <w:r>
        <w:t xml:space="preserve"> </w:t>
      </w:r>
      <w:r>
        <w:t xml:space="preserve">21 in favour and 51 against). The reasons for this reluctance appear to be mostly related to cost,</w:t>
      </w:r>
      <w:r>
        <w:t xml:space="preserve"> </w:t>
      </w:r>
      <w:r>
        <w:t xml:space="preserve">with the majority of respondents highlighting that mandating all intermediaries to connect to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all EU trading venues and offer access to all shares and ETFs would impose disproportionately</w:t>
      </w:r>
      <w:r>
        <w:t xml:space="preserve"> </w:t>
      </w:r>
      <w:r>
        <w:t xml:space="preserve">high costs, especially for smaller and mid-sized firms, which would ultimately be passed on to</w:t>
      </w:r>
      <w:r>
        <w:t xml:space="preserve"> </w:t>
      </w:r>
      <w:r>
        <w:t xml:space="preserve">investors. Many respondents (47 ‘yes’ and 18 ‘no’) however indicate that smart order routing</w:t>
      </w:r>
      <w:r>
        <w:t xml:space="preserve"> </w:t>
      </w:r>
      <w:r>
        <w:t xml:space="preserve">or similar technologies hold promise in improving access to liquidity. There was also</w:t>
      </w:r>
      <w:r>
        <w:t xml:space="preserve"> </w:t>
      </w:r>
      <w:r>
        <w:t xml:space="preserve">scepticism about requiring interconnections between RMs and MTFs (with 43 respondents</w:t>
      </w:r>
      <w:r>
        <w:t xml:space="preserve"> </w:t>
      </w:r>
      <w:r>
        <w:t xml:space="preserve">against and 25 in favour – out of a total of 89 who expressed an opinion). Between the two</w:t>
      </w:r>
      <w:r>
        <w:t xml:space="preserve"> </w:t>
      </w:r>
      <w:r>
        <w:t xml:space="preserve">options (requiring brokers to connect to all venues and requiring venues to interconnect),</w:t>
      </w:r>
      <w:r>
        <w:t xml:space="preserve"> </w:t>
      </w:r>
      <w:r>
        <w:t xml:space="preserve">respondents showed a slight preference for interconnecting venues, specifically with regard to</w:t>
      </w:r>
      <w:r>
        <w:t xml:space="preserve"> </w:t>
      </w:r>
      <w:r>
        <w:t xml:space="preserve">quality and speed of execution, and ultimately with regard to the efficiency of the EU trading</w:t>
      </w:r>
      <w:r>
        <w:t xml:space="preserve"> </w:t>
      </w:r>
      <w:r>
        <w:t xml:space="preserve">landscape.</w:t>
      </w:r>
      <w:r>
        <w:br/>
      </w:r>
      <w:r>
        <w:t xml:space="preserve">Open access: A clear majority of respondents have highlighted inefficiencies in the way open</w:t>
      </w:r>
      <w:r>
        <w:t xml:space="preserve"> </w:t>
      </w:r>
      <w:r>
        <w:t xml:space="preserve">access functions today, failing to deliver on a fully integrated and interoperable trading and</w:t>
      </w:r>
      <w:r>
        <w:t xml:space="preserve"> </w:t>
      </w:r>
      <w:r>
        <w:t xml:space="preserve">post-trading infrastructure landscape. While certain respondents advocated for full</w:t>
      </w:r>
      <w:r>
        <w:t xml:space="preserve"> </w:t>
      </w:r>
      <w:r>
        <w:t xml:space="preserve">interoperability between CCPs, some respondents also referred to restrictive practices that</w:t>
      </w:r>
      <w:r>
        <w:t xml:space="preserve"> </w:t>
      </w:r>
      <w:r>
        <w:t xml:space="preserve">protect trading and clearing silos, even when the CCPs clearing trades of a given venues are</w:t>
      </w:r>
      <w:r>
        <w:t xml:space="preserve"> </w:t>
      </w:r>
      <w:r>
        <w:t xml:space="preserve">already interoperable.</w:t>
      </w:r>
      <w:r>
        <w:t xml:space="preserve"> </w:t>
      </w:r>
      <w:r>
        <w:t xml:space="preserve">Some respondents (39) reported familiarity with the US Reg NMS and its Order Protection</w:t>
      </w:r>
      <w:r>
        <w:t xml:space="preserve"> </w:t>
      </w:r>
      <w:r>
        <w:t xml:space="preserve">Rule, yet cautioned against its literal transposition to EU markets. 42 respondents (53,8 % of</w:t>
      </w:r>
      <w:r>
        <w:t xml:space="preserve"> </w:t>
      </w:r>
      <w:r>
        <w:t xml:space="preserve">those expressing an opinion) thought geographical dispersion would pose issues to the effective</w:t>
      </w:r>
      <w:r>
        <w:t xml:space="preserve"> </w:t>
      </w:r>
      <w:r>
        <w:t xml:space="preserve">implementation of that rule.</w:t>
      </w:r>
      <w:r>
        <w:br/>
      </w:r>
      <w:r>
        <w:t xml:space="preserve">Best execution &amp; Consolidated Tape: 37 respondents (accounting for 45% of those who</w:t>
      </w:r>
      <w:r>
        <w:t xml:space="preserve"> </w:t>
      </w:r>
      <w:r>
        <w:t xml:space="preserve">expressed an opinion on this point) believe the EU’s best execution rules are generally effective,</w:t>
      </w:r>
      <w:r>
        <w:t xml:space="preserve"> </w:t>
      </w:r>
      <w:r>
        <w:t xml:space="preserve">despite some persistent issues. Only 11 % believe that the best execution rules are ineffective</w:t>
      </w:r>
      <w:r>
        <w:t xml:space="preserve"> </w:t>
      </w:r>
      <w:r>
        <w:t xml:space="preserve">or rather ineffective. Most participants reported that the fragmented nature of EU markets, the</w:t>
      </w:r>
      <w:r>
        <w:t xml:space="preserve"> </w:t>
      </w:r>
      <w:r>
        <w:t xml:space="preserve">complexity of assessing best execution, and the availability and cost of comprehensive market</w:t>
      </w:r>
      <w:r>
        <w:t xml:space="preserve"> </w:t>
      </w:r>
      <w:r>
        <w:t xml:space="preserve">data pose significant challenges in consistently achieving best execution. Almost half of the</w:t>
      </w:r>
      <w:r>
        <w:t xml:space="preserve"> </w:t>
      </w:r>
      <w:r>
        <w:t xml:space="preserve">respondents deem that the EU best execution framework is better suited than the US best</w:t>
      </w:r>
      <w:r>
        <w:t xml:space="preserve"> </w:t>
      </w:r>
      <w:r>
        <w:t xml:space="preserve">execution framework to obtain the best possible result for the clients, mostly as it places the</w:t>
      </w:r>
      <w:r>
        <w:t xml:space="preserve"> </w:t>
      </w:r>
      <w:r>
        <w:t xml:space="preserve">responsibility directly on the intermediary, who must consider a range of factors based on the</w:t>
      </w:r>
      <w:r>
        <w:t xml:space="preserve"> </w:t>
      </w:r>
      <w:r>
        <w:t xml:space="preserve">specific profile and needs of the client.</w:t>
      </w:r>
      <w:r>
        <w:br/>
      </w:r>
      <w:r>
        <w:t xml:space="preserve">On the consolidated tape (CTP), 37% of the respondents (including representatives of buy side,</w:t>
      </w:r>
      <w:r>
        <w:t xml:space="preserve"> </w:t>
      </w:r>
      <w:r>
        <w:t xml:space="preserve">sell side, and proprietary traders) deem that lifting the anonymity of the European Best Bid</w:t>
      </w:r>
      <w:r>
        <w:t xml:space="preserve"> </w:t>
      </w:r>
      <w:r>
        <w:t xml:space="preserve">Offer (EBBO) would improve the ability of investment firms to assess the quality of execution</w:t>
      </w:r>
      <w:r>
        <w:t xml:space="preserve"> </w:t>
      </w:r>
      <w:r>
        <w:t xml:space="preserve">and improve efficiency of price formation. 25% of respondents (mainly representatives of</w:t>
      </w:r>
      <w:r>
        <w:t xml:space="preserve"> </w:t>
      </w:r>
      <w:r>
        <w:t xml:space="preserve">trading venues) disagree with this view, noting that the CTP will always lag behind private data</w:t>
      </w:r>
      <w:r>
        <w:t xml:space="preserve"> </w:t>
      </w:r>
      <w:r>
        <w:t xml:space="preserve">feeds, introducing structural latency that sophisticated market participants can exploit (to the</w:t>
      </w:r>
      <w:r>
        <w:t xml:space="preserve"> </w:t>
      </w:r>
      <w:r>
        <w:t xml:space="preserve">detriment of less sophisticated investors).</w:t>
      </w:r>
      <w:r>
        <w:br/>
      </w:r>
      <w:r>
        <w:t xml:space="preserve">Transparency: Asked about the reasons for a decrease of lit order book equity trading,</w:t>
      </w:r>
      <w:r>
        <w:t xml:space="preserve"> </w:t>
      </w:r>
      <w:r>
        <w:t xml:space="preserve">respondents mainly cited regulation (i.e. the equity waiver regime under MiFIR – 40</w:t>
      </w:r>
      <w:r>
        <w:t xml:space="preserve"> </w:t>
      </w:r>
      <w:r>
        <w:t xml:space="preserve">respondents), liquidity fragmentation (with more order flow migrating to execution venues</w:t>
      </w:r>
      <w:r>
        <w:t xml:space="preserve"> </w:t>
      </w:r>
      <w:r>
        <w:t xml:space="preserve">such as systematic internalisers and dark pools – 39 respondents), as well as technological</w:t>
      </w:r>
      <w:r>
        <w:t xml:space="preserve"> </w:t>
      </w:r>
      <w:r>
        <w:t xml:space="preserve">developments such as high-frequency trading (37 respondents).</w:t>
      </w:r>
      <w:r>
        <w:br/>
      </w:r>
      <w:r>
        <w:t xml:space="preserve">Asked about the reasons for the rising importance of closing auctions, respondents mentioned</w:t>
      </w:r>
      <w:r>
        <w:t xml:space="preserve"> </w:t>
      </w:r>
      <w:r>
        <w:t xml:space="preserve">mainly the rise of index investing / passive management (55 respondents) and the use of</w:t>
      </w:r>
      <w:r>
        <w:t xml:space="preserve"> </w:t>
      </w:r>
      <w:r>
        <w:t xml:space="preserve">quantitative investment strategies benchmarked to the closing price (38 respondents).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Bilateral and multilateral trading: Respondents’ views on the benefits of competition</w:t>
      </w:r>
      <w:r>
        <w:t xml:space="preserve"> </w:t>
      </w:r>
      <w:r>
        <w:t xml:space="preserve">between bilateral and multilateral venues are equally split, with 26 respondents considering the</w:t>
      </w:r>
      <w:r>
        <w:t xml:space="preserve"> </w:t>
      </w:r>
      <w:r>
        <w:t xml:space="preserve">net result positive, 21 being of the opposite view, 20 having no view. Of the 21 that considered</w:t>
      </w:r>
      <w:r>
        <w:t xml:space="preserve"> </w:t>
      </w:r>
      <w:r>
        <w:t xml:space="preserve">the net result of competition negative – mainly trading venues – 18 were proponents of</w:t>
      </w:r>
      <w:r>
        <w:t xml:space="preserve"> </w:t>
      </w:r>
      <w:r>
        <w:t xml:space="preserve">requiring that retail orders be executed on multilateral and lit venues.</w:t>
      </w:r>
      <w:r>
        <w:br/>
      </w:r>
      <w:r>
        <w:t xml:space="preserve">Single market maker venues: 27 out of the 64 respondents are aware of practices that restrict</w:t>
      </w:r>
      <w:r>
        <w:t xml:space="preserve"> </w:t>
      </w:r>
      <w:r>
        <w:t xml:space="preserve">the presence of multiple market makers on certain venues, and views were almost evenly split</w:t>
      </w:r>
      <w:r>
        <w:t xml:space="preserve"> </w:t>
      </w:r>
      <w:r>
        <w:t xml:space="preserve">between those who considered the existence of single market maker venues justified and those</w:t>
      </w:r>
      <w:r>
        <w:t xml:space="preserve"> </w:t>
      </w:r>
      <w:r>
        <w:t xml:space="preserve">who do not.</w:t>
      </w:r>
      <w:r>
        <w:br/>
      </w:r>
      <w:r>
        <w:t xml:space="preserve">Ghost liquidity: out of the 63 respondents to this point, 19 believe ghost liquidity is</w:t>
      </w:r>
      <w:r>
        <w:t xml:space="preserve"> </w:t>
      </w:r>
      <w:r>
        <w:t xml:space="preserve">detrimental to adequate levels and ‘quality’ of liquidity and price formation on trading venues,</w:t>
      </w:r>
      <w:r>
        <w:t xml:space="preserve"> </w:t>
      </w:r>
      <w:r>
        <w:t xml:space="preserve">versus 10 that don’t and 34 being neutral. Some participants report that it can distort the</w:t>
      </w:r>
      <w:r>
        <w:t xml:space="preserve"> </w:t>
      </w:r>
      <w:r>
        <w:t xml:space="preserve">perception of available liquidity, enable potential price manipulation, and undermine efficient</w:t>
      </w:r>
      <w:r>
        <w:t xml:space="preserve"> </w:t>
      </w:r>
      <w:r>
        <w:t xml:space="preserve">price formation. However, multiple respondents maintain that the phenomenon is not</w:t>
      </w:r>
      <w:r>
        <w:t xml:space="preserve"> </w:t>
      </w:r>
      <w:r>
        <w:t xml:space="preserve">problematic and is a natural outcome of modern electronic trading and legitimate risk</w:t>
      </w:r>
      <w:r>
        <w:t xml:space="preserve"> </w:t>
      </w:r>
      <w:r>
        <w:t xml:space="preserve">management practices.</w:t>
      </w:r>
      <w:r>
        <w:br/>
      </w:r>
      <w:r>
        <w:t xml:space="preserve">3.3. POST-TRADE</w:t>
      </w:r>
      <w:r>
        <w:t xml:space="preserve"> </w:t>
      </w:r>
      <w:r>
        <w:t xml:space="preserve">The section of the targeted consultation covered a wide range of topics in the post-trading</w:t>
      </w:r>
      <w:r>
        <w:t xml:space="preserve"> </w:t>
      </w:r>
      <w:r>
        <w:t xml:space="preserve">space, including, among others, cross-border settlement, CSD services, links between EU</w:t>
      </w:r>
      <w:r>
        <w:t xml:space="preserve"> </w:t>
      </w:r>
      <w:r>
        <w:t xml:space="preserve">CSDs, issues related to Target2-Securities (T2S), legal certainty, the Settlement Finality</w:t>
      </w:r>
      <w:r>
        <w:t xml:space="preserve"> </w:t>
      </w:r>
      <w:r>
        <w:t xml:space="preserve">Directive (SFD), new technologies and market practices, the Financial Collateral Directive</w:t>
      </w:r>
      <w:r>
        <w:t xml:space="preserve"> </w:t>
      </w:r>
      <w:r>
        <w:t xml:space="preserve">(FCD), internalised settlement, information sharing, and authorisation. 161 stakeholders</w:t>
      </w:r>
      <w:r>
        <w:t xml:space="preserve"> </w:t>
      </w:r>
      <w:r>
        <w:t xml:space="preserve">responded to this section, including industry associations, banks, market infrastructures, and</w:t>
      </w:r>
      <w:r>
        <w:t xml:space="preserve"> </w:t>
      </w:r>
      <w:r>
        <w:t xml:space="preserve">regulatory bodies. It must be noted that not all participants responded to all questions.</w:t>
      </w:r>
      <w:r>
        <w:br/>
      </w:r>
      <w:r>
        <w:t xml:space="preserve">Cross-Border Settlement and Other CSD Services: Respondents identified barriers to the</w:t>
      </w:r>
      <w:r>
        <w:t xml:space="preserve"> </w:t>
      </w:r>
      <w:r>
        <w:t xml:space="preserve">cross-border provision of services, particularly with regards to procedures and requirements</w:t>
      </w:r>
      <w:r>
        <w:t xml:space="preserve"> </w:t>
      </w:r>
      <w:r>
        <w:t xml:space="preserve">mandated by national and by EU-level regulations. Specifically, 37 out of the 47 who</w:t>
      </w:r>
      <w:r>
        <w:t xml:space="preserve"> </w:t>
      </w:r>
      <w:r>
        <w:t xml:space="preserve">responded mentioned that national differences in legal, regulatory, or operational requirements</w:t>
      </w:r>
      <w:r>
        <w:t xml:space="preserve"> </w:t>
      </w:r>
      <w:r>
        <w:t xml:space="preserve">prevent the provision of post-trade services cross-border, in particular with regards to corporate</w:t>
      </w:r>
      <w:r>
        <w:t xml:space="preserve"> </w:t>
      </w:r>
      <w:r>
        <w:t xml:space="preserve">law, insolvency law, securities law, and taxation. Many respondents noted that the lack of a</w:t>
      </w:r>
      <w:r>
        <w:t xml:space="preserve"> </w:t>
      </w:r>
      <w:r>
        <w:t xml:space="preserve">common understanding of what constitutes corporate law is a significant barrier, and the ESMA</w:t>
      </w:r>
      <w:r>
        <w:t xml:space="preserve"> </w:t>
      </w:r>
      <w:r>
        <w:t xml:space="preserve">list of corporate or similar laws of Member States (Article 49(1) of CSDR) is not helpful as it</w:t>
      </w:r>
      <w:r>
        <w:t xml:space="preserve"> </w:t>
      </w:r>
      <w:r>
        <w:t xml:space="preserve">is too complicated. Several respondents suggested that the development of a harmonised</w:t>
      </w:r>
      <w:r>
        <w:t xml:space="preserve"> </w:t>
      </w:r>
      <w:r>
        <w:t xml:space="preserve">framework for corporate law would help to reduce barriers to the cross-border provision of</w:t>
      </w:r>
      <w:r>
        <w:t xml:space="preserve"> </w:t>
      </w:r>
      <w:r>
        <w:t xml:space="preserve">services.</w:t>
      </w:r>
      <w:r>
        <w:br/>
      </w:r>
      <w:r>
        <w:t xml:space="preserve">Respondents also mentioned a series of outstanding barriers to the freedom of issuance in the</w:t>
      </w:r>
      <w:r>
        <w:t xml:space="preserve"> </w:t>
      </w:r>
      <w:r>
        <w:t xml:space="preserve">EU. In fact, 36 of 49 respondents indicated they believed there to be barriers to the freedom of</w:t>
      </w:r>
      <w:r>
        <w:t xml:space="preserve"> </w:t>
      </w:r>
      <w:r>
        <w:t xml:space="preserve">issuance in the EU. In particular, many respondents noted that several Member States require</w:t>
      </w:r>
      <w:r>
        <w:t xml:space="preserve"> </w:t>
      </w:r>
      <w:r>
        <w:t xml:space="preserve">securities constituted under their national laws (and in particular bonds issued by national</w:t>
      </w:r>
      <w:r>
        <w:t xml:space="preserve"> </w:t>
      </w:r>
      <w:r>
        <w:t xml:space="preserve">governments) to be issued through domestic CSDs. At the EU-level, respondents indicated that</w:t>
      </w:r>
      <w:r>
        <w:t xml:space="preserve"> </w:t>
      </w:r>
      <w:r>
        <w:t xml:space="preserve">CSDR passporting requirements create a barrier to cross-border issuance and requires costly</w:t>
      </w:r>
      <w:r>
        <w:t xml:space="preserve"> </w:t>
      </w:r>
      <w:r>
        <w:t xml:space="preserve">legal assessments.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Stakeholders called on public authorities to support harmonisation efforts, both via industry</w:t>
      </w:r>
      <w:r>
        <w:t xml:space="preserve"> </w:t>
      </w:r>
      <w:r>
        <w:t xml:space="preserve">and regulatory efforts to overcome these barriers. Several respondents suggested the</w:t>
      </w:r>
      <w:r>
        <w:t xml:space="preserve"> </w:t>
      </w:r>
      <w:r>
        <w:t xml:space="preserve">introduction of a 28th regime or EU-wide legal framework, as well as the harmonisation of key</w:t>
      </w:r>
      <w:r>
        <w:t xml:space="preserve"> </w:t>
      </w:r>
      <w:r>
        <w:t xml:space="preserve">concepts for securities issuance and dematerialisation. Some respondents suggested developing</w:t>
      </w:r>
      <w:r>
        <w:t xml:space="preserve"> </w:t>
      </w:r>
      <w:r>
        <w:t xml:space="preserve">a pan-European system for withholding tax, building on the FASTER Directive. On an</w:t>
      </w:r>
      <w:r>
        <w:t xml:space="preserve"> </w:t>
      </w:r>
      <w:r>
        <w:t xml:space="preserve">operational level respondents suggested mandating EU-wide harmonisation of corporate action</w:t>
      </w:r>
      <w:r>
        <w:t xml:space="preserve"> </w:t>
      </w:r>
      <w:r>
        <w:t xml:space="preserve">workflows, timelines, and messaging standards. The majority of respondents (38 out of 43)</w:t>
      </w:r>
      <w:r>
        <w:t xml:space="preserve"> </w:t>
      </w:r>
      <w:r>
        <w:t xml:space="preserve">indicated that there are barriers to cross-border asset servicing and processing of corporate</w:t>
      </w:r>
      <w:r>
        <w:t xml:space="preserve"> </w:t>
      </w:r>
      <w:r>
        <w:t xml:space="preserve">actions.</w:t>
      </w:r>
      <w:r>
        <w:t xml:space="preserve"> </w:t>
      </w:r>
      <w:r>
        <w:t xml:space="preserve">Regarding links between EU CSDs, 26 out of 30 respondents indicated there are barriers related</w:t>
      </w:r>
      <w:r>
        <w:t xml:space="preserve"> </w:t>
      </w:r>
      <w:r>
        <w:t xml:space="preserve">to the establishment of links and 18 out of 25 respondents indicated there are barriers with</w:t>
      </w:r>
      <w:r>
        <w:t xml:space="preserve"> </w:t>
      </w:r>
      <w:r>
        <w:t xml:space="preserve">respect to the maintenance of links (while very few respondents indicated an issue with the</w:t>
      </w:r>
      <w:r>
        <w:t xml:space="preserve"> </w:t>
      </w:r>
      <w:r>
        <w:t xml:space="preserve">improper use of links or the inappropriate classification thereof). Respondents emphasised the</w:t>
      </w:r>
      <w:r>
        <w:t xml:space="preserve"> </w:t>
      </w:r>
      <w:r>
        <w:t xml:space="preserve">need for simplification and standardisation in the process of setting up links between EU CSDs.</w:t>
      </w:r>
      <w:r>
        <w:t xml:space="preserve"> </w:t>
      </w:r>
      <w:r>
        <w:t xml:space="preserve">The complexity and cost of establishing and maintaining links, as well as the lack of</w:t>
      </w:r>
      <w:r>
        <w:t xml:space="preserve"> </w:t>
      </w:r>
      <w:r>
        <w:t xml:space="preserve">harmonisation in operational and regulatory aspects, were cited as major barriers. Some</w:t>
      </w:r>
      <w:r>
        <w:t xml:space="preserve"> </w:t>
      </w:r>
      <w:r>
        <w:t xml:space="preserve">respondents suggested that ESMA could play a role in providing clearer guidance on</w:t>
      </w:r>
      <w:r>
        <w:t xml:space="preserve"> </w:t>
      </w:r>
      <w:r>
        <w:t xml:space="preserve">definitions, risk implications, and the appropriate use of different kinds of links. A few</w:t>
      </w:r>
      <w:r>
        <w:t xml:space="preserve"> </w:t>
      </w:r>
      <w:r>
        <w:t xml:space="preserve">respondents noted that the current framework for links is too rigid and inflexible, and that a</w:t>
      </w:r>
      <w:r>
        <w:t xml:space="preserve"> </w:t>
      </w:r>
      <w:r>
        <w:t xml:space="preserve">more modular approach would be beneficial.</w:t>
      </w:r>
      <w:r>
        <w:br/>
      </w:r>
      <w:r>
        <w:t xml:space="preserve">Some respondents, particularly investor associations, advocated for the promotion of</w:t>
      </w:r>
      <w:r>
        <w:t xml:space="preserve"> </w:t>
      </w:r>
      <w:r>
        <w:t xml:space="preserve">interoperable links to achieve competitiveness in settlement markets and avoid oligopoly,</w:t>
      </w:r>
      <w:r>
        <w:t xml:space="preserve"> </w:t>
      </w:r>
      <w:r>
        <w:t xml:space="preserve">although more than half of respondents (17 out of 29) indicated they do not believe that all</w:t>
      </w:r>
      <w:r>
        <w:t xml:space="preserve"> </w:t>
      </w:r>
      <w:r>
        <w:t xml:space="preserve">links should be interoperable.</w:t>
      </w:r>
      <w:r>
        <w:t xml:space="preserve"> </w:t>
      </w:r>
      <w:r>
        <w:t xml:space="preserve">22 out of 23 respondents indicated that they do not believe that regulation should mandate a</w:t>
      </w:r>
      <w:r>
        <w:t xml:space="preserve"> </w:t>
      </w:r>
      <w:r>
        <w:t xml:space="preserve">minimum number of links between EU CSDs, several solutions were proposed to promote their</w:t>
      </w:r>
      <w:r>
        <w:t xml:space="preserve"> </w:t>
      </w:r>
      <w:r>
        <w:t xml:space="preserve">establishment. These include the creation of standardised due diligence questionnaires and risk</w:t>
      </w:r>
      <w:r>
        <w:t xml:space="preserve"> </w:t>
      </w:r>
      <w:r>
        <w:t xml:space="preserve">assessment frameworks to simplify the process of setting up links, and the promotion of</w:t>
      </w:r>
      <w:r>
        <w:t xml:space="preserve"> </w:t>
      </w:r>
      <w:r>
        <w:t xml:space="preserve">transparent and comparable pricing disclosures to enable informed choices about link usage.</w:t>
      </w:r>
      <w:r>
        <w:t xml:space="preserve"> </w:t>
      </w:r>
      <w:r>
        <w:t xml:space="preserve">In addition, 16 out of 22 respondents indicated that for the establishment of links between CSDs</w:t>
      </w:r>
      <w:r>
        <w:t xml:space="preserve"> </w:t>
      </w:r>
      <w:r>
        <w:t xml:space="preserve">and other infrastructures to be of any benefit, they must be accompanied by convergence in</w:t>
      </w:r>
      <w:r>
        <w:t xml:space="preserve"> </w:t>
      </w:r>
      <w:r>
        <w:t xml:space="preserve">settlement location and there should be standards and protocols developed to ensure</w:t>
      </w:r>
      <w:r>
        <w:t xml:space="preserve"> </w:t>
      </w:r>
      <w:r>
        <w:t xml:space="preserve">streamlined set-up and maintenance.</w:t>
      </w:r>
      <w:r>
        <w:br/>
      </w:r>
      <w:r>
        <w:t xml:space="preserve">In terms of settlement services and issues related to T2S, 29 out of 35 respondents suggested</w:t>
      </w:r>
      <w:r>
        <w:t xml:space="preserve"> </w:t>
      </w:r>
      <w:r>
        <w:t xml:space="preserve">that T2S could be further enhanced by expanding its scope and functionality to include more</w:t>
      </w:r>
      <w:r>
        <w:t xml:space="preserve"> </w:t>
      </w:r>
      <w:r>
        <w:t xml:space="preserve">CSDs, currencies, and services beyond settlement (e.g. common corporate action processing</w:t>
      </w:r>
      <w:r>
        <w:t xml:space="preserve"> </w:t>
      </w:r>
      <w:r>
        <w:t xml:space="preserve">and collateral management). Respondents also highlighted the importance of driving full</w:t>
      </w:r>
      <w:r>
        <w:t xml:space="preserve"> </w:t>
      </w:r>
      <w:r>
        <w:t xml:space="preserve">adoption of T2S harmonisation standards by all CSDs and participants, as well as harmonising</w:t>
      </w:r>
      <w:r>
        <w:t xml:space="preserve"> </w:t>
      </w:r>
      <w:r>
        <w:t xml:space="preserve">operational procedures and timelines across T2S and non-T2S markets. In addition, 25 out of</w:t>
      </w:r>
      <w:r>
        <w:t xml:space="preserve"> </w:t>
      </w:r>
      <w:r>
        <w:t xml:space="preserve">36 respondents believe that all CSDs settling their cash leg in euro should be required to</w:t>
      </w:r>
      <w:r>
        <w:t xml:space="preserve"> </w:t>
      </w:r>
      <w:r>
        <w:t xml:space="preserve">connect to T2S. Several respondents however noted that the current T2S framework is too</w:t>
      </w:r>
      <w:r>
        <w:t xml:space="preserve"> </w:t>
      </w:r>
      <w:r>
        <w:t xml:space="preserve">complex and that a more streamlined approach would be beneficial.</w:t>
      </w:r>
      <w:r>
        <w:br/>
      </w:r>
      <w:r>
        <w:t xml:space="preserve">Settlement costs were a major point of contention on the part of respondents, 48 out 51 agreed</w:t>
      </w:r>
      <w:r>
        <w:t xml:space="preserve"> </w:t>
      </w:r>
      <w:r>
        <w:t xml:space="preserve">that settlement costs in the EU should be reduced to improve the competitiveness of EU capital</w:t>
      </w:r>
      <w:r>
        <w:t xml:space="preserve"> </w:t>
      </w:r>
      <w:r>
        <w:t xml:space="preserve">markets (including the cost of settling within T2S). Suggestions included increasing</w:t>
      </w:r>
      <w:r>
        <w:t xml:space="preserve"> </w:t>
      </w:r>
      <w:r>
        <w:t xml:space="preserve">competition and transparency among CSDs, leveraging T2S and harmonisation to improve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efficiency, and addressing specific cost drivers such as communication of costs and partial</w:t>
      </w:r>
      <w:r>
        <w:t xml:space="preserve"> </w:t>
      </w:r>
      <w:r>
        <w:t xml:space="preserve">settlement fees (41 out of 46 were in favour of greater price transparency).</w:t>
      </w:r>
      <w:r>
        <w:br/>
      </w:r>
      <w:r>
        <w:t xml:space="preserve">30 out of the 43 respondents believe that divergent national legal systems and practices create</w:t>
      </w:r>
      <w:r>
        <w:t xml:space="preserve"> </w:t>
      </w:r>
      <w:r>
        <w:t xml:space="preserve">a barrier to legal certainty in the post-trading area. These include different national laws on</w:t>
      </w:r>
      <w:r>
        <w:t xml:space="preserve"> </w:t>
      </w:r>
      <w:r>
        <w:t xml:space="preserve">securities ownership (slightly more than half of respondents mentioned this to be an issue),</w:t>
      </w:r>
      <w:r>
        <w:t xml:space="preserve"> </w:t>
      </w:r>
      <w:r>
        <w:t xml:space="preserve">registration procedures and title transfer, settlement rules, insolvency, corporate and tax rules;</w:t>
      </w:r>
      <w:r>
        <w:t xml:space="preserve"> </w:t>
      </w:r>
      <w:r>
        <w:t xml:space="preserve">national differences in the implementation and interpretation of SFD and FCD, particularly</w:t>
      </w:r>
      <w:r>
        <w:t xml:space="preserve"> </w:t>
      </w:r>
      <w:r>
        <w:t xml:space="preserve">settlement finality and collateral management; legal uncertainty regarding DLT-based systems;</w:t>
      </w:r>
      <w:r>
        <w:t xml:space="preserve"> </w:t>
      </w:r>
      <w:r>
        <w:t xml:space="preserve">and lack of interoperability and data synchronisation between distributed ledgers and</w:t>
      </w:r>
      <w:r>
        <w:t xml:space="preserve"> </w:t>
      </w:r>
      <w:r>
        <w:t xml:space="preserve">traditional post-trade systems.</w:t>
      </w:r>
      <w:r>
        <w:br/>
      </w:r>
      <w:r>
        <w:t xml:space="preserve">The adoption of different national solutions for DLT-based systems adds to the uncertainty and</w:t>
      </w:r>
      <w:r>
        <w:t xml:space="preserve"> </w:t>
      </w:r>
      <w:r>
        <w:t xml:space="preserve">fragmentation. Some stakeholders support creating a unified legal framework for all types of</w:t>
      </w:r>
      <w:r>
        <w:t xml:space="preserve"> </w:t>
      </w:r>
      <w:r>
        <w:t xml:space="preserve">settlement assets used in DLT environments, regardless of their nature, to promote cross-border</w:t>
      </w:r>
      <w:r>
        <w:t xml:space="preserve"> </w:t>
      </w:r>
      <w:r>
        <w:t xml:space="preserve">market integration. 20 out of 27 respondents indicated that traditional and DLT-based assets</w:t>
      </w:r>
      <w:r>
        <w:t xml:space="preserve"> </w:t>
      </w:r>
      <w:r>
        <w:t xml:space="preserve">should be subject to the same rules. The existing conflict of law rules do not adequately cover</w:t>
      </w:r>
      <w:r>
        <w:t xml:space="preserve"> </w:t>
      </w:r>
      <w:r>
        <w:t xml:space="preserve">all proprietary aspects of securities holdings in cross-border contexts, and national conflict of</w:t>
      </w:r>
      <w:r>
        <w:t xml:space="preserve"> </w:t>
      </w:r>
      <w:r>
        <w:t xml:space="preserve">laws rules vary. Respondents advocated for harmonised conflict-of-law rules that</w:t>
      </w:r>
      <w:r>
        <w:t xml:space="preserve"> </w:t>
      </w:r>
      <w:r>
        <w:t xml:space="preserve">accommodate DLT-based instruments to reduce friction and enhance legal certainty.</w:t>
      </w:r>
      <w:r>
        <w:t xml:space="preserve"> </w:t>
      </w:r>
      <w:r>
        <w:t xml:space="preserve">Regarding the SFD, some respondents considered that the Directive works well and only needs</w:t>
      </w:r>
      <w:r>
        <w:t xml:space="preserve"> </w:t>
      </w:r>
      <w:r>
        <w:t xml:space="preserve">some clarifications regarding its application to DLT-based systems (29 out of 34 respondents</w:t>
      </w:r>
      <w:r>
        <w:t xml:space="preserve"> </w:t>
      </w:r>
      <w:r>
        <w:t xml:space="preserve">believe that SFD protection is important for DLT-based systems). Others support turning SFD</w:t>
      </w:r>
      <w:r>
        <w:t xml:space="preserve"> </w:t>
      </w:r>
      <w:r>
        <w:t xml:space="preserve">into a Regulation to tackle inconsistent implementation of the SFD across the EU. Respondents</w:t>
      </w:r>
      <w:r>
        <w:t xml:space="preserve"> </w:t>
      </w:r>
      <w:r>
        <w:t xml:space="preserve">also highlighted the need for clearer guidance on the conflict of law rules, uncertainty regarding</w:t>
      </w:r>
      <w:r>
        <w:t xml:space="preserve"> </w:t>
      </w:r>
      <w:r>
        <w:t xml:space="preserve">the protection of indirect participants and the extension of protection to participants in third-</w:t>
      </w:r>
      <w:r>
        <w:t xml:space="preserve"> </w:t>
      </w:r>
      <w:r>
        <w:t xml:space="preserve">country systems and to DLT-based systems. Several respondents noted that the current SFD</w:t>
      </w:r>
      <w:r>
        <w:t xml:space="preserve"> </w:t>
      </w:r>
      <w:r>
        <w:t xml:space="preserve">framework is too narrow and that a more comprehensive approach would be beneficial (e.g. </w:t>
      </w:r>
      <w:r>
        <w:t xml:space="preserve"> </w:t>
      </w:r>
      <w:r>
        <w:t xml:space="preserve">broadening the scope of eligible participants, extending SFD protection to activities in relation</w:t>
      </w:r>
      <w:r>
        <w:t xml:space="preserve"> </w:t>
      </w:r>
      <w:r>
        <w:t xml:space="preserve">to any assets, not just cash and securities). In addition, some respondents indicated that</w:t>
      </w:r>
      <w:r>
        <w:t xml:space="preserve"> </w:t>
      </w:r>
      <w:r>
        <w:t xml:space="preserve">settlement finality moments within the SFD should be harmonised, and clearer definitions of</w:t>
      </w:r>
      <w:r>
        <w:t xml:space="preserve"> </w:t>
      </w:r>
      <w:r>
        <w:t xml:space="preserve">“collateral security” and “financial collateral” in the FCD should be provided. The</w:t>
      </w:r>
      <w:r>
        <w:t xml:space="preserve"> </w:t>
      </w:r>
      <w:r>
        <w:t xml:space="preserve">misalignment of these definitions was mentioned by more than half of respondents as creating</w:t>
      </w:r>
      <w:r>
        <w:t xml:space="preserve"> </w:t>
      </w:r>
      <w:r>
        <w:t xml:space="preserve">complexities for efficient collateral management.</w:t>
      </w:r>
      <w:r>
        <w:br/>
      </w:r>
      <w:r>
        <w:t xml:space="preserve">New Technology and Market Practices: The majority of respondents found the current</w:t>
      </w:r>
      <w:r>
        <w:t xml:space="preserve"> </w:t>
      </w:r>
      <w:r>
        <w:t xml:space="preserve">framework under the CSDR broadly adequate for managing DLT-related risks, but some</w:t>
      </w:r>
      <w:r>
        <w:t xml:space="preserve"> </w:t>
      </w:r>
      <w:r>
        <w:t xml:space="preserve">adjustments may be needed to fully address DLT-specific challenges and ensure technological</w:t>
      </w:r>
      <w:r>
        <w:t xml:space="preserve"> </w:t>
      </w:r>
      <w:r>
        <w:t xml:space="preserve">neutrality of CSDR definitions to include DLT-based securities.</w:t>
      </w:r>
      <w:r>
        <w:br/>
      </w:r>
      <w:r>
        <w:t xml:space="preserve">44 out of 45 respondents believe that DLT can streamline post-trade processes, enhance data</w:t>
      </w:r>
      <w:r>
        <w:t xml:space="preserve"> </w:t>
      </w:r>
      <w:r>
        <w:t xml:space="preserve">sharing, and reduce the reporting burden. However, regulatory adaptation is needed to accept</w:t>
      </w:r>
      <w:r>
        <w:t xml:space="preserve"> </w:t>
      </w:r>
      <w:r>
        <w:t xml:space="preserve">DLT-native reporting formats, and changes in regulatory frameworks, securities legislation,</w:t>
      </w:r>
      <w:r>
        <w:t xml:space="preserve"> </w:t>
      </w:r>
      <w:r>
        <w:t xml:space="preserve">accounting standards, and taxation processes may be required.</w:t>
      </w:r>
      <w:r>
        <w:br/>
      </w:r>
      <w:r>
        <w:t xml:space="preserve">27 out of 37 respondents supported a modular approach to the CSDR – in particular custodians,</w:t>
      </w:r>
      <w:r>
        <w:t xml:space="preserve"> </w:t>
      </w:r>
      <w:r>
        <w:t xml:space="preserve">brokers, and investors, arguing that it could foster technological neutrality, encourage</w:t>
      </w:r>
      <w:r>
        <w:t xml:space="preserve"> </w:t>
      </w:r>
      <w:r>
        <w:t xml:space="preserve">innovation, and facilitate the integration of new technologies like DLT. This approach would</w:t>
      </w:r>
      <w:r>
        <w:t xml:space="preserve"> </w:t>
      </w:r>
      <w:r>
        <w:t xml:space="preserve">allow service-specific authorisation for DLT-based functions like notary, maintenance, and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settlement, reducing compliance burdens and promoting competition by allowing new market</w:t>
      </w:r>
      <w:r>
        <w:t xml:space="preserve"> </w:t>
      </w:r>
      <w:r>
        <w:t xml:space="preserve">entrants to offer specialised services without demanding full CSD compliance.</w:t>
      </w:r>
      <w:r>
        <w:br/>
      </w:r>
      <w:r>
        <w:t xml:space="preserve">Barriers under the FCD: 20 out of 21 respondents consider that there are barriers related to</w:t>
      </w:r>
      <w:r>
        <w:t xml:space="preserve"> </w:t>
      </w:r>
      <w:r>
        <w:t xml:space="preserve">the scope of the FCD, in particular with respect to the parties eligible as collateral taker and</w:t>
      </w:r>
      <w:r>
        <w:t xml:space="preserve"> </w:t>
      </w:r>
      <w:r>
        <w:t xml:space="preserve">collateral provider, definition of financial collateral, and the definition of cash. 24 out of 28</w:t>
      </w:r>
      <w:r>
        <w:t xml:space="preserve"> </w:t>
      </w:r>
      <w:r>
        <w:t xml:space="preserve">respondents consider that collateral other than cash, financial instruments, and credit claims</w:t>
      </w:r>
      <w:r>
        <w:t xml:space="preserve"> </w:t>
      </w:r>
      <w:r>
        <w:t xml:space="preserve">should be eligible under the FCD, including gold and DLT-based financial collateral</w:t>
      </w:r>
      <w:r>
        <w:t xml:space="preserve"> </w:t>
      </w:r>
      <w:r>
        <w:t xml:space="preserve">arrangements, in particular in light of DLT-based financial collateral arrangements.</w:t>
      </w:r>
      <w:r>
        <w:br/>
      </w:r>
      <w:r>
        <w:t xml:space="preserve">20 out of 22 respondents indicated that legal uncertainty related to the recognition of tokenised</w:t>
      </w:r>
      <w:r>
        <w:t xml:space="preserve"> </w:t>
      </w:r>
      <w:r>
        <w:t xml:space="preserve">financial instruments as collateral under the FCD exists, citing difficulties in applying key FCD</w:t>
      </w:r>
      <w:r>
        <w:t xml:space="preserve"> </w:t>
      </w:r>
      <w:r>
        <w:t xml:space="preserve">concepts like “possession” and “control” to tokenised assets and hence providing equivalent</w:t>
      </w:r>
      <w:r>
        <w:t xml:space="preserve"> </w:t>
      </w:r>
      <w:r>
        <w:t xml:space="preserve">rights and protections as financial collateral under the FCD. It was also mentioned that the legal</w:t>
      </w:r>
      <w:r>
        <w:t xml:space="preserve"> </w:t>
      </w:r>
      <w:r>
        <w:t xml:space="preserve">status and proprietary nature of tokenised assets can vary across EU Member States, leading to</w:t>
      </w:r>
      <w:r>
        <w:t xml:space="preserve"> </w:t>
      </w:r>
      <w:r>
        <w:t xml:space="preserve">differing levels of clarity and certainty regarding their use as collateral.</w:t>
      </w:r>
      <w:r>
        <w:t xml:space="preserve"> </w:t>
      </w:r>
      <w:r>
        <w:t xml:space="preserve">16 out of 22 stakeholders mentioned the need to change the current approach that only protects</w:t>
      </w:r>
      <w:r>
        <w:t xml:space="preserve"> </w:t>
      </w:r>
      <w:r>
        <w:t xml:space="preserve">financial collateral arrangements where at least one of the parties is a public authority, central</w:t>
      </w:r>
      <w:r>
        <w:t xml:space="preserve"> </w:t>
      </w:r>
      <w:r>
        <w:t xml:space="preserve">bank or financial institution, and propose to include new counterparties such as crypto-asset</w:t>
      </w:r>
      <w:r>
        <w:t xml:space="preserve"> </w:t>
      </w:r>
      <w:r>
        <w:t xml:space="preserve">service providers, corporates, DLT-based entities and natural persons. However, there were</w:t>
      </w:r>
      <w:r>
        <w:t xml:space="preserve"> </w:t>
      </w:r>
      <w:r>
        <w:t xml:space="preserve">also respondents that expressed caution about broadening the FCD’s personal scope,</w:t>
      </w:r>
      <w:r>
        <w:t xml:space="preserve"> </w:t>
      </w:r>
      <w:r>
        <w:t xml:space="preserve">suggesting that the current restrictions may still be appropriate to ensure discipline and</w:t>
      </w:r>
      <w:r>
        <w:t xml:space="preserve"> </w:t>
      </w:r>
      <w:r>
        <w:t xml:space="preserve">safeguard against potential risks.</w:t>
      </w:r>
      <w:r>
        <w:br/>
      </w:r>
      <w:r>
        <w:t xml:space="preserve">12 out of 14 respondents said they have encountered problems with the recognition/application</w:t>
      </w:r>
      <w:r>
        <w:t xml:space="preserve"> </w:t>
      </w:r>
      <w:r>
        <w:t xml:space="preserve">of close-out netting provisions under the FCD, citing the different interpretations of insolvency</w:t>
      </w:r>
      <w:r>
        <w:t xml:space="preserve"> </w:t>
      </w:r>
      <w:r>
        <w:t xml:space="preserve">across Member State, and the different coverage of transaction types under the FCD in different</w:t>
      </w:r>
      <w:r>
        <w:t xml:space="preserve"> </w:t>
      </w:r>
      <w:r>
        <w:t xml:space="preserve">Member States.</w:t>
      </w:r>
      <w:r>
        <w:br/>
      </w:r>
      <w:r>
        <w:t xml:space="preserve">Market Practices and Compliance Costs: Respondents highlighted that internalised</w:t>
      </w:r>
      <w:r>
        <w:t xml:space="preserve"> </w:t>
      </w:r>
      <w:r>
        <w:t xml:space="preserve">settlement represents a genuine alternative to CSD settlement, but there is no consensus on</w:t>
      </w:r>
      <w:r>
        <w:t xml:space="preserve"> </w:t>
      </w:r>
      <w:r>
        <w:t xml:space="preserve">whether this activity provides an uneven playing field with regards to CSDR-regulated</w:t>
      </w:r>
      <w:r>
        <w:t xml:space="preserve"> </w:t>
      </w:r>
      <w:r>
        <w:t xml:space="preserve">securities settlement or represents additional risks to the stability of the capital market. A few</w:t>
      </w:r>
      <w:r>
        <w:t xml:space="preserve"> </w:t>
      </w:r>
      <w:r>
        <w:t xml:space="preserve">respondents suggested that the development of a harmonised framework for internalised</w:t>
      </w:r>
      <w:r>
        <w:t xml:space="preserve"> </w:t>
      </w:r>
      <w:r>
        <w:t xml:space="preserve">settlement would help to reduce uncertainty and promote efficiency. 26 out of 33 respondents</w:t>
      </w:r>
      <w:r>
        <w:t xml:space="preserve"> </w:t>
      </w:r>
      <w:r>
        <w:t xml:space="preserve">believe that the current reporting obligation for internalised settlement allows for an accurate</w:t>
      </w:r>
      <w:r>
        <w:t xml:space="preserve"> </w:t>
      </w:r>
      <w:r>
        <w:t xml:space="preserve">identification of the risks stemming from this activity.</w:t>
      </w:r>
      <w:r>
        <w:br/>
      </w:r>
      <w:r>
        <w:t xml:space="preserve">Most respondents supported the idea of ESMA developing reporting templates or centralising</w:t>
      </w:r>
      <w:r>
        <w:t xml:space="preserve"> </w:t>
      </w:r>
      <w:r>
        <w:t xml:space="preserve">reporting requirements to reduce the reporting burden and improve information</w:t>
      </w:r>
      <w:r>
        <w:t xml:space="preserve"> </w:t>
      </w:r>
      <w:r>
        <w:t xml:space="preserve">sharing. Barriers to information sharing also stem from different interpretations of or gold-</w:t>
      </w:r>
      <w:r>
        <w:t xml:space="preserve"> </w:t>
      </w:r>
      <w:r>
        <w:t xml:space="preserve">plating by some authorities when transposing EU rules. Several respondents noted that the</w:t>
      </w:r>
      <w:r>
        <w:t xml:space="preserve"> </w:t>
      </w:r>
      <w:r>
        <w:t xml:space="preserve">current framework for information sharing is too complex and that a more streamlined</w:t>
      </w:r>
      <w:r>
        <w:t xml:space="preserve"> </w:t>
      </w:r>
      <w:r>
        <w:t xml:space="preserve">approach would be beneficial.</w:t>
      </w:r>
      <w:r>
        <w:t xml:space="preserve"> </w:t>
      </w:r>
      <w:r>
        <w:t xml:space="preserve">In terms of authorisation, 8 out of 21 considered the authorisation procedure for CSDs under</w:t>
      </w:r>
      <w:r>
        <w:t xml:space="preserve"> </w:t>
      </w:r>
      <w:r>
        <w:t xml:space="preserve">the CSDR to be too long and burdensome. Key concerns included the extensive documentation</w:t>
      </w:r>
      <w:r>
        <w:t xml:space="preserve"> </w:t>
      </w:r>
      <w:r>
        <w:t xml:space="preserve">required, complex coordination among multiple authorities, and the absence of standardised</w:t>
      </w:r>
      <w:r>
        <w:t xml:space="preserve"> </w:t>
      </w:r>
      <w:r>
        <w:t xml:space="preserve">timelines. Respondents proposed a range of improvements, including introducing harmonised</w:t>
      </w:r>
      <w:r>
        <w:t xml:space="preserve"> </w:t>
      </w:r>
      <w:r>
        <w:t xml:space="preserve">templates, clear checklists, a centralised digital platform for submissions, introducing a two-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stage process (initial principle approval followed by operational readiness), allowing lighter</w:t>
      </w:r>
      <w:r>
        <w:t xml:space="preserve"> </w:t>
      </w:r>
      <w:r>
        <w:t xml:space="preserve">requirements for smaller or less systemic CSDs, as well as strengthening ESMA’s role to</w:t>
      </w:r>
      <w:r>
        <w:t xml:space="preserve"> </w:t>
      </w:r>
      <w:r>
        <w:t xml:space="preserve">reduce duplication and improving communication between authorities. A few respondents</w:t>
      </w:r>
      <w:r>
        <w:t xml:space="preserve"> </w:t>
      </w:r>
      <w:r>
        <w:t xml:space="preserve">suggested that the development of a harmonised framework for authorisation would help to</w:t>
      </w:r>
      <w:r>
        <w:t xml:space="preserve"> </w:t>
      </w:r>
      <w:r>
        <w:t xml:space="preserve">reduce uncertainty and promote efficiency. Several respondents noted that the current</w:t>
      </w:r>
      <w:r>
        <w:t xml:space="preserve"> </w:t>
      </w:r>
      <w:r>
        <w:t xml:space="preserve">authorisation framework is too rigid and inflexible, and that a more modular approach would</w:t>
      </w:r>
      <w:r>
        <w:t xml:space="preserve"> </w:t>
      </w:r>
      <w:r>
        <w:t xml:space="preserve">be beneficial. Many of these concerns were also mirrored in the case of extensions of CSD</w:t>
      </w:r>
      <w:r>
        <w:t xml:space="preserve"> </w:t>
      </w:r>
      <w:r>
        <w:t xml:space="preserve">authorisations and processes related to outsourcing activities. Two-thirds of respondents</w:t>
      </w:r>
      <w:r>
        <w:t xml:space="preserve"> </w:t>
      </w:r>
      <w:r>
        <w:t xml:space="preserve">indicated these procedures to be too long and burdensome.</w:t>
      </w:r>
      <w:r>
        <w:t xml:space="preserve"> </w:t>
      </w:r>
      <w:r>
        <w:t xml:space="preserve">Approximately half of respondents also highlighted that the procedure for authorising CSDs to</w:t>
      </w:r>
      <w:r>
        <w:t xml:space="preserve"> </w:t>
      </w:r>
      <w:r>
        <w:t xml:space="preserve">provide banking ancillary services is excessively long and burdensome, posing a significant</w:t>
      </w:r>
      <w:r>
        <w:t xml:space="preserve"> </w:t>
      </w:r>
      <w:r>
        <w:t xml:space="preserve">barrier to market participation and innovation.</w:t>
      </w:r>
      <w:r>
        <w:br/>
      </w:r>
      <w:r>
        <w:t xml:space="preserve">Several respondents (approximately one-third) supported the concept of tiered, i.e. per service,</w:t>
      </w:r>
      <w:r>
        <w:t xml:space="preserve"> </w:t>
      </w:r>
      <w:r>
        <w:t xml:space="preserve">authorisation for CSDs to enable proportionate regulation, allowing CSDs offering only one or</w:t>
      </w:r>
      <w:r>
        <w:t xml:space="preserve"> </w:t>
      </w:r>
      <w:r>
        <w:t xml:space="preserve">two core services to comply with tailored requirements. Respondents argued that this would</w:t>
      </w:r>
      <w:r>
        <w:t xml:space="preserve"> </w:t>
      </w:r>
      <w:r>
        <w:t xml:space="preserve">lower entry barriers for smaller or specialised providers, fostering innovation and competition,</w:t>
      </w:r>
      <w:r>
        <w:t xml:space="preserve"> </w:t>
      </w:r>
      <w:r>
        <w:t xml:space="preserve">improving operational efficiency by aligning regulatory obligations with actual risk exposure</w:t>
      </w:r>
      <w:r>
        <w:t xml:space="preserve"> </w:t>
      </w:r>
      <w:r>
        <w:t xml:space="preserve">and allowing flexible expansion by enabling CSDs to add services incrementally without full</w:t>
      </w:r>
      <w:r>
        <w:t xml:space="preserve"> </w:t>
      </w:r>
      <w:r>
        <w:t xml:space="preserve">re-authorisation.</w:t>
      </w:r>
      <w:r>
        <w:br/>
      </w:r>
      <w:r>
        <w:t xml:space="preserve">Interaction with Other EU Legislation: A common thread among the responses is that issues</w:t>
      </w:r>
      <w:r>
        <w:t xml:space="preserve"> </w:t>
      </w:r>
      <w:r>
        <w:t xml:space="preserve">between the CSDR and other EU legislation can create uncertainty, duplication of efforts, and</w:t>
      </w:r>
      <w:r>
        <w:t xml:space="preserve"> </w:t>
      </w:r>
      <w:r>
        <w:t xml:space="preserve">increased compliance costs for market participants.</w:t>
      </w:r>
      <w:r>
        <w:br/>
      </w:r>
      <w:r>
        <w:t xml:space="preserve">Many industry associations and market infrastructures highlighted the need for greater</w:t>
      </w:r>
      <w:r>
        <w:t xml:space="preserve"> </w:t>
      </w:r>
      <w:r>
        <w:t xml:space="preserve">coordination and harmonisation between CSDR and the MiFID II, EMIR, and the SFD. For</w:t>
      </w:r>
      <w:r>
        <w:t xml:space="preserve"> </w:t>
      </w:r>
      <w:r>
        <w:t xml:space="preserve">instance, they pointed to the potential conflict between the provisions of the SFD and CSDR</w:t>
      </w:r>
      <w:r>
        <w:t xml:space="preserve"> </w:t>
      </w:r>
      <w:r>
        <w:t xml:space="preserve">regarding settlement finality and dispute resolution in cases of failed settlements. They also</w:t>
      </w:r>
      <w:r>
        <w:t xml:space="preserve"> </w:t>
      </w:r>
      <w:r>
        <w:t xml:space="preserve">noted that the regulation of trade reporting, transparency, and best execution under MiFID II</w:t>
      </w:r>
      <w:r>
        <w:t xml:space="preserve"> </w:t>
      </w:r>
      <w:r>
        <w:t xml:space="preserve">may sometimes conflict with settlement obligations under CSDR, particularly where settlement</w:t>
      </w:r>
      <w:r>
        <w:t xml:space="preserve"> </w:t>
      </w:r>
      <w:r>
        <w:t xml:space="preserve">cycles and reporting deadlines do not align.</w:t>
      </w:r>
      <w:r>
        <w:br/>
      </w:r>
      <w:r>
        <w:t xml:space="preserve">Some entities emphasised the importance of clarifying the interaction between CSDR and</w:t>
      </w:r>
      <w:r>
        <w:t xml:space="preserve"> </w:t>
      </w:r>
      <w:r>
        <w:t xml:space="preserve">DORA and the Cyber Resilience Act, to avoid duplication of provisions, particularly in areas</w:t>
      </w:r>
      <w:r>
        <w:t xml:space="preserve"> </w:t>
      </w:r>
      <w:r>
        <w:t xml:space="preserve">such as ICT risk management, operational resilience, and cybersecurity.</w:t>
      </w:r>
      <w:r>
        <w:br/>
      </w:r>
      <w:r>
        <w:t xml:space="preserve">Other Issues on Post-Trading: The majority of respondents underscored the need for greater</w:t>
      </w:r>
      <w:r>
        <w:t xml:space="preserve"> </w:t>
      </w:r>
      <w:r>
        <w:t xml:space="preserve">interoperability and harmonisation among post-trade infrastructures, including CSDs and</w:t>
      </w:r>
      <w:r>
        <w:t xml:space="preserve"> </w:t>
      </w:r>
      <w:r>
        <w:t xml:space="preserve">CCPs. Many industry associations and market infrastructures emphasised the importance of</w:t>
      </w:r>
      <w:r>
        <w:t xml:space="preserve"> </w:t>
      </w:r>
      <w:r>
        <w:t xml:space="preserve">interoperability in reducing costs and increasing efficiency in post-trade services. For instance,</w:t>
      </w:r>
      <w:r>
        <w:t xml:space="preserve"> </w:t>
      </w:r>
      <w:r>
        <w:t xml:space="preserve">there was a proposal for the establishment of a European</w:t>
      </w:r>
      <w:r>
        <w:t xml:space="preserve"> </w:t>
      </w:r>
      <w:r>
        <w:t xml:space="preserve">“Interoperability Framework”</w:t>
      </w:r>
      <w:r>
        <w:t xml:space="preserve"> </w:t>
      </w:r>
      <w:r>
        <w:t xml:space="preserve">for</w:t>
      </w:r>
      <w:r>
        <w:t xml:space="preserve"> </w:t>
      </w:r>
      <w:r>
        <w:t xml:space="preserve">CSDs and CCPs, which would enable greater connectivity among national CSDs and facilitate</w:t>
      </w:r>
      <w:r>
        <w:t xml:space="preserve"> </w:t>
      </w:r>
      <w:r>
        <w:t xml:space="preserve">the consolidation of liquidity.</w:t>
      </w:r>
      <w:r>
        <w:br/>
      </w:r>
      <w:r>
        <w:t xml:space="preserve">Several banks, especially those with a significant presence in the EU, argued that the current</w:t>
      </w:r>
      <w:r>
        <w:t xml:space="preserve"> </w:t>
      </w:r>
      <w:r>
        <w:t xml:space="preserve">EU framework for CCPs is in need of reform. suggested that the equivalence regime for third-</w:t>
      </w:r>
      <w:r>
        <w:t xml:space="preserve"> </w:t>
      </w:r>
      <w:r>
        <w:t xml:space="preserve">country CCPs could be optimised through more regular reviews, greater transparency, and</w:t>
      </w:r>
      <w:r>
        <w:t xml:space="preserve"> </w:t>
      </w:r>
      <w:r>
        <w:t xml:space="preserve">clearer communication on pending decisions, and a more risk-based approach to determining</w:t>
      </w:r>
      <w:r>
        <w:t xml:space="preserve"> </w:t>
      </w:r>
      <w:r>
        <w:t xml:space="preserve">the capital treatment of exposures to third-country CCPs.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In contrast, some respondents highlighted the importance of maintaining local capital market</w:t>
      </w:r>
      <w:r>
        <w:t xml:space="preserve"> </w:t>
      </w:r>
      <w:r>
        <w:t xml:space="preserve">ecosystems, citing the need to support small and medium-sized companies that are not typically</w:t>
      </w:r>
      <w:r>
        <w:t xml:space="preserve"> </w:t>
      </w:r>
      <w:r>
        <w:t xml:space="preserve">of interest to foreign institutional investors. These entities, including some market</w:t>
      </w:r>
      <w:r>
        <w:t xml:space="preserve"> </w:t>
      </w:r>
      <w:r>
        <w:t xml:space="preserve">infrastructures and regulatory bodies, emphasised the role of local CSDs in delivering</w:t>
      </w:r>
      <w:r>
        <w:t xml:space="preserve"> </w:t>
      </w:r>
      <w:r>
        <w:t xml:space="preserve">comprehensive services to domestic companies and supporting the development of local capital</w:t>
      </w:r>
      <w:r>
        <w:t xml:space="preserve"> </w:t>
      </w:r>
      <w:r>
        <w:t xml:space="preserve">markets. They argued that the EU should prioritise the development of a harmonised approach</w:t>
      </w:r>
      <w:r>
        <w:t xml:space="preserve"> </w:t>
      </w:r>
      <w:r>
        <w:t xml:space="preserve">to the provision of issuance and asset servicing by third-country CSDs, which would enable</w:t>
      </w:r>
      <w:r>
        <w:t xml:space="preserve"> </w:t>
      </w:r>
      <w:r>
        <w:t xml:space="preserve">greater consistency and clarity for market participants.</w:t>
      </w:r>
      <w:r>
        <w:br/>
      </w:r>
      <w:r>
        <w:t xml:space="preserve">A significant number of respondents, including 70% of the industry associations and 60% of</w:t>
      </w:r>
      <w:r>
        <w:t xml:space="preserve"> </w:t>
      </w:r>
      <w:r>
        <w:t xml:space="preserve">the market infrastructures that responded to the targeted consultation, identified regulatory</w:t>
      </w:r>
      <w:r>
        <w:t xml:space="preserve"> </w:t>
      </w:r>
      <w:r>
        <w:t xml:space="preserve">barriers as a major obstacle to post-trade integration. Specifically, they pointed to the lack of</w:t>
      </w:r>
      <w:r>
        <w:t xml:space="preserve"> </w:t>
      </w:r>
      <w:r>
        <w:t xml:space="preserve">harmonisation in areas such as corporate action processing standards, withholding tax reclaim</w:t>
      </w:r>
      <w:r>
        <w:t xml:space="preserve"> </w:t>
      </w:r>
      <w:r>
        <w:t xml:space="preserve">processes, and insolvency laws. Many entities, particularly those based in the EU’s larger</w:t>
      </w:r>
      <w:r>
        <w:t xml:space="preserve"> </w:t>
      </w:r>
      <w:r>
        <w:t xml:space="preserve">member states, argued that the EU should prioritise the development of a harmonised</w:t>
      </w:r>
      <w:r>
        <w:t xml:space="preserve"> </w:t>
      </w:r>
      <w:r>
        <w:t xml:space="preserve">framework for corporate action processing, which would enable greater consistency and clarity</w:t>
      </w:r>
      <w:r>
        <w:t xml:space="preserve"> </w:t>
      </w:r>
      <w:r>
        <w:t xml:space="preserve">for market participants. They also proposed the introduction of a relief-at-source system, or a</w:t>
      </w:r>
      <w:r>
        <w:t xml:space="preserve"> </w:t>
      </w:r>
      <w:r>
        <w:t xml:space="preserve">pan-EU withholding tax reclaim portal.</w:t>
      </w:r>
      <w:r>
        <w:t xml:space="preserve"> </w:t>
      </w:r>
      <w:r>
        <w:t xml:space="preserve">Operational barriers, such as differences in settlement cycles and messaging protocols, were</w:t>
      </w:r>
      <w:r>
        <w:t xml:space="preserve"> </w:t>
      </w:r>
      <w:r>
        <w:t xml:space="preserve">also identified as a significant challenge by many respondents, including 80% of banks and</w:t>
      </w:r>
      <w:r>
        <w:t xml:space="preserve"> </w:t>
      </w:r>
      <w:r>
        <w:t xml:space="preserve">75% of market infrastructures. These entities, often with a pan-EU presence, emphasised the</w:t>
      </w:r>
      <w:r>
        <w:t xml:space="preserve"> </w:t>
      </w:r>
      <w:r>
        <w:t xml:space="preserve">need for greater standardisation and harmonisation in post-trade processes to reduce costs and</w:t>
      </w:r>
      <w:r>
        <w:t xml:space="preserve"> </w:t>
      </w:r>
      <w:r>
        <w:t xml:space="preserve">increase efficiency.</w:t>
      </w:r>
      <w:r>
        <w:br/>
      </w:r>
      <w:r>
        <w:t xml:space="preserve">3.4. HORIZONTAL BARRIERS TO TRADING AND POST-TRADING INFRASTRUCTURES</w:t>
      </w:r>
      <w:r>
        <w:t xml:space="preserve"> </w:t>
      </w:r>
      <w:r>
        <w:t xml:space="preserve">This section of the consultation covers horizontal barriers and horizontal aspects (innovation)</w:t>
      </w:r>
      <w:r>
        <w:t xml:space="preserve"> </w:t>
      </w:r>
      <w:r>
        <w:t xml:space="preserve">to trading and post-trading.</w:t>
      </w:r>
      <w:r>
        <w:t xml:space="preserve"> </w:t>
      </w:r>
      <w:r>
        <w:t xml:space="preserve">EPTF Barriers to Post-Trade Integration: The targeted consultation gathered extensive</w:t>
      </w:r>
      <w:r>
        <w:t xml:space="preserve"> </w:t>
      </w:r>
      <w:r>
        <w:t xml:space="preserve">stakeholder input on the barriers identified by the European Post Trade Forum (EPTF) in 2017,</w:t>
      </w:r>
      <w:r>
        <w:t xml:space="preserve"> </w:t>
      </w:r>
      <w:r>
        <w:t xml:space="preserve">reaffirming many of the structural inefficiencies in the EU’s post-trade landscape. While views</w:t>
      </w:r>
      <w:r>
        <w:t xml:space="preserve"> </w:t>
      </w:r>
      <w:r>
        <w:t xml:space="preserve">varied in intensity, several recurrent themes emerged, including the need for harmonisation,</w:t>
      </w:r>
      <w:r>
        <w:t xml:space="preserve"> </w:t>
      </w:r>
      <w:r>
        <w:t xml:space="preserve">simplification, digitalisation, and legal certainty. Responses also indicate differentiated</w:t>
      </w:r>
      <w:r>
        <w:t xml:space="preserve"> </w:t>
      </w:r>
      <w:r>
        <w:t xml:space="preserve">urgency across barriers, often reflecting the degree of market integration, operational</w:t>
      </w:r>
      <w:r>
        <w:t xml:space="preserve"> </w:t>
      </w:r>
      <w:r>
        <w:t xml:space="preserve">complexity, and relevance for cross-border activity.</w:t>
      </w:r>
      <w:r>
        <w:br/>
      </w:r>
      <w:r>
        <w:t xml:space="preserve">High-urgency barriers: Stakeholders strongly endorsed action on several long-standing issues,</w:t>
      </w:r>
      <w:r>
        <w:t xml:space="preserve"> </w:t>
      </w:r>
      <w:r>
        <w:t xml:space="preserve">beginning with fragmented corporate actions and general meeting processes, with 43.5% of 46</w:t>
      </w:r>
      <w:r>
        <w:t xml:space="preserve"> </w:t>
      </w:r>
      <w:r>
        <w:t xml:space="preserve">respondents rating it of high urgency and among the most pressing issues. Likewise,</w:t>
      </w:r>
      <w:r>
        <w:t xml:space="preserve"> </w:t>
      </w:r>
      <w:r>
        <w:t xml:space="preserve">respondents underscored the inefficient cross-border withholding tax collection procedure,</w:t>
      </w:r>
      <w:r>
        <w:t xml:space="preserve"> </w:t>
      </w:r>
      <w:r>
        <w:t xml:space="preserve">with 55.3% of 47 respondents deeming it highly urgent, as reclaim procedures remain slow,</w:t>
      </w:r>
      <w:r>
        <w:t xml:space="preserve"> </w:t>
      </w:r>
      <w:r>
        <w:t xml:space="preserve">costly, and inaccessible—especially for retail investors. While the FASTER Directive is</w:t>
      </w:r>
      <w:r>
        <w:t xml:space="preserve"> </w:t>
      </w:r>
      <w:r>
        <w:t xml:space="preserve">welcomed, many deem it insufficient and push for a relief-at-source mechanism or even</w:t>
      </w:r>
      <w:r>
        <w:t xml:space="preserve"> </w:t>
      </w:r>
      <w:r>
        <w:t xml:space="preserve">abolition of withholding taxes on EU-sourced investment income.</w:t>
      </w:r>
      <w:r>
        <w:br/>
      </w:r>
      <w:r>
        <w:t xml:space="preserve">Legal fragmentation in asset ownership, registration, and segregation: Legal uncertainty</w:t>
      </w:r>
      <w:r>
        <w:t xml:space="preserve"> </w:t>
      </w:r>
      <w:r>
        <w:t xml:space="preserve">remains a persistent obstacle to market integration and cross-border investments. Stakeholders</w:t>
      </w:r>
      <w:r>
        <w:t xml:space="preserve"> </w:t>
      </w:r>
      <w:r>
        <w:t xml:space="preserve">called for harmonisation of rules related to asset segregation, shareholder registration and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identification (rated as highly urgent by 43.5% of 46 respondents), ownership of book-entry</w:t>
      </w:r>
      <w:r>
        <w:t xml:space="preserve"> </w:t>
      </w:r>
      <w:r>
        <w:t xml:space="preserve">securities (uncertainties surrounding nominee structures, platform custody, and cross-border</w:t>
      </w:r>
      <w:r>
        <w:t xml:space="preserve"> </w:t>
      </w:r>
      <w:r>
        <w:t xml:space="preserve">transfers), and investor protection (investor protection and asset recovery mechanisms remain</w:t>
      </w:r>
      <w:r>
        <w:t xml:space="preserve"> </w:t>
      </w:r>
      <w:r>
        <w:t xml:space="preserve">inconsistent across Member States). Regarding inconsistent asset segregation rules, 41.9% of</w:t>
      </w:r>
      <w:r>
        <w:t xml:space="preserve"> </w:t>
      </w:r>
      <w:r>
        <w:t xml:space="preserve">43 respondents saw high urgency in addressing divergent national approaches that increase</w:t>
      </w:r>
      <w:r>
        <w:t xml:space="preserve"> </w:t>
      </w:r>
      <w:r>
        <w:t xml:space="preserve">costs and risks. The lack of clarity on enforceability in cross-border settings was highlighted,</w:t>
      </w:r>
      <w:r>
        <w:t xml:space="preserve"> </w:t>
      </w:r>
      <w:r>
        <w:t xml:space="preserve">with respondents advocating for a harmonised legal baseline. Some raised concerns over</w:t>
      </w:r>
      <w:r>
        <w:t xml:space="preserve"> </w:t>
      </w:r>
      <w:r>
        <w:t xml:space="preserve">operational risks tied to neo-brokerage and pooled sub-nominee arrangements, calling for</w:t>
      </w:r>
      <w:r>
        <w:t xml:space="preserve"> </w:t>
      </w:r>
      <w:r>
        <w:t xml:space="preserve">DORA enforcement and regulatory clarity.</w:t>
      </w:r>
      <w:r>
        <w:t xml:space="preserve"> </w:t>
      </w:r>
      <w:r>
        <w:t xml:space="preserve">Lack of convergence and harmonisation in information messaging standards remain an issue</w:t>
      </w:r>
      <w:r>
        <w:t xml:space="preserve"> </w:t>
      </w:r>
      <w:r>
        <w:t xml:space="preserve">despite standardisation efforts have advanced. Stakeholders highlighted inconsistent uptake</w:t>
      </w:r>
      <w:r>
        <w:t xml:space="preserve"> </w:t>
      </w:r>
      <w:r>
        <w:t xml:space="preserve">across domains and markets in messaging and reference data, especially in non-T2S</w:t>
      </w:r>
      <w:r>
        <w:t xml:space="preserve"> </w:t>
      </w:r>
      <w:r>
        <w:t xml:space="preserve">jurisdictions.</w:t>
      </w:r>
      <w:r>
        <w:br/>
      </w:r>
      <w:r>
        <w:t xml:space="preserve">Issues regarding reference data and standardised identifiers were seen as less urgent (high</w:t>
      </w:r>
      <w:r>
        <w:t xml:space="preserve"> </w:t>
      </w:r>
      <w:r>
        <w:t xml:space="preserve">urgency only for 14.6% of respondents) but drew support for broader use of global identifiers.</w:t>
      </w:r>
      <w:r>
        <w:t xml:space="preserve"> </w:t>
      </w:r>
      <w:r>
        <w:t xml:space="preserve">Stakeholders reported progress in LEI adoption but flagged licensing costs and gaps in</w:t>
      </w:r>
      <w:r>
        <w:t xml:space="preserve"> </w:t>
      </w:r>
      <w:r>
        <w:t xml:space="preserve">standardisation. Some also raised interoperability concerns for crowdfunding platforms and</w:t>
      </w:r>
      <w:r>
        <w:t xml:space="preserve"> </w:t>
      </w:r>
      <w:r>
        <w:t xml:space="preserve">DLT-based markets, pointing to the need for common identifiers (LEI, ISIN, and CFI).</w:t>
      </w:r>
      <w:r>
        <w:br/>
      </w:r>
      <w:r>
        <w:t xml:space="preserve">Harmonisation of ETF post-trade processes was deemed less urgent (19.1% of 47 respondents</w:t>
      </w:r>
      <w:r>
        <w:t xml:space="preserve"> </w:t>
      </w:r>
      <w:r>
        <w:t xml:space="preserve">sees it as highly urgent), although stakeholders noted that the lack of a harmonised processing</w:t>
      </w:r>
      <w:r>
        <w:t xml:space="preserve"> </w:t>
      </w:r>
      <w:r>
        <w:t xml:space="preserve">model impedes cross-border investment. Some called for alignment with UCITS and MiFID,</w:t>
      </w:r>
      <w:r>
        <w:t xml:space="preserve"> </w:t>
      </w:r>
      <w:r>
        <w:t xml:space="preserve">but most viewed this as a niche issue affecting specific market participants. Post-trade reporting</w:t>
      </w:r>
      <w:r>
        <w:t xml:space="preserve"> </w:t>
      </w:r>
      <w:r>
        <w:t xml:space="preserve">and supervisory complexity</w:t>
      </w:r>
      <w:r>
        <w:br/>
      </w:r>
      <w:r>
        <w:t xml:space="preserve">Stakeholders broadly agreed on the need to simplify the EU’s complex post-trade reporting</w:t>
      </w:r>
      <w:r>
        <w:t xml:space="preserve"> </w:t>
      </w:r>
      <w:r>
        <w:t xml:space="preserve">structure. The targeted consultation revealed dissatisfaction with fragmented requirements</w:t>
      </w:r>
      <w:r>
        <w:t xml:space="preserve"> </w:t>
      </w:r>
      <w:r>
        <w:t xml:space="preserve">across EMIR, MiFIR, SFTR, and CSDR (with 29.8% of the 47 respondents ranking it as highly</w:t>
      </w:r>
      <w:r>
        <w:t xml:space="preserve"> </w:t>
      </w:r>
      <w:r>
        <w:t xml:space="preserve">urgent and 21.3% of medium urgency). Respondents endorsed a harmonised or single-sided</w:t>
      </w:r>
      <w:r>
        <w:t xml:space="preserve"> </w:t>
      </w:r>
      <w:r>
        <w:t xml:space="preserve">framework and recommended eliminating redundant fields, enhancing machine-readability,</w:t>
      </w:r>
      <w:r>
        <w:t xml:space="preserve"> </w:t>
      </w:r>
      <w:r>
        <w:t xml:space="preserve">and consolidating supervisory oversight. The importance of adopting universal identifiers to</w:t>
      </w:r>
      <w:r>
        <w:t xml:space="preserve"> </w:t>
      </w:r>
      <w:r>
        <w:t xml:space="preserve">support automation and interoperability was stressed.</w:t>
      </w:r>
      <w:r>
        <w:br/>
      </w:r>
      <w:r>
        <w:t xml:space="preserve">Legal uncertainty in risk and default procedures: No significant concerns regarding legal</w:t>
      </w:r>
      <w:r>
        <w:t xml:space="preserve"> </w:t>
      </w:r>
      <w:r>
        <w:t xml:space="preserve">soundness of CCP default management and intermediary risk mitigation were raised (only 10%</w:t>
      </w:r>
      <w:r>
        <w:t xml:space="preserve"> </w:t>
      </w:r>
      <w:r>
        <w:t xml:space="preserve">of respondents saw it as highly urgent). However, respondents did call for continued oversight</w:t>
      </w:r>
      <w:r>
        <w:t xml:space="preserve"> </w:t>
      </w:r>
      <w:r>
        <w:t xml:space="preserve">and safeguards like asset portability and client transparency. On the shortcoming related to</w:t>
      </w:r>
      <w:r>
        <w:t xml:space="preserve"> </w:t>
      </w:r>
      <w:r>
        <w:t xml:space="preserve">different understanding, within the EU, under the Settlement Finality Directive (SFD) of the</w:t>
      </w:r>
      <w:r>
        <w:t xml:space="preserve"> </w:t>
      </w:r>
      <w:r>
        <w:t xml:space="preserve">actual moment of finality of transfers, and to protect Delivery versus Payment, stakeholders</w:t>
      </w:r>
      <w:r>
        <w:t xml:space="preserve"> </w:t>
      </w:r>
      <w:r>
        <w:t xml:space="preserve">consider it technically important but not operationally pressing (only 12.2% of 41 respondents</w:t>
      </w:r>
      <w:r>
        <w:t xml:space="preserve"> </w:t>
      </w:r>
      <w:r>
        <w:t xml:space="preserve">deemed it highly urgent). While existing SFD rules work well for most systems, some edge</w:t>
      </w:r>
      <w:r>
        <w:t xml:space="preserve"> </w:t>
      </w:r>
      <w:r>
        <w:t xml:space="preserve">cases (e.g., insolvency law conflicts, blockchain systems) need clarification.</w:t>
      </w:r>
      <w:r>
        <w:br/>
      </w:r>
      <w:r>
        <w:t xml:space="preserve">Collateral mobility and cross-currency settlement barriers: The lack of collateral mobility (the</w:t>
      </w:r>
      <w:r>
        <w:t xml:space="preserve"> </w:t>
      </w:r>
      <w:r>
        <w:t xml:space="preserve">ability to move collateral efficiently between counterparties, markets and accounts) was rated</w:t>
      </w:r>
      <w:r>
        <w:t xml:space="preserve"> </w:t>
      </w:r>
      <w:r>
        <w:t xml:space="preserve">by the majority of respondents (37.52% of 41 respondents) as highly urgent. While recent</w:t>
      </w:r>
      <w:r>
        <w:t xml:space="preserve"> </w:t>
      </w:r>
      <w:r>
        <w:t xml:space="preserve">initiatives (e.g., T2S, ECMS) have improved collateral flows, legal and operational</w:t>
      </w:r>
      <w:r>
        <w:t xml:space="preserve"> </w:t>
      </w:r>
      <w:r>
        <w:t xml:space="preserve">fragmentation persist. Respondents urged harmonisation of settlement processes and tri-party</w:t>
      </w:r>
      <w:r>
        <w:t xml:space="preserve"> </w:t>
      </w:r>
      <w:r>
        <w:t xml:space="preserve">interoperability. Likewise, restrictions imposed by the CSDR on settlement agents could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constitute an obstacle to the provision of cross-border delivery versus payment services in non-</w:t>
      </w:r>
      <w:r>
        <w:t xml:space="preserve"> </w:t>
      </w:r>
      <w:r>
        <w:t xml:space="preserve">domestic currencies by CSDs (high urgency for 15.4% of the respondents). The lack of such</w:t>
      </w:r>
      <w:r>
        <w:t xml:space="preserve"> </w:t>
      </w:r>
      <w:r>
        <w:t xml:space="preserve">capabilities in most EU CSDs limits collateral management and international issuance. Calls</w:t>
      </w:r>
      <w:r>
        <w:t xml:space="preserve"> </w:t>
      </w:r>
      <w:r>
        <w:t xml:space="preserve">were made for scalable, harmonised solutions.</w:t>
      </w:r>
      <w:r>
        <w:br/>
      </w:r>
      <w:r>
        <w:t xml:space="preserve">National restrictions and fragmented infrastructures: Some stakeholders called for vigilance</w:t>
      </w:r>
      <w:r>
        <w:t xml:space="preserve"> </w:t>
      </w:r>
      <w:r>
        <w:t xml:space="preserve">against emerging restrictions. The issue of fragmented CCPs/CSDs was once again raised, with</w:t>
      </w:r>
      <w:r>
        <w:t xml:space="preserve"> </w:t>
      </w:r>
      <w:r>
        <w:t xml:space="preserve">comparisons drawn to the more unified US post-trade environment (e.g., DTCC and OCC).</w:t>
      </w:r>
      <w:r>
        <w:t xml:space="preserve"> </w:t>
      </w:r>
      <w:r>
        <w:t xml:space="preserve">Respondents argued for radical simplification of infrastructure to reduce costs and systemic</w:t>
      </w:r>
      <w:r>
        <w:t xml:space="preserve"> </w:t>
      </w:r>
      <w:r>
        <w:t xml:space="preserve">risk.</w:t>
      </w:r>
      <w:r>
        <w:br/>
      </w:r>
      <w:r>
        <w:t xml:space="preserve">Cross-border operational synergies between entities: This section revealed a broad range of</w:t>
      </w:r>
      <w:r>
        <w:t xml:space="preserve"> </w:t>
      </w:r>
      <w:r>
        <w:t xml:space="preserve">stakeholder perspectives on the adequacy and effectiveness of the EU regulatory and</w:t>
      </w:r>
      <w:r>
        <w:t xml:space="preserve"> </w:t>
      </w:r>
      <w:r>
        <w:t xml:space="preserve">supervisory framework governing outsourcing and intra-group synergies, in trading and post-</w:t>
      </w:r>
      <w:r>
        <w:t xml:space="preserve"> </w:t>
      </w:r>
      <w:r>
        <w:t xml:space="preserve">trading infrastructures, in particular Central Securities Depositories (CSDs). A recurring theme</w:t>
      </w:r>
      <w:r>
        <w:t xml:space="preserve"> </w:t>
      </w:r>
      <w:r>
        <w:t xml:space="preserve">across the responses is the need for greater proportionality, harmonisation, and clarity in the</w:t>
      </w:r>
      <w:r>
        <w:t xml:space="preserve"> </w:t>
      </w:r>
      <w:r>
        <w:t xml:space="preserve">treatment of intra-group outsourcing and cross-border activities, along with a more targeted</w:t>
      </w:r>
      <w:r>
        <w:t xml:space="preserve"> </w:t>
      </w:r>
      <w:r>
        <w:t xml:space="preserve">approach to CSD consolidation that recognises market realities.</w:t>
      </w:r>
      <w:r>
        <w:br/>
      </w:r>
      <w:r>
        <w:t xml:space="preserve">Stakeholders underscored the lack of consistent application of outsourcing rules across EU</w:t>
      </w:r>
      <w:r>
        <w:t xml:space="preserve"> </w:t>
      </w:r>
      <w:r>
        <w:t xml:space="preserve">Member States, resulting in regulatory fragmentation and unequal compliance burdens. Many</w:t>
      </w:r>
      <w:r>
        <w:t xml:space="preserve"> </w:t>
      </w:r>
      <w:r>
        <w:t xml:space="preserve">respondents identified challenges in outsourcing to third-country service providers, including</w:t>
      </w:r>
      <w:r>
        <w:t xml:space="preserve"> </w:t>
      </w:r>
      <w:r>
        <w:t xml:space="preserve">legal, operational, and data access risks. These challenges were perceived as exacerbated by</w:t>
      </w:r>
      <w:r>
        <w:t xml:space="preserve"> </w:t>
      </w:r>
      <w:r>
        <w:t xml:space="preserve">the absence of clear equivalence criteria and oversight mechanisms. Intra-group outsourcing</w:t>
      </w:r>
      <w:r>
        <w:t xml:space="preserve"> </w:t>
      </w:r>
      <w:r>
        <w:t xml:space="preserve">was also flagged as an area in need of differentiation, as current frameworks often fail to</w:t>
      </w:r>
      <w:r>
        <w:t xml:space="preserve"> </w:t>
      </w:r>
      <w:r>
        <w:t xml:space="preserve">distinguish between intra-group and third-party arrangements, leading to unnecessarily</w:t>
      </w:r>
      <w:r>
        <w:t xml:space="preserve"> </w:t>
      </w:r>
      <w:r>
        <w:t xml:space="preserve">burdensome requirements. Furthermore, stakeholders criticised the complexity and overlap of</w:t>
      </w:r>
      <w:r>
        <w:t xml:space="preserve"> </w:t>
      </w:r>
      <w:r>
        <w:t xml:space="preserve">various regulations and guidelines—such as those under CSDR, DORA, and from</w:t>
      </w:r>
      <w:r>
        <w:t xml:space="preserve"> </w:t>
      </w:r>
      <w:r>
        <w:t xml:space="preserve">ESMA/EBA—which collectively increase the operational and compliance costs of</w:t>
      </w:r>
      <w:r>
        <w:t xml:space="preserve"> </w:t>
      </w:r>
      <w:r>
        <w:t xml:space="preserve">outsourcing. Another concern related to the absence of a formal definition of</w:t>
      </w:r>
      <w:r>
        <w:t xml:space="preserve"> </w:t>
      </w:r>
      <w:r>
        <w:t xml:space="preserve">“Group Entity,”</w:t>
      </w:r>
      <w:r>
        <w:t xml:space="preserve"> </w:t>
      </w:r>
      <w:r>
        <w:t xml:space="preserve">which complicates the supervisory treatment of intra-group arrangements and results in</w:t>
      </w:r>
      <w:r>
        <w:t xml:space="preserve"> </w:t>
      </w:r>
      <w:r>
        <w:t xml:space="preserve">inefficiencies.</w:t>
      </w:r>
      <w:r>
        <w:br/>
      </w:r>
      <w:r>
        <w:t xml:space="preserve">Turning to intra-group synergies in trading and post-trading infrastructures, stakeholders</w:t>
      </w:r>
      <w:r>
        <w:t xml:space="preserve"> </w:t>
      </w:r>
      <w:r>
        <w:t xml:space="preserve">emphasised the burdensome nature of applying third-party outsourcing rules to intra-group</w:t>
      </w:r>
      <w:r>
        <w:t xml:space="preserve"> </w:t>
      </w:r>
      <w:r>
        <w:t xml:space="preserve">arrangements, especially in areas such as CSDR and banking legislation. In particular,</w:t>
      </w:r>
      <w:r>
        <w:t xml:space="preserve"> </w:t>
      </w:r>
      <w:r>
        <w:t xml:space="preserve">respondents pointed to regulatory duplication and the lack of flexibility in applying rules across</w:t>
      </w:r>
      <w:r>
        <w:t xml:space="preserve"> </w:t>
      </w:r>
      <w:r>
        <w:t xml:space="preserve">borders as limiting their ability to centralise operations or adopt innovative technologies such</w:t>
      </w:r>
      <w:r>
        <w:t xml:space="preserve"> </w:t>
      </w:r>
      <w:r>
        <w:t xml:space="preserve">as cloud computing. Many advocated for greater proportionality and flexibility, with specific</w:t>
      </w:r>
      <w:r>
        <w:t xml:space="preserve"> </w:t>
      </w:r>
      <w:r>
        <w:t xml:space="preserve">calls to distinguish intra-group from third-party outsourcing in relevant EU rules.</w:t>
      </w:r>
      <w:r>
        <w:br/>
      </w:r>
      <w:r>
        <w:t xml:space="preserve">Barriers to the consolidation of CSD functions at the group level were explored. Among the 14</w:t>
      </w:r>
      <w:r>
        <w:t xml:space="preserve"> </w:t>
      </w:r>
      <w:r>
        <w:t xml:space="preserve">respondents, 57.1% cited legal barriers in national law was indicated as a major obstacle,</w:t>
      </w:r>
      <w:r>
        <w:t xml:space="preserve"> </w:t>
      </w:r>
      <w:r>
        <w:t xml:space="preserve">together with EU legal acts, the CSDR itself, and other structural constraints. Supervisory and</w:t>
      </w:r>
      <w:r>
        <w:t xml:space="preserve"> </w:t>
      </w:r>
      <w:r>
        <w:t xml:space="preserve">technical barriers (28.6%) of respondents) as well as market practices (14.3%) were also</w:t>
      </w:r>
      <w:r>
        <w:t xml:space="preserve"> </w:t>
      </w:r>
      <w:r>
        <w:t xml:space="preserve">mentioned by respondents. The main challenges identified relate to the fragmented</w:t>
      </w:r>
      <w:r>
        <w:t xml:space="preserve"> </w:t>
      </w:r>
      <w:r>
        <w:t xml:space="preserve">implementation of key EU legislation (including CSDR, DORA, EMIR, and MiFID II) across</w:t>
      </w:r>
      <w:r>
        <w:t xml:space="preserve"> </w:t>
      </w:r>
      <w:r>
        <w:t xml:space="preserve">Member States, which generates uncertainty and limits cross-border operational efficiency.</w:t>
      </w:r>
      <w:r>
        <w:t xml:space="preserve"> </w:t>
      </w:r>
      <w:r>
        <w:t xml:space="preserve">Many respondents endorsed the need for further harmonisation, especially in allowing CSDs</w:t>
      </w:r>
      <w:r>
        <w:t xml:space="preserve"> </w:t>
      </w:r>
      <w:r>
        <w:t xml:space="preserve">to provide ancillary services like FX and non-euro settlement without requiring full banking</w:t>
      </w:r>
      <w:r>
        <w:t xml:space="preserve"> </w:t>
      </w:r>
      <w:r>
        <w:t xml:space="preserve">licenses. Furthermore, stakeholders noted that passporting remains impractical due to divergent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national interpretations, while the Settlement Discipline Regime was viewed as a source of</w:t>
      </w:r>
      <w:r>
        <w:t xml:space="preserve"> </w:t>
      </w:r>
      <w:r>
        <w:t xml:space="preserve">operational uncertainty. Although some respondents supported the use of structural and</w:t>
      </w:r>
      <w:r>
        <w:t xml:space="preserve"> </w:t>
      </w:r>
      <w:r>
        <w:t xml:space="preserve">technological reforms (e.g. blockchain) to drive efficiency, others argued against</w:t>
      </w:r>
      <w:r>
        <w:t xml:space="preserve"> </w:t>
      </w:r>
      <w:r>
        <w:t xml:space="preserve">administrative consolidation calling for a market driven process that respect the diversity of</w:t>
      </w:r>
      <w:r>
        <w:t xml:space="preserve"> </w:t>
      </w:r>
      <w:r>
        <w:t xml:space="preserve">existing CSD models.</w:t>
      </w:r>
      <w:r>
        <w:t xml:space="preserve"> </w:t>
      </w:r>
      <w:r>
        <w:t xml:space="preserve">Reporting under CSDR is seen as an obstacle to consolidation only by 6.5% of the 31</w:t>
      </w:r>
      <w:r>
        <w:t xml:space="preserve"> </w:t>
      </w:r>
      <w:r>
        <w:t xml:space="preserve">respondents. Several respondents indicated that they do not favour consolidation at all, arguing</w:t>
      </w:r>
      <w:r>
        <w:t xml:space="preserve"> </w:t>
      </w:r>
      <w:r>
        <w:t xml:space="preserve">that the cost of using national CSDs is lower for clients than relying on international CSDs.</w:t>
      </w:r>
      <w:r>
        <w:t xml:space="preserve"> </w:t>
      </w:r>
      <w:r>
        <w:t xml:space="preserve">Others advocated for enhancing interoperability between national CSDs rather than</w:t>
      </w:r>
      <w:r>
        <w:t xml:space="preserve"> </w:t>
      </w:r>
      <w:r>
        <w:t xml:space="preserve">consolidating them. A majority noted that, provided the consolidating entity is a CSD with</w:t>
      </w:r>
      <w:r>
        <w:t xml:space="preserve"> </w:t>
      </w:r>
      <w:r>
        <w:t xml:space="preserve">appropriate authorisations, legal or regulatory barriers to consolidation were not apparent in</w:t>
      </w:r>
      <w:r>
        <w:t xml:space="preserve"> </w:t>
      </w:r>
      <w:r>
        <w:t xml:space="preserve">practice.</w:t>
      </w:r>
      <w:r>
        <w:br/>
      </w:r>
      <w:r>
        <w:t xml:space="preserve">Similarly, when asked about organisational requirements, such as outsourcing obligations</w:t>
      </w:r>
      <w:r>
        <w:t xml:space="preserve"> </w:t>
      </w:r>
      <w:r>
        <w:t xml:space="preserve">under the CSDR, only 12.1% of the 33 respondents perceive these to be barriers to</w:t>
      </w:r>
      <w:r>
        <w:t xml:space="preserve"> </w:t>
      </w:r>
      <w:r>
        <w:t xml:space="preserve">consolidation due to the diverging national interpretations of these requirements, which</w:t>
      </w:r>
      <w:r>
        <w:t xml:space="preserve"> </w:t>
      </w:r>
      <w:r>
        <w:t xml:space="preserve">complicate group-wide operations. Again, respondents reiterated that national CSDs often</w:t>
      </w:r>
      <w:r>
        <w:t xml:space="preserve"> </w:t>
      </w:r>
      <w:r>
        <w:t xml:space="preserve">deliver more cost-efficient services and that interoperability, rather than full consolidation,</w:t>
      </w:r>
      <w:r>
        <w:t xml:space="preserve"> </w:t>
      </w:r>
      <w:r>
        <w:t xml:space="preserve">would better serve client needs.</w:t>
      </w:r>
      <w:r>
        <w:br/>
      </w:r>
      <w:r>
        <w:t xml:space="preserve">On the supervisory and oversight framework for CSDs, the 30 respondents were similarly</w:t>
      </w:r>
      <w:r>
        <w:t xml:space="preserve"> </w:t>
      </w:r>
      <w:r>
        <w:t xml:space="preserve">divided. A few respondents acknowledged that the establishment of supervisory colleges under</w:t>
      </w:r>
      <w:r>
        <w:t xml:space="preserve"> </w:t>
      </w:r>
      <w:r>
        <w:t xml:space="preserve">CSDR had improved coordination, while many praised the CSDR Refit’s introduction of a</w:t>
      </w:r>
      <w:r>
        <w:t xml:space="preserve"> </w:t>
      </w:r>
      <w:r>
        <w:t xml:space="preserve">single supervisory decision-maker as a positive development—especially in relation to</w:t>
      </w:r>
      <w:r>
        <w:t xml:space="preserve"> </w:t>
      </w:r>
      <w:r>
        <w:t xml:space="preserve">passporting. This single point of supervisory decision-making was widely considered a best</w:t>
      </w:r>
      <w:r>
        <w:t xml:space="preserve"> </w:t>
      </w:r>
      <w:r>
        <w:t xml:space="preserve">practice and should be more broadly applied. Some participants suggested that a future review</w:t>
      </w:r>
      <w:r>
        <w:t xml:space="preserve"> </w:t>
      </w:r>
      <w:r>
        <w:t xml:space="preserve">of CSDR could provide an opportunity to formalise supervisory cooperation among Member</w:t>
      </w:r>
      <w:r>
        <w:t xml:space="preserve"> </w:t>
      </w:r>
      <w:r>
        <w:t xml:space="preserve">States and with equivalent third countries. Stakeholders generally advised caution against full</w:t>
      </w:r>
      <w:r>
        <w:t xml:space="preserve"> </w:t>
      </w:r>
      <w:r>
        <w:t xml:space="preserve">consolidation and encouraged further enhancements to interoperability frameworks instead.</w:t>
      </w:r>
      <w:r>
        <w:br/>
      </w:r>
      <w:r>
        <w:t xml:space="preserve">In conclusion, the consultation responses point to a consistent demand for proportionality,</w:t>
      </w:r>
      <w:r>
        <w:t xml:space="preserve"> </w:t>
      </w:r>
      <w:r>
        <w:t xml:space="preserve">simplification, and improved cross-border coherence in the EU’s regulatory approach to</w:t>
      </w:r>
      <w:r>
        <w:t xml:space="preserve"> </w:t>
      </w:r>
      <w:r>
        <w:t xml:space="preserve">outsourcing and consolidation within trading and post-trading infrastructures. While there is</w:t>
      </w:r>
      <w:r>
        <w:t xml:space="preserve"> </w:t>
      </w:r>
      <w:r>
        <w:t xml:space="preserve">no consensus on the desirability of consolidating CSDs per se, most stakeholders agree that</w:t>
      </w:r>
      <w:r>
        <w:t xml:space="preserve"> </w:t>
      </w:r>
      <w:r>
        <w:t xml:space="preserve">improvements in supervisory convergence, regulatory clarity, and the treatment of intra-group</w:t>
      </w:r>
      <w:r>
        <w:t xml:space="preserve"> </w:t>
      </w:r>
      <w:r>
        <w:t xml:space="preserve">arrangements are essential to enable operational efficiencies and market integration, without</w:t>
      </w:r>
      <w:r>
        <w:t xml:space="preserve"> </w:t>
      </w:r>
      <w:r>
        <w:t xml:space="preserve">imposing unnecessary burdens or undermining national market structures.</w:t>
      </w:r>
      <w:r>
        <w:br/>
      </w:r>
      <w:r>
        <w:t xml:space="preserve">Complexity of issuance process: The issuance process for securities and other financial</w:t>
      </w:r>
      <w:r>
        <w:t xml:space="preserve"> </w:t>
      </w:r>
      <w:r>
        <w:t xml:space="preserve">instruments in the EU is complex and fragmented, with various barriers and obstacles that</w:t>
      </w:r>
      <w:r>
        <w:t xml:space="preserve"> </w:t>
      </w:r>
      <w:r>
        <w:t xml:space="preserve">hinder its efficiency and effectiveness. The main barriers identified by respondents include</w:t>
      </w:r>
      <w:r>
        <w:t xml:space="preserve"> </w:t>
      </w:r>
      <w:r>
        <w:t xml:space="preserve">regulatory fragmentation, lack of standardization, and manual processes, which create</w:t>
      </w:r>
      <w:r>
        <w:t xml:space="preserve"> </w:t>
      </w:r>
      <w:r>
        <w:t xml:space="preserve">inefficiencies and increase operational risk. The lack of harmonization in areas such as investor</w:t>
      </w:r>
      <w:r>
        <w:t xml:space="preserve"> </w:t>
      </w:r>
      <w:r>
        <w:t xml:space="preserve">identification and classification, data exchange, and underwriting services also contributes to</w:t>
      </w:r>
      <w:r>
        <w:t xml:space="preserve"> </w:t>
      </w:r>
      <w:r>
        <w:t xml:space="preserve">the complexity of the issuance process.</w:t>
      </w:r>
      <w:r>
        <w:br/>
      </w:r>
      <w:r>
        <w:t xml:space="preserve">Respondents highlighted the need for increased standardisation, harmonisation, and</w:t>
      </w:r>
      <w:r>
        <w:t xml:space="preserve"> </w:t>
      </w:r>
      <w:r>
        <w:t xml:space="preserve">digitalisation of processes, as well as the adoption of common data standards and regulatory</w:t>
      </w:r>
      <w:r>
        <w:t xml:space="preserve"> </w:t>
      </w:r>
      <w:r>
        <w:t xml:space="preserve">requirements across Member States. The use of technologies like AI and digitalisation could</w:t>
      </w:r>
      <w:r>
        <w:t xml:space="preserve"> </w:t>
      </w:r>
      <w:r>
        <w:t xml:space="preserve">help automate and improve the issuance process, reducing costs and increasing efficiency.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However, the lack of a harmonized EU framework for digital securities and the limited use of</w:t>
      </w:r>
      <w:r>
        <w:t xml:space="preserve"> </w:t>
      </w:r>
      <w:r>
        <w:t xml:space="preserve">standardised digital identities for issuers and investors are significant barriers to the</w:t>
      </w:r>
      <w:r>
        <w:t xml:space="preserve"> </w:t>
      </w:r>
      <w:r>
        <w:t xml:space="preserve">development of digital issuance models.</w:t>
      </w:r>
      <w:r>
        <w:br/>
      </w:r>
      <w:r>
        <w:t xml:space="preserve">The market for underwriting services is characterized by high fees, limited transparency, and</w:t>
      </w:r>
      <w:r>
        <w:t xml:space="preserve"> </w:t>
      </w:r>
      <w:r>
        <w:t xml:space="preserve">limited competition, making it difficult for smaller or first-time issuers to access capital</w:t>
      </w:r>
      <w:r>
        <w:t xml:space="preserve"> </w:t>
      </w:r>
      <w:r>
        <w:t xml:space="preserve">markets.</w:t>
      </w:r>
      <w:r>
        <w:t xml:space="preserve"> </w:t>
      </w:r>
      <w:r>
        <w:t xml:space="preserve">To improve the issuance process, respondents recommended a range of measures:</w:t>
      </w:r>
      <w:r>
        <w:br/>
      </w:r>
      <w:r>
        <w:t xml:space="preserve">harmonisation of regulatory requirements and data standards across Member States; greater</w:t>
      </w:r>
      <w:r>
        <w:t xml:space="preserve"> </w:t>
      </w:r>
      <w:r>
        <w:t xml:space="preserve">use of digital technologies; improving transparency in fee structures and underwriting services;</w:t>
      </w:r>
      <w:r>
        <w:t xml:space="preserve"> </w:t>
      </w:r>
      <w:r>
        <w:t xml:space="preserve">the development of a harmonised EU framework for digital securities and the adoption of</w:t>
      </w:r>
      <w:r>
        <w:t xml:space="preserve"> </w:t>
      </w:r>
      <w:r>
        <w:t xml:space="preserve">standardised digital identities for issuers and investors; the creation of a pan-European platform</w:t>
      </w:r>
      <w:r>
        <w:t xml:space="preserve"> </w:t>
      </w:r>
      <w:r>
        <w:t xml:space="preserve">for debt instruments; and standardisation of data exchange formats and protocols. Enhancing</w:t>
      </w:r>
      <w:r>
        <w:t xml:space="preserve"> </w:t>
      </w:r>
      <w:r>
        <w:t xml:space="preserve">the efficiency of the settlement process and reducing the complexity of issuance procedures,</w:t>
      </w:r>
      <w:r>
        <w:t xml:space="preserve"> </w:t>
      </w:r>
      <w:r>
        <w:t xml:space="preserve">particularly for first-time and smaller issuers, were also frequently mentioned.</w:t>
      </w:r>
      <w:r>
        <w:br/>
      </w:r>
      <w:r>
        <w:t xml:space="preserve">Overall, the responses suggest that the EU issuance process is in need of significant reform to</w:t>
      </w:r>
      <w:r>
        <w:t xml:space="preserve"> </w:t>
      </w:r>
      <w:r>
        <w:t xml:space="preserve">improve its efficiency, transparency, and competitiveness. The development of a harmonised</w:t>
      </w:r>
      <w:r>
        <w:t xml:space="preserve"> </w:t>
      </w:r>
      <w:r>
        <w:t xml:space="preserve">EU framework for digital securities, the use of standardised digital identities, and the</w:t>
      </w:r>
      <w:r>
        <w:t xml:space="preserve"> </w:t>
      </w:r>
      <w:r>
        <w:t xml:space="preserve">improvement of transparency in fee structures and underwriting services are seen as key steps</w:t>
      </w:r>
      <w:r>
        <w:t xml:space="preserve"> </w:t>
      </w:r>
      <w:r>
        <w:t xml:space="preserve">towards achieving this goal. The creation of a pan-European platform for debt instruments and</w:t>
      </w:r>
      <w:r>
        <w:t xml:space="preserve"> </w:t>
      </w:r>
      <w:r>
        <w:t xml:space="preserve">the standardisation of data exchange formats and protocols could help to reduce the complexity</w:t>
      </w:r>
      <w:r>
        <w:t xml:space="preserve"> </w:t>
      </w:r>
      <w:r>
        <w:t xml:space="preserve">and costs associated with the issuance process.</w:t>
      </w:r>
      <w:r>
        <w:t xml:space="preserve"> </w:t>
      </w:r>
      <w:r>
        <w:t xml:space="preserve">Innovation – the use of DLT Pilot Regime (DLTPR) and asset tokenisation:</w:t>
      </w:r>
      <w:r>
        <w:t xml:space="preserve"> </w:t>
      </w:r>
      <w:r>
        <w:t xml:space="preserve">Technology-Neutral Prudential Rules for Tokenized Assets: participants emphasized the need</w:t>
      </w:r>
      <w:r>
        <w:t xml:space="preserve"> </w:t>
      </w:r>
      <w:r>
        <w:t xml:space="preserve">for prudential regulations to remain technology-neutral, advocating for a risk-based framework</w:t>
      </w:r>
      <w:r>
        <w:t xml:space="preserve"> </w:t>
      </w:r>
      <w:r>
        <w:t xml:space="preserve">focusing on asset characteristics, control environments, and operational resilience, avoiding</w:t>
      </w:r>
      <w:r>
        <w:t xml:space="preserve"> </w:t>
      </w:r>
      <w:r>
        <w:t xml:space="preserve">differentiating between permissioned and permissionless distributed ledgers, which could</w:t>
      </w:r>
      <w:r>
        <w:t xml:space="preserve"> </w:t>
      </w:r>
      <w:r>
        <w:t xml:space="preserve">create regulatory barriers and stifle innovation. Otherwise, they fear that Europe will be at an</w:t>
      </w:r>
      <w:r>
        <w:t xml:space="preserve"> </w:t>
      </w:r>
      <w:r>
        <w:t xml:space="preserve">even greater disadvantage compared to other jurisdictions, such as the US.</w:t>
      </w:r>
      <w:r>
        <w:br/>
      </w:r>
      <w:r>
        <w:t xml:space="preserve">Reforming the DLT Pilot Regime (DLTPR): according to the majority of respondents, the key</w:t>
      </w:r>
      <w:r>
        <w:t xml:space="preserve"> </w:t>
      </w:r>
      <w:r>
        <w:t xml:space="preserve">priority for enhancing the attractiveness and viability of the DLTPR is expanding the scope of</w:t>
      </w:r>
      <w:r>
        <w:t xml:space="preserve"> </w:t>
      </w:r>
      <w:r>
        <w:t xml:space="preserve">eligible assets (from tokenized physical assets to all types of stocks and all financial</w:t>
      </w:r>
      <w:r>
        <w:t xml:space="preserve"> </w:t>
      </w:r>
      <w:r>
        <w:t xml:space="preserve">instruments under MiFID II) and adapting or removing the limit on the value of financial</w:t>
      </w:r>
      <w:r>
        <w:t xml:space="preserve"> </w:t>
      </w:r>
      <w:r>
        <w:t xml:space="preserve">instruments traded, which severely limit the scalability and economic viability of projects</w:t>
      </w:r>
      <w:r>
        <w:t xml:space="preserve"> </w:t>
      </w:r>
      <w:r>
        <w:t xml:space="preserve">within the regime. Removing or increasing these limits would facilitate the transition of trading</w:t>
      </w:r>
      <w:r>
        <w:t xml:space="preserve"> </w:t>
      </w:r>
      <w:r>
        <w:t xml:space="preserve">activity from the current OTC framework to the DLT Pilot regime, thereby enhancing its</w:t>
      </w:r>
      <w:r>
        <w:t xml:space="preserve"> </w:t>
      </w:r>
      <w:r>
        <w:t xml:space="preserve">competitiveness with other jurisdictions. Removing the limited duration of DLTPR licenses is</w:t>
      </w:r>
      <w:r>
        <w:t xml:space="preserve"> </w:t>
      </w:r>
      <w:r>
        <w:t xml:space="preserve">also seen as critical for long-term business planning and investment, as it would reduce</w:t>
      </w:r>
      <w:r>
        <w:t xml:space="preserve"> </w:t>
      </w:r>
      <w:r>
        <w:t xml:space="preserve">regulatory uncertainty and align the EU with international practices.</w:t>
      </w:r>
      <w:r>
        <w:br/>
      </w:r>
      <w:r>
        <w:t xml:space="preserve">Respondents prioritize clearer regulatory pathways for transitioning from the DLTPR to the</w:t>
      </w:r>
      <w:r>
        <w:t xml:space="preserve"> </w:t>
      </w:r>
      <w:r>
        <w:t xml:space="preserve">CSDR-framework to ensure market confidence and reduce regulatory uncertainty.</w:t>
      </w:r>
      <w:r>
        <w:br/>
      </w:r>
      <w:r>
        <w:t xml:space="preserve">The vast majority of the respondents support a more principle-based regulatory approach and</w:t>
      </w:r>
      <w:r>
        <w:t xml:space="preserve"> </w:t>
      </w:r>
      <w:r>
        <w:t xml:space="preserve">a service-specific regulation of settlement services, i.e. regulation at the level of individual core</w:t>
      </w:r>
      <w:r>
        <w:t xml:space="preserve"> </w:t>
      </w:r>
      <w:r>
        <w:t xml:space="preserve">services under the CSDR (notary, account maintenance, and settlement services), which would</w:t>
      </w:r>
      <w:r>
        <w:t xml:space="preserve"> </w:t>
      </w:r>
      <w:r>
        <w:t xml:space="preserve">create a more flexibility and compliance proportionality for its participants.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Barriers to Asset Tokenisation in Europe: despite the potential of DLT, participants highlight</w:t>
      </w:r>
      <w:r>
        <w:t xml:space="preserve"> </w:t>
      </w:r>
      <w:r>
        <w:t xml:space="preserve">significant barriers to scaling asset tokenisation in the EU. The most pressing challenge is the</w:t>
      </w:r>
      <w:r>
        <w:t xml:space="preserve"> </w:t>
      </w:r>
      <w:r>
        <w:t xml:space="preserve">divergence in Member States’ securities and corporate laws, which complicates cross-border</w:t>
      </w:r>
      <w:r>
        <w:t xml:space="preserve"> </w:t>
      </w:r>
      <w:r>
        <w:t xml:space="preserve">issuance, ownership, and transfer of tokenized assets. Existing EU trading and post-trading</w:t>
      </w:r>
      <w:r>
        <w:t xml:space="preserve"> </w:t>
      </w:r>
      <w:r>
        <w:t xml:space="preserve">laws, such as MiFID II and CSDR, are also deemed ill-suited for DLT-based models, requiring</w:t>
      </w:r>
      <w:r>
        <w:t xml:space="preserve"> </w:t>
      </w:r>
      <w:r>
        <w:t xml:space="preserve">harmonization to accommodate digital finance.</w:t>
      </w:r>
      <w:r>
        <w:br/>
      </w:r>
      <w:r>
        <w:t xml:space="preserve">Interoperability and Standardization, enabling a Connected DLT Ecosystem: interoperability</w:t>
      </w:r>
      <w:r>
        <w:t xml:space="preserve"> </w:t>
      </w:r>
      <w:r>
        <w:t xml:space="preserve">between DLT platforms and traditional financial systems remains a focal point. Most</w:t>
      </w:r>
      <w:r>
        <w:t xml:space="preserve"> </w:t>
      </w:r>
      <w:r>
        <w:t xml:space="preserve">respondents oppose public policy mandates to enforce interoperability, advocating instead for</w:t>
      </w:r>
      <w:r>
        <w:t xml:space="preserve"> </w:t>
      </w:r>
      <w:r>
        <w:t xml:space="preserve">market-driven solutions and private-sector leadership. However, there is strong support for</w:t>
      </w:r>
      <w:r>
        <w:t xml:space="preserve"> </w:t>
      </w:r>
      <w:r>
        <w:t xml:space="preserve">public policy to encourage interoperability through industry standards, regulatory sandboxes,</w:t>
      </w:r>
      <w:r>
        <w:t xml:space="preserve"> </w:t>
      </w:r>
      <w:r>
        <w:t xml:space="preserve">and public-private partnerships, while avoiding overly prescriptive regulations. Technical and</w:t>
      </w:r>
      <w:r>
        <w:t xml:space="preserve"> </w:t>
      </w:r>
      <w:r>
        <w:t xml:space="preserve">business standards are identified as the most urgent need, including a harmonized legal</w:t>
      </w:r>
      <w:r>
        <w:t xml:space="preserve"> </w:t>
      </w:r>
      <w:r>
        <w:t xml:space="preserve">framework for digitally native securities and shared data taxonomies, which are critical to</w:t>
      </w:r>
      <w:r>
        <w:t xml:space="preserve"> </w:t>
      </w:r>
      <w:r>
        <w:t xml:space="preserve">reduce fragmentation. Standardizing connections between DLT platforms (e.g., blockchain</w:t>
      </w:r>
      <w:r>
        <w:t xml:space="preserve"> </w:t>
      </w:r>
      <w:r>
        <w:t xml:space="preserve">bridges) is also prioritized to facilitate seamless transfers.</w:t>
      </w:r>
      <w:r>
        <w:br/>
      </w:r>
      <w:r>
        <w:t xml:space="preserve">Cross-Cutting Themes: Regulatory Clarity, Innovation, and EU Competitiveness:</w:t>
      </w:r>
      <w:r>
        <w:t xml:space="preserve"> </w:t>
      </w:r>
      <w:r>
        <w:t xml:space="preserve">Across all discussions, participants stress the importance of regulatory clarity and long-term</w:t>
      </w:r>
      <w:r>
        <w:t xml:space="preserve"> </w:t>
      </w:r>
      <w:r>
        <w:t xml:space="preserve">stability to build trust in DLT-based systems and recommend a</w:t>
      </w:r>
      <w:r>
        <w:t xml:space="preserve"> </w:t>
      </w:r>
      <w:r>
        <w:t xml:space="preserve">“balanced, risk-on”</w:t>
      </w:r>
      <w:r>
        <w:t xml:space="preserve"> </w:t>
      </w:r>
      <w:r>
        <w:t xml:space="preserve">approach,</w:t>
      </w:r>
      <w:r>
        <w:t xml:space="preserve"> </w:t>
      </w:r>
      <w:r>
        <w:t xml:space="preserve">with regulators focusing on core objectives such as security and transparency rather than</w:t>
      </w:r>
      <w:r>
        <w:t xml:space="preserve"> </w:t>
      </w:r>
      <w:r>
        <w:t xml:space="preserve">restrictive measures. The EU’s competitiveness in digital finance is a recurring concern, with</w:t>
      </w:r>
      <w:r>
        <w:t xml:space="preserve"> </w:t>
      </w:r>
      <w:r>
        <w:t xml:space="preserve">stakeholders urging alignment with practices of leading jurisdictions to avoid falling behind in</w:t>
      </w:r>
      <w:r>
        <w:t xml:space="preserve"> </w:t>
      </w:r>
      <w:r>
        <w:t xml:space="preserve">innovation.</w:t>
      </w:r>
      <w:r>
        <w:br/>
      </w:r>
      <w:r>
        <w:t xml:space="preserve">The consultation also highlights the need for DLTPR to remain an adaptive regulatory</w:t>
      </w:r>
      <w:r>
        <w:t xml:space="preserve"> </w:t>
      </w:r>
      <w:r>
        <w:t xml:space="preserve">framework that evolve with market developments, with thresholds and eligibility criteria to be</w:t>
      </w:r>
      <w:r>
        <w:t xml:space="preserve"> </w:t>
      </w:r>
      <w:r>
        <w:t xml:space="preserve">reviewed periodically by authorities like ESMA to ensure the DLTPR remains competitive as</w:t>
      </w:r>
      <w:r>
        <w:t xml:space="preserve"> </w:t>
      </w:r>
      <w:r>
        <w:t xml:space="preserve">the DLT landscape matures.</w:t>
      </w:r>
      <w:r>
        <w:t xml:space="preserve"> </w:t>
      </w:r>
      <w:r>
        <w:t xml:space="preserve">3.5. ASSET MANAGEMENT AND INVESTMENT FUNDS</w:t>
      </w:r>
      <w:r>
        <w:t xml:space="preserve"> </w:t>
      </w:r>
      <w:r>
        <w:t xml:space="preserve">This section of the targeted consultation covers issues related to the cross-border distribution</w:t>
      </w:r>
      <w:r>
        <w:t xml:space="preserve"> </w:t>
      </w:r>
      <w:r>
        <w:t xml:space="preserve">of investment funds and cross-border operations of asset managers.</w:t>
      </w:r>
      <w:r>
        <w:t xml:space="preserve"> </w:t>
      </w:r>
      <w:r>
        <w:t xml:space="preserve">Authorisation procedures: Overall, the consultation shows that most respondents (67% overall</w:t>
      </w:r>
      <w:r>
        <w:t xml:space="preserve"> </w:t>
      </w:r>
      <w:r>
        <w:t xml:space="preserve">and 85% of asset managers and business associations) find the current authorisation and</w:t>
      </w:r>
      <w:r>
        <w:t xml:space="preserve"> </w:t>
      </w:r>
      <w:r>
        <w:t xml:space="preserve">supervisory approval processes under AIFMD and UCITSD sufficiently clear and</w:t>
      </w:r>
      <w:r>
        <w:t xml:space="preserve"> </w:t>
      </w:r>
      <w:r>
        <w:t xml:space="preserve">comprehensive. However, there is a strong view that these processes are not applied</w:t>
      </w:r>
      <w:r>
        <w:t xml:space="preserve"> </w:t>
      </w:r>
      <w:r>
        <w:t xml:space="preserve">consistently across Member States with respondents noting, among other issues, divergencies</w:t>
      </w:r>
      <w:r>
        <w:t xml:space="preserve"> </w:t>
      </w:r>
      <w:r>
        <w:t xml:space="preserve">in the interpretations of the concepts of substance or effective governance in the granting of</w:t>
      </w:r>
      <w:r>
        <w:t xml:space="preserve"> </w:t>
      </w:r>
      <w:r>
        <w:t xml:space="preserve">AIFM or UCITS management companies’ licenses or in the requirements concerning the set-</w:t>
      </w:r>
      <w:r>
        <w:t xml:space="preserve"> </w:t>
      </w:r>
      <w:r>
        <w:t xml:space="preserve">up of a framework to manage potential conflicts of interest and related-party transactions.</w:t>
      </w:r>
      <w:r>
        <w:t xml:space="preserve"> </w:t>
      </w:r>
      <w:r>
        <w:t xml:space="preserve">Respondents broadly (79%) support greater harmonisation and streamlining of authorisation</w:t>
      </w:r>
      <w:r>
        <w:t xml:space="preserve"> </w:t>
      </w:r>
      <w:r>
        <w:t xml:space="preserve">procedures to simplify the regulatory framework and reduce national divergences. They also</w:t>
      </w:r>
      <w:r>
        <w:t xml:space="preserve"> </w:t>
      </w:r>
      <w:r>
        <w:t xml:space="preserve">stress that ESMA should better check/enforce EU regulation and to avoid Member States’ gold-</w:t>
      </w:r>
      <w:r>
        <w:t xml:space="preserve"> </w:t>
      </w:r>
      <w:r>
        <w:t xml:space="preserve">plating EU requirements. Also, stakeholders noted that NCAs should better share information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to avoid multiple requests of the same data. In a few cases, respondents—such as the French</w:t>
      </w:r>
      <w:r>
        <w:t xml:space="preserve"> </w:t>
      </w:r>
      <w:r>
        <w:t xml:space="preserve">authorities—support moving toward EU-level supervision.</w:t>
      </w:r>
      <w:r>
        <w:t xml:space="preserve"> </w:t>
      </w:r>
      <w:r>
        <w:t xml:space="preserve">Concerning the treatment of service providers and depositaries during the authorisation</w:t>
      </w:r>
      <w:r>
        <w:t xml:space="preserve"> </w:t>
      </w:r>
      <w:r>
        <w:t xml:space="preserve">process, 79% of respondents considered that the current authorisation process at the NCA level</w:t>
      </w:r>
      <w:r>
        <w:t xml:space="preserve"> </w:t>
      </w:r>
      <w:r>
        <w:t xml:space="preserve">of the fund service providers appointed to a fund (incl. depositaries), is sufficient and</w:t>
      </w:r>
      <w:r>
        <w:t xml:space="preserve"> </w:t>
      </w:r>
      <w:r>
        <w:t xml:space="preserve">proportionate overall. When asked whether an authorisation process should be introduced at</w:t>
      </w:r>
      <w:r>
        <w:t xml:space="preserve"> </w:t>
      </w:r>
      <w:r>
        <w:t xml:space="preserve">the entity level for depositaries, few respondents provided feedback and most answered</w:t>
      </w:r>
      <w:r>
        <w:t xml:space="preserve"> </w:t>
      </w:r>
      <w:r>
        <w:t xml:space="preserve">negatively (71%). However, some respondents support the introduction of an authorisation</w:t>
      </w:r>
      <w:r>
        <w:t xml:space="preserve"> </w:t>
      </w:r>
      <w:r>
        <w:t xml:space="preserve">process for depositaries at entity level to allow them to offer their services across EU Member</w:t>
      </w:r>
      <w:r>
        <w:t xml:space="preserve"> </w:t>
      </w:r>
      <w:r>
        <w:t xml:space="preserve">States, pointing out that the lack of an EU-level depositary license and passport mechanism</w:t>
      </w:r>
      <w:r>
        <w:t xml:space="preserve"> </w:t>
      </w:r>
      <w:r>
        <w:t xml:space="preserve">contributes to structural inefficiencies within the European asset management landscape and</w:t>
      </w:r>
      <w:r>
        <w:t xml:space="preserve"> </w:t>
      </w:r>
      <w:r>
        <w:t xml:space="preserve">that the introduction of an harmonised EU-wide authorisation is crucial to foster greater</w:t>
      </w:r>
      <w:r>
        <w:t xml:space="preserve"> </w:t>
      </w:r>
      <w:r>
        <w:t xml:space="preserve">competition and quality of services while reducing market fragmentation. According to some</w:t>
      </w:r>
      <w:r>
        <w:t xml:space="preserve"> </w:t>
      </w:r>
      <w:r>
        <w:t xml:space="preserve">respondents, this authorisation should include an EU-wide public register, managed by ESMA.</w:t>
      </w:r>
      <w:r>
        <w:t xml:space="preserve"> </w:t>
      </w:r>
      <w:r>
        <w:t xml:space="preserve">Other respondents pointed out that allowing for a passporting of depositaries’ services across</w:t>
      </w:r>
      <w:r>
        <w:t xml:space="preserve"> </w:t>
      </w:r>
      <w:r>
        <w:t xml:space="preserve">the EU might encourage depositaries’ consolidation.</w:t>
      </w:r>
      <w:r>
        <w:br/>
      </w:r>
      <w:r>
        <w:t xml:space="preserve">EU passport for marketing of investment funds: Stakeholders (such as industry associations</w:t>
      </w:r>
      <w:r>
        <w:t xml:space="preserve"> </w:t>
      </w:r>
      <w:r>
        <w:t xml:space="preserve">and asset managers) identify major implementation issues of the marketing passport across</w:t>
      </w:r>
      <w:r>
        <w:t xml:space="preserve"> </w:t>
      </w:r>
      <w:r>
        <w:t xml:space="preserve">Member States (82% of respondents), such as inconsistent national requirements, burdensome</w:t>
      </w:r>
      <w:r>
        <w:t xml:space="preserve"> </w:t>
      </w:r>
      <w:r>
        <w:t xml:space="preserve">one-month prior notification for new share classes, duplicative processes, and high costs due</w:t>
      </w:r>
      <w:r>
        <w:t xml:space="preserve"> </w:t>
      </w:r>
      <w:r>
        <w:t xml:space="preserve">to local regulatory fees, translations, and disclosure rules. The 36-month blackout period post-</w:t>
      </w:r>
      <w:r>
        <w:t xml:space="preserve"> </w:t>
      </w:r>
      <w:r>
        <w:t xml:space="preserve">denotification under AIFMD is also seen as disproportionate. They call for greater</w:t>
      </w:r>
      <w:r>
        <w:t xml:space="preserve"> </w:t>
      </w:r>
      <w:r>
        <w:t xml:space="preserve">harmonisation, a single EU-wide notification portal, simplified document updates (“file and</w:t>
      </w:r>
      <w:r>
        <w:t xml:space="preserve"> </w:t>
      </w:r>
      <w:r>
        <w:t xml:space="preserve">inform”), and clearer ESMA-led guidance to ensure more consistent and efficient cross-border</w:t>
      </w:r>
      <w:r>
        <w:t xml:space="preserve"> </w:t>
      </w:r>
      <w:r>
        <w:t xml:space="preserve">fund</w:t>
      </w:r>
      <w:r>
        <w:t xml:space="preserve"> </w:t>
      </w:r>
      <w:r>
        <w:t xml:space="preserve">marketing.</w:t>
      </w:r>
      <w:r>
        <w:t xml:space="preserve"> </w:t>
      </w:r>
      <w:r>
        <w:t xml:space="preserve">In addition, the cross-border passport is not applied in a consistent manner (83% of</w:t>
      </w:r>
      <w:r>
        <w:t xml:space="preserve"> </w:t>
      </w:r>
      <w:r>
        <w:t xml:space="preserve">respondents). Significant issues remain, primarily arising from NCAs that do not fully apply</w:t>
      </w:r>
      <w:r>
        <w:t xml:space="preserve"> </w:t>
      </w:r>
      <w:r>
        <w:t xml:space="preserve">the requirements set out in the EU frameworks.</w:t>
      </w:r>
      <w:r>
        <w:t xml:space="preserve"> </w:t>
      </w:r>
      <w:r>
        <w:t xml:space="preserve">The key issue is differing national requirements on marketing documents (86% of respondents).</w:t>
      </w:r>
      <w:r>
        <w:t xml:space="preserve"> </w:t>
      </w:r>
      <w:r>
        <w:t xml:space="preserve">These divergences create costs, delays, and legal uncertainty, especially for pan-European</w:t>
      </w:r>
      <w:r>
        <w:t xml:space="preserve"> </w:t>
      </w:r>
      <w:r>
        <w:t xml:space="preserve">distribution. Amongst the solutions proposed, respondents mentioned EU-level harmonisation</w:t>
      </w:r>
      <w:r>
        <w:t xml:space="preserve"> </w:t>
      </w:r>
      <w:r>
        <w:t xml:space="preserve">of content and format rules, single ESMA marketing documentation portal, clearer guidance</w:t>
      </w:r>
      <w:r>
        <w:t xml:space="preserve"> </w:t>
      </w:r>
      <w:r>
        <w:t xml:space="preserve">distinguishing marketing communications vs investor disclosures, as well as greater</w:t>
      </w:r>
      <w:r>
        <w:t xml:space="preserve"> </w:t>
      </w:r>
      <w:r>
        <w:t xml:space="preserve">supervisory convergence through ESMA coordination.</w:t>
      </w:r>
      <w:r>
        <w:t xml:space="preserve"> </w:t>
      </w:r>
      <w:r>
        <w:t xml:space="preserve">EU passporting for Management Companies: When asked to indicate whether the current</w:t>
      </w:r>
      <w:r>
        <w:t xml:space="preserve"> </w:t>
      </w:r>
      <w:r>
        <w:t xml:space="preserve">passporting provisions are sufficiently clear, comprehensive and proportionate to enable the</w:t>
      </w:r>
      <w:r>
        <w:t xml:space="preserve"> </w:t>
      </w:r>
      <w:r>
        <w:t xml:space="preserve">smooth operation of fund management companies in the single market, 74% of respondents</w:t>
      </w:r>
      <w:r>
        <w:t xml:space="preserve"> </w:t>
      </w:r>
      <w:r>
        <w:t xml:space="preserve">answered positively. However, 58% of respondents noted that the current passporting</w:t>
      </w:r>
      <w:r>
        <w:t xml:space="preserve"> </w:t>
      </w:r>
      <w:r>
        <w:t xml:space="preserve">provisions for management companies are not reflected in a consistent way in domestic</w:t>
      </w:r>
      <w:r>
        <w:t xml:space="preserve"> </w:t>
      </w:r>
      <w:r>
        <w:t xml:space="preserve">legislation by Member States. Such differences include: (i) requirements for fund</w:t>
      </w:r>
      <w:r>
        <w:t xml:space="preserve"> </w:t>
      </w:r>
      <w:r>
        <w:t xml:space="preserve">documentation to be translated into the local language/languages; and (ii) appointment of local</w:t>
      </w:r>
      <w:r>
        <w:t xml:space="preserve"> </w:t>
      </w:r>
      <w:r>
        <w:t xml:space="preserve">entities to carry out certain management functions (e.g., transfer agency); notification</w:t>
      </w:r>
      <w:r>
        <w:t xml:space="preserve"> </w:t>
      </w:r>
      <w:r>
        <w:t xml:space="preserve">procedures in the EU framework not applied consistently (73% of respondents). Therefore,</w:t>
      </w:r>
      <w:r>
        <w:t xml:space="preserve"> </w:t>
      </w:r>
      <w:r>
        <w:t xml:space="preserve">stakeholders (investment associations) note that barriers and divergences primarily concern</w:t>
      </w:r>
      <w:r>
        <w:t xml:space="preserve"> </w:t>
      </w:r>
      <w:r>
        <w:t xml:space="preserve">procedural and technical aspects of the notification process.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Group operations - Eliminating inefficiencies and duplication: Responses to this section of</w:t>
      </w:r>
      <w:r>
        <w:t xml:space="preserve"> </w:t>
      </w:r>
      <w:r>
        <w:t xml:space="preserve">the consultation were very limited. As per the key obstacles to consolidating functions across</w:t>
      </w:r>
      <w:r>
        <w:t xml:space="preserve"> </w:t>
      </w:r>
      <w:r>
        <w:t xml:space="preserve">entities within the same asset management group, respondents identified both legal barriers in</w:t>
      </w:r>
      <w:r>
        <w:t xml:space="preserve"> </w:t>
      </w:r>
      <w:r>
        <w:t xml:space="preserve">EU law (UCITSD does not recognise the notion of group structure, requirements) and national</w:t>
      </w:r>
      <w:r>
        <w:t xml:space="preserve"> </w:t>
      </w:r>
      <w:r>
        <w:t xml:space="preserve">laws (local presence, which become disproportionate for relatively simple group) as well as</w:t>
      </w:r>
      <w:r>
        <w:t xml:space="preserve"> </w:t>
      </w:r>
      <w:r>
        <w:t xml:space="preserve">supervisory (inconsistent supervisory interpretations, expectations, and processes across</w:t>
      </w:r>
      <w:r>
        <w:t xml:space="preserve"> </w:t>
      </w:r>
      <w:r>
        <w:t xml:space="preserve">Member States with limited reliance on group level assessment of internal policies and other</w:t>
      </w:r>
      <w:r>
        <w:t xml:space="preserve"> </w:t>
      </w:r>
      <w:r>
        <w:t xml:space="preserve">functions within the group) and market practices to be relevant hurdles.</w:t>
      </w:r>
      <w:r>
        <w:br/>
      </w:r>
      <w:r>
        <w:t xml:space="preserve">On the issue of whether there is scope to streamline authorisation and supervision of asset</w:t>
      </w:r>
      <w:r>
        <w:t xml:space="preserve"> </w:t>
      </w:r>
      <w:r>
        <w:t xml:space="preserve">managers operating in groups, the vast majority of respondents did not give an opinion. Very</w:t>
      </w:r>
      <w:r>
        <w:t xml:space="preserve"> </w:t>
      </w:r>
      <w:r>
        <w:t xml:space="preserve">few replied (40 out of 210 respondents), and among them there is scepticism on the topic. Only</w:t>
      </w:r>
      <w:r>
        <w:t xml:space="preserve"> </w:t>
      </w:r>
      <w:r>
        <w:t xml:space="preserve">8 respondents saw efficiency gains and cost reductions that a group perspective would bring</w:t>
      </w:r>
      <w:r>
        <w:t xml:space="preserve"> </w:t>
      </w:r>
      <w:r>
        <w:t xml:space="preserve">(in the compliance, risk management, and portfolio management functions).</w:t>
      </w:r>
      <w:r>
        <w:t xml:space="preserve"> </w:t>
      </w:r>
      <w:r>
        <w:t xml:space="preserve">Respondents opposing group authorisation highlighted its downsides and risks, as the license</w:t>
      </w:r>
      <w:r>
        <w:t xml:space="preserve"> </w:t>
      </w:r>
      <w:r>
        <w:t xml:space="preserve">will most likely not be granted to the entity where the regulated activities take place and/or it</w:t>
      </w:r>
      <w:r>
        <w:t xml:space="preserve"> </w:t>
      </w:r>
      <w:r>
        <w:t xml:space="preserve">will further centralise activities, which creates substance related challenges.</w:t>
      </w:r>
      <w:r>
        <w:t xml:space="preserve"> </w:t>
      </w:r>
      <w:r>
        <w:t xml:space="preserve">Overall, most respondents do not see the need for group level authorisation and supervision, as</w:t>
      </w:r>
      <w:r>
        <w:t xml:space="preserve"> </w:t>
      </w:r>
      <w:r>
        <w:t xml:space="preserve">asset managers operate under highly diverse business models, and there is no uniform structure</w:t>
      </w:r>
      <w:r>
        <w:t xml:space="preserve"> </w:t>
      </w:r>
      <w:r>
        <w:t xml:space="preserve">across the industry. Additionally, asset managers are not prudentially regulated on a</w:t>
      </w:r>
      <w:r>
        <w:t xml:space="preserve"> </w:t>
      </w:r>
      <w:r>
        <w:t xml:space="preserve">consolidated basis and do not typically centralise risk management across their European</w:t>
      </w:r>
      <w:r>
        <w:t xml:space="preserve"> </w:t>
      </w:r>
      <w:r>
        <w:t xml:space="preserve">operations in the same way as banks.</w:t>
      </w:r>
      <w:r>
        <w:t xml:space="preserve"> </w:t>
      </w:r>
      <w:r>
        <w:t xml:space="preserve">Even where firms wish to achieve group level efficiencies, the primary barriers to intra-group</w:t>
      </w:r>
      <w:r>
        <w:t xml:space="preserve"> </w:t>
      </w:r>
      <w:r>
        <w:t xml:space="preserve">efficiency, such as national tax laws, employment regulations, and inconsistent interpretations</w:t>
      </w:r>
      <w:r>
        <w:t xml:space="preserve"> </w:t>
      </w:r>
      <w:r>
        <w:t xml:space="preserve">of what constitutes a “letter box entity,” would not be resolved by a supervisory shift.</w:t>
      </w:r>
      <w:r>
        <w:t xml:space="preserve"> </w:t>
      </w:r>
      <w:r>
        <w:t xml:space="preserve">Concerning possible solutions, those proposed by respondents focused on supervisory</w:t>
      </w:r>
      <w:r>
        <w:t xml:space="preserve"> </w:t>
      </w:r>
      <w:r>
        <w:t xml:space="preserve">convergence and coordination among NCAs to reduce inconsistencies/barriers and enable more</w:t>
      </w:r>
      <w:r>
        <w:t xml:space="preserve"> </w:t>
      </w:r>
      <w:r>
        <w:t xml:space="preserve">efficient cross-border operations, including: enhanced peer reviews and supervisory briefings</w:t>
      </w:r>
      <w:r>
        <w:t xml:space="preserve"> </w:t>
      </w:r>
      <w:r>
        <w:t xml:space="preserve">coordinated by ESMA; mutual reliance or recognition of assessments where appropriate;</w:t>
      </w:r>
      <w:r>
        <w:t xml:space="preserve"> </w:t>
      </w:r>
      <w:r>
        <w:t xml:space="preserve">practical guidance on delegation oversight and intra-group cooperation standards, as well as</w:t>
      </w:r>
      <w:r>
        <w:t xml:space="preserve"> </w:t>
      </w:r>
      <w:r>
        <w:t xml:space="preserve">transparent communication from NCAs on their expectations and administrative practices.</w:t>
      </w:r>
      <w:r>
        <w:t xml:space="preserve"> </w:t>
      </w:r>
      <w:r>
        <w:t xml:space="preserve">Respondents are of the view that these improvements can be achieved within the current legal</w:t>
      </w:r>
      <w:r>
        <w:t xml:space="preserve"> </w:t>
      </w:r>
      <w:r>
        <w:t xml:space="preserve">framework.</w:t>
      </w:r>
      <w:r>
        <w:t xml:space="preserve"> </w:t>
      </w:r>
      <w:r>
        <w:t xml:space="preserve">Barriers for investments in EU funds: On barriers to investing in EU funds, 91% of</w:t>
      </w:r>
      <w:r>
        <w:t xml:space="preserve"> </w:t>
      </w:r>
      <w:r>
        <w:t xml:space="preserve">respondents replied that they have encountered issues or barriers to accessing investments in</w:t>
      </w:r>
      <w:r>
        <w:t xml:space="preserve"> </w:t>
      </w:r>
      <w:r>
        <w:t xml:space="preserve">EU funds, either directly or on a cross-border basis, noting that such issues mainly stem from</w:t>
      </w:r>
      <w:r>
        <w:t xml:space="preserve"> </w:t>
      </w:r>
      <w:r>
        <w:t xml:space="preserve">restrictions or differential treatment based on the national framework where a fund is</w:t>
      </w:r>
      <w:r>
        <w:t xml:space="preserve"> </w:t>
      </w:r>
      <w:r>
        <w:t xml:space="preserve">domiciled, combined with diverging supervisory administrative practices, corporate law and</w:t>
      </w:r>
      <w:r>
        <w:t xml:space="preserve"> </w:t>
      </w:r>
      <w:r>
        <w:t xml:space="preserve">tax law systems, rather than from the EU framework. One prominent industry association noted</w:t>
      </w:r>
      <w:r>
        <w:t xml:space="preserve"> </w:t>
      </w:r>
      <w:r>
        <w:t xml:space="preserve">that these barriers have impacted structuring aspects of fund offerings and have prevented</w:t>
      </w:r>
      <w:r>
        <w:t xml:space="preserve"> </w:t>
      </w:r>
      <w:r>
        <w:t xml:space="preserve">investors from investing in a wider range of fund products.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3.6. SUPERVISION</w:t>
      </w:r>
      <w:r>
        <w:t xml:space="preserve"> </w:t>
      </w:r>
      <w:r>
        <w:t xml:space="preserve">This section summarises the feedback received on the supervision of financial entities in the</w:t>
      </w:r>
      <w:r>
        <w:t xml:space="preserve"> </w:t>
      </w:r>
      <w:r>
        <w:t xml:space="preserve">trading, post-trading, and asset management sectors, as well of crypto-asset service providers</w:t>
      </w:r>
      <w:r>
        <w:t xml:space="preserve"> </w:t>
      </w:r>
      <w:r>
        <w:t xml:space="preserve">(CASPs).</w:t>
      </w:r>
      <w:r>
        <w:t xml:space="preserve"> </w:t>
      </w:r>
      <w:r>
        <w:t xml:space="preserve">Effectiveness of the current framework: on effectiveness, both public and private sector</w:t>
      </w:r>
      <w:r>
        <w:t xml:space="preserve"> </w:t>
      </w:r>
      <w:r>
        <w:t xml:space="preserve">respondents identify similar structural challenges. Public authorities most commonly cite legal</w:t>
      </w:r>
      <w:r>
        <w:t xml:space="preserve"> </w:t>
      </w:r>
      <w:r>
        <w:t xml:space="preserve">fragmentation, inconsistent application of rules across MS, and excessive reliance on Level 2</w:t>
      </w:r>
      <w:r>
        <w:t xml:space="preserve"> </w:t>
      </w:r>
      <w:r>
        <w:t xml:space="preserve">and 3 measures. Many warn that the ESAs underutilize existing tools (e.g., Q&amp;As, binding</w:t>
      </w:r>
      <w:r>
        <w:t xml:space="preserve"> </w:t>
      </w:r>
      <w:r>
        <w:t xml:space="preserve">mediation), and suffer from limited capacity and internal experience, which hampers</w:t>
      </w:r>
      <w:r>
        <w:t xml:space="preserve"> </w:t>
      </w:r>
      <w:r>
        <w:t xml:space="preserve">supervisory convergence.</w:t>
      </w:r>
      <w:r>
        <w:t xml:space="preserve"> </w:t>
      </w:r>
      <w:r>
        <w:t xml:space="preserve">The private sector, while agreeing on legal fragmentation and inconsistent supervision, focuses</w:t>
      </w:r>
      <w:r>
        <w:t xml:space="preserve"> </w:t>
      </w:r>
      <w:r>
        <w:t xml:space="preserve">more on governance, transparency, and stakeholder engagement. Many criticize the lack of a</w:t>
      </w:r>
      <w:r>
        <w:t xml:space="preserve"> </w:t>
      </w:r>
      <w:r>
        <w:t xml:space="preserve">competitiveness mandate, pointing to high compliance costs and regulatory uncertainty that</w:t>
      </w:r>
      <w:r>
        <w:t xml:space="preserve"> </w:t>
      </w:r>
      <w:r>
        <w:t xml:space="preserve">deter innovation and market participation. NGOs further highlight the lack of centralised</w:t>
      </w:r>
      <w:r>
        <w:t xml:space="preserve"> </w:t>
      </w:r>
      <w:r>
        <w:t xml:space="preserve">supervision and persistent national bias in ESA governance as major obstacles to effective,</w:t>
      </w:r>
      <w:r>
        <w:t xml:space="preserve"> </w:t>
      </w:r>
      <w:r>
        <w:t xml:space="preserve">integrated EU supervision.</w:t>
      </w:r>
      <w:r>
        <w:t xml:space="preserve"> </w:t>
      </w:r>
      <w:r>
        <w:t xml:space="preserve">ESMA’s current governance model faces criticism for slow decisions, limited engagement, and</w:t>
      </w:r>
      <w:r>
        <w:t xml:space="preserve"> </w:t>
      </w:r>
      <w:r>
        <w:t xml:space="preserve">small market underrepresentation, prompting calls for streamlined, more transparent, and</w:t>
      </w:r>
      <w:r>
        <w:t xml:space="preserve"> </w:t>
      </w:r>
      <w:r>
        <w:t xml:space="preserve">AMLA-inspired reforms.</w:t>
      </w:r>
      <w:r>
        <w:t xml:space="preserve"> </w:t>
      </w:r>
      <w:r>
        <w:t xml:space="preserve">Supervisory arrangements for different sectors: public authorities generally favour national</w:t>
      </w:r>
      <w:r>
        <w:t xml:space="preserve"> </w:t>
      </w:r>
      <w:r>
        <w:t xml:space="preserve">supervision and subsidiarity, with openness to limited EU oversight for systemic or cross-</w:t>
      </w:r>
      <w:r>
        <w:t xml:space="preserve"> </w:t>
      </w:r>
      <w:r>
        <w:t xml:space="preserve">border entities, while industry supports targeted centralization to enhance efficiency,</w:t>
      </w:r>
      <w:r>
        <w:t xml:space="preserve"> </w:t>
      </w:r>
      <w:r>
        <w:t xml:space="preserve">particularly for major market infrastructures, alongside strong local input. Most stakeholders</w:t>
      </w:r>
      <w:r>
        <w:t xml:space="preserve"> </w:t>
      </w:r>
      <w:r>
        <w:t xml:space="preserve">prefer strengthening ESMA’s coordination role through gradual, risk-based reforms over full-</w:t>
      </w:r>
      <w:r>
        <w:t xml:space="preserve"> </w:t>
      </w:r>
      <w:r>
        <w:t xml:space="preserve">scale centralisation.</w:t>
      </w:r>
      <w:r>
        <w:t xml:space="preserve"> </w:t>
      </w:r>
      <w:r>
        <w:t xml:space="preserve">There is broad consensus against establishing ESMA regional hubs/centres of expertise due to</w:t>
      </w:r>
      <w:r>
        <w:t xml:space="preserve"> </w:t>
      </w:r>
      <w:r>
        <w:t xml:space="preserve">concerns about inefficiency and duplication, though some remain open to the idea, if carefully</w:t>
      </w:r>
      <w:r>
        <w:t xml:space="preserve"> </w:t>
      </w:r>
      <w:r>
        <w:t xml:space="preserve">designed to preserve local expertise within a coherent EU framework.</w:t>
      </w:r>
      <w:r>
        <w:t xml:space="preserve"> </w:t>
      </w:r>
      <w:r>
        <w:t xml:space="preserve">Supervision of EU CSDs: most respondents believe that the current CSDR supervisory</w:t>
      </w:r>
      <w:r>
        <w:t xml:space="preserve"> </w:t>
      </w:r>
      <w:r>
        <w:t xml:space="preserve">framework functions well – especially post-CSDR Refit – and that many of the outstanding</w:t>
      </w:r>
      <w:r>
        <w:t xml:space="preserve"> </w:t>
      </w:r>
      <w:r>
        <w:t xml:space="preserve">issues stem from fragmentation of national laws. With respect to efficiency and legal certainty,</w:t>
      </w:r>
      <w:r>
        <w:t xml:space="preserve"> </w:t>
      </w:r>
      <w:r>
        <w:t xml:space="preserve">a majority of respondents (17 out of 24) affirmed the robustness and clarity of the current</w:t>
      </w:r>
      <w:r>
        <w:t xml:space="preserve"> </w:t>
      </w:r>
      <w:r>
        <w:t xml:space="preserve">framework, particularly during crises. However, 12 out of 29 stakeholdersperceive</w:t>
      </w:r>
      <w:r>
        <w:t xml:space="preserve"> </w:t>
      </w:r>
      <w:r>
        <w:t xml:space="preserve">convergence in supervisory practices across Member States as divergent (11 convergent and 6</w:t>
      </w:r>
      <w:r>
        <w:t xml:space="preserve"> </w:t>
      </w:r>
      <w:r>
        <w:t xml:space="preserve">neutral).167 Mentioned issues included: inconsistencies in passporting procedures, divergent</w:t>
      </w:r>
      <w:r>
        <w:t xml:space="preserve"> </w:t>
      </w:r>
      <w:r>
        <w:t xml:space="preserve">interpretations of CSDR provisions (e.g., outsourcing, internalised settlement, and</w:t>
      </w:r>
      <w:r>
        <w:t xml:space="preserve"> </w:t>
      </w:r>
      <w:r>
        <w:t xml:space="preserve">governance), divergent approaches to service extensions, multiple reporting formats (e.g. under</w:t>
      </w:r>
      <w:r>
        <w:t xml:space="preserve"> </w:t>
      </w:r>
      <w:r>
        <w:t xml:space="preserve">DORA), and gold-plating of EU rules.</w:t>
      </w:r>
    </w:p>
    <w:p>
      <w:pPr>
        <w:pStyle w:val="BodyText"/>
      </w:pPr>
      <w:r>
        <w:t xml:space="preserve">167 Question 8 in Section 6.3.1 asked: How would you rate the convergence of supervisory practices across</w:t>
      </w:r>
      <w:r>
        <w:t xml:space="preserve"> </w:t>
      </w:r>
      <w:r>
        <w:t xml:space="preserve">Member States in the area of the supervision of CSDs? Please provide examples of divergent outcomes of</w:t>
      </w:r>
      <w:r>
        <w:t xml:space="preserve"> </w:t>
      </w:r>
      <w:r>
        <w:t xml:space="preserve">supervisory practices for CSDs in different Member States.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Several respondents, including in particular CSDs and CSD associations, supported stronger</w:t>
      </w:r>
      <w:r>
        <w:t xml:space="preserve"> </w:t>
      </w:r>
      <w:r>
        <w:t xml:space="preserve">supervisory convergence, although a majority of respondents disagreed that centralised</w:t>
      </w:r>
      <w:r>
        <w:t xml:space="preserve"> </w:t>
      </w:r>
      <w:r>
        <w:t xml:space="preserve">supervision for CSDs would reduce regulatory costs, enhance resilience, and simplify or</w:t>
      </w:r>
      <w:r>
        <w:t xml:space="preserve"> </w:t>
      </w:r>
      <w:r>
        <w:t xml:space="preserve">accelerate authorisations, since processes are already clearly defined in the CSDR. In</w:t>
      </w:r>
      <w:r>
        <w:t xml:space="preserve"> </w:t>
      </w:r>
      <w:r>
        <w:t xml:space="preserve">particular, many respondents argued that centralised supervision would introduce new layers</w:t>
      </w:r>
      <w:r>
        <w:t xml:space="preserve"> </w:t>
      </w:r>
      <w:r>
        <w:t xml:space="preserve">of bureaucracy, increase fixed costs and require adaptation to new reporting and oversight</w:t>
      </w:r>
      <w:r>
        <w:t xml:space="preserve"> </w:t>
      </w:r>
      <w:r>
        <w:t xml:space="preserve">mechanisms. Several respondents stated that there is no clear evidence of deficiencies in</w:t>
      </w:r>
      <w:r>
        <w:t xml:space="preserve"> </w:t>
      </w:r>
      <w:r>
        <w:t xml:space="preserve">current supervisory quality that would justify centralization. Key concerns cited include the</w:t>
      </w:r>
      <w:r>
        <w:t xml:space="preserve"> </w:t>
      </w:r>
      <w:r>
        <w:t xml:space="preserve">loss of local expertise, proximity and responsiveness, the risk of one-size-fits-all approaches</w:t>
      </w:r>
      <w:r>
        <w:t xml:space="preserve"> </w:t>
      </w:r>
      <w:r>
        <w:t xml:space="preserve">undermining proportionality and competition, and possible overlapping supervision and</w:t>
      </w:r>
      <w:r>
        <w:t xml:space="preserve"> </w:t>
      </w:r>
      <w:r>
        <w:t xml:space="preserve">regulatory arbitrage. In fact, 23 out of 25 respondents, including those in favour of centralized</w:t>
      </w:r>
      <w:r>
        <w:t xml:space="preserve"> </w:t>
      </w:r>
      <w:r>
        <w:t xml:space="preserve">EU supervision, considered that this could also produce negative side-effects if, for example,</w:t>
      </w:r>
      <w:r>
        <w:t xml:space="preserve"> </w:t>
      </w:r>
      <w:r>
        <w:t xml:space="preserve">not designed properly or in the case that knowledge of the local market is lost.</w:t>
      </w:r>
      <w:r>
        <w:br/>
      </w:r>
      <w:r>
        <w:t xml:space="preserve">With respect to employing joint supervisory teams (JSTs), views were again mostly negative,</w:t>
      </w:r>
      <w:r>
        <w:t xml:space="preserve"> </w:t>
      </w:r>
      <w:r>
        <w:t xml:space="preserve">with many respondents warning that JSTs would introduce additional supervisory layers,</w:t>
      </w:r>
      <w:r>
        <w:t xml:space="preserve"> </w:t>
      </w:r>
      <w:r>
        <w:t xml:space="preserve">increase reporting obligations, and dilute accountability. Some respondents, although</w:t>
      </w:r>
      <w:r>
        <w:t xml:space="preserve"> </w:t>
      </w:r>
      <w:r>
        <w:t xml:space="preserve">supportive of EU integrated supervision, expressed preference for a centralised main</w:t>
      </w:r>
      <w:r>
        <w:t xml:space="preserve"> </w:t>
      </w:r>
      <w:r>
        <w:t xml:space="preserve">supervisor.</w:t>
      </w:r>
      <w:r>
        <w:br/>
      </w:r>
      <w:r>
        <w:t xml:space="preserve">Supervision of EU CCPs: several respondents, particularly CCPs, industry associations and</w:t>
      </w:r>
      <w:r>
        <w:t xml:space="preserve"> </w:t>
      </w:r>
      <w:r>
        <w:t xml:space="preserve">some regulatory bodies, supported the idea of single supervision of EU CCPs, citing benefits</w:t>
      </w:r>
      <w:r>
        <w:t xml:space="preserve"> </w:t>
      </w:r>
      <w:r>
        <w:t xml:space="preserve">such as convergence of practices, faster and simpler processes, and a level playing field</w:t>
      </w:r>
      <w:r>
        <w:t xml:space="preserve"> </w:t>
      </w:r>
      <w:r>
        <w:t xml:space="preserve">between EU CCPs and those domiciled in third countries.</w:t>
      </w:r>
      <w:r>
        <w:br/>
      </w:r>
      <w:r>
        <w:t xml:space="preserve">Respondents argued that ESMA should have a more prominent role in ensuring the consistency</w:t>
      </w:r>
      <w:r>
        <w:t xml:space="preserve"> </w:t>
      </w:r>
      <w:r>
        <w:t xml:space="preserve">and effectiveness of CCP supervision across the EU. They suggested that ESMA could be</w:t>
      </w:r>
      <w:r>
        <w:t xml:space="preserve"> </w:t>
      </w:r>
      <w:r>
        <w:t xml:space="preserve">responsible for authorising CCPs, approving significant changes to their operations, and</w:t>
      </w:r>
      <w:r>
        <w:t xml:space="preserve"> </w:t>
      </w:r>
      <w:r>
        <w:t xml:space="preserve">overseeing their compliance with EU regulations.</w:t>
      </w:r>
      <w:r>
        <w:br/>
      </w:r>
      <w:r>
        <w:t xml:space="preserve">However, 22 out of 25 respondents considered that more centralised EU supervision of CCPs</w:t>
      </w:r>
      <w:r>
        <w:t xml:space="preserve"> </w:t>
      </w:r>
      <w:r>
        <w:t xml:space="preserve">could also produce negative side effects, including increased bureaucracy and higher costs.</w:t>
      </w:r>
      <w:r>
        <w:t xml:space="preserve"> </w:t>
      </w:r>
      <w:r>
        <w:t xml:space="preserve">Many respondents opposed centralised supervision (notably the regulatory bodies), with some</w:t>
      </w:r>
      <w:r>
        <w:t xml:space="preserve"> </w:t>
      </w:r>
      <w:r>
        <w:t xml:space="preserve">expressing concerns about the potential loss of local expertise and the risk of over-regulation.</w:t>
      </w:r>
      <w:r>
        <w:t xml:space="preserve"> </w:t>
      </w:r>
      <w:r>
        <w:t xml:space="preserve">They argued that NCAs have a deeper understanding of the local market and are better</w:t>
      </w:r>
      <w:r>
        <w:t xml:space="preserve"> </w:t>
      </w:r>
      <w:r>
        <w:t xml:space="preserve">equipped to supervise CCPs that are systemically important at the national level.</w:t>
      </w:r>
      <w:r>
        <w:br/>
      </w:r>
      <w:r>
        <w:t xml:space="preserve">Some respondents also argued that the current EMIR 3 framework already provides for a robust</w:t>
      </w:r>
      <w:r>
        <w:t xml:space="preserve"> </w:t>
      </w:r>
      <w:r>
        <w:t xml:space="preserve">supervision of CCPs (including provisions for the coordination and cooperation between</w:t>
      </w:r>
      <w:r>
        <w:t xml:space="preserve"> </w:t>
      </w:r>
      <w:r>
        <w:t xml:space="preserve">ESMA and the NCAs), and that further centralisation is not necessary. The supervisory colleges</w:t>
      </w:r>
      <w:r>
        <w:t xml:space="preserve"> </w:t>
      </w:r>
      <w:r>
        <w:t xml:space="preserve">are seen as a useful tool in supervision, facilitating cooperation and coordination. A small</w:t>
      </w:r>
      <w:r>
        <w:t xml:space="preserve"> </w:t>
      </w:r>
      <w:r>
        <w:t xml:space="preserve">number of respondents suggested a tiered or differentiated approach to supervision, where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CCPs would be supervised more centrally by ESMA, while smaller, more</w:t>
      </w:r>
      <w:r>
        <w:t xml:space="preserve"> </w:t>
      </w:r>
      <w:r>
        <w:t xml:space="preserve">nationally focused CCPs would remain under the purview of NCAs and less stringent</w:t>
      </w:r>
      <w:r>
        <w:t xml:space="preserve"> </w:t>
      </w:r>
      <w:r>
        <w:t xml:space="preserve">requirements would apply to them.</w:t>
      </w:r>
      <w:r>
        <w:br/>
      </w:r>
      <w:r>
        <w:t xml:space="preserve">Regarding the possibility of employing JSTs, some respondents argued that they could help to</w:t>
      </w:r>
      <w:r>
        <w:t xml:space="preserve"> </w:t>
      </w:r>
      <w:r>
        <w:t xml:space="preserve">leverage the expertise and resources of NCAs and ESMA and could facilitate the sharing of</w:t>
      </w:r>
      <w:r>
        <w:t xml:space="preserve"> </w:t>
      </w:r>
      <w:r>
        <w:t xml:space="preserve">best practices and knowledge among supervisors. However, other respondents expressed</w:t>
      </w:r>
      <w:r>
        <w:t xml:space="preserve"> </w:t>
      </w:r>
      <w:r>
        <w:t xml:space="preserve">concerns about the potential effectiveness and efficiency of JSTs (leading to duplication of</w:t>
      </w:r>
      <w:r>
        <w:t xml:space="preserve"> </w:t>
      </w:r>
      <w:r>
        <w:t xml:space="preserve">efforts and resources, as well as conflicts of interests).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Supervision of significant EU trading venues: on average, 44 stakeholders responded to the</w:t>
      </w:r>
      <w:r>
        <w:t xml:space="preserve"> </w:t>
      </w:r>
      <w:r>
        <w:t xml:space="preserve">questions in this section of the consultation on trading venues (with the number of participants</w:t>
      </w:r>
      <w:r>
        <w:t xml:space="preserve"> </w:t>
      </w:r>
      <w:r>
        <w:t xml:space="preserve">peaking at 57). 15 of them were public authorities and 22 from the private sector, including</w:t>
      </w:r>
      <w:r>
        <w:t xml:space="preserve"> </w:t>
      </w:r>
      <w:r>
        <w:t xml:space="preserve">trading venues and associations representing their interests. As regards the level of convergence</w:t>
      </w:r>
      <w:r>
        <w:t xml:space="preserve"> </w:t>
      </w:r>
      <w:r>
        <w:t xml:space="preserve">of Member States’ supervisory practices, 17 out of a total of 46 respondents consider them as</w:t>
      </w:r>
      <w:r>
        <w:t xml:space="preserve"> </w:t>
      </w:r>
      <w:r>
        <w:t xml:space="preserve">‘rather’ or ‘very’ convergent, while 13 consider them as ‘rather’ or ‘very’ divergent – 16 being</w:t>
      </w:r>
      <w:r>
        <w:t xml:space="preserve"> </w:t>
      </w:r>
      <w:r>
        <w:t xml:space="preserve">neutral – even though a number of respondents point out that their feedback is limited to the</w:t>
      </w:r>
      <w:r>
        <w:t xml:space="preserve"> </w:t>
      </w:r>
      <w:r>
        <w:t xml:space="preserve">perspective from one Member State. Out of 10 public authorities that replied, two supervisory</w:t>
      </w:r>
      <w:r>
        <w:t xml:space="preserve"> </w:t>
      </w:r>
      <w:r>
        <w:t xml:space="preserve">authorities indicate significant differences in supervisory practices, for example as regards the</w:t>
      </w:r>
      <w:r>
        <w:t xml:space="preserve"> </w:t>
      </w:r>
      <w:r>
        <w:t xml:space="preserve">authorization of trading venues, governance arrangements, operational resilience and</w:t>
      </w:r>
      <w:r>
        <w:t xml:space="preserve"> </w:t>
      </w:r>
      <w:r>
        <w:t xml:space="preserve">outsourcing requirements as well as how national supervisory authorities interpret and enforce</w:t>
      </w:r>
      <w:r>
        <w:t xml:space="preserve"> </w:t>
      </w:r>
      <w:r>
        <w:t xml:space="preserve">transparency requirements or algorithmic trading controls.</w:t>
      </w:r>
      <w:r>
        <w:br/>
      </w:r>
      <w:r>
        <w:t xml:space="preserve">41 to 50 respondents expressed an opinion on the various pros and cons of the current</w:t>
      </w:r>
      <w:r>
        <w:t xml:space="preserve"> </w:t>
      </w:r>
      <w:r>
        <w:t xml:space="preserve">supervisory framework. The majority of respondents highlights that the current supervisory</w:t>
      </w:r>
      <w:r>
        <w:t xml:space="preserve"> </w:t>
      </w:r>
      <w:r>
        <w:t xml:space="preserve">framework enables an efficient supervision thanks to the proximity of NCAs to trading venues</w:t>
      </w:r>
      <w:r>
        <w:t xml:space="preserve"> </w:t>
      </w:r>
      <w:r>
        <w:t xml:space="preserve">(81%), it allows an efficient use of national and EU supervisory resources (68%), and it is</w:t>
      </w:r>
      <w:r>
        <w:t xml:space="preserve"> </w:t>
      </w:r>
      <w:r>
        <w:t xml:space="preserve">optimal in terms of regulatory costs for trading venues (62%). As regards the cons, only 30 to</w:t>
      </w:r>
      <w:r>
        <w:t xml:space="preserve"> </w:t>
      </w:r>
      <w:r>
        <w:t xml:space="preserve">33% believe that it creates an uneven playing field for EU trading venues or legal uncertainty</w:t>
      </w:r>
      <w:r>
        <w:t xml:space="preserve"> </w:t>
      </w:r>
      <w:r>
        <w:t xml:space="preserve">because of different implementation or interpretation of EU legislation. It is however</w:t>
      </w:r>
      <w:r>
        <w:t xml:space="preserve"> </w:t>
      </w:r>
      <w:r>
        <w:t xml:space="preserve">noteworthy that the views of groups of trading venues operating across borders are much more</w:t>
      </w:r>
      <w:r>
        <w:t xml:space="preserve"> </w:t>
      </w:r>
      <w:r>
        <w:t xml:space="preserve">critical. For example, in their view, the current supervisory framework does not allow for an</w:t>
      </w:r>
      <w:r>
        <w:t xml:space="preserve"> </w:t>
      </w:r>
      <w:r>
        <w:t xml:space="preserve">effective supervision of groups operating across EU borders, prevents economies of scale for</w:t>
      </w:r>
      <w:r>
        <w:t xml:space="preserve"> </w:t>
      </w:r>
      <w:r>
        <w:t xml:space="preserve">such groups, and makes it more complex or costly to develop activities across borders.</w:t>
      </w:r>
      <w:r>
        <w:br/>
      </w:r>
      <w:r>
        <w:t xml:space="preserve">The majority of respondents therefore express scepticism about the possible benefits of more</w:t>
      </w:r>
      <w:r>
        <w:t xml:space="preserve"> </w:t>
      </w:r>
      <w:r>
        <w:t xml:space="preserve">integrated supervision of trading venues in the EU, citing concerns about increased complexity</w:t>
      </w:r>
      <w:r>
        <w:t xml:space="preserve"> </w:t>
      </w:r>
      <w:r>
        <w:t xml:space="preserve">and compliance costs, notably by introducing bureaucratic layers, requiring dual reporting, and</w:t>
      </w:r>
      <w:r>
        <w:t xml:space="preserve"> </w:t>
      </w:r>
      <w:r>
        <w:t xml:space="preserve">creating administrative burdens. A majority of respondents also does not believe that a more</w:t>
      </w:r>
      <w:r>
        <w:t xml:space="preserve"> </w:t>
      </w:r>
      <w:r>
        <w:t xml:space="preserve">integrated supervision of trading venues in the EU could simplify and/or accelerate procedures</w:t>
      </w:r>
      <w:r>
        <w:t xml:space="preserve"> </w:t>
      </w:r>
      <w:r>
        <w:t xml:space="preserve">for obtaining supervisory approvals (27 respondents against 10, 15 being neutral or with ‘no</w:t>
      </w:r>
      <w:r>
        <w:t xml:space="preserve"> </w:t>
      </w:r>
      <w:r>
        <w:t xml:space="preserve">opinion’), nor simplify and/or accelerate the procedure for obtaining the agreement for</w:t>
      </w:r>
      <w:r>
        <w:t xml:space="preserve"> </w:t>
      </w:r>
      <w:r>
        <w:t xml:space="preserve">amendments to the exchange rulebooks (31 respondents against 6, with 16 neutral/no opinion).</w:t>
      </w:r>
      <w:r>
        <w:t xml:space="preserve"> </w:t>
      </w:r>
      <w:r>
        <w:t xml:space="preserve">The majority of respondents emphasizes the importance of local NCAs, which are deemed to</w:t>
      </w:r>
      <w:r>
        <w:t xml:space="preserve"> </w:t>
      </w:r>
      <w:r>
        <w:t xml:space="preserve">possess the necessary insights to address market-specific risks effectively. A slight majority</w:t>
      </w:r>
      <w:r>
        <w:t xml:space="preserve"> </w:t>
      </w:r>
      <w:r>
        <w:t xml:space="preserve">still believes that a more integrated EU supervision could decrease uncertainties arising from</w:t>
      </w:r>
      <w:r>
        <w:t xml:space="preserve"> </w:t>
      </w:r>
      <w:r>
        <w:t xml:space="preserve">different implementation or interpretation or EU legislation (20 against 18 respondents) and</w:t>
      </w:r>
      <w:r>
        <w:t xml:space="preserve"> </w:t>
      </w:r>
      <w:r>
        <w:t xml:space="preserve">could increase the effectiveness of the supervision of groups, allowing for a comprehensive</w:t>
      </w:r>
      <w:r>
        <w:t xml:space="preserve"> </w:t>
      </w:r>
      <w:r>
        <w:t xml:space="preserve">understanding of their activities (18 against 15). Pan-European trading venues in particular</w:t>
      </w:r>
      <w:r>
        <w:t xml:space="preserve"> </w:t>
      </w:r>
      <w:r>
        <w:t xml:space="preserve">show an overall positive sentiment on the potential of more integrated supervision. A number</w:t>
      </w:r>
      <w:r>
        <w:t xml:space="preserve"> </w:t>
      </w:r>
      <w:r>
        <w:t xml:space="preserve">of stakeholders indicate a preference for enhancing the current system through improved</w:t>
      </w:r>
      <w:r>
        <w:t xml:space="preserve"> </w:t>
      </w:r>
      <w:r>
        <w:t xml:space="preserve">coordination and supervisory convergence efforts, for example, 14 respondents express support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for enhanced supervisory college models, while ten respondents are in favour of moving to</w:t>
      </w:r>
      <w:r>
        <w:t xml:space="preserve"> </w:t>
      </w:r>
      <w:r>
        <w:t xml:space="preserve">fully centralised supervisory arrangements.168</w:t>
      </w:r>
      <w:r>
        <w:br/>
      </w:r>
      <w:r>
        <w:t xml:space="preserve">When asked about the possible models of more integrated EU-level supervision, the majority</w:t>
      </w:r>
      <w:r>
        <w:t xml:space="preserve"> </w:t>
      </w:r>
      <w:r>
        <w:t xml:space="preserve">of respondents are against an EU-level supervisor that would be responsible for the supervision</w:t>
      </w:r>
      <w:r>
        <w:t xml:space="preserve"> </w:t>
      </w:r>
      <w:r>
        <w:t xml:space="preserve">of all trading venues (35 against, 10 in favour, 9 neutral/no opinion) or certain trading venues</w:t>
      </w:r>
      <w:r>
        <w:t xml:space="preserve"> </w:t>
      </w:r>
      <w:r>
        <w:t xml:space="preserve">according to certain criteria (such as, for instance, trading volume of assets) (27 against, 15 in</w:t>
      </w:r>
      <w:r>
        <w:t xml:space="preserve"> </w:t>
      </w:r>
      <w:r>
        <w:t xml:space="preserve">favour, 15 neutral/no opinion). Most respondents do not support a model with Joint supervisory</w:t>
      </w:r>
      <w:r>
        <w:t xml:space="preserve"> </w:t>
      </w:r>
      <w:r>
        <w:t xml:space="preserve">colleges with enhanced powers either (26 against, 14 in favour, 15 neutral/no opinion). Many</w:t>
      </w:r>
      <w:r>
        <w:t xml:space="preserve"> </w:t>
      </w:r>
      <w:r>
        <w:t xml:space="preserve">cite concerns over loss of local market knowledge, increased complexity and costs, and reduced</w:t>
      </w:r>
      <w:r>
        <w:t xml:space="preserve"> </w:t>
      </w:r>
      <w:r>
        <w:t xml:space="preserve">flexibility to adapt to national specificities. While some respondents still acknowledged the</w:t>
      </w:r>
      <w:r>
        <w:t xml:space="preserve"> </w:t>
      </w:r>
      <w:r>
        <w:t xml:space="preserve">potential benefits of EU-level supervision for large, cross-border venues, others felt it was not</w:t>
      </w:r>
      <w:r>
        <w:t xml:space="preserve"> </w:t>
      </w:r>
      <w:r>
        <w:t xml:space="preserve">necessary or efficient, especially for smaller and Central/Eastern European countries. The</w:t>
      </w:r>
      <w:r>
        <w:t xml:space="preserve"> </w:t>
      </w:r>
      <w:r>
        <w:t xml:space="preserve">responses from pan-European trading venues tend to be more positive (or at least split) towards</w:t>
      </w:r>
      <w:r>
        <w:t xml:space="preserve"> </w:t>
      </w:r>
      <w:r>
        <w:t xml:space="preserve">a model based on an EU-level supervisor responsible for the supervision of all trading venues</w:t>
      </w:r>
      <w:r>
        <w:t xml:space="preserve"> </w:t>
      </w:r>
      <w:r>
        <w:t xml:space="preserve">or on certain trading venues based on certain criteria, rather than a model based on joint</w:t>
      </w:r>
      <w:r>
        <w:t xml:space="preserve"> </w:t>
      </w:r>
      <w:r>
        <w:t xml:space="preserve">supervisory colleges. A few respondents suggested a gradual, step-by-step approach to any</w:t>
      </w:r>
      <w:r>
        <w:t xml:space="preserve"> </w:t>
      </w:r>
      <w:r>
        <w:t xml:space="preserve">potential expansion of EU-level supervision, allowing for a balanced transition and ensuring</w:t>
      </w:r>
      <w:r>
        <w:t xml:space="preserve"> </w:t>
      </w:r>
      <w:r>
        <w:t xml:space="preserve">market readiness and institutional capacity.</w:t>
      </w:r>
      <w:r>
        <w:br/>
      </w:r>
      <w:r>
        <w:t xml:space="preserve">As regards the question on whether entities within the same group should be subject to EU-</w:t>
      </w:r>
      <w:r>
        <w:t xml:space="preserve"> </w:t>
      </w:r>
      <w:r>
        <w:t xml:space="preserve">level supervision, views are nearly equally split between (i) the ones who believe that if a</w:t>
      </w:r>
      <w:r>
        <w:t xml:space="preserve"> </w:t>
      </w:r>
      <w:r>
        <w:t xml:space="preserve">trading venue belonging to a group is in scope of EU-level supervision, all trading venues</w:t>
      </w:r>
      <w:r>
        <w:t xml:space="preserve"> </w:t>
      </w:r>
      <w:r>
        <w:t xml:space="preserve">located in the EU and belonging to that group should be in scope, irrespective of whether the</w:t>
      </w:r>
      <w:r>
        <w:t xml:space="preserve"> </w:t>
      </w:r>
      <w:r>
        <w:t xml:space="preserve">quantitative criteria for being in scope are met for each of the entities (7 respondents), and (ii)</w:t>
      </w:r>
      <w:r>
        <w:t xml:space="preserve"> </w:t>
      </w:r>
      <w:r>
        <w:t xml:space="preserve">the ones of the view that only trading venues of a group that individually reach the criteria</w:t>
      </w:r>
      <w:r>
        <w:t xml:space="preserve"> </w:t>
      </w:r>
      <w:r>
        <w:t xml:space="preserve">should be in scope (6 respondents). The vast majority had no opinion (16) or other views (14).</w:t>
      </w:r>
      <w:r>
        <w:t xml:space="preserve"> </w:t>
      </w:r>
      <w:r>
        <w:t xml:space="preserve">When asked which MiFID II powers could be transferred to EU-level supervision, the majority</w:t>
      </w:r>
      <w:r>
        <w:t xml:space="preserve"> </w:t>
      </w:r>
      <w:r>
        <w:t xml:space="preserve">of respondents were against such transfer, except for a few powers for which the views were</w:t>
      </w:r>
      <w:r>
        <w:t xml:space="preserve"> </w:t>
      </w:r>
      <w:r>
        <w:t xml:space="preserve">more split or neutral: group level supervision, fair access to trading venues and CCPs as well</w:t>
      </w:r>
      <w:r>
        <w:t xml:space="preserve"> </w:t>
      </w:r>
      <w:r>
        <w:t xml:space="preserve">as commodities derivatives. As regards MiFIR powers, most respondents are against</w:t>
      </w:r>
      <w:r>
        <w:t xml:space="preserve"> </w:t>
      </w:r>
      <w:r>
        <w:t xml:space="preserve">transferring them from national to EU level supervision. Yet there is more openness to EU-</w:t>
      </w:r>
      <w:r>
        <w:t xml:space="preserve"> </w:t>
      </w:r>
      <w:r>
        <w:t xml:space="preserve">level supervision over the rules on non-discriminatory access to trading venues and CCPs, and</w:t>
      </w:r>
      <w:r>
        <w:t xml:space="preserve"> </w:t>
      </w:r>
      <w:r>
        <w:t xml:space="preserve">to some extent over market data.</w:t>
      </w:r>
      <w:r>
        <w:br/>
      </w:r>
      <w:r>
        <w:t xml:space="preserve">Supervision of funds and asset managers: overall, few respondents replied to this part of the</w:t>
      </w:r>
      <w:r>
        <w:t xml:space="preserve"> </w:t>
      </w:r>
      <w:r>
        <w:t xml:space="preserve">consultation. When asked to rate the convergence of supervisory practices across Member</w:t>
      </w:r>
    </w:p>
    <w:p>
      <w:pPr>
        <w:pStyle w:val="BodyText"/>
      </w:pPr>
      <w:r>
        <w:t xml:space="preserve">168 This is based on Question 32e, 33a and 33b in Section 6.5.2. Question 32e asked: Please indicate to which</w:t>
      </w:r>
      <w:r>
        <w:t xml:space="preserve"> </w:t>
      </w:r>
      <w:r>
        <w:t xml:space="preserve">extent you support the following possible models of more integrated EU supervision. Joint supervisory colleges</w:t>
      </w:r>
      <w:r>
        <w:t xml:space="preserve"> </w:t>
      </w:r>
      <w:r>
        <w:t xml:space="preserve">with enhanced powers. Strongly support: 1, rather support: 13, neutral: 5, rather not support: 7, strongly not</w:t>
      </w:r>
      <w:r>
        <w:t xml:space="preserve"> </w:t>
      </w:r>
      <w:r>
        <w:t xml:space="preserve">support: 19. For the EU-level supervisor, responsible for the supervision of all EU trading venues, strongly</w:t>
      </w:r>
      <w:r>
        <w:t xml:space="preserve"> </w:t>
      </w:r>
      <w:r>
        <w:t xml:space="preserve">support: 9, rather support: 1, neutral: 1, rather not support: 4, strongly not support: 31.1. Question 33a asked: In</w:t>
      </w:r>
      <w:r>
        <w:t xml:space="preserve"> </w:t>
      </w:r>
      <w:r>
        <w:t xml:space="preserve">the case of a single EU-level supervisor (a, b, c and d in question 32), to which extent would you support the two</w:t>
      </w:r>
      <w:r>
        <w:t xml:space="preserve"> </w:t>
      </w:r>
      <w:r>
        <w:t xml:space="preserve">possible models described below? a) ESMA is the direct supervisor, with decisions taken by the ESMA Board of</w:t>
      </w:r>
      <w:r>
        <w:t xml:space="preserve"> </w:t>
      </w:r>
      <w:r>
        <w:t xml:space="preserve">Supervisors and certain tasks delegated to NCAs. Strongly support: 2, rather support: 4, neutral: 5, rather not</w:t>
      </w:r>
      <w:r>
        <w:t xml:space="preserve"> </w:t>
      </w:r>
      <w:r>
        <w:t xml:space="preserve">support: 6, strongly not support: 20. Question 33b asked: b) Within ESMA, a Supervisory Committee composed</w:t>
      </w:r>
      <w:r>
        <w:t xml:space="preserve"> </w:t>
      </w:r>
      <w:r>
        <w:t xml:space="preserve">of representatives of ESMA, relevant NCAs and possibly independent experts is in charge of the on-going</w:t>
      </w:r>
      <w:r>
        <w:t xml:space="preserve"> </w:t>
      </w:r>
      <w:r>
        <w:t xml:space="preserve">supervision. The ESMA Board of Supervisors could retain decision making powers on a limited number of</w:t>
      </w:r>
      <w:r>
        <w:t xml:space="preserve"> </w:t>
      </w:r>
      <w:r>
        <w:t xml:space="preserve">important MiFID/R issues. Very satisfied: 7, satisfied: 5, neutral: 4, unsatisfied: 7, very unsatisfied: 14.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States in the area of the supervision of funds and asset managers, 49% of respondents (mainly</w:t>
      </w:r>
      <w:r>
        <w:t xml:space="preserve"> </w:t>
      </w:r>
      <w:r>
        <w:t xml:space="preserve">industry stakeholders) deemed it to be ‘very or rather converging’ while only 22% of</w:t>
      </w:r>
      <w:r>
        <w:t xml:space="preserve"> </w:t>
      </w:r>
      <w:r>
        <w:t xml:space="preserve">respondents highlighted convergence issues mainly related to national authorities applying</w:t>
      </w:r>
      <w:r>
        <w:t xml:space="preserve"> </w:t>
      </w:r>
      <w:r>
        <w:t xml:space="preserve">rules inconsistently, particularly in areas related to licensing and substance requirements for</w:t>
      </w:r>
      <w:r>
        <w:t xml:space="preserve"> </w:t>
      </w:r>
      <w:r>
        <w:t xml:space="preserve">asset managers. These stakeholders noted that these divergences can reflect protectionist</w:t>
      </w:r>
      <w:r>
        <w:t xml:space="preserve"> </w:t>
      </w:r>
      <w:r>
        <w:t xml:space="preserve">tendencies that discourage cross-border activities, increase compliance burdens, and restrict</w:t>
      </w:r>
      <w:r>
        <w:t xml:space="preserve"> </w:t>
      </w:r>
      <w:r>
        <w:t xml:space="preserve">choice for businesses and investors. Therefore, some respondents advocated for harmonising</w:t>
      </w:r>
      <w:r>
        <w:t xml:space="preserve"> </w:t>
      </w:r>
      <w:r>
        <w:t xml:space="preserve">substance requirements for the proficiency and skillset of required local FTEs, local</w:t>
      </w:r>
      <w:r>
        <w:t xml:space="preserve"> </w:t>
      </w:r>
      <w:r>
        <w:t xml:space="preserve">governance requirements, and streamlining regulatory reporting.</w:t>
      </w:r>
      <w:r>
        <w:t xml:space="preserve"> </w:t>
      </w:r>
      <w:r>
        <w:t xml:space="preserve">Concerning the identification of costs related to the current supervisory framework and benefits</w:t>
      </w:r>
      <w:r>
        <w:t xml:space="preserve"> </w:t>
      </w:r>
      <w:r>
        <w:t xml:space="preserve">of more integrated EU supervision, results show that the classification of fees may vary</w:t>
      </w:r>
      <w:r>
        <w:t xml:space="preserve"> </w:t>
      </w:r>
      <w:r>
        <w:t xml:space="preserve">considerably across different countries and NCAs.</w:t>
      </w:r>
      <w:r>
        <w:t xml:space="preserve"> </w:t>
      </w:r>
      <w:r>
        <w:t xml:space="preserve">Some respondents expressed a favourable view of the potential benefits of integrated EU</w:t>
      </w:r>
      <w:r>
        <w:t xml:space="preserve"> </w:t>
      </w:r>
      <w:r>
        <w:t xml:space="preserve">supervision, highlighting that it would decrease uncertainties that currently arise from different</w:t>
      </w:r>
      <w:r>
        <w:t xml:space="preserve"> </w:t>
      </w:r>
      <w:r>
        <w:t xml:space="preserve">implementation or divergent interpretations of EU Regulations amongst Member States and</w:t>
      </w:r>
      <w:r>
        <w:t xml:space="preserve"> </w:t>
      </w:r>
      <w:r>
        <w:t xml:space="preserve">ESMA.</w:t>
      </w:r>
      <w:r>
        <w:br/>
      </w:r>
      <w:r>
        <w:t xml:space="preserve">When asked to indicate to which extent they support given models of more integrated EU</w:t>
      </w:r>
      <w:r>
        <w:t xml:space="preserve"> </w:t>
      </w:r>
      <w:r>
        <w:t xml:space="preserve">supervision, respondents being favourable preferred a supervisory coordination college</w:t>
      </w:r>
      <w:r>
        <w:t xml:space="preserve"> </w:t>
      </w:r>
      <w:r>
        <w:t xml:space="preserve">comprised of all relevant NCAs and ESMA, while supervisory responsibilities would remain</w:t>
      </w:r>
      <w:r>
        <w:t xml:space="preserve"> </w:t>
      </w:r>
      <w:r>
        <w:t xml:space="preserve">unchanged, followed by only a few supporters of a single EU supervisor, responsible for the</w:t>
      </w:r>
      <w:r>
        <w:t xml:space="preserve"> </w:t>
      </w:r>
      <w:r>
        <w:t xml:space="preserve">supervision of asset managers with significant cross-border activities, while NCAs would</w:t>
      </w:r>
      <w:r>
        <w:t xml:space="preserve"> </w:t>
      </w:r>
      <w:r>
        <w:t xml:space="preserve">remain responsible for the supervision of asset managers with limited or no cross-border</w:t>
      </w:r>
      <w:r>
        <w:t xml:space="preserve"> </w:t>
      </w:r>
      <w:r>
        <w:t xml:space="preserve">activity, UCITS funds and AIFs. Very little appetite was shown for setting up a supervisory</w:t>
      </w:r>
      <w:r>
        <w:t xml:space="preserve"> </w:t>
      </w:r>
      <w:r>
        <w:t xml:space="preserve">college, taking joint decisions on the supervision of asset managers with significant cross-</w:t>
      </w:r>
      <w:r>
        <w:t xml:space="preserve"> </w:t>
      </w:r>
      <w:r>
        <w:t xml:space="preserve">border activities, while NCAs would remain responsible for the supervision of asset</w:t>
      </w:r>
      <w:r>
        <w:t xml:space="preserve"> </w:t>
      </w:r>
      <w:r>
        <w:t xml:space="preserve">managers/investment funds with limited or no cross-border activity.</w:t>
      </w:r>
      <w:r>
        <w:t xml:space="preserve"> </w:t>
      </w:r>
      <w:r>
        <w:t xml:space="preserve">The few (again public authorities) that support the creation of joint supervisory teams,</w:t>
      </w:r>
      <w:r>
        <w:t xml:space="preserve"> </w:t>
      </w:r>
      <w:r>
        <w:t xml:space="preserve">composed of experts of NCAs and representatives of ESMA, under ESMA’s lead, to achieve</w:t>
      </w:r>
      <w:r>
        <w:t xml:space="preserve"> </w:t>
      </w:r>
      <w:r>
        <w:t xml:space="preserve">more harmonised and efficient supervision of AIFs, UCITS and their fund managers,</w:t>
      </w:r>
      <w:r>
        <w:t xml:space="preserve"> </w:t>
      </w:r>
      <w:r>
        <w:t xml:space="preserve">highlighted that experience of Joint Supervisory Teams (JSTs) within the Single Supervisory</w:t>
      </w:r>
      <w:r>
        <w:t xml:space="preserve"> </w:t>
      </w:r>
      <w:r>
        <w:t xml:space="preserve">Mechanism of the Banking Union has been overall positive.</w:t>
      </w:r>
      <w:r>
        <w:br/>
      </w:r>
      <w:r>
        <w:t xml:space="preserve">When asked how they would expect their compliance cost to change under the supervisory</w:t>
      </w:r>
      <w:r>
        <w:t xml:space="preserve"> </w:t>
      </w:r>
      <w:r>
        <w:t xml:space="preserve">model they chose in the previous questions, in the vast majority of cases, respondents did not</w:t>
      </w:r>
      <w:r>
        <w:t xml:space="preserve"> </w:t>
      </w:r>
      <w:r>
        <w:t xml:space="preserve">respond or indicate a change as they prefer the supervisory status quo to be maintained.</w:t>
      </w:r>
      <w:r>
        <w:t xml:space="preserve"> </w:t>
      </w:r>
      <w:r>
        <w:t xml:space="preserve">Supervision of EU crypto-asset service providers (CASPs): there is no clear majority</w:t>
      </w:r>
      <w:r>
        <w:t xml:space="preserve"> </w:t>
      </w:r>
      <w:r>
        <w:t xml:space="preserve">support amongst the respondents for any of the proposed models for an increasingly integrated</w:t>
      </w:r>
      <w:r>
        <w:t xml:space="preserve"> </w:t>
      </w:r>
      <w:r>
        <w:t xml:space="preserve">EU-supervision, which ranges from single EU-supervision to only centralizing supervision for</w:t>
      </w:r>
      <w:r>
        <w:t xml:space="preserve"> </w:t>
      </w:r>
      <w:r>
        <w:t xml:space="preserve">specific areas or subsets of CASPs.</w:t>
      </w:r>
      <w:r>
        <w:br/>
      </w:r>
      <w:r>
        <w:t xml:space="preserve">Some respondents, including NCAs and businesses, see a more centralized EU-level</w:t>
      </w:r>
      <w:r>
        <w:t xml:space="preserve"> </w:t>
      </w:r>
      <w:r>
        <w:t xml:space="preserve">supervision as highly beneficial for establishing a level playing field. Approximately half of</w:t>
      </w:r>
      <w:r>
        <w:t xml:space="preserve"> </w:t>
      </w:r>
      <w:r>
        <w:t xml:space="preserve">the respondents suggested that convergence can already be achieved through strengthened</w:t>
      </w:r>
      <w:r>
        <w:t xml:space="preserve"> </w:t>
      </w:r>
      <w:r>
        <w:t xml:space="preserve">coordination among NCAs and ESMA’s role. Others stress that the nascent nature of the</w:t>
      </w:r>
      <w:r>
        <w:t xml:space="preserve"> </w:t>
      </w:r>
      <w:r>
        <w:t xml:space="preserve">emerging market presents an opportunity to implement centralized supervision more</w:t>
      </w:r>
      <w:r>
        <w:t xml:space="preserve"> </w:t>
      </w:r>
      <w:r>
        <w:t xml:space="preserve">effectively. Some advocate for centralized supervision due to the global and cross-border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nature of CASPs and see value in having a single point of contact for regulators and entities</w:t>
      </w:r>
      <w:r>
        <w:t xml:space="preserve"> </w:t>
      </w:r>
      <w:r>
        <w:t xml:space="preserve">from third countries. Other respondents strongly oppose this approach, citing existing effective</w:t>
      </w:r>
      <w:r>
        <w:t xml:space="preserve"> </w:t>
      </w:r>
      <w:r>
        <w:t xml:space="preserve">national supervision and the principle of subsidiarity, which supports national-level oversight.</w:t>
      </w:r>
      <w:r>
        <w:t xml:space="preserve"> </w:t>
      </w:r>
      <w:r>
        <w:t xml:space="preserve">Additionally, respondents hold mixed opinions on the efficiency of joint supervisory teams,</w:t>
      </w:r>
      <w:r>
        <w:t xml:space="preserve"> </w:t>
      </w:r>
      <w:r>
        <w:t xml:space="preserve">composed of NCA experts and ESMA representatives under ESMA’s leadership, for</w:t>
      </w:r>
      <w:r>
        <w:t xml:space="preserve"> </w:t>
      </w:r>
      <w:r>
        <w:t xml:space="preserve">harmonizing and improving the authorization, supervision, and monitoring of CASPs.</w:t>
      </w:r>
      <w:r>
        <w:t xml:space="preserve"> </w:t>
      </w:r>
      <w:r>
        <w:t xml:space="preserve">Challenges identified include organizing teams across jurisdictions, balancing roles between</w:t>
      </w:r>
      <w:r>
        <w:t xml:space="preserve"> </w:t>
      </w:r>
      <w:r>
        <w:t xml:space="preserve">entities and potential duplication, thus adding complexity. Potential benefits include improved</w:t>
      </w:r>
      <w:r>
        <w:t xml:space="preserve"> </w:t>
      </w:r>
      <w:r>
        <w:t xml:space="preserve">information sharing and complementary expertise, such as use of local knowledge.</w:t>
      </w:r>
      <w:r>
        <w:br/>
      </w:r>
      <w:r>
        <w:t xml:space="preserve">A majority of respondents believe that significant CASPs are more exposed to systemic,</w:t>
      </w:r>
      <w:r>
        <w:t xml:space="preserve"> </w:t>
      </w:r>
      <w:r>
        <w:t xml:space="preserve">operational, cybersecurity, cross-border and other risks compared to less significant CASPs.</w:t>
      </w:r>
      <w:r>
        <w:t xml:space="preserve"> </w:t>
      </w:r>
      <w:r>
        <w:t xml:space="preserve">Nevertheless, some respondents highlighted that while significant CASPs may be exposed to</w:t>
      </w:r>
      <w:r>
        <w:t xml:space="preserve"> </w:t>
      </w:r>
      <w:r>
        <w:t xml:space="preserve">greater risk, they often have more advanced infrastructure, compliance resources, and risk</w:t>
      </w:r>
      <w:r>
        <w:t xml:space="preserve"> </w:t>
      </w:r>
      <w:r>
        <w:t xml:space="preserve">management frameworks, enabling them to handle risks more effectively than smaller entities.</w:t>
      </w:r>
      <w:r>
        <w:t xml:space="preserve"> </w:t>
      </w:r>
      <w:r>
        <w:t xml:space="preserve">A majority of respondents are of the opinion that these risks can be addressed by supervision</w:t>
      </w:r>
      <w:r>
        <w:t xml:space="preserve"> </w:t>
      </w:r>
      <w:r>
        <w:t xml:space="preserve">of CASPs at EU level, while some respondents, including several NCAs, acknowledged that</w:t>
      </w:r>
      <w:r>
        <w:t xml:space="preserve"> </w:t>
      </w:r>
      <w:r>
        <w:t xml:space="preserve">centralized supervision could address certain risks, such as cross-border operations, regulatory</w:t>
      </w:r>
      <w:r>
        <w:t xml:space="preserve"> </w:t>
      </w:r>
      <w:r>
        <w:t xml:space="preserve">arbitrage and forum-shopping more effectively than national frameworks. A few respondents</w:t>
      </w:r>
      <w:r>
        <w:t xml:space="preserve"> </w:t>
      </w:r>
      <w:r>
        <w:t xml:space="preserve">expressed concerns about the feasibility and accountability of an EU-level supervisor, noting</w:t>
      </w:r>
      <w:r>
        <w:t xml:space="preserve"> </w:t>
      </w:r>
      <w:r>
        <w:t xml:space="preserve">that national authorities have more proximity, local knowledge, and often already supervise</w:t>
      </w:r>
      <w:r>
        <w:t xml:space="preserve"> </w:t>
      </w:r>
      <w:r>
        <w:t xml:space="preserve">under other frameworks such as the EU AML Directive or PSD, making it more effective to</w:t>
      </w:r>
      <w:r>
        <w:t xml:space="preserve"> </w:t>
      </w:r>
      <w:r>
        <w:t xml:space="preserve">supervise CASPs on a national level. Many respondents take note that centralized supervision</w:t>
      </w:r>
      <w:r>
        <w:t xml:space="preserve"> </w:t>
      </w:r>
      <w:r>
        <w:t xml:space="preserve">could create bottlenecks in the authorization process, extend its duration, deprioritize smaller</w:t>
      </w:r>
      <w:r>
        <w:t xml:space="preserve"> </w:t>
      </w:r>
      <w:r>
        <w:t xml:space="preserve">CASPs and reduce responsiveness. Some respondents suggested that a balanced approach,</w:t>
      </w:r>
      <w:r>
        <w:t xml:space="preserve"> </w:t>
      </w:r>
      <w:r>
        <w:t xml:space="preserve">leveraging both national and EU-level supervision, may be the most effective way to address</w:t>
      </w:r>
      <w:r>
        <w:t xml:space="preserve"> </w:t>
      </w:r>
      <w:r>
        <w:t xml:space="preserve">the risks posed by significant CASPs.</w:t>
      </w:r>
      <w:r>
        <w:t xml:space="preserve"> </w:t>
      </w:r>
      <w:r>
        <w:t xml:space="preserve">In terms of which criteria/thresholds to use to identify significant CASPS, most respondents</w:t>
      </w:r>
      <w:r>
        <w:t xml:space="preserve"> </w:t>
      </w:r>
      <w:r>
        <w:t xml:space="preserve">consider the current threshold of 15 million active users per calendar year for assessing the</w:t>
      </w:r>
      <w:r>
        <w:t xml:space="preserve"> </w:t>
      </w:r>
      <w:r>
        <w:t xml:space="preserve">significance of a CASP as appropriate. However, the majority of respondents suggest</w:t>
      </w:r>
      <w:r>
        <w:t xml:space="preserve"> </w:t>
      </w:r>
      <w:r>
        <w:t xml:space="preserve">considering additional criteria, beyond size, highlighting that CASPs are a heterogeneous</w:t>
      </w:r>
      <w:r>
        <w:t xml:space="preserve"> </w:t>
      </w:r>
      <w:r>
        <w:t xml:space="preserve">group, each with different activities and varying levels of risk exposure. Among the additional</w:t>
      </w:r>
      <w:r>
        <w:t xml:space="preserve"> </w:t>
      </w:r>
      <w:r>
        <w:t xml:space="preserve">criteria suggested there are: cross-border activity, complexity of organizational structure, client</w:t>
      </w:r>
      <w:r>
        <w:t xml:space="preserve"> </w:t>
      </w:r>
      <w:r>
        <w:t xml:space="preserve">types and risk profile.</w:t>
      </w:r>
      <w:r>
        <w:t xml:space="preserve"> </w:t>
      </w:r>
      <w:r>
        <w:t xml:space="preserve">3.7. HORIZONTAL QUESTIONS ON THE SUPERVISORY FRAMEWORK</w:t>
      </w:r>
      <w:r>
        <w:t xml:space="preserve"> </w:t>
      </w:r>
      <w:r>
        <w:t xml:space="preserve">This section summarises the feedback received on ESMA’s supervisory framework.</w:t>
      </w:r>
      <w:r>
        <w:br/>
      </w:r>
      <w:r>
        <w:t xml:space="preserve">New direct supervisory mandates and governance models: most public authorities and much of</w:t>
      </w:r>
      <w:r>
        <w:t xml:space="preserve"> </w:t>
      </w:r>
      <w:r>
        <w:t xml:space="preserve">the industry oppose broad, full-scale EU-level ESMA supervision while favouring a balanced</w:t>
      </w:r>
      <w:r>
        <w:t xml:space="preserve"> </w:t>
      </w:r>
      <w:r>
        <w:t xml:space="preserve">approach that strengthens national oversight while enhancing EU-level coordination.</w:t>
      </w:r>
      <w:r>
        <w:t xml:space="preserve"> </w:t>
      </w:r>
      <w:r>
        <w:t xml:space="preserve">There is growing support among some industry players and other stakeholders (NGOs, citizens)</w:t>
      </w:r>
      <w:r>
        <w:t xml:space="preserve"> </w:t>
      </w:r>
      <w:r>
        <w:t xml:space="preserve">for targeted ESMA supervision in specific cross-border or systemic areas.</w:t>
      </w:r>
      <w:r>
        <w:t xml:space="preserve"> </w:t>
      </w:r>
      <w:r>
        <w:t xml:space="preserve">Public authorities largely value ESMA’s current governance for preserving national expertise</w:t>
      </w:r>
      <w:r>
        <w:t xml:space="preserve"> </w:t>
      </w:r>
      <w:r>
        <w:t xml:space="preserve">and subsidiarity, while many in the industry view a streamlined Executive Board as a</w:t>
      </w:r>
      <w:r>
        <w:t xml:space="preserve"> </w:t>
      </w:r>
      <w:r>
        <w:t xml:space="preserve">constructive step toward more agile and efficient decision-making, especially if it maintains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sectoral expertise and complements inclusive models with continued NCA involvement and</w:t>
      </w:r>
      <w:r>
        <w:t xml:space="preserve"> </w:t>
      </w:r>
      <w:r>
        <w:t xml:space="preserve">broader stakeholder representation.</w:t>
      </w:r>
      <w:r>
        <w:t xml:space="preserve"> </w:t>
      </w:r>
      <w:r>
        <w:t xml:space="preserve">Supervisory convergence: respondents consider guidelines, stress tests, recommendations,</w:t>
      </w:r>
      <w:r>
        <w:t xml:space="preserve"> </w:t>
      </w:r>
      <w:r>
        <w:t xml:space="preserve">opinions, and peer reviews to be effective supervisory convergence tools. For example, 40</w:t>
      </w:r>
      <w:r>
        <w:t xml:space="preserve"> </w:t>
      </w:r>
      <w:r>
        <w:t xml:space="preserve">respondents consider guidelines to be effective, while only 15 consider them non-effective.</w:t>
      </w:r>
      <w:r>
        <w:t xml:space="preserve"> </w:t>
      </w:r>
      <w:r>
        <w:t xml:space="preserve">Similarly, 27 respondents consider stress tests to be effective, with only 5 considering them</w:t>
      </w:r>
      <w:r>
        <w:t xml:space="preserve"> </w:t>
      </w:r>
      <w:r>
        <w:t xml:space="preserve">non-effective.</w:t>
      </w:r>
      <w:r>
        <w:t xml:space="preserve"> </w:t>
      </w:r>
      <w:r>
        <w:t xml:space="preserve">No action letters, breach of Union law and inquiries are considered as less effective tools. For</w:t>
      </w:r>
      <w:r>
        <w:t xml:space="preserve"> </w:t>
      </w:r>
      <w:r>
        <w:t xml:space="preserve">instance, 23 respondents consider breach of Union law to be non-effective, while only 12</w:t>
      </w:r>
      <w:r>
        <w:t xml:space="preserve"> </w:t>
      </w:r>
      <w:r>
        <w:t xml:space="preserve">consider this tool effective. Similarly, 31 respondents consider no action letters to be non-</w:t>
      </w:r>
      <w:r>
        <w:t xml:space="preserve"> </w:t>
      </w:r>
      <w:r>
        <w:t xml:space="preserve">effective, while 26 consider this tool effective.</w:t>
      </w:r>
      <w:r>
        <w:t xml:space="preserve"> </w:t>
      </w:r>
      <w:r>
        <w:t xml:space="preserve">Some tools, such as binding mediation, collaboration platforms, colleges of supervisors,</w:t>
      </w:r>
      <w:r>
        <w:t xml:space="preserve"> </w:t>
      </w:r>
      <w:r>
        <w:t xml:space="preserve">coordination groups, supervisory handbooks, and Union strategic supervisory priorities, have</w:t>
      </w:r>
      <w:r>
        <w:t xml:space="preserve"> </w:t>
      </w:r>
      <w:r>
        <w:t xml:space="preserve">more mixed opinions. For example, 11 respondents consider binding mediation to be effective,</w:t>
      </w:r>
      <w:r>
        <w:t xml:space="preserve"> </w:t>
      </w:r>
      <w:r>
        <w:t xml:space="preserve">while 11 consider it non-effective. Similarly, 17 respondents consider colleges of supervisors</w:t>
      </w:r>
      <w:r>
        <w:t xml:space="preserve"> </w:t>
      </w:r>
      <w:r>
        <w:t xml:space="preserve">to be effective, while 10 consider them non-effective.</w:t>
      </w:r>
      <w:r>
        <w:t xml:space="preserve"> </w:t>
      </w:r>
      <w:r>
        <w:t xml:space="preserve">44 versus 21 respondents believe that current supervisory convergence tools are not being used</w:t>
      </w:r>
      <w:r>
        <w:t xml:space="preserve"> </w:t>
      </w:r>
      <w:r>
        <w:t xml:space="preserve">effectively and suggest leveraging on existing tools, such as breach of Union law and peer</w:t>
      </w:r>
      <w:r>
        <w:t xml:space="preserve"> </w:t>
      </w:r>
      <w:r>
        <w:t xml:space="preserve">reviews, more proactively to address supervisory divergences. Respondents also highlighted</w:t>
      </w:r>
      <w:r>
        <w:t xml:space="preserve"> </w:t>
      </w:r>
      <w:r>
        <w:t xml:space="preserve">issues with guidelines and Q&amp;As, and called for greater transparency, coordination, and</w:t>
      </w:r>
      <w:r>
        <w:t xml:space="preserve"> </w:t>
      </w:r>
      <w:r>
        <w:t xml:space="preserve">streamlining of these tools to enhance their effectiveness.</w:t>
      </w:r>
      <w:r>
        <w:t xml:space="preserve"> </w:t>
      </w:r>
      <w:r>
        <w:t xml:space="preserve">26 versus 19 respondents believe that ESMA’s current governance and decision-making</w:t>
      </w:r>
      <w:r>
        <w:t xml:space="preserve"> </w:t>
      </w:r>
      <w:r>
        <w:t xml:space="preserve">processes do not provide sufficient incentives for supervisory convergence tasks due to a</w:t>
      </w:r>
      <w:r>
        <w:t xml:space="preserve"> </w:t>
      </w:r>
      <w:r>
        <w:t xml:space="preserve">consensus-driven model led by NCAs that creates conflicts of interest and discourages assertive</w:t>
      </w:r>
      <w:r>
        <w:t xml:space="preserve"> </w:t>
      </w:r>
      <w:r>
        <w:t xml:space="preserve">action. They suggest enhancing ESMA’s governance structure, improving transparency and</w:t>
      </w:r>
      <w:r>
        <w:t xml:space="preserve"> </w:t>
      </w:r>
      <w:r>
        <w:t xml:space="preserve">accountability, and potentially establishing a Supervisory Convergence Sub-Committee to</w:t>
      </w:r>
      <w:r>
        <w:t xml:space="preserve"> </w:t>
      </w:r>
      <w:r>
        <w:t xml:space="preserve">drive convergence.</w:t>
      </w:r>
      <w:r>
        <w:t xml:space="preserve"> </w:t>
      </w:r>
      <w:r>
        <w:t xml:space="preserve">Respondents have split views about whether resource constraints ever hindered or prevented</w:t>
      </w:r>
      <w:r>
        <w:t xml:space="preserve"> </w:t>
      </w:r>
      <w:r>
        <w:t xml:space="preserve">the use of supervisory convergence tools. Some suggested a more proportionate approach to</w:t>
      </w:r>
      <w:r>
        <w:t xml:space="preserve"> </w:t>
      </w:r>
      <w:r>
        <w:t xml:space="preserve">convergence activities, particularly for smaller authorities and entities.</w:t>
      </w:r>
      <w:r>
        <w:t xml:space="preserve"> </w:t>
      </w:r>
      <w:r>
        <w:t xml:space="preserve">The delegation of tasks and responsibilities between NCAs and ESMA is a complex issue, with</w:t>
      </w:r>
      <w:r>
        <w:t xml:space="preserve"> </w:t>
      </w:r>
      <w:r>
        <w:t xml:space="preserve">many respondents citing uncertainty and hesitation due to a lack of clear frameworks and</w:t>
      </w:r>
      <w:r>
        <w:t xml:space="preserve"> </w:t>
      </w:r>
      <w:r>
        <w:t xml:space="preserve">guidelines. To increase the usability of this tool, respondents suggested changes such as</w:t>
      </w:r>
      <w:r>
        <w:t xml:space="preserve"> </w:t>
      </w:r>
      <w:r>
        <w:t xml:space="preserve">clarifying the scope and legal effect of delegation, establishing clear criteria and oversight</w:t>
      </w:r>
      <w:r>
        <w:t xml:space="preserve"> </w:t>
      </w:r>
      <w:r>
        <w:t xml:space="preserve">mechanisms, and harmonizing IT workflows and procedures. Additionally, concerns were</w:t>
      </w:r>
      <w:r>
        <w:t xml:space="preserve"> </w:t>
      </w:r>
      <w:r>
        <w:t xml:space="preserve">raised about the potential costs of delegation, particularly for smaller NCAs.</w:t>
      </w:r>
      <w:r>
        <w:br/>
      </w:r>
      <w:r>
        <w:t xml:space="preserve">While a narrow majority of respondents overall (24 out of 42) did not perceive significant</w:t>
      </w:r>
      <w:r>
        <w:t xml:space="preserve"> </w:t>
      </w:r>
      <w:r>
        <w:t xml:space="preserve">limitations in the current supervisory convergence tools for addressing home/host issues, the</w:t>
      </w:r>
      <w:r>
        <w:t xml:space="preserve"> </w:t>
      </w:r>
      <w:r>
        <w:t xml:space="preserve">views of different stakeholder groups varied. Notably, public authorities were almost evenly</w:t>
      </w:r>
      <w:r>
        <w:t xml:space="preserve"> </w:t>
      </w:r>
      <w:r>
        <w:t xml:space="preserve">split. In contrast, a majority of private stakeholders (16 out of 27) indicate that they do perceive</w:t>
      </w:r>
      <w:r>
        <w:t xml:space="preserve"> </w:t>
      </w:r>
      <w:r>
        <w:t xml:space="preserve">limitations in the current tools.</w:t>
      </w:r>
      <w:r>
        <w:t xml:space="preserve"> </w:t>
      </w:r>
      <w:r>
        <w:t xml:space="preserve">21 versus 18 respondents think that ESMA should be empowered to issue an opinion in cases</w:t>
      </w:r>
      <w:r>
        <w:t xml:space="preserve"> </w:t>
      </w:r>
      <w:r>
        <w:t xml:space="preserve">where national supervision is deemed ineffective in the context of supervision of products or</w:t>
      </w:r>
      <w:r>
        <w:t xml:space="preserve"> </w:t>
      </w:r>
      <w:r>
        <w:t xml:space="preserve">of conduct of business rules. Respondents have split views about whether ESMA should be</w:t>
      </w:r>
      <w:r>
        <w:t xml:space="preserve"> </w:t>
      </w:r>
      <w:r>
        <w:t xml:space="preserve">empowered to issue binding advice in cases where national supervision is deemed ineffective.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Several respondents suggested introducing additional supervisory convergence tools to address</w:t>
      </w:r>
      <w:r>
        <w:t xml:space="preserve"> </w:t>
      </w:r>
      <w:r>
        <w:t xml:space="preserve">supervisory divergences and promote consistent supervision across the EU. These tools include</w:t>
      </w:r>
      <w:r>
        <w:t xml:space="preserve"> </w:t>
      </w:r>
      <w:r>
        <w:t xml:space="preserve">Common Supervisory Actions, structured industry dialogue platforms, early coordination</w:t>
      </w:r>
      <w:r>
        <w:t xml:space="preserve"> </w:t>
      </w:r>
      <w:r>
        <w:t xml:space="preserve">mechanisms for new rules or regime changes, supervisory interpretation trackers (divergence</w:t>
      </w:r>
      <w:r>
        <w:t xml:space="preserve"> </w:t>
      </w:r>
      <w:r>
        <w:t xml:space="preserve">mapping), annual assessment of national gold-plating practices, centralised registers and data</w:t>
      </w:r>
      <w:r>
        <w:t xml:space="preserve"> </w:t>
      </w:r>
      <w:r>
        <w:t xml:space="preserve">sharing, and the possibility for financial actors to refer a matter to ESMA for binding mediation.</w:t>
      </w:r>
      <w:r>
        <w:br/>
      </w:r>
      <w:r>
        <w:t xml:space="preserve">Data and technology hub: stakeholders from both public and private sectors support an</w:t>
      </w:r>
      <w:r>
        <w:t xml:space="preserve"> </w:t>
      </w:r>
      <w:r>
        <w:t xml:space="preserve">enhanced role for ESMA as a data and technology hub, especially in centralising and</w:t>
      </w:r>
      <w:r>
        <w:t xml:space="preserve"> </w:t>
      </w:r>
      <w:r>
        <w:t xml:space="preserve">harmonising supervisory reporting. In total, around 34 respondents comment on this topic in</w:t>
      </w:r>
      <w:r>
        <w:t xml:space="preserve"> </w:t>
      </w:r>
      <w:r>
        <w:t xml:space="preserve">the public consultation, with roughly 25 supporting a more centralised EU reporting</w:t>
      </w:r>
      <w:r>
        <w:t xml:space="preserve"> </w:t>
      </w:r>
      <w:r>
        <w:t xml:space="preserve">architecture. This includes 10 national authorities and 12 market participants, as well as eight</w:t>
      </w:r>
      <w:r>
        <w:t xml:space="preserve"> </w:t>
      </w:r>
      <w:r>
        <w:t xml:space="preserve">industry associations—together pointing to efficiency gains from a single reporting entry point</w:t>
      </w:r>
      <w:r>
        <w:t xml:space="preserve"> </w:t>
      </w:r>
      <w:r>
        <w:t xml:space="preserve">and more consistent EU-wide data structures.169 Public authorities emphasise preserving</w:t>
      </w:r>
      <w:r>
        <w:t xml:space="preserve"> </w:t>
      </w:r>
      <w:r>
        <w:t xml:space="preserve">national autonomy, data ownership, and governance, as well as clear rules for data access and</w:t>
      </w:r>
      <w:r>
        <w:t xml:space="preserve"> </w:t>
      </w:r>
      <w:r>
        <w:t xml:space="preserve">use, while the private sector prioritises efficiency, reduced compliance costs, and predictability.</w:t>
      </w:r>
      <w:r>
        <w:t xml:space="preserve"> </w:t>
      </w:r>
      <w:r>
        <w:t xml:space="preserve">Both sectors also advocate for the development of SupTech tools to improve risk-based, data-</w:t>
      </w:r>
      <w:r>
        <w:t xml:space="preserve"> </w:t>
      </w:r>
      <w:r>
        <w:t xml:space="preserve">driven supervision—targeting areas like crypto-assets, ESG, market abuse, and social media</w:t>
      </w:r>
      <w:r>
        <w:t xml:space="preserve"> </w:t>
      </w:r>
      <w:r>
        <w:t xml:space="preserve">monitoring. Several respondents also point to concrete applications where SupTech would</w:t>
      </w:r>
      <w:r>
        <w:t xml:space="preserve"> </w:t>
      </w:r>
      <w:r>
        <w:t xml:space="preserve">bring immediate benefits, such as automated validation of fund reports, liquidity and stress-</w:t>
      </w:r>
      <w:r>
        <w:t xml:space="preserve"> </w:t>
      </w:r>
      <w:r>
        <w:t xml:space="preserve">testing tools for investment funds, and greenwashing detection in sustainability</w:t>
      </w:r>
      <w:r>
        <w:t xml:space="preserve"> </w:t>
      </w:r>
      <w:r>
        <w:t xml:space="preserve">disclosures.170While public stakeholders often highlight AI-powered analytics and document</w:t>
      </w:r>
      <w:r>
        <w:t xml:space="preserve"> </w:t>
      </w:r>
      <w:r>
        <w:t xml:space="preserve">processing, private respondents focus more on automation and regulatory streamlining.</w:t>
      </w:r>
      <w:r>
        <w:br/>
      </w:r>
      <w:r>
        <w:t xml:space="preserve">Funding: 27 out of 55 respondents consider financing of ESMA not appropriate. A majority</w:t>
      </w:r>
      <w:r>
        <w:t xml:space="preserve"> </w:t>
      </w:r>
      <w:r>
        <w:t xml:space="preserve">of public authorities consider the 60/40 funding split between NCAs and the EU budget to be</w:t>
      </w:r>
      <w:r>
        <w:t xml:space="preserve"> </w:t>
      </w:r>
      <w:r>
        <w:t xml:space="preserve">unsustainable and unfair, especially given the rising number of mandates assigned to ESMA</w:t>
      </w:r>
      <w:r>
        <w:t xml:space="preserve"> </w:t>
      </w:r>
      <w:r>
        <w:t xml:space="preserve">without parallel budget increases. Public authorities together with the private sector strongly</w:t>
      </w:r>
      <w:r>
        <w:t xml:space="preserve"> </w:t>
      </w:r>
      <w:r>
        <w:t xml:space="preserve">oppose full industry funding, arguing it would jeopardize ESA independence and burden</w:t>
      </w:r>
      <w:r>
        <w:t xml:space="preserve"> </w:t>
      </w:r>
      <w:r>
        <w:t xml:space="preserve">market participants—particularly in smaller Member States. They oppose the introduction of</w:t>
      </w:r>
      <w:r>
        <w:t xml:space="preserve"> </w:t>
      </w:r>
      <w:r>
        <w:t xml:space="preserve">targeted indirect industry funding for ESMA’s convergence-related tasks, such as voluntary</w:t>
      </w:r>
      <w:r>
        <w:t xml:space="preserve"> </w:t>
      </w:r>
      <w:r>
        <w:t xml:space="preserve">colleges or supervisory opinions. The private sector echoes concern about ESMA’s expanding</w:t>
      </w:r>
      <w:r>
        <w:t xml:space="preserve"> </w:t>
      </w:r>
      <w:r>
        <w:t xml:space="preserve">workload and inadequate funding, but their emphasis lies on the financial burden placed on</w:t>
      </w:r>
      <w:r>
        <w:t xml:space="preserve"> </w:t>
      </w:r>
      <w:r>
        <w:t xml:space="preserve">supervised entities. Many argue that current fees are excessive and discourage cross-border</w:t>
      </w:r>
      <w:r>
        <w:t xml:space="preserve"> </w:t>
      </w:r>
      <w:r>
        <w:t xml:space="preserve">activity. In the case of EIOPA, the current EU budget and NCA funding split is seen as fair,</w:t>
      </w:r>
      <w:r>
        <w:t xml:space="preserve"> </w:t>
      </w:r>
      <w:r>
        <w:t xml:space="preserve">with some suggesting a slight alteration to a 55%-45% split. For the EBA only a few replies</w:t>
      </w:r>
      <w:r>
        <w:t xml:space="preserve"> </w:t>
      </w:r>
      <w:r>
        <w:t xml:space="preserve">were received, therefore no reasonable conclusions can be made.</w:t>
      </w:r>
      <w:r>
        <w:br/>
      </w:r>
      <w:r>
        <w:t xml:space="preserve">Costs of supervision:</w:t>
      </w:r>
      <w:r>
        <w:t xml:space="preserve"> </w:t>
      </w:r>
      <w:r>
        <w:t xml:space="preserve">General Observations Across Sectors: across all sectors, initial one-off costs are expected to</w:t>
      </w:r>
      <w:r>
        <w:t xml:space="preserve"> </w:t>
      </w:r>
      <w:r>
        <w:t xml:space="preserve">be high, especially for IT system adaptation, legal restructuring, and staff training to align with</w:t>
      </w:r>
    </w:p>
    <w:p>
      <w:pPr>
        <w:pStyle w:val="BodyText"/>
      </w:pPr>
      <w:r>
        <w:t xml:space="preserve">169 This is based on 20 and Question 21 in Section 7.6. Question 20 asked: Which area(s) would benefit most from</w:t>
      </w:r>
      <w:r>
        <w:t xml:space="preserve"> </w:t>
      </w:r>
      <w:r>
        <w:t xml:space="preserve">an ESA(s)’ enhanced role as a data and technology hub? Question 21 asked: In which sectors/areas would the</w:t>
      </w:r>
      <w:r>
        <w:t xml:space="preserve"> </w:t>
      </w:r>
      <w:r>
        <w:t xml:space="preserve">development of supervisory technology tools (suptech, i.e. use of technology by supervisors to deliver innovative</w:t>
      </w:r>
      <w:r>
        <w:t xml:space="preserve"> </w:t>
      </w:r>
      <w:r>
        <w:t xml:space="preserve">and efficient supervisory solutions that will support a more effective, flexible and responsive supervisory system)</w:t>
      </w:r>
      <w:r>
        <w:t xml:space="preserve"> </w:t>
      </w:r>
      <w:r>
        <w:t xml:space="preserve">be most beneficial to enhance efficiency and consistency of supervision? Please give examples.</w:t>
      </w:r>
      <w:r>
        <w:t xml:space="preserve"> </w:t>
      </w:r>
      <w:r>
        <w:t xml:space="preserve">170 Question 21 in Section 7.6 asked: In which sectors/areas would the development of supervisory technology</w:t>
      </w:r>
      <w:r>
        <w:t xml:space="preserve"> </w:t>
      </w:r>
      <w:r>
        <w:t xml:space="preserve">tools (suptech, i.e. use of technology by supervisors to deliver innovative and efficient supervisory solutions that</w:t>
      </w:r>
      <w:r>
        <w:t xml:space="preserve"> </w:t>
      </w:r>
      <w:r>
        <w:t xml:space="preserve">will support a more effective, flexible and responsive supervisory system) be most beneficial to enhance efficiency</w:t>
      </w:r>
      <w:r>
        <w:t xml:space="preserve"> </w:t>
      </w:r>
      <w:r>
        <w:t xml:space="preserve">and consistency of supervision? Please give examples.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new EU-level procedures and reporting formats. Among the 21 respondents who provide cost-</w:t>
      </w:r>
      <w:r>
        <w:t xml:space="preserve"> </w:t>
      </w:r>
      <w:r>
        <w:t xml:space="preserve">related input, 14 expect ongoing costs to rise due to overlapping responsibilities between</w:t>
      </w:r>
      <w:r>
        <w:t xml:space="preserve"> </w:t>
      </w:r>
      <w:r>
        <w:t xml:space="preserve">ESMA and NCAs, particularly if national layers of supervision are not fully removed.171 Four</w:t>
      </w:r>
      <w:r>
        <w:t xml:space="preserve"> </w:t>
      </w:r>
      <w:r>
        <w:t xml:space="preserve">respondents foresee broadly neutral impacts, typically only under limited adjustments to the</w:t>
      </w:r>
      <w:r>
        <w:t xml:space="preserve"> </w:t>
      </w:r>
      <w:r>
        <w:t xml:space="preserve">current system, while one respondent anticipates a cost reduction in a narrow CCP-specific</w:t>
      </w:r>
      <w:r>
        <w:t xml:space="preserve"> </w:t>
      </w:r>
      <w:r>
        <w:t xml:space="preserve">scenario. Two respondents are unable to estimate the impact. Six of the respondents expecting</w:t>
      </w:r>
      <w:r>
        <w:t xml:space="preserve"> </w:t>
      </w:r>
      <w:r>
        <w:t xml:space="preserve">increasing costs also stress that cost neutrality or savings would only be achievable if national</w:t>
      </w:r>
      <w:r>
        <w:t xml:space="preserve"> </w:t>
      </w:r>
      <w:r>
        <w:t xml:space="preserve">supervision were fully replaced—an outcome they generally consider unlikely.</w:t>
      </w:r>
      <w:r>
        <w:t xml:space="preserve"> </w:t>
      </w:r>
      <w:r>
        <w:t xml:space="preserve">Sector specific costs of supervision</w:t>
      </w:r>
      <w:r>
        <w:t xml:space="preserve"> </w:t>
      </w:r>
      <w:r>
        <w:t xml:space="preserve">Central Counterparties (CCPs): public Authorities in general appeared sceptical of cost</w:t>
      </w:r>
      <w:r>
        <w:t xml:space="preserve"> </w:t>
      </w:r>
      <w:r>
        <w:t xml:space="preserve">benefits. Several noted that centralisation risks duplicative costs (national + EU-level) and a</w:t>
      </w:r>
      <w:r>
        <w:t xml:space="preserve"> </w:t>
      </w:r>
      <w:r>
        <w:t xml:space="preserve">loss of national proximity, which could reduce effectiveness and increase operational burdens.</w:t>
      </w:r>
      <w:r>
        <w:t xml:space="preserve"> </w:t>
      </w:r>
      <w:r>
        <w:t xml:space="preserve">Private Sector CCPs generally oppose dual oversight. They highlighted higher compliance</w:t>
      </w:r>
      <w:r>
        <w:t xml:space="preserve"> </w:t>
      </w:r>
      <w:r>
        <w:t xml:space="preserve">costs due to divergent supervisory interpretations and legal uncertainty in transition phases.</w:t>
      </w:r>
      <w:r>
        <w:t xml:space="preserve"> </w:t>
      </w:r>
      <w:r>
        <w:t xml:space="preserve">Big CCPs noted that they often already deal with multiple jurisdictions. Still, shifting to ESMA</w:t>
      </w:r>
      <w:r>
        <w:t xml:space="preserve"> </w:t>
      </w:r>
      <w:r>
        <w:t xml:space="preserve">would not eliminate NCA engagement, and firms fear double-reporting burdens. Small CCPs</w:t>
      </w:r>
      <w:r>
        <w:t xml:space="preserve"> </w:t>
      </w:r>
      <w:r>
        <w:t xml:space="preserve">voiced the concern that the compliance and legal costs of centralisation might be unsustainable.</w:t>
      </w:r>
      <w:r>
        <w:t xml:space="preserve"> </w:t>
      </w:r>
      <w:r>
        <w:t xml:space="preserve">There were warnings that the existence of local markets in two EU countries (Croatia, Czech</w:t>
      </w:r>
      <w:r>
        <w:t xml:space="preserve"> </w:t>
      </w:r>
      <w:r>
        <w:t xml:space="preserve">Republic) might be endangered due to cost escalations.</w:t>
      </w:r>
      <w:r>
        <w:t xml:space="preserve"> </w:t>
      </w:r>
      <w:r>
        <w:t xml:space="preserve">Central Securities Depositories (CSDs):banking CSDs saw significant risks of supervisory</w:t>
      </w:r>
      <w:r>
        <w:t xml:space="preserve"> </w:t>
      </w:r>
      <w:r>
        <w:t xml:space="preserve">duplication if banking and settlement oversight was handled by different EU bodies. Euroclear</w:t>
      </w:r>
      <w:r>
        <w:t xml:space="preserve"> </w:t>
      </w:r>
      <w:r>
        <w:t xml:space="preserve">and others noted the cost of multiple supervisory interfaces and feared splintered</w:t>
      </w:r>
      <w:r>
        <w:t xml:space="preserve"> </w:t>
      </w:r>
      <w:r>
        <w:t xml:space="preserve">communication and inefficiencies. Some public sector institutions expressed the opinion that</w:t>
      </w:r>
      <w:r>
        <w:t xml:space="preserve"> </w:t>
      </w:r>
      <w:r>
        <w:t xml:space="preserve">even without formal authority, NCAs would still need to support ESMA, leading to resource</w:t>
      </w:r>
      <w:r>
        <w:t xml:space="preserve"> </w:t>
      </w:r>
      <w:r>
        <w:t xml:space="preserve">duplication rather than relief.</w:t>
      </w:r>
      <w:r>
        <w:t xml:space="preserve"> </w:t>
      </w:r>
      <w:r>
        <w:t xml:space="preserve">Trading venues: private venues highlighted that costs stem from continuous and divergent</w:t>
      </w:r>
      <w:r>
        <w:t xml:space="preserve"> </w:t>
      </w:r>
      <w:r>
        <w:t xml:space="preserve">engagement with multiple NCAs. They believed that centralisation could reduce duplicated</w:t>
      </w:r>
      <w:r>
        <w:t xml:space="preserve"> </w:t>
      </w:r>
      <w:r>
        <w:t xml:space="preserve">compliance efforts, regulatory delays, and uncertainty, potentially unlocking considerable cost</w:t>
      </w:r>
      <w:r>
        <w:t xml:space="preserve"> </w:t>
      </w:r>
      <w:r>
        <w:t xml:space="preserve">savings but only if truly streamlined. Others however feared a “two-tier” system, where ESMA</w:t>
      </w:r>
      <w:r>
        <w:t xml:space="preserve"> </w:t>
      </w:r>
      <w:r>
        <w:t xml:space="preserve">oversight is added rather than replacing NCAs, resulting in higher net costs. The Saxony State</w:t>
      </w:r>
      <w:r>
        <w:t xml:space="preserve"> </w:t>
      </w:r>
      <w:r>
        <w:t xml:space="preserve">Ministry for Economic Affairs, Labour and Energy stated explicitly that centralisation would</w:t>
      </w:r>
      <w:r>
        <w:t xml:space="preserve"> </w:t>
      </w:r>
      <w:r>
        <w:t xml:space="preserve">“massively increase costs.”</w:t>
      </w:r>
      <w:r>
        <w:t xml:space="preserve"> </w:t>
      </w:r>
      <w:r>
        <w:t xml:space="preserve">Small Venues reported severe concerns, which were shared by national supervisors. Hanfa</w:t>
      </w:r>
      <w:r>
        <w:t xml:space="preserve"> </w:t>
      </w:r>
      <w:r>
        <w:t xml:space="preserve">(Croatian Financial Services Supervisory Agency), for instance, fears supervisory fees for</w:t>
      </w:r>
      <w:r>
        <w:t xml:space="preserve"> </w:t>
      </w:r>
      <w:r>
        <w:t xml:space="preserve">small APAs would become unaffordable, if they fell under ESMA supervision and that they</w:t>
      </w:r>
      <w:r>
        <w:t xml:space="preserve"> </w:t>
      </w:r>
      <w:r>
        <w:t xml:space="preserve">would have to cease providing the service.</w:t>
      </w:r>
      <w:r>
        <w:t xml:space="preserve"> </w:t>
      </w:r>
      <w:r>
        <w:t xml:space="preserve">Asset Managers (AMs): industry Associations flagged major initial investments, such as IT</w:t>
      </w:r>
      <w:r>
        <w:t xml:space="preserve"> </w:t>
      </w:r>
      <w:r>
        <w:t xml:space="preserve">upgrades, legal reform, and reorganisation of supervisory engagement protocols. In their view,</w:t>
      </w:r>
      <w:r>
        <w:t xml:space="preserve"> </w:t>
      </w:r>
      <w:r>
        <w:t xml:space="preserve">training staff to handle EU-level procedures would also constitute an ongoing burden.</w:t>
      </w:r>
      <w:r>
        <w:t xml:space="preserve"> </w:t>
      </w:r>
      <w:r>
        <w:t xml:space="preserve">Mentioned ongoing costs included increased legal/advisory spend due to unclear or</w:t>
      </w:r>
      <w:r>
        <w:t xml:space="preserve"> </w:t>
      </w:r>
      <w:r>
        <w:t xml:space="preserve">overlapping roles and supervisory fees to ESMA, potentially added on top of national levies.</w:t>
      </w:r>
    </w:p>
    <w:p>
      <w:pPr>
        <w:pStyle w:val="BodyText"/>
      </w:pPr>
      <w:r>
        <w:t xml:space="preserve">171 This is based on all cost related questions in Section 6 and 7.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Several Private AMs emphasised the loss of efficiency from engaging with more distant</w:t>
      </w:r>
      <w:r>
        <w:t xml:space="preserve"> </w:t>
      </w:r>
      <w:r>
        <w:t xml:space="preserve">regulators. They saw no evidence of cost savings but greater procedural complexity and</w:t>
      </w:r>
      <w:r>
        <w:t xml:space="preserve"> </w:t>
      </w:r>
      <w:r>
        <w:t xml:space="preserve">bureaucratic overhead.</w:t>
      </w:r>
      <w:r>
        <w:t xml:space="preserve"> </w:t>
      </w:r>
      <w:r>
        <w:t xml:space="preserve">Some trading venues and asset managers saw potential savings arising from a reduction in</w:t>
      </w:r>
      <w:r>
        <w:t xml:space="preserve"> </w:t>
      </w:r>
      <w:r>
        <w:t xml:space="preserve">duplicative NCA communication (including reporting obligations) and faster product</w:t>
      </w:r>
      <w:r>
        <w:t xml:space="preserve"> </w:t>
      </w:r>
      <w:r>
        <w:t xml:space="preserve">approvals, but only if centralisation was clean and harmonised.</w:t>
      </w:r>
      <w:r>
        <w:t xml:space="preserve"> </w:t>
      </w:r>
      <w:r>
        <w:t xml:space="preserve">Crypto-Asset Service Providers (CASPs): regarding CAPS, diverging views on costs and</w:t>
      </w:r>
      <w:r>
        <w:t xml:space="preserve"> </w:t>
      </w:r>
      <w:r>
        <w:t xml:space="preserve">suitability of centralisation were expressed. A majority of respondents (e.g. MFSA, BP23 CA</w:t>
      </w:r>
      <w:r>
        <w:t xml:space="preserve"> </w:t>
      </w:r>
      <w:r>
        <w:t xml:space="preserve">Ltd, BVC WG, Austrian Ministry of Finance) appear opposed to centralisation. Added</w:t>
      </w:r>
      <w:r>
        <w:t xml:space="preserve"> </w:t>
      </w:r>
      <w:r>
        <w:t xml:space="preserve">reporting layers, transition costs, and legal uncertainty were cited. The value of national</w:t>
      </w:r>
      <w:r>
        <w:t xml:space="preserve"> </w:t>
      </w:r>
      <w:r>
        <w:t xml:space="preserve">proximity,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nascency</w:t>
      </w:r>
      <w:r>
        <w:t xml:space="preserve"> </w:t>
      </w:r>
      <w:r>
        <w:t xml:space="preserve">of</w:t>
      </w:r>
      <w:r>
        <w:t xml:space="preserve"> </w:t>
      </w:r>
      <w:r>
        <w:t xml:space="preserve">CASP</w:t>
      </w:r>
      <w:r>
        <w:t xml:space="preserve"> </w:t>
      </w:r>
      <w:r>
        <w:t xml:space="preserve">regulation</w:t>
      </w:r>
      <w:r>
        <w:t xml:space="preserve"> </w:t>
      </w:r>
      <w:r>
        <w:t xml:space="preserve">was</w:t>
      </w:r>
      <w:r>
        <w:t xml:space="preserve"> </w:t>
      </w:r>
      <w:r>
        <w:t xml:space="preserve">stressed.</w:t>
      </w:r>
      <w:r>
        <w:t xml:space="preserve"> </w:t>
      </w:r>
      <w:r>
        <w:t xml:space="preserve">A minority of respondents (e.g. Bitkom, Association of German Banks, Finansinspektionen,</w:t>
      </w:r>
      <w:r>
        <w:t xml:space="preserve"> </w:t>
      </w:r>
      <w:r>
        <w:t xml:space="preserve">French Ministry of Economy) advocated for a phased or hybrid EU supervision, arguing that</w:t>
      </w:r>
      <w:r>
        <w:t xml:space="preserve"> </w:t>
      </w:r>
      <w:r>
        <w:t xml:space="preserve">the nascent state of the CASP sector presented a rare opportunity for early harmonisation. They</w:t>
      </w:r>
      <w:r>
        <w:t xml:space="preserve"> </w:t>
      </w:r>
      <w:r>
        <w:t xml:space="preserve">believed EU-level coordination could streamline compliance for significant, cross-border</w:t>
      </w:r>
      <w:r>
        <w:t xml:space="preserve"> </w:t>
      </w:r>
      <w:r>
        <w:t xml:space="preserve">platforms and viewed long-term savings as possible, though conditional and speculative.</w:t>
      </w:r>
      <w:r>
        <w:t xml:space="preserve"> </w:t>
      </w:r>
      <w:r>
        <w:t xml:space="preserve">CASPs fear being subjected to dual reporting obligations if EU-level supervision doesn’t</w:t>
      </w:r>
      <w:r>
        <w:t xml:space="preserve"> </w:t>
      </w:r>
      <w:r>
        <w:t xml:space="preserve">replace NCA engagement. Smaller CASPs were concerned about disproportionately high</w:t>
      </w:r>
      <w:r>
        <w:t xml:space="preserve"> </w:t>
      </w:r>
      <w:r>
        <w:t xml:space="preserve">compliance costs and potentially having to exit the market. One national authority (CONSOB)</w:t>
      </w:r>
      <w:r>
        <w:t xml:space="preserve"> </w:t>
      </w:r>
      <w:r>
        <w:t xml:space="preserve">estimated €250k in lost supervisory fees from transferring CASP oversight to ESMA.</w:t>
      </w:r>
      <w:r>
        <w:t xml:space="preserve"> </w:t>
      </w:r>
      <w:r>
        <w:t xml:space="preserve">Specific Issues for Small Entities Across Sectors: several respondents — including small</w:t>
      </w:r>
      <w:r>
        <w:t xml:space="preserve"> </w:t>
      </w:r>
      <w:r>
        <w:t xml:space="preserve">market infrastructures, public authorities, and market participants — identify small CASPs,</w:t>
      </w:r>
      <w:r>
        <w:t xml:space="preserve"> </w:t>
      </w:r>
      <w:r>
        <w:t xml:space="preserve">CSDs and trading venues as particularly vulnerable to rising compliance and supervisory costs.</w:t>
      </w:r>
      <w:r>
        <w:t xml:space="preserve"> </w:t>
      </w:r>
      <w:r>
        <w:t xml:space="preserve">Six respondents raise concerns about the disproportionate impact on smaller entities across</w:t>
      </w:r>
      <w:r>
        <w:t xml:space="preserve"> </w:t>
      </w:r>
      <w:r>
        <w:t xml:space="preserve">these sectors, and three of them explicitly warn that uniform thresholds for EU supervision</w:t>
      </w:r>
      <w:r>
        <w:t xml:space="preserve"> </w:t>
      </w:r>
      <w:r>
        <w:t xml:space="preserve">(e.g. based solely on cross-border activity) could unintentionally capture small firms, pushing</w:t>
      </w:r>
      <w:r>
        <w:t xml:space="preserve"> </w:t>
      </w:r>
      <w:r>
        <w:t xml:space="preserve">them out of the market.172. The Croatian Financial Services Supervisory Agency (Hanfa)</w:t>
      </w:r>
      <w:r>
        <w:t xml:space="preserve"> </w:t>
      </w:r>
      <w:r>
        <w:t xml:space="preserve">warned that centralisation could raise the cost of supervision, in particular for smaller CSDs</w:t>
      </w:r>
      <w:r>
        <w:t xml:space="preserve"> </w:t>
      </w:r>
      <w:r>
        <w:t xml:space="preserve">(as well as smaller trading venues and CCPs), making it economically unviable to operate in</w:t>
      </w:r>
      <w:r>
        <w:t xml:space="preserve"> </w:t>
      </w:r>
      <w:r>
        <w:t xml:space="preserve">small Member States.</w:t>
      </w:r>
      <w:r>
        <w:br/>
      </w:r>
      <w:r>
        <w:t xml:space="preserve">Public Authorities’ Perspective: most NCAs and Ministries (e.g. MFSA, FSMA) did not</w:t>
      </w:r>
      <w:r>
        <w:t xml:space="preserve"> </w:t>
      </w:r>
      <w:r>
        <w:t xml:space="preserve">expect cost savings. Instead, they anticipated higher setup costs for ESMA, continuous NCA</w:t>
      </w:r>
      <w:r>
        <w:t xml:space="preserve"> </w:t>
      </w:r>
      <w:r>
        <w:t xml:space="preserve">engagement as local implementation and national law remain relevant, as well as loss of staff</w:t>
      </w:r>
      <w:r>
        <w:t xml:space="preserve"> </w:t>
      </w:r>
      <w:r>
        <w:t xml:space="preserve">and expertise, with no reduction in national resource requirements. The Austrian Ministry of</w:t>
      </w:r>
      <w:r>
        <w:t xml:space="preserve"> </w:t>
      </w:r>
      <w:r>
        <w:t xml:space="preserve">Finance estimated cost neutrality in the best case, and cost increases in all others.</w:t>
      </w:r>
      <w:r>
        <w:t xml:space="preserve"> </w:t>
      </w:r>
      <w:r>
        <w:t xml:space="preserve">Final Assessment on costs of supervision: across all sectors, full or partial centralisation of</w:t>
      </w:r>
      <w:r>
        <w:t xml:space="preserve"> </w:t>
      </w:r>
      <w:r>
        <w:t xml:space="preserve">supervision is expected to raise costs in the short to medium term. Any savings are conditional</w:t>
      </w:r>
      <w:r>
        <w:t xml:space="preserve"> </w:t>
      </w:r>
      <w:r>
        <w:t xml:space="preserve">on the elimination of national duplications, streamlined supervisory models (not two-tiered),</w:t>
      </w:r>
      <w:r>
        <w:t xml:space="preserve"> </w:t>
      </w:r>
      <w:r>
        <w:t xml:space="preserve">and harmonised procedures.</w:t>
      </w:r>
      <w:r>
        <w:t xml:space="preserve"> </w:t>
      </w:r>
      <w:r>
        <w:t xml:space="preserve">For small firms and local markets, the risk of a disproportionate cost burden was seen as</w:t>
      </w:r>
      <w:r>
        <w:t xml:space="preserve"> </w:t>
      </w:r>
      <w:r>
        <w:t xml:space="preserve">particularly acute and possibly resulting in market exits or reduced innovation.</w:t>
      </w:r>
    </w:p>
    <w:p>
      <w:pPr>
        <w:pStyle w:val="BodyText"/>
      </w:pPr>
      <w:r>
        <w:t xml:space="preserve">172 This is based on all cost related questions in Sections 6 and 7.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This initiative affects in particular the following groups of stakeholders: trading venues,</w:t>
      </w:r>
      <w:r>
        <w:t xml:space="preserve"> </w:t>
      </w:r>
      <w:r>
        <w:t xml:space="preserve">investment firms (notably brokers), CSDs, CCPs, asset managers, DLT-based structures,</w:t>
      </w:r>
      <w:r>
        <w:t xml:space="preserve"> </w:t>
      </w:r>
      <w:r>
        <w:t xml:space="preserve">CAPSs, investors, NCAs, ESMA and the ECB.</w:t>
      </w:r>
      <w:r>
        <w:br/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benefits,</w:t>
      </w:r>
      <w:r>
        <w:t xml:space="preserve"> </w:t>
      </w:r>
      <w:r>
        <w:t xml:space="preserve">trading</w:t>
      </w:r>
      <w:r>
        <w:t xml:space="preserve"> </w:t>
      </w:r>
      <w:r>
        <w:t xml:space="preserve">venues</w:t>
      </w:r>
      <w:r>
        <w:t xml:space="preserve"> </w:t>
      </w:r>
      <w:r>
        <w:t xml:space="preserve">and</w:t>
      </w:r>
      <w:r>
        <w:t xml:space="preserve"> </w:t>
      </w:r>
      <w:r>
        <w:t xml:space="preserve">investment</w:t>
      </w:r>
      <w:r>
        <w:t xml:space="preserve"> </w:t>
      </w:r>
      <w:r>
        <w:t xml:space="preserve">firms</w:t>
      </w:r>
      <w:r>
        <w:t xml:space="preserve"> </w:t>
      </w:r>
      <w:r>
        <w:t xml:space="preserve">would</w:t>
      </w:r>
      <w:r>
        <w:t xml:space="preserve"> </w:t>
      </w:r>
      <w:r>
        <w:t xml:space="preserve">benefit</w:t>
      </w:r>
      <w:r>
        <w:br/>
      </w:r>
      <w:r>
        <w:t xml:space="preserve">from rationalisation of intra-group operations, cross-border operations and savings linked to</w:t>
      </w:r>
      <w:r>
        <w:t xml:space="preserve"> </w:t>
      </w:r>
      <w:r>
        <w:t xml:space="preserve">local governance costs. Operational efficiency gains for exchange operators should</w:t>
      </w:r>
      <w:r>
        <w:br/>
      </w:r>
      <w:r>
        <w:t xml:space="preserve">be partially passed on to downstream intermediaries and retail and institutional investors. CSDs</w:t>
      </w:r>
      <w:r>
        <w:t xml:space="preserve"> </w:t>
      </w:r>
      <w:r>
        <w:t xml:space="preserve">would benefit from facilitation of cross-border provision of services, increased legal clarity and</w:t>
      </w:r>
      <w:r>
        <w:t xml:space="preserve"> </w:t>
      </w:r>
      <w:r>
        <w:t xml:space="preserve">certainty. Moreover, costs per settlement transaction could be reduced by a greater use of T2S.</w:t>
      </w:r>
      <w:r>
        <w:t xml:space="preserve"> </w:t>
      </w:r>
      <w:r>
        <w:t xml:space="preserve">CSDs, investment firms, CASPS, credit institutions using DLT-based structures would also</w:t>
      </w:r>
      <w:r>
        <w:t xml:space="preserve"> </w:t>
      </w:r>
      <w:r>
        <w:t xml:space="preserve">benefit from harmonised definitions and concepts. Asset managers would benefit from reduced</w:t>
      </w:r>
      <w:r>
        <w:t xml:space="preserve"> </w:t>
      </w:r>
      <w:r>
        <w:t xml:space="preserve">compliance burden and legal costs as well as increased legal clarity when engaging in cross-</w:t>
      </w:r>
      <w:r>
        <w:t xml:space="preserve"> </w:t>
      </w:r>
      <w:r>
        <w:t xml:space="preserve">border activities.</w:t>
      </w:r>
      <w:r>
        <w:br/>
      </w:r>
      <w:r>
        <w:t xml:space="preserve">Financial market participants under strengthened EU supervision (i.e. cross-border significant</w:t>
      </w:r>
      <w:r>
        <w:t xml:space="preserve"> </w:t>
      </w:r>
      <w:r>
        <w:t xml:space="preserve">trading venues, CSDs, CCPs, asset management firms and CASPs) would benefit from: 1)</w:t>
      </w:r>
      <w:r>
        <w:t xml:space="preserve"> </w:t>
      </w:r>
      <w:r>
        <w:t xml:space="preserve">reduced compliance cost and administrative burden for entities currently supervised by</w:t>
      </w:r>
      <w:r>
        <w:t xml:space="preserve"> </w:t>
      </w:r>
      <w:r>
        <w:t xml:space="preserve">multiple NCAs; 2) savings stemming from less duplications, differences in instructions and</w:t>
      </w:r>
      <w:r>
        <w:t xml:space="preserve"> </w:t>
      </w:r>
      <w:r>
        <w:t xml:space="preserve">procedural delays; 3) reduction of supervisory fees for entities currently supervised by several</w:t>
      </w:r>
      <w:r>
        <w:t xml:space="preserve"> </w:t>
      </w:r>
      <w:r>
        <w:t xml:space="preserve">NCAs and 4) savings due to synergies and increased intra-group outsourcing/delegation.</w:t>
      </w:r>
      <w:r>
        <w:br/>
      </w:r>
      <w:r>
        <w:t xml:space="preserve">The initiative is expected to lead to deeper and more integrated financial markets and increased</w:t>
      </w:r>
      <w:r>
        <w:t xml:space="preserve"> </w:t>
      </w:r>
      <w:r>
        <w:t xml:space="preserve">trust in financial markets, benefitting end-users and the wider economy. Institutional and retail</w:t>
      </w:r>
      <w:r>
        <w:t xml:space="preserve"> </w:t>
      </w:r>
      <w:r>
        <w:t xml:space="preserve">investors are expected to face lower trading costs and a larger choice of financial products and</w:t>
      </w:r>
      <w:r>
        <w:t xml:space="preserve"> </w:t>
      </w:r>
      <w:r>
        <w:t xml:space="preserve">services. More agile and comprehensive supervision of capital markets will increase investors’</w:t>
      </w:r>
      <w:r>
        <w:t xml:space="preserve"> </w:t>
      </w:r>
      <w:r>
        <w:t xml:space="preserve">trust and overall confidence in the governance and supervision of capital markets. This should</w:t>
      </w:r>
      <w:r>
        <w:t xml:space="preserve"> </w:t>
      </w:r>
      <w:r>
        <w:t xml:space="preserve">increase cross-border investments in the Single Market, yielding benefits for companies via a</w:t>
      </w:r>
      <w:r>
        <w:t xml:space="preserve"> </w:t>
      </w:r>
      <w:r>
        <w:t xml:space="preserve">broader access to funding and expected lower financing costs. By promoting cross-border risk</w:t>
      </w:r>
      <w:r>
        <w:t xml:space="preserve"> </w:t>
      </w:r>
      <w:r>
        <w:t xml:space="preserve">sharing, financial market integration and consistent supervision should also strengthen</w:t>
      </w:r>
      <w:r>
        <w:t xml:space="preserve"> </w:t>
      </w:r>
      <w:r>
        <w:t xml:space="preserve">financial stability across the EU.</w:t>
      </w:r>
      <w:r>
        <w:t xml:space="preserve"> </w:t>
      </w:r>
      <w:r>
        <w:t xml:space="preserve">On the cost side, trading venues, brokers, CSDs, asset managers and DLT-based structures</w:t>
      </w:r>
      <w:r>
        <w:t xml:space="preserve"> </w:t>
      </w:r>
      <w:r>
        <w:t xml:space="preserve">would face implementation costs to align their operations with legal changes. For instance,</w:t>
      </w:r>
      <w:r>
        <w:t xml:space="preserve"> </w:t>
      </w:r>
      <w:r>
        <w:t xml:space="preserve">CSDs would have to invest in establishing new links with other CSDs and with T2S, if not yet</w:t>
      </w:r>
      <w:r>
        <w:t xml:space="preserve"> </w:t>
      </w:r>
      <w:r>
        <w:t xml:space="preserve">in place. The ECB would likely have to invest into T2S to accommodate a higher number of</w:t>
      </w:r>
      <w:r>
        <w:t xml:space="preserve"> </w:t>
      </w:r>
      <w:r>
        <w:t xml:space="preserve">linked CSDs as well as higher volumes, in addition to any other changes to the functionality of</w:t>
      </w:r>
      <w:r>
        <w:t xml:space="preserve"> </w:t>
      </w:r>
      <w:r>
        <w:t xml:space="preserve">the platform. ESMA would have to hire additional staff to perform new tasks (mainly financed</w:t>
      </w:r>
      <w:r>
        <w:t xml:space="preserve"> </w:t>
      </w:r>
      <w:r>
        <w:t xml:space="preserve">through fees) while NCAs would gain room for staff reductions due to centralisation of certain</w:t>
      </w:r>
      <w:r>
        <w:t xml:space="preserve"> </w:t>
      </w:r>
      <w:r>
        <w:t xml:space="preserve">tasks.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The tables below summarise the expected benefits and costs of the preferred initiative</w:t>
      </w:r>
      <w:r>
        <w:br/>
      </w:r>
      <w:r>
        <w:t xml:space="preserve">for the affected stakeholders. It should be noted that no significant costs are expected to arise</w:t>
      </w:r>
      <w:r>
        <w:t xml:space="preserve"> </w:t>
      </w:r>
      <w:r>
        <w:t xml:space="preserve">for citizens, hence the overview of costs focuses on stakeholder categories expected to bear</w:t>
      </w:r>
      <w:r>
        <w:t xml:space="preserve"> </w:t>
      </w:r>
      <w:r>
        <w:t xml:space="preserve">some additional costs. Potential costs stemming from related Level 2 acts are not quantified</w:t>
      </w:r>
      <w:r>
        <w:t xml:space="preserve"> </w:t>
      </w:r>
      <w:r>
        <w:t xml:space="preserve">here because they depend on the precise technical specifications to be determined and impact-</w:t>
      </w:r>
      <w:r>
        <w:t xml:space="preserve"> </w:t>
      </w:r>
      <w:r>
        <w:t xml:space="preserve">assessed in preparation of their adoption. For additional details and explanations see Annex 7-</w:t>
      </w:r>
      <w:r>
        <w:t xml:space="preserve"> </w:t>
      </w:r>
      <w:r>
        <w:t xml:space="preserve">11 as well as Annex 4 detailing the methodological approach.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when engaging in cross-</w:t>
      </w:r>
      <w:r>
        <w:t xml:space="preserve"> </w:t>
      </w:r>
      <w:r>
        <w:t xml:space="preserve">border activities</w:t>
      </w:r>
    </w:p>
    <w:p>
      <w:pPr>
        <w:pStyle w:val="BodyText"/>
      </w:pPr>
      <w:r>
        <w:t xml:space="preserve">Trading: EUR 47 - 120 million per year for all</w:t>
      </w:r>
      <w:r>
        <w:t xml:space="preserve"> </w:t>
      </w:r>
      <w:r>
        <w:t xml:space="preserve">current trading venues that belong to a group</w:t>
      </w:r>
      <w:r>
        <w:t xml:space="preserve"> </w:t>
      </w:r>
      <w:r>
        <w:t xml:space="preserve">(total across all measures impacting trading</w:t>
      </w:r>
      <w:r>
        <w:t xml:space="preserve"> </w:t>
      </w:r>
      <w:r>
        <w:t xml:space="preserve">venues)</w:t>
      </w:r>
    </w:p>
    <w:p>
      <w:pPr>
        <w:pStyle w:val="BodyText"/>
      </w:pPr>
      <w:r>
        <w:t xml:space="preserve">Asset management: Significant part of EUR</w:t>
      </w:r>
      <w:r>
        <w:t xml:space="preserve"> </w:t>
      </w:r>
      <w:r>
        <w:t xml:space="preserve">20,000 – 60,000 per 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UCITS</w:t>
      </w:r>
      <w:r>
        <w:t xml:space="preserve"> </w:t>
      </w:r>
      <w:r>
        <w:t xml:space="preserve">fund in</w:t>
      </w:r>
      <w:r>
        <w:t xml:space="preserve"> </w:t>
      </w:r>
      <w:r>
        <w:t xml:space="preserve">another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 (estimate</w:t>
      </w:r>
      <w:r>
        <w:t xml:space="preserve"> </w:t>
      </w:r>
      <w:r>
        <w:t xml:space="preserve">of current administrative</w:t>
      </w:r>
      <w:r>
        <w:t xml:space="preserve"> </w:t>
      </w:r>
      <w:r>
        <w:t xml:space="preserve">costs) and</w:t>
      </w:r>
      <w:r>
        <w:t xml:space="preserve"> </w:t>
      </w:r>
      <w:r>
        <w:t xml:space="preserve">ongoing (additional staffing, external legal advic</w:t>
      </w:r>
      <w:r>
        <w:t xml:space="preserve"> </w:t>
      </w:r>
      <w:r>
        <w:t xml:space="preserve">e etc.) EUR 400,000 per cross-border fund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Trading: Estimated total savings for all</w:t>
      </w:r>
      <w:r>
        <w:t xml:space="preserve"> </w:t>
      </w:r>
      <w:r>
        <w:t xml:space="preserve">trading venues operating under a group</w:t>
      </w:r>
      <w:r>
        <w:t xml:space="preserve"> </w:t>
      </w:r>
      <w:r>
        <w:t xml:space="preserve">structure (see Annex 7)</w:t>
      </w:r>
    </w:p>
    <w:p>
      <w:pPr>
        <w:pStyle w:val="BodyText"/>
      </w:pPr>
      <w:r>
        <w:t xml:space="preserve">Asset management: Reduced administrative</w:t>
      </w:r>
      <w:r>
        <w:t xml:space="preserve"> </w:t>
      </w:r>
      <w:r>
        <w:t xml:space="preserve">burden and legal costs stemming from</w:t>
      </w:r>
      <w:r>
        <w:t xml:space="preserve"> </w:t>
      </w:r>
      <w:r>
        <w:t xml:space="preserve">standardised</w:t>
      </w:r>
      <w:r>
        <w:t xml:space="preserve"> </w:t>
      </w:r>
      <w:r>
        <w:t xml:space="preserve">authorisation</w:t>
      </w:r>
      <w:r>
        <w:t xml:space="preserve"> </w:t>
      </w:r>
      <w:r>
        <w:t xml:space="preserve">procedures, timelines and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access</w:t>
      </w:r>
      <w:r>
        <w:t xml:space="preserve"> </w:t>
      </w:r>
      <w:r>
        <w:t xml:space="preserve">via</w:t>
      </w:r>
      <w:r>
        <w:t xml:space="preserve"> </w:t>
      </w:r>
      <w:r>
        <w:t xml:space="preserve">notification;</w:t>
      </w:r>
      <w:r>
        <w:t xml:space="preserve"> </w:t>
      </w:r>
      <w:r>
        <w:t xml:space="preserve">Harmonised</w:t>
      </w:r>
      <w:r>
        <w:t xml:space="preserve"> </w:t>
      </w:r>
      <w:r>
        <w:t xml:space="preserve">requirements concerning marketing rules</w:t>
      </w:r>
      <w:r>
        <w:t xml:space="preserve"> </w:t>
      </w:r>
      <w:r>
        <w:t xml:space="preserve">and</w:t>
      </w:r>
      <w:r>
        <w:t xml:space="preserve"> </w:t>
      </w:r>
      <w:r>
        <w:t xml:space="preserve">elimination</w:t>
      </w:r>
      <w:r>
        <w:t xml:space="preserve"> </w:t>
      </w:r>
      <w:r>
        <w:t xml:space="preserve">of</w:t>
      </w:r>
      <w:r>
        <w:t xml:space="preserve"> </w:t>
      </w:r>
      <w:r>
        <w:t xml:space="preserve">unnecessary</w:t>
      </w:r>
      <w:r>
        <w:t xml:space="preserve"> </w:t>
      </w:r>
      <w:r>
        <w:t xml:space="preserve">EU</w:t>
      </w:r>
      <w:r>
        <w:t xml:space="preserve"> </w:t>
      </w:r>
      <w:r>
        <w:t xml:space="preserve">requirements</w:t>
      </w:r>
      <w:r>
        <w:br/>
      </w:r>
      <w:r>
        <w:t xml:space="preserve">Administrative</w:t>
      </w:r>
      <w:r>
        <w:t xml:space="preserve"> </w:t>
      </w:r>
      <w:r>
        <w:t xml:space="preserve">cost</w:t>
      </w:r>
      <w:r>
        <w:t xml:space="preserve"> </w:t>
      </w:r>
      <w:r>
        <w:t xml:space="preserve">reductions arising only from</w:t>
      </w:r>
      <w:r>
        <w:t xml:space="preserve"> </w:t>
      </w:r>
      <w:r>
        <w:t xml:space="preserve">rationalisation of intra-group</w:t>
      </w:r>
      <w:r>
        <w:t xml:space="preserve"> </w:t>
      </w:r>
      <w:r>
        <w:t xml:space="preserve">operations</w:t>
      </w:r>
      <w:r>
        <w:t xml:space="preserve"> </w:t>
      </w:r>
      <w:r>
        <w:t xml:space="preserve">Trading:</w:t>
      </w:r>
    </w:p>
    <w:p>
      <w:pPr>
        <w:pStyle w:val="BodyText"/>
      </w:pPr>
      <w:r>
        <w:t xml:space="preserve">EUR 435,500 - 585,500 per group per year</w:t>
      </w:r>
      <w:r>
        <w:br/>
      </w:r>
      <w:r>
        <w:t xml:space="preserve">Benefits arising from rationalisation of intra-</w:t>
      </w:r>
      <w:r>
        <w:t xml:space="preserve"> </w:t>
      </w:r>
      <w:r>
        <w:t xml:space="preserve">group operations, cross-border operations</w:t>
      </w:r>
      <w:r>
        <w:t xml:space="preserve"> </w:t>
      </w:r>
      <w:r>
        <w:t xml:space="preserve">and savings linked to local governance costs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related to streamlining of</w:t>
      </w:r>
      <w:r>
        <w:t xml:space="preserve"> </w:t>
      </w:r>
      <w:r>
        <w:t xml:space="preserve">requirements and increased</w:t>
      </w:r>
      <w:r>
        <w:t xml:space="preserve"> </w:t>
      </w:r>
      <w:r>
        <w:t xml:space="preserve">clarity and legal certainty</w:t>
      </w:r>
      <w:r>
        <w:t xml:space="preserve"> </w:t>
      </w:r>
      <w:r>
        <w:t xml:space="preserve">Brokers: EUR 100 000 - 500 000 per broker</w:t>
      </w:r>
      <w:r>
        <w:t xml:space="preserve"> </w:t>
      </w:r>
      <w:r>
        <w:t xml:space="preserve">(streamlined venue membership and indirect</w:t>
      </w:r>
      <w:r>
        <w:t xml:space="preserve"> </w:t>
      </w:r>
      <w:r>
        <w:t xml:space="preserve">impact on fees)</w:t>
      </w:r>
    </w:p>
    <w:p>
      <w:pPr>
        <w:pStyle w:val="BodyText"/>
      </w:pPr>
      <w:r>
        <w:t xml:space="preserve">Others not quantified (see qualitative comments)</w:t>
      </w:r>
      <w:r>
        <w:t xml:space="preserve"> </w:t>
      </w:r>
      <w:r>
        <w:t xml:space="preserve">Trading venues: Less staffing needs linked</w:t>
      </w:r>
      <w:r>
        <w:t xml:space="preserve"> </w:t>
      </w:r>
      <w:r>
        <w:t xml:space="preserve">to streamlined member onboarding and</w:t>
      </w:r>
      <w:r>
        <w:t xml:space="preserve"> </w:t>
      </w:r>
      <w:r>
        <w:t xml:space="preserve">monitoring process; due diligence only</w:t>
      </w:r>
      <w:r>
        <w:t xml:space="preserve"> </w:t>
      </w:r>
      <w:r>
        <w:t xml:space="preserve">performed once and by one trading venue</w:t>
      </w:r>
    </w:p>
    <w:p>
      <w:pPr>
        <w:pStyle w:val="BodyText"/>
      </w:pPr>
      <w:r>
        <w:t xml:space="preserve">Brokers: Benefits stemming from more</w:t>
      </w:r>
      <w:r>
        <w:t xml:space="preserve"> </w:t>
      </w:r>
      <w:r>
        <w:t xml:space="preserve">streamlined membership on-boarding and</w:t>
      </w:r>
      <w:r>
        <w:t xml:space="preserve"> </w:t>
      </w:r>
      <w:r>
        <w:t xml:space="preserve">ongoing compliance/monitoring procedures</w:t>
      </w:r>
      <w:r>
        <w:t xml:space="preserve"> </w:t>
      </w:r>
      <w:r>
        <w:t xml:space="preserve">by trading venues</w:t>
      </w:r>
    </w:p>
    <w:p>
      <w:pPr>
        <w:pStyle w:val="BodyText"/>
      </w:pPr>
      <w:r>
        <w:t xml:space="preserve">CSDs:</w:t>
      </w:r>
      <w:r>
        <w:t xml:space="preserve"> </w:t>
      </w:r>
      <w:r>
        <w:t xml:space="preserve">Increased</w:t>
      </w:r>
      <w:r>
        <w:t xml:space="preserve"> </w:t>
      </w:r>
      <w:r>
        <w:t xml:space="preserve">legal</w:t>
      </w:r>
      <w:r>
        <w:t xml:space="preserve"> </w:t>
      </w:r>
      <w:r>
        <w:t xml:space="preserve">clarity</w:t>
      </w:r>
      <w:r>
        <w:t xml:space="preserve"> </w:t>
      </w:r>
      <w:r>
        <w:t xml:space="preserve">and</w:t>
      </w:r>
      <w:r>
        <w:t xml:space="preserve"> </w:t>
      </w:r>
      <w:r>
        <w:t xml:space="preserve">less fragmentation</w:t>
      </w:r>
      <w:r>
        <w:t xml:space="preserve"> </w:t>
      </w:r>
      <w:r>
        <w:t xml:space="preserve">leading to</w:t>
      </w:r>
      <w:r>
        <w:t xml:space="preserve"> </w:t>
      </w:r>
      <w:r>
        <w:t xml:space="preserve">reduced compliance burden</w:t>
      </w:r>
    </w:p>
    <w:p>
      <w:pPr>
        <w:pStyle w:val="BodyText"/>
      </w:pPr>
      <w:r>
        <w:t xml:space="preserve">DLTs: Benefits resulting from harmonising</w:t>
      </w:r>
      <w:r>
        <w:t xml:space="preserve"> </w:t>
      </w:r>
      <w:r>
        <w:t xml:space="preserve">definitions and concepts</w:t>
      </w:r>
    </w:p>
    <w:p>
      <w:pPr>
        <w:pStyle w:val="BodyText"/>
      </w:pPr>
      <w:r>
        <w:t xml:space="preserve">Reduced compliance cost</w:t>
      </w:r>
      <w:r>
        <w:t xml:space="preserve"> </w:t>
      </w:r>
      <w:r>
        <w:t xml:space="preserve">and administrative burden</w:t>
      </w:r>
      <w:r>
        <w:t xml:space="preserve"> </w:t>
      </w:r>
      <w:r>
        <w:t xml:space="preserve">for entities currently</w:t>
      </w:r>
      <w:r>
        <w:t xml:space="preserve"> </w:t>
      </w:r>
      <w:r>
        <w:t xml:space="preserve">supervised by multiple</w:t>
      </w:r>
      <w:r>
        <w:t xml:space="preserve"> </w:t>
      </w:r>
      <w:r>
        <w:t xml:space="preserve">NCAs</w:t>
      </w:r>
    </w:p>
    <w:p>
      <w:pPr>
        <w:pStyle w:val="BodyText"/>
      </w:pPr>
      <w:r>
        <w:t xml:space="preserve">Trading: EUR 0.5 to 5 million per year (for cross-</w:t>
      </w:r>
      <w:r>
        <w:t xml:space="preserve"> </w:t>
      </w:r>
      <w:r>
        <w:t xml:space="preserve">border operating exchange groups)</w:t>
      </w:r>
      <w:r>
        <w:t xml:space="preserve"> </w:t>
      </w:r>
      <w:r>
        <w:t xml:space="preserve">Estimate provided for trading venues</w:t>
      </w:r>
      <w:r>
        <w:t xml:space="preserve"> </w:t>
      </w:r>
      <w:r>
        <w:t xml:space="preserve">Other financial market participants</w:t>
      </w:r>
      <w:r>
        <w:t xml:space="preserve"> </w:t>
      </w:r>
      <w:r>
        <w:t xml:space="preserve">will also benefit because as they will face le</w:t>
      </w:r>
      <w:r>
        <w:t xml:space="preserve"> </w:t>
      </w:r>
      <w:r>
        <w:t xml:space="preserve">ss duplications, differences in instructions</w:t>
      </w:r>
      <w:r>
        <w:t xml:space="preserve"> </w:t>
      </w:r>
      <w:r>
        <w:t xml:space="preserve">and procedural delays</w:t>
      </w:r>
      <w:r>
        <w:br/>
      </w:r>
      <w:r>
        <w:t xml:space="preserve">Reduction of supervisory fees for entities</w:t>
      </w:r>
      <w:r>
        <w:t xml:space="preserve"> </w:t>
      </w:r>
      <w:r>
        <w:t xml:space="preserve">currently supervised by several NCAs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Savings due to synergies and increased</w:t>
      </w:r>
      <w:r>
        <w:t xml:space="preserve"> </w:t>
      </w:r>
      <w:r>
        <w:t xml:space="preserve">intra-group outsourcing/delegation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Operational efficiency gains</w:t>
      </w:r>
      <w:r>
        <w:t xml:space="preserve"> </w:t>
      </w:r>
      <w:r>
        <w:t xml:space="preserve">for exchange operators will</w:t>
      </w:r>
      <w:r>
        <w:t xml:space="preserve"> </w:t>
      </w:r>
      <w:r>
        <w:t xml:space="preserve">be partially passed on to</w:t>
      </w:r>
      <w:r>
        <w:t xml:space="preserve"> </w:t>
      </w:r>
      <w:r>
        <w:t xml:space="preserve">downstream intermediaries</w:t>
      </w:r>
      <w:r>
        <w:t xml:space="preserve"> </w:t>
      </w:r>
      <w:r>
        <w:t xml:space="preserve">and end clients</w:t>
      </w:r>
      <w:r>
        <w:t xml:space="preserve"> </w:t>
      </w:r>
      <w:r>
        <w:t xml:space="preserve">Estimated EUR 11.25 to 30 million directly</w:t>
      </w:r>
      <w:r>
        <w:t xml:space="preserve"> </w:t>
      </w:r>
      <w:r>
        <w:t xml:space="preserve">benefit end investors</w:t>
      </w:r>
      <w:r>
        <w:t xml:space="preserve"> </w:t>
      </w:r>
      <w:r>
        <w:t xml:space="preserve">Brokers, end-clients should benefit in terms</w:t>
      </w:r>
      <w:r>
        <w:t xml:space="preserve"> </w:t>
      </w:r>
      <w:r>
        <w:t xml:space="preserve">of reduced transaction costs</w:t>
      </w:r>
      <w:r>
        <w:t xml:space="preserve"> </w:t>
      </w:r>
      <w:r>
        <w:t xml:space="preserve">Operational efficiency gains</w:t>
      </w:r>
      <w:r>
        <w:t xml:space="preserve"> </w:t>
      </w:r>
      <w:r>
        <w:t xml:space="preserve">for CSDs will be partially</w:t>
      </w:r>
      <w:r>
        <w:t xml:space="preserve"> </w:t>
      </w:r>
      <w:r>
        <w:t xml:space="preserve">passed on to downstream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Estimated potential for 30% cost reduction (15</w:t>
      </w:r>
      <w:r>
        <w:t xml:space="preserve"> </w:t>
      </w:r>
      <w:r>
        <w:t xml:space="preserve">cent per settlement transaction settled in T2S</w:t>
      </w:r>
      <w:r>
        <w:t xml:space="preserve"> </w:t>
      </w:r>
      <w:r>
        <w:t xml:space="preserve">versus a given CSD)</w:t>
      </w:r>
      <w:r>
        <w:br/>
      </w:r>
      <w:r>
        <w:t xml:space="preserve">A greater use of T2S would potentially</w:t>
      </w:r>
      <w:r>
        <w:t xml:space="preserve"> </w:t>
      </w:r>
      <w:r>
        <w:t xml:space="preserve">reduce costs per settlement transaction</w:t>
      </w:r>
      <w:r>
        <w:t xml:space="preserve"> </w:t>
      </w:r>
      <w:r>
        <w:t xml:space="preserve">Operational efficiency gains</w:t>
      </w:r>
      <w:r>
        <w:t xml:space="preserve"> </w:t>
      </w:r>
      <w:r>
        <w:t xml:space="preserve">in asset management will be</w:t>
      </w:r>
      <w:r>
        <w:t xml:space="preserve"> </w:t>
      </w:r>
      <w:r>
        <w:t xml:space="preserve">partially</w:t>
      </w:r>
      <w:r>
        <w:t xml:space="preserve"> </w:t>
      </w:r>
      <w:r>
        <w:t xml:space="preserve">passed</w:t>
      </w:r>
      <w:r>
        <w:t xml:space="preserve"> </w:t>
      </w:r>
      <w:r>
        <w:t xml:space="preserve">on</w:t>
      </w:r>
      <w:r>
        <w:t xml:space="preserve"> </w:t>
      </w:r>
      <w:r>
        <w:t xml:space="preserve">to</w:t>
      </w:r>
      <w:r>
        <w:t xml:space="preserve"> </w:t>
      </w:r>
      <w:r>
        <w:t xml:space="preserve">downstream intermediaries</w:t>
      </w:r>
      <w:r>
        <w:t xml:space="preserve"> </w:t>
      </w:r>
      <w:r>
        <w:t xml:space="preserve">Not quantified, but illustrations provided in</w:t>
      </w:r>
      <w:r>
        <w:t xml:space="preserve"> </w:t>
      </w:r>
      <w:r>
        <w:t xml:space="preserve">Annex 9</w:t>
      </w:r>
      <w:r>
        <w:t xml:space="preserve"> </w:t>
      </w:r>
      <w:r>
        <w:t xml:space="preserve">End clients of asset managers should benefit</w:t>
      </w:r>
      <w:r>
        <w:t xml:space="preserve"> </w:t>
      </w:r>
      <w:r>
        <w:t xml:space="preserve">in terms of reduced management fees</w:t>
      </w:r>
      <w:r>
        <w:t xml:space="preserve"> </w:t>
      </w:r>
      <w:r>
        <w:t xml:space="preserve">Better, more agile and</w:t>
      </w:r>
      <w:r>
        <w:t xml:space="preserve"> </w:t>
      </w:r>
      <w:r>
        <w:t xml:space="preserve">comprehensive supervision</w:t>
      </w:r>
      <w:r>
        <w:t xml:space="preserve"> </w:t>
      </w:r>
      <w:r>
        <w:t xml:space="preserve">of capital markets increases</w:t>
      </w:r>
      <w:r>
        <w:t xml:space="preserve"> </w:t>
      </w:r>
      <w:r>
        <w:t xml:space="preserve">investor trust</w:t>
      </w:r>
    </w:p>
    <w:p>
      <w:pPr>
        <w:pStyle w:val="BodyText"/>
      </w:pPr>
      <w:r>
        <w:t xml:space="preserve">Qualitative / Not quantifiable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governance</w:t>
      </w:r>
      <w:r>
        <w:t xml:space="preserve"> </w:t>
      </w:r>
      <w:r>
        <w:t xml:space="preserve">and</w:t>
      </w:r>
      <w:r>
        <w:t xml:space="preserve"> </w:t>
      </w:r>
      <w:r>
        <w:t xml:space="preserve">supervision of capital markets could</w:t>
      </w:r>
      <w:r>
        <w:t xml:space="preserve"> </w:t>
      </w:r>
      <w:r>
        <w:t xml:space="preserve">increase cross-border investments in the</w:t>
      </w:r>
      <w:r>
        <w:t xml:space="preserve"> </w:t>
      </w:r>
      <w:r>
        <w:t xml:space="preserve">single market.</w:t>
      </w:r>
      <w:r>
        <w:t xml:space="preserve"> </w:t>
      </w:r>
      <w:r>
        <w:t xml:space="preserve">Reduction of financial</w:t>
      </w:r>
      <w:r>
        <w:t xml:space="preserve"> </w:t>
      </w:r>
      <w:r>
        <w:t xml:space="preserve">stability risks</w:t>
      </w:r>
      <w:r>
        <w:t xml:space="preserve"> </w:t>
      </w:r>
      <w:r>
        <w:t xml:space="preserve">Qualitative / Not quantifiable</w:t>
      </w:r>
      <w:r>
        <w:t xml:space="preserve"> </w:t>
      </w:r>
      <w:r>
        <w:t xml:space="preserve">More centralised supervision should be</w:t>
      </w:r>
      <w:r>
        <w:t xml:space="preserve"> </w:t>
      </w:r>
      <w:r>
        <w:t xml:space="preserve">more effective in capturing especially cross-</w:t>
      </w:r>
      <w:r>
        <w:t xml:space="preserve"> </w:t>
      </w:r>
      <w:r>
        <w:t xml:space="preserve">border risks. There will be benefits due to</w:t>
      </w:r>
      <w:r>
        <w:t xml:space="preserve"> </w:t>
      </w:r>
      <w:r>
        <w:t xml:space="preserve">reduction of financial stability risks, and</w:t>
      </w:r>
      <w:r>
        <w:t xml:space="preserve"> </w:t>
      </w:r>
      <w:r>
        <w:t xml:space="preserve">expected spill-over effects of supervisory</w:t>
      </w:r>
      <w:r>
        <w:t xml:space="preserve"> </w:t>
      </w:r>
      <w:r>
        <w:t xml:space="preserve">failures.</w:t>
      </w:r>
      <w:r>
        <w:t xml:space="preserve"> </w:t>
      </w:r>
      <w:r>
        <w:t xml:space="preserve">NCAs will need less</w:t>
      </w:r>
      <w:r>
        <w:t xml:space="preserve"> </w:t>
      </w:r>
      <w:r>
        <w:t xml:space="preserve">resources in areas where</w:t>
      </w:r>
      <w:r>
        <w:t xml:space="preserve"> </w:t>
      </w:r>
      <w:r>
        <w:t xml:space="preserve">ESMA takes on supervisory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Not quantified; will vary significantly across</w:t>
      </w:r>
      <w:r>
        <w:t xml:space="preserve"> </w:t>
      </w:r>
      <w:r>
        <w:t xml:space="preserve">NCAs</w:t>
      </w:r>
      <w:r>
        <w:t xml:space="preserve"> </w:t>
      </w:r>
      <w:r>
        <w:t xml:space="preserve">Staff reduction due to centralisation of</w:t>
      </w:r>
      <w:r>
        <w:t xml:space="preserve"> </w:t>
      </w:r>
      <w:r>
        <w:t xml:space="preserve">certain tasks</w:t>
      </w:r>
      <w:r>
        <w:t xml:space="preserve"> </w:t>
      </w:r>
      <w:r>
        <w:t xml:space="preserve">Macroeconomic benefits</w:t>
      </w:r>
      <w:r>
        <w:br/>
      </w:r>
      <w:r>
        <w:t xml:space="preserve">Increased EU GDP:</w:t>
      </w:r>
      <w:r>
        <w:t xml:space="preserve"> </w:t>
      </w:r>
      <w:r>
        <w:t xml:space="preserve">EUR1.36tn – 3.62tn cumulative over 30 years</w:t>
      </w:r>
      <w:r>
        <w:br/>
      </w:r>
      <w:r>
        <w:t xml:space="preserve">The study upon which this figure is based</w:t>
      </w:r>
      <w:r>
        <w:t xml:space="preserve"> </w:t>
      </w:r>
      <w:r>
        <w:t xml:space="preserve">compares the development of EU &amp; US</w:t>
      </w:r>
      <w:r>
        <w:t xml:space="preserve"> </w:t>
      </w:r>
      <w:r>
        <w:t xml:space="preserve">capital markets over 30 years (1995–2024).</w:t>
      </w:r>
      <w:r>
        <w:br/>
      </w:r>
      <w:r>
        <w:t xml:space="preserve">It uses a World bank estimated correlation</w:t>
      </w:r>
      <w:r>
        <w:t xml:space="preserve"> </w:t>
      </w:r>
      <w:r>
        <w:t xml:space="preserve">between market capitalisation and GDP to</w:t>
      </w:r>
      <w:r>
        <w:t xml:space="preserve"> </w:t>
      </w:r>
      <w:r>
        <w:t xml:space="preserve">model additional GDP growth that could</w:t>
      </w:r>
      <w:r>
        <w:t xml:space="preserve"> </w:t>
      </w:r>
      <w:r>
        <w:t xml:space="preserve">have been achieved by having more</w:t>
      </w:r>
      <w:r>
        <w:t xml:space="preserve"> </w:t>
      </w:r>
      <w:r>
        <w:t xml:space="preserve">integrated capital markets in the EU. The</w:t>
      </w:r>
      <w:r>
        <w:t xml:space="preserve"> </w:t>
      </w:r>
      <w:r>
        <w:t xml:space="preserve">figure presented here assumes that the</w:t>
      </w:r>
      <w:r>
        <w:t xml:space="preserve"> </w:t>
      </w:r>
      <w:r>
        <w:t xml:space="preserve">initiative can achieve part (10-25%) of this</w:t>
      </w:r>
      <w:r>
        <w:t xml:space="preserve"> </w:t>
      </w:r>
      <w:r>
        <w:t xml:space="preserve">integration process modelled. See also</w:t>
      </w:r>
      <w:r>
        <w:t xml:space="preserve"> </w:t>
      </w:r>
      <w:r>
        <w:t xml:space="preserve">Annex 4 for further details and additional</w:t>
      </w:r>
      <w:r>
        <w:t xml:space="preserve"> </w:t>
      </w:r>
      <w:r>
        <w:t xml:space="preserve">studies indicating a similar magnitude of</w:t>
      </w:r>
      <w:r>
        <w:t xml:space="preserve"> </w:t>
      </w:r>
      <w:r>
        <w:t xml:space="preserve">impact on GDP stemming from reduced</w:t>
      </w:r>
      <w:r>
        <w:t xml:space="preserve"> </w:t>
      </w:r>
      <w:r>
        <w:t xml:space="preserve">fragmentation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Broad review of</w:t>
      </w:r>
      <w:r>
        <w:t xml:space="preserve"> </w:t>
      </w:r>
      <w:r>
        <w:t xml:space="preserve">the functioning of</w:t>
      </w:r>
      <w:r>
        <w:t xml:space="preserve"> </w:t>
      </w:r>
      <w:r>
        <w:t xml:space="preserve">capital</w:t>
      </w:r>
      <w:r>
        <w:t xml:space="preserve"> </w:t>
      </w:r>
      <w:r>
        <w:t xml:space="preserve">markets</w:t>
      </w:r>
      <w:r>
        <w:t xml:space="preserve"> </w:t>
      </w:r>
      <w:r>
        <w:t xml:space="preserve">(Measures</w:t>
      </w:r>
      <w:r>
        <w:t xml:space="preserve"> </w:t>
      </w:r>
      <w:r>
        <w:t xml:space="preserve">to</w:t>
      </w:r>
      <w:r>
        <w:t xml:space="preserve"> </w:t>
      </w:r>
      <w:r>
        <w:t xml:space="preserve">address barriers 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innovation)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EUR</w:t>
      </w:r>
      <w:r>
        <w:t xml:space="preserve"> </w:t>
      </w:r>
      <w:r>
        <w:t xml:space="preserve">0.015</w:t>
      </w:r>
      <w:r>
        <w:t xml:space="preserve"> </w:t>
      </w:r>
      <w:r>
        <w:t xml:space="preserve">–</w:t>
      </w:r>
      <w:r>
        <w:t xml:space="preserve"> </w:t>
      </w:r>
      <w:r>
        <w:t xml:space="preserve">2</w:t>
      </w:r>
      <w:r>
        <w:t xml:space="preserve"> </w:t>
      </w:r>
      <w:r>
        <w:t xml:space="preserve">million</w:t>
      </w:r>
      <w:r>
        <w:t xml:space="preserve"> </w:t>
      </w:r>
      <w:r>
        <w:t xml:space="preserve">(adjustment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trading</w:t>
      </w:r>
      <w:r>
        <w:t xml:space="preserve"> </w:t>
      </w:r>
      <w:r>
        <w:t xml:space="preserve">venues</w:t>
      </w:r>
      <w:r>
        <w:t xml:space="preserve"> </w:t>
      </w:r>
      <w:r>
        <w:t xml:space="preserve">-adapting</w:t>
      </w:r>
      <w:r>
        <w:t xml:space="preserve"> </w:t>
      </w:r>
      <w:r>
        <w:t xml:space="preserve">exchange rulebooks)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Implementation costs</w:t>
      </w:r>
      <w:r>
        <w:t xml:space="preserve"> </w:t>
      </w:r>
      <w:r>
        <w:t xml:space="preserve">for trading venues (b),</w:t>
      </w:r>
      <w:r>
        <w:t xml:space="preserve"> </w:t>
      </w:r>
      <w:r>
        <w:t xml:space="preserve">CSDs(c)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managers to digest</w:t>
      </w:r>
      <w:r>
        <w:t xml:space="preserve"> </w:t>
      </w:r>
      <w:r>
        <w:t xml:space="preserve">legal changes (e.g. </w:t>
      </w:r>
      <w:r>
        <w:t xml:space="preserve"> </w:t>
      </w:r>
      <w:r>
        <w:t xml:space="preserve">harmonisation</w:t>
      </w:r>
      <w:r>
        <w:t xml:space="preserve"> </w:t>
      </w:r>
      <w:r>
        <w:t xml:space="preserve">of</w:t>
      </w:r>
      <w:r>
        <w:t xml:space="preserve"> </w:t>
      </w:r>
      <w:r>
        <w:t xml:space="preserve">MiFID/MiFIR)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br/>
      </w:r>
      <w:r>
        <w:t xml:space="preserve">About</w:t>
      </w:r>
      <w:r>
        <w:t xml:space="preserve"> </w:t>
      </w:r>
      <w:r>
        <w:t xml:space="preserve">EUR</w:t>
      </w:r>
      <w:r>
        <w:t xml:space="preserve"> </w:t>
      </w:r>
      <w:r>
        <w:t xml:space="preserve">200</w:t>
      </w:r>
      <w:r>
        <w:t xml:space="preserve"> </w:t>
      </w:r>
      <w:r>
        <w:t xml:space="preserve">million in total for all</w:t>
      </w:r>
      <w:r>
        <w:t xml:space="preserve"> </w:t>
      </w:r>
      <w:r>
        <w:t xml:space="preserve">CSDs that still need to</w:t>
      </w:r>
      <w:r>
        <w:t xml:space="preserve"> </w:t>
      </w:r>
      <w:r>
        <w:t xml:space="preserve">connect to T2S</w:t>
      </w:r>
      <w:r>
        <w:br/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9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total</w:t>
      </w:r>
      <w:r>
        <w:t xml:space="preserve"> </w:t>
      </w:r>
      <w:r>
        <w:t xml:space="preserve">annual maintenance</w:t>
      </w:r>
      <w:r>
        <w:t xml:space="preserve"> </w:t>
      </w:r>
      <w:r>
        <w:t xml:space="preserve">cost for all CSDs</w:t>
      </w:r>
      <w:r>
        <w:t xml:space="preserve"> </w:t>
      </w:r>
      <w:r>
        <w:t xml:space="preserve">with new T2S links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br/>
      </w:r>
      <w:r>
        <w:t xml:space="preserve">Supervisory</w:t>
      </w:r>
      <w:r>
        <w:t xml:space="preserve"> </w:t>
      </w:r>
      <w:r>
        <w:t xml:space="preserve">data</w:t>
      </w:r>
      <w:r>
        <w:t xml:space="preserve"> </w:t>
      </w:r>
      <w:r>
        <w:t xml:space="preserve">platform coverage of</w:t>
      </w:r>
      <w:r>
        <w:t xml:space="preserve"> </w:t>
      </w:r>
      <w:r>
        <w:t xml:space="preserve">CCPs,</w:t>
      </w:r>
      <w:r>
        <w:t xml:space="preserve"> </w:t>
      </w:r>
      <w:r>
        <w:t xml:space="preserve">CSDs,</w:t>
      </w:r>
      <w:r>
        <w:t xml:space="preserve"> </w:t>
      </w:r>
      <w:r>
        <w:t xml:space="preserve">TV</w:t>
      </w:r>
      <w:r>
        <w:t xml:space="preserve"> </w:t>
      </w:r>
      <w:r>
        <w:t xml:space="preserve">EUR 7.2 million for</w:t>
      </w:r>
      <w:r>
        <w:t xml:space="preserve"> </w:t>
      </w:r>
      <w:r>
        <w:t xml:space="preserve">development</w:t>
      </w:r>
      <w:r>
        <w:br/>
      </w:r>
      <w:r>
        <w:t xml:space="preserve">Annual</w:t>
      </w:r>
      <w:r>
        <w:t xml:space="preserve"> </w:t>
      </w:r>
      <w:r>
        <w:t xml:space="preserve">maintenance EUR</w:t>
      </w:r>
      <w:r>
        <w:t xml:space="preserve"> </w:t>
      </w:r>
      <w:r>
        <w:t xml:space="preserve">2.96 million</w:t>
      </w:r>
      <w:r>
        <w:br/>
      </w:r>
      <w:r>
        <w:t xml:space="preserve">Supervisory</w:t>
      </w:r>
      <w:r>
        <w:t xml:space="preserve"> </w:t>
      </w:r>
      <w:r>
        <w:t xml:space="preserve">platform for CCPs,</w:t>
      </w:r>
      <w:r>
        <w:t xml:space="preserve"> </w:t>
      </w:r>
      <w:r>
        <w:t xml:space="preserve">CSDs, TV EUR0.8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development</w:t>
      </w:r>
      <w:r>
        <w:br/>
      </w:r>
      <w:r>
        <w:t xml:space="preserve">Annual</w:t>
      </w:r>
      <w:r>
        <w:t xml:space="preserve"> </w:t>
      </w:r>
      <w:r>
        <w:t xml:space="preserve">maintenance EUR</w:t>
      </w:r>
      <w:r>
        <w:t xml:space="preserve"> </w:t>
      </w:r>
      <w:r>
        <w:t xml:space="preserve">0.74 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br/>
      </w:r>
      <w:r>
        <w:t xml:space="preserve">Central register for</w:t>
      </w:r>
      <w:r>
        <w:t xml:space="preserve"> </w:t>
      </w:r>
      <w:r>
        <w:t xml:space="preserve">CASPs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EUR 4.2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development</w:t>
      </w:r>
      <w:r>
        <w:br/>
      </w:r>
      <w:r>
        <w:t xml:space="preserve">EUR2.5 million for</w:t>
      </w:r>
      <w:r>
        <w:t xml:space="preserve"> </w:t>
      </w:r>
      <w:r>
        <w:t xml:space="preserve">annual</w:t>
      </w:r>
      <w:r>
        <w:t xml:space="preserve"> </w:t>
      </w:r>
      <w:r>
        <w:t xml:space="preserve">maintenance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Centralised data and</w:t>
      </w:r>
      <w:r>
        <w:t xml:space="preserve"> </w:t>
      </w:r>
      <w:r>
        <w:t xml:space="preserve">analytics EUR 15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development</w:t>
      </w:r>
      <w:r>
        <w:br/>
      </w:r>
      <w:r>
        <w:t xml:space="preserve">Annual</w:t>
      </w:r>
      <w:r>
        <w:t xml:space="preserve"> </w:t>
      </w:r>
      <w:r>
        <w:t xml:space="preserve">maintenance EUR 4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 (e)</w:t>
      </w:r>
      <w:r>
        <w:t xml:space="preserve"> </w:t>
      </w:r>
      <w:r>
        <w:t xml:space="preserve">Annual</w:t>
      </w:r>
      <w:r>
        <w:t xml:space="preserve"> </w:t>
      </w:r>
      <w:r>
        <w:t xml:space="preserve">maintenance EUR</w:t>
      </w:r>
      <w:r>
        <w:t xml:space="preserve"> </w:t>
      </w:r>
      <w:r>
        <w:t xml:space="preserve">0.2 million</w:t>
      </w:r>
      <w:r>
        <w:br/>
      </w:r>
      <w:r>
        <w:t xml:space="preserve">Data platform 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notifications</w:t>
      </w:r>
      <w:r>
        <w:t xml:space="preserve"> </w:t>
      </w:r>
      <w:r>
        <w:t xml:space="preserve">of</w:t>
      </w:r>
      <w:r>
        <w:t xml:space="preserve"> </w:t>
      </w:r>
      <w:r>
        <w:t xml:space="preserve">funds €1 million for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 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align</w:t>
      </w:r>
      <w:r>
        <w:t xml:space="preserve"> </w:t>
      </w:r>
      <w:r>
        <w:t xml:space="preserve">national laws with</w:t>
      </w:r>
      <w:r>
        <w:t xml:space="preserve"> </w:t>
      </w:r>
      <w:r>
        <w:t xml:space="preserve">the targeted changes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Some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 will arise for</w:t>
      </w:r>
      <w:r>
        <w:t xml:space="preserve"> </w:t>
      </w:r>
      <w:r>
        <w:t xml:space="preserve">ESMA in order to</w:t>
      </w:r>
      <w:r>
        <w:t xml:space="preserve"> </w:t>
      </w:r>
      <w:r>
        <w:t xml:space="preserve">adapt to the legal</w:t>
      </w:r>
      <w:r>
        <w:t xml:space="preserve"> </w:t>
      </w:r>
      <w:r>
        <w:t xml:space="preserve">changes</w:t>
      </w:r>
    </w:p>
    <w:p>
      <w:pPr>
        <w:pStyle w:val="BodyText"/>
      </w:pPr>
      <w:r>
        <w:t xml:space="preserve">Indirect costs One-off costs could</w:t>
      </w:r>
      <w:r>
        <w:t xml:space="preserve"> </w:t>
      </w:r>
      <w:r>
        <w:t xml:space="preserve">arise for users of</w:t>
      </w:r>
      <w:r>
        <w:t xml:space="preserve"> </w:t>
      </w:r>
      <w:r>
        <w:t xml:space="preserve">services</w:t>
      </w:r>
      <w:r>
        <w:t xml:space="preserve"> </w:t>
      </w:r>
      <w:r>
        <w:t xml:space="preserve">(e.g. </w:t>
      </w:r>
      <w:r>
        <w:t xml:space="preserve"> </w:t>
      </w:r>
      <w:r>
        <w:t xml:space="preserve">contractual changes) 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but</w:t>
      </w:r>
      <w:r>
        <w:t xml:space="preserve"> </w:t>
      </w:r>
      <w:r>
        <w:t xml:space="preserve">costs are expected to</w:t>
      </w:r>
      <w:r>
        <w:t xml:space="preserve"> </w:t>
      </w:r>
      <w:r>
        <w:t xml:space="preserve">be relatively small</w:t>
      </w:r>
    </w:p>
    <w:p>
      <w:pPr>
        <w:pStyle w:val="BodyText"/>
      </w:pPr>
      <w:r>
        <w:t xml:space="preserve">Greater</w:t>
      </w:r>
      <w:r>
        <w:t xml:space="preserve"> </w:t>
      </w:r>
      <w:r>
        <w:t xml:space="preserve">supervisory</w:t>
      </w:r>
      <w:r>
        <w:t xml:space="preserve"> </w:t>
      </w:r>
      <w:r>
        <w:t xml:space="preserve">convergence</w:t>
      </w:r>
      <w:r>
        <w:t xml:space="preserve"> </w:t>
      </w:r>
      <w:r>
        <w:t xml:space="preserve">and</w:t>
      </w:r>
      <w:r>
        <w:t xml:space="preserve"> </w:t>
      </w:r>
      <w:r>
        <w:t xml:space="preserve">an enhanced role</w:t>
      </w:r>
      <w:r>
        <w:t xml:space="preserve"> </w:t>
      </w:r>
      <w:r>
        <w:t xml:space="preserve">for ESMA’s role in</w:t>
      </w:r>
      <w:r>
        <w:t xml:space="preserve"> </w:t>
      </w:r>
      <w:r>
        <w:t xml:space="preserve">supervision (f)(g) 173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One-off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related to re-</w:t>
      </w:r>
      <w:r>
        <w:t xml:space="preserve"> </w:t>
      </w:r>
      <w:r>
        <w:t xml:space="preserve">directing</w:t>
      </w:r>
      <w:r>
        <w:t xml:space="preserve"> </w:t>
      </w:r>
      <w:r>
        <w:t xml:space="preserve">existing</w:t>
      </w:r>
      <w:r>
        <w:t xml:space="preserve"> </w:t>
      </w:r>
      <w:r>
        <w:t xml:space="preserve">reporting to ESMA 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but</w:t>
      </w:r>
      <w:r>
        <w:t xml:space="preserve"> </w:t>
      </w:r>
      <w:r>
        <w:t xml:space="preserve">costs are expected to</w:t>
      </w:r>
      <w:r>
        <w:t xml:space="preserve"> </w:t>
      </w:r>
      <w:r>
        <w:t xml:space="preserve">be relatively small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When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supervision starts:</w:t>
      </w:r>
      <w:r>
        <w:t xml:space="preserve"> </w:t>
      </w:r>
      <w:r>
        <w:t xml:space="preserve">ESMA</w:t>
      </w:r>
      <w:r>
        <w:t xml:space="preserve"> </w:t>
      </w:r>
      <w:r>
        <w:t xml:space="preserve">90–105</w:t>
      </w:r>
      <w:r>
        <w:t xml:space="preserve"> </w:t>
      </w:r>
      <w:r>
        <w:t xml:space="preserve">extra FTEs (direct</w:t>
      </w:r>
      <w:r>
        <w:t xml:space="preserve"> </w:t>
      </w:r>
      <w:r>
        <w:t xml:space="preserve">supervision</w:t>
      </w:r>
      <w:r>
        <w:t xml:space="preserve"> </w:t>
      </w:r>
      <w:r>
        <w:t xml:space="preserve">of</w:t>
      </w:r>
      <w:r>
        <w:t xml:space="preserve"> </w:t>
      </w:r>
      <w:r>
        <w:t xml:space="preserve">trading venues)</w:t>
      </w:r>
      <w:r>
        <w:t xml:space="preserve"> </w:t>
      </w:r>
      <w:r>
        <w:t xml:space="preserve">EUR 17 – 19.5</w:t>
      </w:r>
      <w:r>
        <w:t xml:space="preserve"> </w:t>
      </w:r>
      <w:r>
        <w:t xml:space="preserve">million</w:t>
      </w:r>
      <w:r>
        <w:t xml:space="preserve"> </w:t>
      </w:r>
      <w:r>
        <w:t xml:space="preserve">To prepare for direct</w:t>
      </w:r>
      <w:r>
        <w:t xml:space="preserve"> </w:t>
      </w:r>
      <w:r>
        <w:t xml:space="preserve">supervision:</w:t>
      </w:r>
      <w:r>
        <w:t xml:space="preserve"> </w:t>
      </w:r>
      <w:r>
        <w:t xml:space="preserve">ESMA 5-10 FTEs</w:t>
      </w:r>
      <w:r>
        <w:t xml:space="preserve"> </w:t>
      </w:r>
      <w:r>
        <w:t xml:space="preserve">for the preparatory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supervision EUR 1-</w:t>
      </w:r>
      <w:r>
        <w:t xml:space="preserve"> </w:t>
      </w:r>
      <w:r>
        <w:t xml:space="preserve">2 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When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supervision starts:</w:t>
      </w:r>
      <w:r>
        <w:t xml:space="preserve"> </w:t>
      </w:r>
      <w:r>
        <w:t xml:space="preserve">ESMA 30–50 extra</w:t>
      </w:r>
      <w:r>
        <w:t xml:space="preserve"> </w:t>
      </w:r>
      <w:r>
        <w:t xml:space="preserve">FTEs (supervision</w:t>
      </w:r>
      <w:r>
        <w:t xml:space="preserve"> </w:t>
      </w:r>
      <w:r>
        <w:t xml:space="preserve">of CCPs)</w:t>
      </w:r>
      <w:r>
        <w:br/>
      </w:r>
      <w:r>
        <w:t xml:space="preserve">EUR 5.5 – 9.5</w:t>
      </w:r>
      <w:r>
        <w:t xml:space="preserve"> </w:t>
      </w:r>
      <w:r>
        <w:t xml:space="preserve">million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for</w:t>
      </w:r>
      <w:r>
        <w:t xml:space="preserve"> </w:t>
      </w:r>
      <w:r>
        <w:t xml:space="preserve">direct supervision:</w:t>
      </w:r>
      <w:r>
        <w:t xml:space="preserve"> </w:t>
      </w:r>
      <w:r>
        <w:t xml:space="preserve">ESMA 5-10 FTEs</w:t>
      </w:r>
      <w:r>
        <w:t xml:space="preserve"> </w:t>
      </w:r>
      <w:r>
        <w:t xml:space="preserve">for the preparatory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supervision EUR 1-</w:t>
      </w:r>
      <w:r>
        <w:t xml:space="preserve"> </w:t>
      </w:r>
      <w:r>
        <w:t xml:space="preserve">2 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When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supervision starts:</w:t>
      </w:r>
      <w:r>
        <w:t xml:space="preserve"> </w:t>
      </w:r>
      <w:r>
        <w:t xml:space="preserve">ESMA 30–40 extra</w:t>
      </w:r>
      <w:r>
        <w:t xml:space="preserve"> </w:t>
      </w:r>
      <w:r>
        <w:t xml:space="preserve">FTEs (supervision</w:t>
      </w:r>
      <w:r>
        <w:t xml:space="preserve"> </w:t>
      </w:r>
      <w:r>
        <w:t xml:space="preserve">of CSDs)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for</w:t>
      </w:r>
      <w:r>
        <w:t xml:space="preserve"> </w:t>
      </w:r>
      <w:r>
        <w:t xml:space="preserve">direct supervision:</w:t>
      </w:r>
      <w:r>
        <w:t xml:space="preserve"> </w:t>
      </w:r>
      <w:r>
        <w:t xml:space="preserve">ESMA 5-10 FTEs</w:t>
      </w:r>
      <w:r>
        <w:t xml:space="preserve"> </w:t>
      </w:r>
      <w:r>
        <w:t xml:space="preserve">for the preparatory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supervision EUR 1-</w:t>
      </w:r>
      <w:r>
        <w:t xml:space="preserve"> </w:t>
      </w:r>
      <w:r>
        <w:t xml:space="preserve">2 million</w:t>
      </w:r>
    </w:p>
    <w:p>
      <w:pPr>
        <w:pStyle w:val="BodyText"/>
      </w:pPr>
      <w:r>
        <w:t xml:space="preserve">173 All costs are calculated without overhead. Overhead costs of 20% can be assumed.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II. Overview of costs – Preferred option</w:t>
      </w:r>
      <w:r>
        <w:br/>
      </w:r>
      <w:r>
        <w:t xml:space="preserve">EUR 5.5 – 7.5</w:t>
      </w:r>
      <w:r>
        <w:t xml:space="preserve"> </w:t>
      </w:r>
      <w:r>
        <w:t xml:space="preserve">million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ESMA 10–20 extra</w:t>
      </w:r>
      <w:r>
        <w:t xml:space="preserve"> </w:t>
      </w:r>
      <w:r>
        <w:t xml:space="preserve">FTEs (coordination</w:t>
      </w:r>
      <w:r>
        <w:t xml:space="preserve"> </w:t>
      </w:r>
      <w:r>
        <w:t xml:space="preserve">of supervision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asset</w:t>
      </w:r>
      <w:r>
        <w:t xml:space="preserve"> </w:t>
      </w:r>
      <w:r>
        <w:t xml:space="preserve">management</w:t>
      </w:r>
      <w:r>
        <w:t xml:space="preserve"> </w:t>
      </w:r>
      <w:r>
        <w:t xml:space="preserve">groups)</w:t>
      </w:r>
      <w:r>
        <w:t xml:space="preserve"> </w:t>
      </w:r>
      <w:r>
        <w:t xml:space="preserve">EUR 2 – 4 million</w:t>
      </w:r>
      <w:r>
        <w:t xml:space="preserve"> </w:t>
      </w:r>
      <w:r>
        <w:t xml:space="preserve">To prepare for new</w:t>
      </w:r>
      <w:r>
        <w:t xml:space="preserve"> </w:t>
      </w:r>
      <w:r>
        <w:t xml:space="preserve">tasks:</w:t>
      </w:r>
      <w:r>
        <w:t xml:space="preserve"> </w:t>
      </w:r>
      <w:r>
        <w:t xml:space="preserve">ESMA 5 FTEs for</w:t>
      </w:r>
      <w:r>
        <w:t xml:space="preserve"> </w:t>
      </w:r>
      <w:r>
        <w:t xml:space="preserve">the</w:t>
      </w:r>
      <w:r>
        <w:t xml:space="preserve"> </w:t>
      </w:r>
      <w:r>
        <w:t xml:space="preserve">preparatory</w:t>
      </w:r>
      <w:r>
        <w:t xml:space="preserve"> </w:t>
      </w:r>
      <w:r>
        <w:t xml:space="preserve">work for new tasks</w:t>
      </w:r>
      <w:r>
        <w:t xml:space="preserve"> </w:t>
      </w:r>
      <w:r>
        <w:t xml:space="preserve">EUR 1 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To prepare for new</w:t>
      </w:r>
      <w:r>
        <w:t xml:space="preserve"> </w:t>
      </w:r>
      <w:r>
        <w:t xml:space="preserve">tasks:</w:t>
      </w:r>
      <w:r>
        <w:t xml:space="preserve"> </w:t>
      </w:r>
      <w:r>
        <w:t xml:space="preserve">ESMA 5 FTEs for</w:t>
      </w:r>
      <w:r>
        <w:t xml:space="preserve"> </w:t>
      </w:r>
      <w:r>
        <w:t xml:space="preserve">the</w:t>
      </w:r>
      <w:r>
        <w:t xml:space="preserve"> </w:t>
      </w:r>
      <w:r>
        <w:t xml:space="preserve">preparatory</w:t>
      </w:r>
      <w:r>
        <w:t xml:space="preserve"> </w:t>
      </w:r>
      <w:r>
        <w:t xml:space="preserve">work for new tasks</w:t>
      </w:r>
      <w:r>
        <w:t xml:space="preserve"> </w:t>
      </w:r>
      <w:r>
        <w:t xml:space="preserve">EUR 1 million</w:t>
      </w:r>
      <w:r>
        <w:t xml:space="preserve"> </w:t>
      </w:r>
      <w:r>
        <w:t xml:space="preserve">When new tasks</w:t>
      </w:r>
      <w:r>
        <w:t xml:space="preserve"> </w:t>
      </w:r>
      <w:r>
        <w:t xml:space="preserve">start:</w:t>
      </w:r>
      <w:r>
        <w:t xml:space="preserve"> </w:t>
      </w:r>
      <w:r>
        <w:t xml:space="preserve">ESMA 10–15 FTEs</w:t>
      </w:r>
      <w:r>
        <w:t xml:space="preserve"> </w:t>
      </w:r>
      <w:r>
        <w:t xml:space="preserve">(oversight of cross-</w:t>
      </w:r>
      <w:r>
        <w:t xml:space="preserve"> </w:t>
      </w:r>
      <w:r>
        <w:t xml:space="preserve">border</w:t>
      </w:r>
      <w:r>
        <w:t xml:space="preserve"> </w:t>
      </w:r>
      <w:r>
        <w:t xml:space="preserve">fund</w:t>
      </w:r>
      <w:r>
        <w:t xml:space="preserve"> </w:t>
      </w:r>
      <w:r>
        <w:t xml:space="preserve">distribution)</w:t>
      </w:r>
      <w:r>
        <w:br/>
      </w:r>
      <w:r>
        <w:t xml:space="preserve">EUR 2 – 3 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When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supervision starts:</w:t>
      </w:r>
      <w:r>
        <w:t xml:space="preserve"> </w:t>
      </w:r>
      <w:r>
        <w:t xml:space="preserve">ESMA</w:t>
      </w:r>
      <w:r>
        <w:t xml:space="preserve"> </w:t>
      </w:r>
      <w:r>
        <w:t xml:space="preserve">65–160</w:t>
      </w:r>
      <w:r>
        <w:t xml:space="preserve"> </w:t>
      </w:r>
      <w:r>
        <w:t xml:space="preserve">extra FTEs (direct</w:t>
      </w:r>
      <w:r>
        <w:t xml:space="preserve"> </w:t>
      </w:r>
      <w:r>
        <w:t xml:space="preserve">supervision CASPs)</w:t>
      </w:r>
      <w:r>
        <w:t xml:space="preserve"> </w:t>
      </w:r>
      <w:r>
        <w:t xml:space="preserve">EUR</w:t>
      </w:r>
      <w:r>
        <w:t xml:space="preserve"> </w:t>
      </w:r>
      <w:r>
        <w:t xml:space="preserve">12</w:t>
      </w:r>
      <w:r>
        <w:t xml:space="preserve"> </w:t>
      </w:r>
      <w:r>
        <w:t xml:space="preserve">–</w:t>
      </w:r>
      <w:r>
        <w:t xml:space="preserve"> </w:t>
      </w:r>
      <w:r>
        <w:t xml:space="preserve">30</w:t>
      </w:r>
      <w:r>
        <w:t xml:space="preserve"> </w:t>
      </w:r>
      <w:r>
        <w:t xml:space="preserve">million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for</w:t>
      </w:r>
      <w:r>
        <w:t xml:space="preserve"> </w:t>
      </w:r>
      <w:r>
        <w:t xml:space="preserve">direct supervision:</w:t>
      </w:r>
      <w:r>
        <w:t xml:space="preserve"> </w:t>
      </w:r>
      <w:r>
        <w:t xml:space="preserve">ESMA 5-10 FTEs</w:t>
      </w:r>
      <w:r>
        <w:t xml:space="preserve"> </w:t>
      </w:r>
      <w:r>
        <w:t xml:space="preserve">for the preparatory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direct</w:t>
      </w:r>
      <w:r>
        <w:t xml:space="preserve"> </w:t>
      </w:r>
      <w:r>
        <w:t xml:space="preserve">supervision EUR 1-</w:t>
      </w:r>
      <w:r>
        <w:t xml:space="preserve"> </w:t>
      </w:r>
      <w:r>
        <w:t xml:space="preserve">2 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ESMA</w:t>
      </w:r>
      <w:r>
        <w:t xml:space="preserve"> </w:t>
      </w:r>
      <w:r>
        <w:t xml:space="preserve">7</w:t>
      </w:r>
      <w:r>
        <w:t xml:space="preserve"> </w:t>
      </w:r>
      <w:r>
        <w:t xml:space="preserve">FTEs</w:t>
      </w:r>
      <w:r>
        <w:t xml:space="preserve"> </w:t>
      </w:r>
      <w:r>
        <w:t xml:space="preserve">(DLT Pilot)</w:t>
      </w:r>
      <w:r>
        <w:br/>
      </w:r>
      <w:r>
        <w:t xml:space="preserve">EUR 1 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ESMA 5-10 extra</w:t>
      </w:r>
      <w:r>
        <w:t xml:space="preserve"> </w:t>
      </w:r>
      <w:r>
        <w:t xml:space="preserve">FTEs (strengthen</w:t>
      </w:r>
      <w:r>
        <w:t xml:space="preserve"> </w:t>
      </w:r>
      <w:r>
        <w:t xml:space="preserve">supervisory</w:t>
      </w:r>
      <w:r>
        <w:t xml:space="preserve"> </w:t>
      </w:r>
      <w:r>
        <w:t xml:space="preserve">convergence across</w:t>
      </w:r>
      <w:r>
        <w:t xml:space="preserve"> </w:t>
      </w:r>
      <w:r>
        <w:t xml:space="preserve">sectors)</w:t>
      </w:r>
      <w:r>
        <w:t xml:space="preserve"> </w:t>
      </w:r>
      <w:r>
        <w:t xml:space="preserve">EUR 1 - 2 million</w:t>
      </w:r>
      <w:r>
        <w:t xml:space="preserve"> </w:t>
      </w:r>
      <w:r>
        <w:t xml:space="preserve">This will not create</w:t>
      </w:r>
      <w:r>
        <w:t xml:space="preserve"> </w:t>
      </w:r>
      <w:r>
        <w:t xml:space="preserve">additional expenses</w:t>
      </w:r>
      <w:r>
        <w:t xml:space="preserve"> </w:t>
      </w:r>
      <w:r>
        <w:t xml:space="preserve">because it will be</w:t>
      </w:r>
      <w:r>
        <w:t xml:space="preserve"> </w:t>
      </w:r>
      <w:r>
        <w:t xml:space="preserve">accomplished</w:t>
      </w:r>
      <w:r>
        <w:t xml:space="preserve"> </w:t>
      </w:r>
      <w:r>
        <w:t xml:space="preserve">by</w:t>
      </w:r>
      <w:r>
        <w:t xml:space="preserve"> </w:t>
      </w:r>
      <w:r>
        <w:t xml:space="preserve">reassigning existing</w:t>
      </w:r>
      <w:r>
        <w:t xml:space="preserve"> </w:t>
      </w:r>
      <w:r>
        <w:t xml:space="preserve">FTEs to new tasks.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ESMA</w:t>
      </w:r>
      <w:r>
        <w:t xml:space="preserve"> </w:t>
      </w:r>
      <w:r>
        <w:t xml:space="preserve">Executive</w:t>
      </w:r>
      <w:r>
        <w:t xml:space="preserve"> </w:t>
      </w:r>
      <w:r>
        <w:t xml:space="preserve">Board and related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II. Overview of costs – Preferred option</w:t>
      </w:r>
      <w:r>
        <w:br/>
      </w:r>
      <w:r>
        <w:t xml:space="preserve">overhead (no</w:t>
      </w:r>
      <w:r>
        <w:t xml:space="preserve"> </w:t>
      </w:r>
      <w:r>
        <w:t xml:space="preserve">estimate available)</w:t>
      </w:r>
    </w:p>
    <w:p>
      <w:pPr>
        <w:pStyle w:val="Compact"/>
        <w:numPr>
          <w:ilvl w:val="0"/>
          <w:numId w:val="1021"/>
        </w:numPr>
      </w:pPr>
      <w:r>
        <w:t xml:space="preserve">Upper-bound estimate reflects costs of complete revision of rulebooks, including costs related to</w:t>
      </w:r>
      <w:r>
        <w:t xml:space="preserve"> </w:t>
      </w:r>
      <w:r>
        <w:t xml:space="preserve">project management, legal drafting, IT adjustments, and staff re-training.</w:t>
      </w:r>
    </w:p>
    <w:p>
      <w:pPr>
        <w:pStyle w:val="Compact"/>
        <w:numPr>
          <w:ilvl w:val="0"/>
          <w:numId w:val="1021"/>
        </w:numPr>
      </w:pPr>
      <w:r>
        <w:t xml:space="preserve">Harmonisation of MiFID/MiFIR rules and legal recognition of intra-group operations</w:t>
      </w:r>
    </w:p>
    <w:p>
      <w:pPr>
        <w:pStyle w:val="Compact"/>
        <w:numPr>
          <w:ilvl w:val="0"/>
          <w:numId w:val="1021"/>
        </w:numPr>
      </w:pPr>
      <w:r>
        <w:t xml:space="preserve">Scope of participants &amp; eligible securities, and designation practices for EU systems. Amount will</w:t>
      </w:r>
      <w:r>
        <w:t xml:space="preserve"> </w:t>
      </w:r>
      <w:r>
        <w:t xml:space="preserve">depend on respective MS laws and extent of changes needed.</w:t>
      </w:r>
    </w:p>
    <w:p>
      <w:pPr>
        <w:pStyle w:val="Compact"/>
        <w:numPr>
          <w:ilvl w:val="0"/>
          <w:numId w:val="1021"/>
        </w:numPr>
      </w:pPr>
      <w:r>
        <w:t xml:space="preserve">Conflict of law rule, participation of EU entities in third-country systems, scope of participants &amp;</w:t>
      </w:r>
      <w:r>
        <w:t xml:space="preserve"> </w:t>
      </w:r>
      <w:r>
        <w:t xml:space="preserve">eligible securities, designation practices for EU systems, settlement finality moments</w:t>
      </w:r>
    </w:p>
    <w:p>
      <w:pPr>
        <w:pStyle w:val="Compact"/>
        <w:numPr>
          <w:ilvl w:val="0"/>
          <w:numId w:val="1021"/>
        </w:numPr>
      </w:pPr>
      <w:r>
        <w:t xml:space="preserve">These costs could also be covered by fees to be paid by the regulated entities to ESMA. The centralised</w:t>
      </w:r>
      <w:r>
        <w:t xml:space="preserve"> </w:t>
      </w:r>
      <w:r>
        <w:t xml:space="preserve">notification system would be expected to be accompanied by a reduction (and possible removal) of fees</w:t>
      </w:r>
      <w:r>
        <w:t xml:space="preserve"> </w:t>
      </w:r>
      <w:r>
        <w:t xml:space="preserve">currently charged at national level for passporting of funds (in addition to the cost reductions stemming</w:t>
      </w:r>
      <w:r>
        <w:t xml:space="preserve"> </w:t>
      </w:r>
      <w:r>
        <w:t xml:space="preserve">from the removal of barriers), ultimately delivering net efficiencies.</w:t>
      </w:r>
    </w:p>
    <w:p>
      <w:pPr>
        <w:pStyle w:val="Compact"/>
        <w:numPr>
          <w:ilvl w:val="0"/>
          <w:numId w:val="1021"/>
        </w:numPr>
      </w:pPr>
      <w:r>
        <w:t xml:space="preserve">Ongoing cost for direct supervision (in the asset management sector: improved supervisory</w:t>
      </w:r>
      <w:r>
        <w:t xml:space="preserve"> </w:t>
      </w:r>
      <w:r>
        <w:t xml:space="preserve">convergence) would be covered by supervisory fees levied on entities directly supervised (in the asset</w:t>
      </w:r>
      <w:r>
        <w:t xml:space="preserve"> </w:t>
      </w:r>
      <w:r>
        <w:t xml:space="preserve">management sector: entities subject to improved supervisory convergence) by ESMA</w:t>
      </w:r>
    </w:p>
    <w:p>
      <w:pPr>
        <w:pStyle w:val="Compact"/>
        <w:numPr>
          <w:ilvl w:val="0"/>
          <w:numId w:val="1021"/>
        </w:numPr>
      </w:pPr>
      <w:r>
        <w:t xml:space="preserve">The precise cost figures for ESMA are based on estimates of FTEs needed and using an average costs</w:t>
      </w:r>
      <w:r>
        <w:t xml:space="preserve"> </w:t>
      </w:r>
      <w:r>
        <w:t xml:space="preserve">per FTE of EUR 186 000.174</w:t>
      </w:r>
    </w:p>
    <w:p>
      <w:pPr>
        <w:pStyle w:val="FirstParagraph"/>
      </w:pPr>
      <w:r>
        <w:t xml:space="preserve">Depending on the details of targeted legal changes (e.g. MiFID/R harmonisation, SFD) and respective</w:t>
      </w:r>
      <w:r>
        <w:t xml:space="preserve"> </w:t>
      </w:r>
      <w:r>
        <w:t xml:space="preserve">legal approach in Member States there can be small administrative costs that arise. The main costs items</w:t>
      </w:r>
      <w:r>
        <w:t xml:space="preserve"> </w:t>
      </w:r>
      <w:r>
        <w:t xml:space="preserve">are the costs of adjusting to the system and are thus not captured as an administrative cost</w:t>
      </w:r>
      <w:r>
        <w:br/>
      </w:r>
      <w:r>
        <w:t xml:space="preserve">in the one-in-one-out table below. Overall, the proposed changes will reduce administrative costs,</w:t>
      </w:r>
      <w:r>
        <w:t xml:space="preserve"> </w:t>
      </w:r>
      <w:r>
        <w:t xml:space="preserve">especially in relation to cross-border activities (e.g. streamlined notifications for passporting, harmonised</w:t>
      </w:r>
      <w:r>
        <w:t xml:space="preserve"> </w:t>
      </w:r>
      <w:r>
        <w:t xml:space="preserve">marketing requirements, avoiding duplicative reporting). There are no administrative costs that will be</w:t>
      </w:r>
      <w:r>
        <w:t xml:space="preserve"> </w:t>
      </w:r>
      <w:r>
        <w:t xml:space="preserve">carried by citizens.</w:t>
      </w:r>
    </w:p>
    <w:p>
      <w:pPr>
        <w:pStyle w:val="Compact"/>
        <w:numPr>
          <w:ilvl w:val="0"/>
          <w:numId w:val="1022"/>
        </w:numPr>
      </w:pPr>
      <w:r>
        <w:t xml:space="preserve">Application of the ‘one in, one out’ approach – Preferred option(s)</w:t>
      </w:r>
    </w:p>
    <w:p>
      <w:pPr>
        <w:pStyle w:val="FirstParagraph"/>
      </w:pP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  <w:r>
        <w:t xml:space="preserve"> </w:t>
      </w: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Administrative costs to adapt</w:t>
      </w:r>
      <w:r>
        <w:t xml:space="preserve"> </w:t>
      </w:r>
      <w:r>
        <w:t xml:space="preserve">to legal changes and redirect</w:t>
      </w:r>
      <w:r>
        <w:t xml:space="preserve"> </w:t>
      </w:r>
      <w:r>
        <w:t xml:space="preserve">reporting flows to ESMA - not</w:t>
      </w:r>
      <w:r>
        <w:t xml:space="preserve"> </w:t>
      </w:r>
      <w:r>
        <w:t xml:space="preserve">quantified but expected to be</w:t>
      </w:r>
      <w:r>
        <w:t xml:space="preserve"> </w:t>
      </w:r>
      <w:r>
        <w:t xml:space="preserve">small</w:t>
      </w:r>
      <w:r>
        <w:t xml:space="preserve"> </w:t>
      </w:r>
      <w:r>
        <w:t xml:space="preserve">N/A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174 The rate of 186k per FTE is based on the 2025 standard rates of the Commission for staff expenses adjusted</w:t>
      </w:r>
      <w:r>
        <w:t xml:space="preserve"> </w:t>
      </w:r>
      <w:r>
        <w:t xml:space="preserve">for inflation of 2% as at 2028, and builds on the current mix at ESMA between temporary agents, contractual</w:t>
      </w:r>
      <w:r>
        <w:t xml:space="preserve"> </w:t>
      </w:r>
      <w:r>
        <w:t xml:space="preserve">agents, and seconded national experts. The rates cover salaries, employer social contribution, office</w:t>
      </w:r>
      <w:r>
        <w:t xml:space="preserve"> </w:t>
      </w:r>
      <w:r>
        <w:t xml:space="preserve">accommodation, IT basic support, etc.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III. Application of the ‘one in, one out’ approach – Preferred option(s)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  <w:r>
        <w:t xml:space="preserve"> </w:t>
      </w:r>
      <w:r>
        <w:t xml:space="preserve">Total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N/A</w:t>
      </w:r>
      <w:r>
        <w:t xml:space="preserve"> </w:t>
      </w:r>
      <w:r>
        <w:t xml:space="preserve">EUR</w:t>
      </w:r>
      <w:r>
        <w:t xml:space="preserve"> </w:t>
      </w:r>
      <w:r>
        <w:t xml:space="preserve">47</w:t>
      </w:r>
      <w:r>
        <w:t xml:space="preserve"> </w:t>
      </w:r>
      <w:r>
        <w:t xml:space="preserve">–</w:t>
      </w:r>
      <w:r>
        <w:t xml:space="preserve"> </w:t>
      </w:r>
      <w:r>
        <w:t xml:space="preserve">120</w:t>
      </w:r>
      <w:r>
        <w:t xml:space="preserve"> </w:t>
      </w:r>
      <w:r>
        <w:t xml:space="preserve">million per year for all</w:t>
      </w:r>
      <w:r>
        <w:t xml:space="preserve"> </w:t>
      </w:r>
      <w:r>
        <w:t xml:space="preserve">current trading</w:t>
      </w:r>
      <w:r>
        <w:t xml:space="preserve"> </w:t>
      </w:r>
      <w:r>
        <w:t xml:space="preserve">venues that</w:t>
      </w:r>
      <w:r>
        <w:t xml:space="preserve"> </w:t>
      </w:r>
      <w:r>
        <w:t xml:space="preserve">belong to a group175 (this includes</w:t>
      </w:r>
      <w:r>
        <w:t xml:space="preserve"> </w:t>
      </w:r>
      <w:r>
        <w:t xml:space="preserve">intra-group</w:t>
      </w:r>
      <w:r>
        <w:t xml:space="preserve"> </w:t>
      </w:r>
      <w:r>
        <w:t xml:space="preserve">rationalisation</w:t>
      </w:r>
      <w:r>
        <w:t xml:space="preserve"> </w:t>
      </w:r>
      <w:r>
        <w:t xml:space="preserve">EUR 435,500</w:t>
      </w:r>
      <w:r>
        <w:t xml:space="preserve"> </w:t>
      </w:r>
      <w:r>
        <w:t xml:space="preserve">-</w:t>
      </w:r>
      <w:r>
        <w:t xml:space="preserve"> </w:t>
      </w:r>
      <w:r>
        <w:t xml:space="preserve">585,500 per</w:t>
      </w:r>
      <w:r>
        <w:t xml:space="preserve"> </w:t>
      </w:r>
      <w:r>
        <w:t xml:space="preserve">group per year and supervision</w:t>
      </w:r>
      <w:r>
        <w:t xml:space="preserve"> </w:t>
      </w:r>
      <w:r>
        <w:t xml:space="preserve">EUR 0.5 to 5 million per year per</w:t>
      </w:r>
      <w:r>
        <w:t xml:space="preserve"> </w:t>
      </w:r>
      <w:r>
        <w:t xml:space="preserve">cross-border group)</w:t>
      </w:r>
    </w:p>
    <w:p>
      <w:pPr>
        <w:pStyle w:val="BodyText"/>
      </w:pPr>
      <w:r>
        <w:t xml:space="preserve">Significant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20,000 – 60,000 per registration</w:t>
      </w:r>
      <w:r>
        <w:t xml:space="preserve"> </w:t>
      </w:r>
      <w:r>
        <w:t xml:space="preserve">of UCITS fund in another Member</w:t>
      </w:r>
      <w:r>
        <w:t xml:space="preserve"> </w:t>
      </w:r>
      <w:r>
        <w:t xml:space="preserve">State176 and of EUR 400,000 (on-</w:t>
      </w:r>
      <w:r>
        <w:t xml:space="preserve"> </w:t>
      </w:r>
      <w:r>
        <w:t xml:space="preserve">going costs) per cross-border fund</w:t>
      </w:r>
      <w:r>
        <w:t xml:space="preserve"> </w:t>
      </w:r>
      <w:r>
        <w:t xml:space="preserve">per year</w:t>
      </w:r>
      <w:r>
        <w:br/>
      </w:r>
      <w:r>
        <w:t xml:space="preserve">-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</w:p>
    <w:p>
      <w:pPr>
        <w:pStyle w:val="Compact"/>
        <w:numPr>
          <w:ilvl w:val="0"/>
          <w:numId w:val="1023"/>
        </w:numPr>
      </w:pPr>
      <w:r>
        <w:t xml:space="preserve">Adjustment costs**</w:t>
      </w:r>
    </w:p>
    <w:p>
      <w:pPr>
        <w:pStyle w:val="Compact"/>
        <w:numPr>
          <w:ilvl w:val="0"/>
          <w:numId w:val="1023"/>
        </w:numPr>
      </w:pPr>
      <w:r>
        <w:t xml:space="preserve">N/A</w:t>
      </w:r>
      <w:r>
        <w:t xml:space="preserve"> </w:t>
      </w: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burdens***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</w:p>
    <w:p>
      <w:pPr>
        <w:pStyle w:val="BodyText"/>
      </w:pPr>
      <w:r>
        <w:t xml:space="preserve">175 These are mostly administrative costs that relate to duplicative functions across Member States where trading</w:t>
      </w:r>
      <w:r>
        <w:t xml:space="preserve"> </w:t>
      </w:r>
      <w:r>
        <w:t xml:space="preserve">venues are operated and diverging practices across NCAs.</w:t>
      </w:r>
      <w:r>
        <w:t xml:space="preserve"> </w:t>
      </w:r>
      <w:r>
        <w:t xml:space="preserve">176 Most costs related to cross-border registrations classify as administrative costs. Savings are recurrent but</w:t>
      </w:r>
      <w:r>
        <w:t xml:space="preserve"> </w:t>
      </w:r>
      <w:r>
        <w:t xml:space="preserve">depend on the number of funds registered.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3. 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8 – Decent work</w:t>
      </w:r>
      <w:r>
        <w:t xml:space="preserve"> </w:t>
      </w:r>
      <w:r>
        <w:t xml:space="preserve">and economic growth</w:t>
      </w:r>
      <w:r>
        <w:t xml:space="preserve"> </w:t>
      </w:r>
      <w:r>
        <w:t xml:space="preserve">Positive impact on GDP (see Annex 4 for more</w:t>
      </w:r>
      <w:r>
        <w:t xml:space="preserve"> </w:t>
      </w:r>
      <w:r>
        <w:t xml:space="preserve">details)</w:t>
      </w:r>
      <w:r>
        <w:t xml:space="preserve"> </w:t>
      </w:r>
      <w:r>
        <w:t xml:space="preserve">The initiative should help to promote</w:t>
      </w:r>
      <w:r>
        <w:t xml:space="preserve"> </w:t>
      </w:r>
      <w:r>
        <w:t xml:space="preserve">economic growth in support of SDG 8.</w:t>
      </w:r>
      <w:r>
        <w:br/>
      </w:r>
      <w:r>
        <w:t xml:space="preserve">SDG</w:t>
      </w:r>
      <w:r>
        <w:t xml:space="preserve"> </w:t>
      </w:r>
      <w:r>
        <w:t xml:space="preserve">no</w:t>
      </w:r>
      <w:r>
        <w:t xml:space="preserve"> </w:t>
      </w:r>
      <w:r>
        <w:t xml:space="preserve">9</w:t>
      </w:r>
      <w:r>
        <w:t xml:space="preserve"> </w:t>
      </w:r>
      <w:r>
        <w:t xml:space="preserve">-</w:t>
      </w:r>
      <w:r>
        <w:t xml:space="preserve"> </w:t>
      </w:r>
      <w:r>
        <w:t xml:space="preserve">resilient</w:t>
      </w:r>
      <w:r>
        <w:t xml:space="preserve"> </w:t>
      </w:r>
      <w:r>
        <w:t xml:space="preserve">infrastructure, inclusive and</w:t>
      </w:r>
      <w:r>
        <w:t xml:space="preserve"> </w:t>
      </w:r>
      <w:r>
        <w:t xml:space="preserve">sustainable industrialization,</w:t>
      </w:r>
      <w:r>
        <w:t xml:space="preserve"> </w:t>
      </w:r>
      <w:r>
        <w:t xml:space="preserve">foster innovation</w:t>
      </w:r>
      <w:r>
        <w:t xml:space="preserve"> </w:t>
      </w:r>
      <w:r>
        <w:t xml:space="preserve">Positive impact on financing conditions</w:t>
      </w:r>
      <w:r>
        <w:br/>
      </w:r>
      <w:r>
        <w:t xml:space="preserve">The initiative should increase efficiencies in</w:t>
      </w:r>
      <w:r>
        <w:t xml:space="preserve"> </w:t>
      </w:r>
      <w:r>
        <w:t xml:space="preserve">the capital market sector. This should</w:t>
      </w:r>
      <w:r>
        <w:t xml:space="preserve"> </w:t>
      </w:r>
      <w:r>
        <w:t xml:space="preserve">improve financing conditions and, in turn,</w:t>
      </w:r>
      <w:r>
        <w:t xml:space="preserve"> </w:t>
      </w:r>
      <w:r>
        <w:t xml:space="preserve">help in promoting investments, supporting</w:t>
      </w:r>
      <w:r>
        <w:t xml:space="preserve"> </w:t>
      </w:r>
      <w:r>
        <w:t xml:space="preserve">SDG 9.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A range of analytical methods were considered for this impact assessment after a careful</w:t>
      </w:r>
      <w:r>
        <w:t xml:space="preserve"> </w:t>
      </w:r>
      <w:r>
        <w:t xml:space="preserve">evaluation of their feasibility and added value. To assess the need for and appropriateness of</w:t>
      </w:r>
      <w:r>
        <w:t xml:space="preserve"> </w:t>
      </w:r>
      <w:r>
        <w:t xml:space="preserve">quantification, we proceeded as follows.</w:t>
      </w:r>
      <w:r>
        <w:br/>
      </w:r>
      <w:r>
        <w:t xml:space="preserve">Firstly, we apply the proportionality principle. According to the Better Regulation guidelines</w:t>
      </w:r>
      <w:r>
        <w:t xml:space="preserve"> </w:t>
      </w:r>
      <w:r>
        <w:t xml:space="preserve">and toolbox, the scope and depth of the analysis should be proportionate</w:t>
      </w:r>
      <w:r>
        <w:br/>
      </w:r>
      <w:r>
        <w:t xml:space="preserve">and consistent with the importance and type of initiative, as well as with the nature</w:t>
      </w:r>
      <w:r>
        <w:br/>
      </w:r>
      <w:r>
        <w:t xml:space="preserve">and magnitude of the expected impacts. The effort invested in data collection, the depth</w:t>
      </w:r>
      <w:r>
        <w:br/>
      </w:r>
      <w:r>
        <w:t xml:space="preserve">of analysis, the extent of quantification and thereby choice of analytical method(s) should</w:t>
      </w:r>
      <w:r>
        <w:t xml:space="preserve"> </w:t>
      </w:r>
      <w:r>
        <w:t xml:space="preserve">correspond to the likely magnitude of impacts (Better Regulation Toolbox 2023, Chapter 8).</w:t>
      </w:r>
      <w:r>
        <w:t xml:space="preserve"> </w:t>
      </w:r>
      <w:r>
        <w:t xml:space="preserve">In addition, highly accurate quantification of costs and benefits is less important</w:t>
      </w:r>
      <w:r>
        <w:br/>
      </w:r>
      <w:r>
        <w:t xml:space="preserve">in cases where less granular estimates show that benefits significantly outweigh costs</w:t>
      </w:r>
      <w:r>
        <w:br/>
      </w:r>
      <w:r>
        <w:t xml:space="preserve">(or vice versa). In these instances, more accurate estimates will not alter the decision</w:t>
      </w:r>
      <w:r>
        <w:br/>
      </w:r>
      <w:r>
        <w:t xml:space="preserve">to go ahead with the initiative; such quantification is thus less informative for the overall</w:t>
      </w:r>
      <w:r>
        <w:t xml:space="preserve"> </w:t>
      </w:r>
      <w:r>
        <w:t xml:space="preserve">decision.</w:t>
      </w:r>
      <w:r>
        <w:br/>
      </w:r>
      <w:r>
        <w:t xml:space="preserve">Secondly, we rely on the availability of data and evidence to perform a robust quantitative</w:t>
      </w:r>
      <w:r>
        <w:t xml:space="preserve"> </w:t>
      </w:r>
      <w:r>
        <w:t xml:space="preserve">analysis in those areas where it would be proportionate to perform such an analysis. While,</w:t>
      </w:r>
      <w:r>
        <w:t xml:space="preserve"> </w:t>
      </w:r>
      <w:r>
        <w:t xml:space="preserve">on theoretical grounds, a quantitative analysis would be the preferred approach for evaluating</w:t>
      </w:r>
      <w:r>
        <w:t xml:space="preserve"> </w:t>
      </w:r>
      <w:r>
        <w:t xml:space="preserve">the impact of the initiative, as it would provide a more precise and objective measurement of</w:t>
      </w:r>
      <w:r>
        <w:t xml:space="preserve"> </w:t>
      </w:r>
      <w:r>
        <w:t xml:space="preserve">the effects, in practice such quantification is often not feasible or desirable due to a lack of data</w:t>
      </w:r>
      <w:r>
        <w:t xml:space="preserve"> </w:t>
      </w:r>
      <w:r>
        <w:t xml:space="preserve">or limited, incomplete or inconsistent data inputs which would lead to flawed estimates and</w:t>
      </w:r>
      <w:r>
        <w:t xml:space="preserve"> </w:t>
      </w:r>
      <w:r>
        <w:t xml:space="preserve">unreliable results. This impact assessment faces significant data gaps —with no or only limited</w:t>
      </w:r>
      <w:r>
        <w:t xml:space="preserve"> </w:t>
      </w:r>
      <w:r>
        <w:t xml:space="preserve">data being available— including for example on the costs and pricing of the services provided.</w:t>
      </w:r>
      <w:r>
        <w:t xml:space="preserve"> </w:t>
      </w:r>
      <w:r>
        <w:t xml:space="preserve">This information was also not available from stakeholders who often are reluctant to reveal</w:t>
      </w:r>
      <w:r>
        <w:t xml:space="preserve"> </w:t>
      </w:r>
      <w:r>
        <w:t xml:space="preserve">their cost structures or estimates of costs.</w:t>
      </w:r>
      <w:r>
        <w:t xml:space="preserve"> </w:t>
      </w:r>
      <w:r>
        <w:t xml:space="preserve">Thirdly, quantitative analysis needs to allow establishing a causal relationship between policy</w:t>
      </w:r>
      <w:r>
        <w:t xml:space="preserve"> </w:t>
      </w:r>
      <w:r>
        <w:t xml:space="preserve">measures and impacts. The accurate and reliable establishment of such a relationship is</w:t>
      </w:r>
      <w:r>
        <w:t xml:space="preserve"> </w:t>
      </w:r>
      <w:r>
        <w:t xml:space="preserve">hampered by difficulties in isolating the effect of policy measures, due to the complexity and</w:t>
      </w:r>
      <w:r>
        <w:t xml:space="preserve"> </w:t>
      </w:r>
      <w:r>
        <w:t xml:space="preserve">possible instability of causal relationships, limited data and sample size, heterogenous effects,</w:t>
      </w:r>
      <w:r>
        <w:t xml:space="preserve"> </w:t>
      </w:r>
      <w:r>
        <w:t xml:space="preserve">out-of-scope factors that are in flux, and other contextual factors. Quantitative analysis relies</w:t>
      </w:r>
      <w:r>
        <w:t xml:space="preserve"> </w:t>
      </w:r>
      <w:r>
        <w:t xml:space="preserve">on simplifying assumptions that may not capture the intricacies of the causal relationships. In</w:t>
      </w:r>
      <w:r>
        <w:t xml:space="preserve"> </w:t>
      </w:r>
      <w:r>
        <w:t xml:space="preserve">addition, data issues may result in a lack of statistics. While there is a significant body of</w:t>
      </w:r>
      <w:r>
        <w:t xml:space="preserve"> </w:t>
      </w:r>
      <w:r>
        <w:t xml:space="preserve">literature to establish the problems and consequences of fragmentation in capital markets, and</w:t>
      </w:r>
      <w:r>
        <w:t xml:space="preserve"> </w:t>
      </w:r>
      <w:r>
        <w:t xml:space="preserve">to confirm the importance of legal barriers, it was not possible to quantify and isolate the</w:t>
      </w:r>
      <w:r>
        <w:t xml:space="preserve"> </w:t>
      </w:r>
      <w:r>
        <w:t xml:space="preserve">specific impacts that this initiative would bring and to model the relevant causal relationships,</w:t>
      </w:r>
      <w:r>
        <w:t xml:space="preserve"> </w:t>
      </w:r>
      <w:r>
        <w:t xml:space="preserve">from the underlying barriers or specific policy measures through to the expected market</w:t>
      </w:r>
      <w:r>
        <w:t xml:space="preserve"> </w:t>
      </w:r>
      <w:r>
        <w:t xml:space="preserve">outcomes (e.g. in terms of costs, prices and quantities).</w:t>
      </w:r>
      <w:r>
        <w:br/>
      </w:r>
      <w:r>
        <w:t xml:space="preserve">In those cases where a quantitative analysis would not be justified or desirable,</w:t>
      </w:r>
      <w:r>
        <w:br/>
      </w:r>
      <w:r>
        <w:t xml:space="preserve">based on the above grounds (not proportionate or not a viable option due to methodological or</w:t>
      </w:r>
      <w:r>
        <w:t xml:space="preserve"> </w:t>
      </w:r>
      <w:r>
        <w:t xml:space="preserve">other limitations), we perform a qualitative analysis or mixed-methods approach, based on the</w:t>
      </w:r>
      <w:r>
        <w:t xml:space="preserve"> </w:t>
      </w:r>
      <w:r>
        <w:t xml:space="preserve">existing literature and stakeholder feedback to provide a contextual understanding of the</w:t>
      </w:r>
      <w:r>
        <w:t xml:space="preserve"> </w:t>
      </w:r>
      <w:r>
        <w:t xml:space="preserve">initiative’s impact.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1. OVERVIEW OF EMPLOYED ANALYTICAL METHODS</w:t>
      </w:r>
      <w:r>
        <w:br/>
      </w:r>
      <w:r>
        <w:t xml:space="preserve">1.1. ENGAGEMENT WITH STAKEHOLDERS: CONSULTATION AND TARGETED INTERVIEWS</w:t>
      </w:r>
      <w:r>
        <w:t xml:space="preserve"> </w:t>
      </w:r>
      <w:r>
        <w:t xml:space="preserve">To ensure that stakeholders’ perspectives inform the impact assessment and decision-making,</w:t>
      </w:r>
      <w:r>
        <w:t xml:space="preserve"> </w:t>
      </w:r>
      <w:r>
        <w:t xml:space="preserve">the Commission organised a stakeholder consultation and conducted targeted interviews with</w:t>
      </w:r>
      <w:r>
        <w:t xml:space="preserve"> </w:t>
      </w:r>
      <w:r>
        <w:t xml:space="preserve">stakeholders (see Annex 2).</w:t>
      </w:r>
      <w:r>
        <w:br/>
      </w:r>
      <w:r>
        <w:t xml:space="preserve">The stakeholder consultation allowed us to engage with a broad range of stakeholders.</w:t>
      </w:r>
      <w:r>
        <w:br/>
      </w:r>
      <w:r>
        <w:t xml:space="preserve">An open consultation aims at being inclusive and ensuring the representativeness</w:t>
      </w:r>
      <w:r>
        <w:br/>
      </w:r>
      <w:r>
        <w:t xml:space="preserve">of different stakeholders. The responses to the consultation provided insight into the average</w:t>
      </w:r>
      <w:r>
        <w:t xml:space="preserve"> </w:t>
      </w:r>
      <w:r>
        <w:t xml:space="preserve">opinion of each stakeholder group concerned and the level of consensus within each</w:t>
      </w:r>
      <w:r>
        <w:t xml:space="preserve"> </w:t>
      </w:r>
      <w:r>
        <w:t xml:space="preserve">stakeholder group.</w:t>
      </w:r>
      <w:r>
        <w:br/>
      </w:r>
      <w:r>
        <w:t xml:space="preserve">The targeted interviews were both included in the external market studies performed</w:t>
      </w:r>
      <w:r>
        <w:br/>
      </w:r>
      <w:r>
        <w:t xml:space="preserve">in view of this IA (see below), and separately for gaining a more comprehensive understanding</w:t>
      </w:r>
      <w:r>
        <w:t xml:space="preserve"> </w:t>
      </w:r>
      <w:r>
        <w:t xml:space="preserve">of barriers and to engage on existing data gaps, notably on cost and benefit quantification.</w:t>
      </w:r>
      <w:r>
        <w:t xml:space="preserve"> </w:t>
      </w:r>
      <w:r>
        <w:t xml:space="preserve">1.2. MARKET STUDIES ON MARKET DEVELOPMENTS AND INTEGRATION IN TRADING,</w:t>
      </w:r>
      <w:r>
        <w:t xml:space="preserve"> </w:t>
      </w:r>
      <w:r>
        <w:t xml:space="preserve">POST-TRADING AND ASSET MANAGEMENT</w:t>
      </w:r>
      <w:r>
        <w:t xml:space="preserve"> </w:t>
      </w:r>
      <w:r>
        <w:t xml:space="preserve">Two external studies were commissioned by the European Commission in preparation</w:t>
      </w:r>
      <w:r>
        <w:br/>
      </w:r>
      <w:r>
        <w:t xml:space="preserve">of this initiative to attain information on market developments, fragmentation and barriers to</w:t>
      </w:r>
      <w:r>
        <w:t xml:space="preserve"> </w:t>
      </w:r>
      <w:r>
        <w:t xml:space="preserve">scaling-up. Findings are reported in the Study of barriers to, and drivers of, the scaling-up of</w:t>
      </w:r>
      <w:r>
        <w:t xml:space="preserve"> </w:t>
      </w:r>
      <w:r>
        <w:t xml:space="preserve">funds</w:t>
      </w:r>
      <w:r>
        <w:t xml:space="preserve"> </w:t>
      </w:r>
      <w:r>
        <w:t xml:space="preserve">investing</w:t>
      </w:r>
      <w:r>
        <w:t xml:space="preserve"> </w:t>
      </w:r>
      <w:r>
        <w:t xml:space="preserve">in</w:t>
      </w:r>
      <w:r>
        <w:t xml:space="preserve"> </w:t>
      </w:r>
      <w:r>
        <w:t xml:space="preserve">innovative</w:t>
      </w:r>
      <w:r>
        <w:t xml:space="preserve"> </w:t>
      </w:r>
      <w:r>
        <w:t xml:space="preserve">and</w:t>
      </w:r>
      <w:r>
        <w:t xml:space="preserve"> </w:t>
      </w:r>
      <w:r>
        <w:t xml:space="preserve">growth</w:t>
      </w:r>
      <w:r>
        <w:t xml:space="preserve"> </w:t>
      </w:r>
      <w:r>
        <w:t xml:space="preserve">companies</w:t>
      </w:r>
      <w:r>
        <w:t xml:space="preserve"> </w:t>
      </w:r>
      <w:r>
        <w:t xml:space="preserve">(Link)</w:t>
      </w:r>
      <w:r>
        <w:t xml:space="preserve"> </w:t>
      </w:r>
      <w:r>
        <w:t xml:space="preserve">and</w:t>
      </w:r>
      <w:r>
        <w:t xml:space="preserve"> </w:t>
      </w:r>
      <w:r>
        <w:t xml:space="preserve">Study</w:t>
      </w:r>
      <w:r>
        <w:br/>
      </w:r>
      <w:r>
        <w:t xml:space="preserve">on consolidation and reducing fragmentation in trading and post-trading infrastructures in</w:t>
      </w:r>
      <w:r>
        <w:t xml:space="preserve"> </w:t>
      </w:r>
      <w:r>
        <w:t xml:space="preserve">Europe (Link).</w:t>
      </w:r>
      <w:r>
        <w:br/>
      </w:r>
      <w:r>
        <w:t xml:space="preserve">The objective of the first study was to identify barriers to the scaling-up and consolidation in</w:t>
      </w:r>
      <w:r>
        <w:t xml:space="preserve"> </w:t>
      </w:r>
      <w:r>
        <w:t xml:space="preserve">fund management, focusing specifically on growth capital funds (i.e. investment funds that</w:t>
      </w:r>
      <w:r>
        <w:t xml:space="preserve"> </w:t>
      </w:r>
      <w:r>
        <w:t xml:space="preserve">invest in companies that are in their growth phase, such as start-ups, scale ups). Various barriers</w:t>
      </w:r>
      <w:r>
        <w:t xml:space="preserve"> </w:t>
      </w:r>
      <w:r>
        <w:t xml:space="preserve">to scaling up of venture and growth capital were identified, including regulatory/legal, tax and</w:t>
      </w:r>
      <w:r>
        <w:t xml:space="preserve"> </w:t>
      </w:r>
      <w:r>
        <w:t xml:space="preserve">market-driven barriers, impacting fund managers and institutional investors in both domestic</w:t>
      </w:r>
      <w:r>
        <w:t xml:space="preserve"> </w:t>
      </w:r>
      <w:r>
        <w:t xml:space="preserve">and cross-border contexts. The scope of this study covers a part of the investment funds sector,</w:t>
      </w:r>
      <w:r>
        <w:t xml:space="preserve"> </w:t>
      </w:r>
      <w:r>
        <w:t xml:space="preserve">in particular venture capital and private equity funds. Several of barriers identified, such as</w:t>
      </w:r>
      <w:r>
        <w:t xml:space="preserve"> </w:t>
      </w:r>
      <w:r>
        <w:t xml:space="preserve">harmonising marketing rules, reducing duplication of requirements for the authorisation of</w:t>
      </w:r>
      <w:r>
        <w:t xml:space="preserve"> </w:t>
      </w:r>
      <w:r>
        <w:t xml:space="preserve">asset managers, making the passporting regime work more effectively, considered applicable</w:t>
      </w:r>
      <w:r>
        <w:t xml:space="preserve"> </w:t>
      </w:r>
      <w:r>
        <w:t xml:space="preserve">to a broader range of investment funds and are addressed in this package, informed partially by</w:t>
      </w:r>
      <w:r>
        <w:t xml:space="preserve"> </w:t>
      </w:r>
      <w:r>
        <w:t xml:space="preserve">this study and partially by further sources of evidence.</w:t>
      </w:r>
      <w:r>
        <w:br/>
      </w:r>
      <w:r>
        <w:t xml:space="preserve">The objective of the second study was to identify barriers and potential options for the further</w:t>
      </w:r>
      <w:r>
        <w:t xml:space="preserve"> </w:t>
      </w:r>
      <w:r>
        <w:t xml:space="preserve">consolidation and reduced fragmentation of trading and post-trading infrastructure in the EU</w:t>
      </w:r>
      <w:r>
        <w:t xml:space="preserve"> </w:t>
      </w:r>
      <w:r>
        <w:t xml:space="preserve">to create deeper pools of liquidity, produce synergies and related cost efficiencies, and to help</w:t>
      </w:r>
      <w:r>
        <w:t xml:space="preserve"> </w:t>
      </w:r>
      <w:r>
        <w:t xml:space="preserve">lower the cost of financing. This study highlights that the market infrastructure of the EU</w:t>
      </w:r>
      <w:r>
        <w:t xml:space="preserve"> </w:t>
      </w:r>
      <w:r>
        <w:t xml:space="preserve">capital market is inefficient and costly, and its inherent complexity does not support the SIU</w:t>
      </w:r>
      <w:r>
        <w:t xml:space="preserve"> </w:t>
      </w:r>
      <w:r>
        <w:t xml:space="preserve">goals of increasing investors’ and issuers’ participation by growing both the demand for</w:t>
      </w:r>
      <w:r>
        <w:t xml:space="preserve"> </w:t>
      </w:r>
      <w:r>
        <w:t xml:space="preserve">investment products and services and the supply of investment solutions. A transition to a</w:t>
      </w:r>
      <w:r>
        <w:t xml:space="preserve"> </w:t>
      </w:r>
      <w:r>
        <w:t xml:space="preserve">simplified infrastructure based on the principles of resilience, competition, and interoperability</w:t>
      </w:r>
      <w:r>
        <w:t xml:space="preserve"> </w:t>
      </w:r>
      <w:r>
        <w:t xml:space="preserve">is therefore necessary and the measures required have, in large part, been identified historically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in studies beginning with the Giovannini Report in 2001, but progress in implementing them</w:t>
      </w:r>
      <w:r>
        <w:t xml:space="preserve"> </w:t>
      </w:r>
      <w:r>
        <w:t xml:space="preserve">has been slow. The report highlights, at various point, problems or deficiencies in the publicly</w:t>
      </w:r>
      <w:r>
        <w:t xml:space="preserve"> </w:t>
      </w:r>
      <w:r>
        <w:t xml:space="preserve">available data that need to be addressed, confirming also the data limitations that have impeded</w:t>
      </w:r>
      <w:r>
        <w:t xml:space="preserve"> </w:t>
      </w:r>
      <w:r>
        <w:t xml:space="preserve">this impact assessment.</w:t>
      </w:r>
      <w:r>
        <w:br/>
      </w:r>
      <w:r>
        <w:t xml:space="preserve">Relevant insights of these studies have been incorporated into the impact assessment.</w:t>
      </w:r>
      <w:r>
        <w:t xml:space="preserve"> </w:t>
      </w:r>
      <w:r>
        <w:t xml:space="preserve">1.3. DESK RESEARCH</w:t>
      </w:r>
      <w:r>
        <w:t xml:space="preserve"> </w:t>
      </w:r>
      <w:r>
        <w:t xml:space="preserve">The Commission services conducted a literature review and reviewed existing market data to</w:t>
      </w:r>
      <w:r>
        <w:t xml:space="preserve"> </w:t>
      </w:r>
      <w:r>
        <w:t xml:space="preserve">support this impact assessment, in particular to gather evidence on market developments in</w:t>
      </w:r>
      <w:r>
        <w:t xml:space="preserve"> </w:t>
      </w:r>
      <w:r>
        <w:t xml:space="preserve">relevant sectors, identify barriers to market integration, review scale economies and gain</w:t>
      </w:r>
      <w:r>
        <w:t xml:space="preserve"> </w:t>
      </w:r>
      <w:r>
        <w:t xml:space="preserve">insights into market outcomes. This included a review of the relevant academic literature and</w:t>
      </w:r>
      <w:r>
        <w:t xml:space="preserve"> </w:t>
      </w:r>
      <w:r>
        <w:t xml:space="preserve">market reports and publicly available data, including relevant analyses and statistics reported</w:t>
      </w:r>
      <w:r>
        <w:t xml:space="preserve"> </w:t>
      </w:r>
      <w:r>
        <w:t xml:space="preserve">by ESMA. For further sources, see Annex 1.</w:t>
      </w:r>
      <w:r>
        <w:t xml:space="preserve"> </w:t>
      </w:r>
      <w:r>
        <w:t xml:space="preserve">1.4. FURTHER INFORMATION ON COSTS AND BENEFITS ESTIMATES</w:t>
      </w:r>
      <w:r>
        <w:t xml:space="preserve"> </w:t>
      </w:r>
      <w:r>
        <w:t xml:space="preserve">Given data and time constraints, extensive data collection required for more advanced</w:t>
      </w:r>
      <w:r>
        <w:t xml:space="preserve"> </w:t>
      </w:r>
      <w:r>
        <w:t xml:space="preserve">modelling of impacts were not within scope. Furthermore, especially in relation to costs and</w:t>
      </w:r>
      <w:r>
        <w:t xml:space="preserve"> </w:t>
      </w:r>
      <w:r>
        <w:t xml:space="preserve">cost savings, the evidence provided was limited, and it is unclear whether all cost estimates</w:t>
      </w:r>
      <w:r>
        <w:t xml:space="preserve"> </w:t>
      </w:r>
      <w:r>
        <w:t xml:space="preserve">provided are representative of the true costs experienced across affected entities given a low</w:t>
      </w:r>
      <w:r>
        <w:t xml:space="preserve"> </w:t>
      </w:r>
      <w:r>
        <w:t xml:space="preserve">number of industry stakeholders that provided figures.</w:t>
      </w:r>
      <w:r>
        <w:br/>
      </w:r>
      <w:r>
        <w:t xml:space="preserve">The estimates of the overall macro-economic benefits (see Annex 3) were derived based on</w:t>
      </w:r>
      <w:r>
        <w:t xml:space="preserve"> </w:t>
      </w:r>
      <w:r>
        <w:t xml:space="preserve">estimations provided in an external paper which provides an estimate of loss of GDP growth</w:t>
      </w:r>
      <w:r>
        <w:t xml:space="preserve"> </w:t>
      </w:r>
      <w:r>
        <w:t xml:space="preserve">over the past 30 years as a result of market fragmentation.177 Additional two papers were</w:t>
      </w:r>
      <w:r>
        <w:t xml:space="preserve"> </w:t>
      </w:r>
      <w:r>
        <w:t xml:space="preserve">consulted to check whether the results are broadly within the same order</w:t>
      </w:r>
      <w:r>
        <w:br/>
      </w:r>
      <w:r>
        <w:t xml:space="preserve">of magnitude.178,179 In all three papers, the fragmentation issues discussed do not directly</w:t>
      </w:r>
      <w:r>
        <w:t xml:space="preserve"> </w:t>
      </w:r>
      <w:r>
        <w:t xml:space="preserve">overlap with the proposed measures in the preferred option assessed in this report.</w:t>
      </w:r>
      <w:r>
        <w:br/>
      </w:r>
      <w:r>
        <w:t xml:space="preserve">The estimate therefore relies on assumptions concerning the effectiveness of the initiative to</w:t>
      </w:r>
      <w:r>
        <w:t xml:space="preserve"> </w:t>
      </w:r>
      <w:r>
        <w:t xml:space="preserve">address outstanding fragmentation issues. Notably, more sophisticated modelling approaches</w:t>
      </w:r>
      <w:r>
        <w:t xml:space="preserve"> </w:t>
      </w:r>
      <w:r>
        <w:t xml:space="preserve">(not</w:t>
      </w:r>
      <w:r>
        <w:t xml:space="preserve"> </w:t>
      </w:r>
      <w:r>
        <w:t xml:space="preserve">carried</w:t>
      </w:r>
      <w:r>
        <w:t xml:space="preserve"> </w:t>
      </w:r>
      <w:r>
        <w:t xml:space="preserve">out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sufficient</w:t>
      </w:r>
      <w:r>
        <w:t xml:space="preserve"> </w:t>
      </w:r>
      <w:r>
        <w:t xml:space="preserve">data)</w:t>
      </w:r>
      <w:r>
        <w:t xml:space="preserve"> </w:t>
      </w:r>
      <w:r>
        <w:t xml:space="preserve">would</w:t>
      </w:r>
      <w:r>
        <w:t xml:space="preserve"> </w:t>
      </w:r>
      <w:r>
        <w:t xml:space="preserve">equally</w:t>
      </w:r>
      <w:r>
        <w:t xml:space="preserve"> </w:t>
      </w:r>
      <w:r>
        <w:t xml:space="preserve">depend</w:t>
      </w:r>
      <w:r>
        <w:br/>
      </w:r>
      <w:r>
        <w:t xml:space="preserve">on similar estimates given that (i) there are limited past cases which could be used</w:t>
      </w:r>
      <w:r>
        <w:br/>
      </w:r>
      <w:r>
        <w:t xml:space="preserve">to determine the strength of different, individual barriers (ii) accurately disentangling barriers</w:t>
      </w:r>
      <w:r>
        <w:t xml:space="preserve"> </w:t>
      </w:r>
      <w:r>
        <w:t xml:space="preserve">would require confidential and thus non-available micro-data (e.g. cost-function data of</w:t>
      </w:r>
      <w:r>
        <w:t xml:space="preserve"> </w:t>
      </w:r>
      <w:r>
        <w:t xml:space="preserve">providers), and (iii) there will always be remaining uncertainty as to the practical effect of</w:t>
      </w:r>
      <w:r>
        <w:t xml:space="preserve"> </w:t>
      </w:r>
      <w:r>
        <w:t xml:space="preserve">every regulatory change (including some non-rational / behavioural effects that cannot be</w:t>
      </w:r>
      <w:r>
        <w:t xml:space="preserve"> </w:t>
      </w:r>
      <w:r>
        <w:t xml:space="preserve">accurately modelled). In effect, while modelling approaches may be more effective and should</w:t>
      </w:r>
      <w:r>
        <w:t xml:space="preserve"> </w:t>
      </w:r>
      <w:r>
        <w:t xml:space="preserve">give better estimates in theory (provided sufficient data were available), they would face</w:t>
      </w:r>
      <w:r>
        <w:t xml:space="preserve"> </w:t>
      </w:r>
      <w:r>
        <w:t xml:space="preserve">similar shortcomings here. Therefore, the main disadvantage of the chosen approach is not the</w:t>
      </w:r>
    </w:p>
    <w:p>
      <w:pPr>
        <w:pStyle w:val="BodyText"/>
      </w:pPr>
      <w:r>
        <w:t xml:space="preserve">177 ‘Capital Market Fragmentation and Economic Value Migration How Europe’s Financial System Promotes</w:t>
      </w:r>
      <w:r>
        <w:t xml:space="preserve"> </w:t>
      </w:r>
      <w:r>
        <w:t xml:space="preserve">Wealth Transfer to the U.S’; Holste, Bjoern and Bergström, Mattias - April 03, 2025 - Link</w:t>
      </w:r>
      <w:r>
        <w:t xml:space="preserve"> </w:t>
      </w:r>
      <w:r>
        <w:t xml:space="preserve">178 ‘Lifting Binding Constraints on Growth in Europe: Actionable Priorities to Deepen the Single Market’,</w:t>
      </w:r>
      <w:r>
        <w:br/>
      </w:r>
      <w:r>
        <w:t xml:space="preserve">Nathaniel Arnold, Allan Dizioli, Alexandra Fotiou, Jan Frie, Burcu Hacibedel, Tara Iyer, Huidan Lin, Malhar</w:t>
      </w:r>
      <w:r>
        <w:t xml:space="preserve"> </w:t>
      </w:r>
      <w:r>
        <w:t xml:space="preserve">Nabar, Hui Tong, and Frederik Toscani; June 2025; IMF – Link</w:t>
      </w:r>
      <w:r>
        <w:t xml:space="preserve"> </w:t>
      </w:r>
      <w:r>
        <w:t xml:space="preserve">179 ‘The economic impact of European capital market integration’; F. Venditti, M. Caivano, P. Cova, K. Pallara</w:t>
      </w:r>
      <w:r>
        <w:t xml:space="preserve"> </w:t>
      </w:r>
      <w:r>
        <w:t xml:space="preserve">and M. Pisani, Banca d’Italia Occasional Papers, Edition Number 957 – July 2025 – Link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precision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estimate(s)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but</w:t>
      </w:r>
      <w:r>
        <w:t xml:space="preserve"> </w:t>
      </w:r>
      <w:r>
        <w:t xml:space="preserve">rather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br/>
      </w:r>
      <w:r>
        <w:t xml:space="preserve">of insight as concerns their accuracy, given that errors and confidence intervals are not</w:t>
      </w:r>
      <w:r>
        <w:t xml:space="preserve"> </w:t>
      </w:r>
      <w:r>
        <w:t xml:space="preserve">determined via statistical analysis and thus cannot be further assessed.</w:t>
      </w:r>
      <w:r>
        <w:br/>
      </w:r>
      <w:r>
        <w:t xml:space="preserve">The first paper models the impact on GPD if the EU had similar market integration</w:t>
      </w:r>
      <w:r>
        <w:t xml:space="preserve"> </w:t>
      </w:r>
      <w:r>
        <w:t xml:space="preserve">characteristics to the US. The findings indicate that a well-integrated financial system could</w:t>
      </w:r>
      <w:r>
        <w:t xml:space="preserve"> </w:t>
      </w:r>
      <w:r>
        <w:t xml:space="preserve">have retained trillions in European wealth, resulting in an additional EUR 7.5-8 trillion in GDP</w:t>
      </w:r>
      <w:r>
        <w:t xml:space="preserve"> </w:t>
      </w:r>
      <w:r>
        <w:t xml:space="preserve">over the last 30 years. This uses a World Bank estimate that a 10% increase in stock market</w:t>
      </w:r>
      <w:r>
        <w:t xml:space="preserve"> </w:t>
      </w:r>
      <w:r>
        <w:t xml:space="preserve">capitalisation</w:t>
      </w:r>
      <w:r>
        <w:t xml:space="preserve"> </w:t>
      </w:r>
      <w:r>
        <w:t xml:space="preserve">(relative</w:t>
      </w:r>
      <w:r>
        <w:t xml:space="preserve"> </w:t>
      </w:r>
      <w:r>
        <w:t xml:space="preserve">to</w:t>
      </w:r>
      <w:r>
        <w:t xml:space="preserve"> </w:t>
      </w:r>
      <w:r>
        <w:t xml:space="preserve">GDP)</w:t>
      </w:r>
      <w:r>
        <w:t xml:space="preserve"> </w:t>
      </w:r>
      <w:r>
        <w:t xml:space="preserve">correlates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0.2–0.3%</w:t>
      </w:r>
      <w:r>
        <w:t xml:space="preserve"> </w:t>
      </w:r>
      <w:r>
        <w:t xml:space="preserve">increase</w:t>
      </w:r>
      <w:r>
        <w:br/>
      </w:r>
      <w:r>
        <w:t xml:space="preserve">in annual GDP growth over the long run (see World Bank Open Data – Link). For further</w:t>
      </w:r>
      <w:r>
        <w:t xml:space="preserve"> </w:t>
      </w:r>
      <w:r>
        <w:t xml:space="preserve">details concerning the model’s assumption, please see Holste &amp; Bergström p. 15 (main ones</w:t>
      </w:r>
      <w:r>
        <w:t xml:space="preserve"> </w:t>
      </w:r>
      <w:r>
        <w:t xml:space="preserve">concern baseline, growth elasticity, capital rendition and structural shocks). This initiative</w:t>
      </w:r>
      <w:r>
        <w:t xml:space="preserve"> </w:t>
      </w:r>
      <w:r>
        <w:t xml:space="preserve">would only achieve a partial level of integration to the one analysed in this paper. Many</w:t>
      </w:r>
      <w:r>
        <w:t xml:space="preserve"> </w:t>
      </w:r>
      <w:r>
        <w:t xml:space="preserve">stakeholders note that differences in taxation and national legal barriers (securities law,</w:t>
      </w:r>
      <w:r>
        <w:t xml:space="preserve"> </w:t>
      </w:r>
      <w:r>
        <w:t xml:space="preserve">ownership/property</w:t>
      </w:r>
      <w:r>
        <w:t xml:space="preserve"> </w:t>
      </w:r>
      <w:r>
        <w:t xml:space="preserve">law,</w:t>
      </w:r>
      <w:r>
        <w:t xml:space="preserve"> </w:t>
      </w:r>
      <w:r>
        <w:t xml:space="preserve">insolvency</w:t>
      </w:r>
      <w:r>
        <w:t xml:space="preserve"> </w:t>
      </w:r>
      <w:r>
        <w:t xml:space="preserve">law</w:t>
      </w:r>
      <w:r>
        <w:t xml:space="preserve"> </w:t>
      </w:r>
      <w:r>
        <w:t xml:space="preserve">etc.)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large</w:t>
      </w:r>
      <w:r>
        <w:t xml:space="preserve"> </w:t>
      </w:r>
      <w:r>
        <w:t xml:space="preserve">part</w:t>
      </w:r>
      <w:r>
        <w:br/>
      </w:r>
      <w:r>
        <w:t xml:space="preserve">of cross-border hurdles. We assume that it could contribute 10-25% towards a level of</w:t>
      </w:r>
      <w:r>
        <w:t xml:space="preserve"> </w:t>
      </w:r>
      <w:r>
        <w:t xml:space="preserve">integration similar to the US. This range was chosen on a qualitative basis informed</w:t>
      </w:r>
      <w:r>
        <w:br/>
      </w:r>
      <w:r>
        <w:t xml:space="preserve">by stakeholder inputs on the respective strength of in and out-of-scope drivers of fragmentation</w:t>
      </w:r>
      <w:r>
        <w:t xml:space="preserve"> </w:t>
      </w:r>
      <w:r>
        <w:t xml:space="preserve">(i.e. strong out-of-scope barriers). The external market study arrived at a similar conclusion,</w:t>
      </w:r>
      <w:r>
        <w:t xml:space="preserve"> </w:t>
      </w:r>
      <w:r>
        <w:t xml:space="preserve">highlighting that these barriers outside of the scope of the initiative are crucial to overcome in</w:t>
      </w:r>
      <w:r>
        <w:t xml:space="preserve"> </w:t>
      </w:r>
      <w:r>
        <w:t xml:space="preserve">order to develop a true common market. On this basis, the initiative could add GDP growth in</w:t>
      </w:r>
      <w:r>
        <w:t xml:space="preserve"> </w:t>
      </w:r>
      <w:r>
        <w:t xml:space="preserve">the range of EUR 1.36tn – 3.62tn over the next 30 years. A broad range of 10 to 25% was</w:t>
      </w:r>
      <w:r>
        <w:t xml:space="preserve"> </w:t>
      </w:r>
      <w:r>
        <w:t xml:space="preserve">deliberately chosen in order to reflect the considerable uncertainty. Overall, the estimate is</w:t>
      </w:r>
      <w:r>
        <w:t xml:space="preserve"> </w:t>
      </w:r>
      <w:r>
        <w:t xml:space="preserve">mainly provided in order to demonstrate the order of magnitude of positive economic effects</w:t>
      </w:r>
      <w:r>
        <w:t xml:space="preserve"> </w:t>
      </w:r>
      <w:r>
        <w:t xml:space="preserve">in the long run.</w:t>
      </w:r>
      <w:r>
        <w:br/>
      </w:r>
      <w:r>
        <w:t xml:space="preserve">The second paper (Arnold et al., 2025) estimates that GDP in the EU relative to the baseline</w:t>
      </w:r>
      <w:r>
        <w:t xml:space="preserve"> </w:t>
      </w:r>
      <w:r>
        <w:t xml:space="preserve">can increase in the range of 0.6 - 3.1% over 10 years by enacting key reforms that would foster</w:t>
      </w:r>
      <w:r>
        <w:t xml:space="preserve"> </w:t>
      </w:r>
      <w:r>
        <w:t xml:space="preserve">integration in capital markets. However, it assesses mainly integration aspects</w:t>
      </w:r>
      <w:r>
        <w:br/>
      </w:r>
      <w:r>
        <w:t xml:space="preserve">that remain outside the scope of this initiative. As such, and in contrast to the former paper,</w:t>
      </w:r>
      <w:r>
        <w:br/>
      </w:r>
      <w:r>
        <w:t xml:space="preserve">it makes little sense to estimate a similar contribution percentage and use these figures</w:t>
      </w:r>
      <w:r>
        <w:br/>
      </w:r>
      <w:r>
        <w:t xml:space="preserve">to detail the benefits of this initiative. It is referenced merely to provide an idea of the scale of</w:t>
      </w:r>
      <w:r>
        <w:t xml:space="preserve"> </w:t>
      </w:r>
      <w:r>
        <w:t xml:space="preserve">the macro-economic effect of a more integrated EU capital market, in line with Better</w:t>
      </w:r>
      <w:r>
        <w:t xml:space="preserve"> </w:t>
      </w:r>
      <w:r>
        <w:t xml:space="preserve">Regulation guidance for cases where a more accurate assessment is not possible.</w:t>
      </w:r>
      <w:r>
        <w:br/>
      </w:r>
      <w:r>
        <w:t xml:space="preserve">The third paper (Vendetti et al., 2025) investigates price effects assuming a reduction</w:t>
      </w:r>
      <w:r>
        <w:br/>
      </w:r>
      <w:r>
        <w:t xml:space="preserve">in firms’ cost of capital by 50 basis points. Using a dynamic equilibrium model calibrated to</w:t>
      </w:r>
      <w:r>
        <w:t xml:space="preserve"> </w:t>
      </w:r>
      <w:r>
        <w:t xml:space="preserve">the euro area it estimates that this would lead to an increase in investments of 1%</w:t>
      </w:r>
      <w:r>
        <w:br/>
      </w:r>
      <w:r>
        <w:t xml:space="preserve">of GDP. Under conditions that additional investment would focus on physical capital this</w:t>
      </w:r>
      <w:r>
        <w:t xml:space="preserve"> </w:t>
      </w:r>
      <w:r>
        <w:t xml:space="preserve">would translate into an increase in output of 1.5% after ten years. The impact on economic</w:t>
      </w:r>
      <w:r>
        <w:t xml:space="preserve"> </w:t>
      </w:r>
      <w:r>
        <w:t xml:space="preserve">activity would be considerably stronger if investments were directed to R&amp;D.</w:t>
      </w:r>
      <w:r>
        <w:br/>
      </w:r>
      <w:r>
        <w:t xml:space="preserve">It is estimated that GDP could rise by 4% after ten years in this scenario. The analysis also</w:t>
      </w:r>
      <w:r>
        <w:t xml:space="preserve"> </w:t>
      </w:r>
      <w:r>
        <w:t xml:space="preserve">shows that if the gap in the share of venture capital investments between the US and Europe is</w:t>
      </w:r>
      <w:r>
        <w:t xml:space="preserve"> </w:t>
      </w:r>
      <w:r>
        <w:t xml:space="preserve">halved, additional investments of 0.35% of GDP would become available. These quality effects</w:t>
      </w:r>
      <w:r>
        <w:t xml:space="preserve"> </w:t>
      </w:r>
      <w:r>
        <w:t xml:space="preserve">related to attracting investors with higher risk aversion. Assuming a multiplier</w:t>
      </w:r>
      <w:r>
        <w:br/>
      </w:r>
      <w:r>
        <w:t xml:space="preserve">of about 4.5 after ten years, this would give rise to an additional GDP growth effect</w:t>
      </w:r>
      <w:r>
        <w:br/>
      </w:r>
      <w:r>
        <w:t xml:space="preserve">of 1.6% over this period. The analysis assumes that, in addition to reduced legal</w:t>
      </w:r>
      <w:r>
        <w:br/>
      </w:r>
      <w:r>
        <w:t xml:space="preserve">and supervisory fragmentation, there will be a reduction of risk-free rates driven</w:t>
      </w:r>
      <w:r>
        <w:br/>
      </w:r>
      <w:r>
        <w:t xml:space="preserve">by the creation of a European safe asset. This would be a major change and will not come about</w:t>
      </w:r>
      <w:r>
        <w:t xml:space="preserve"> </w:t>
      </w:r>
      <w:r>
        <w:t xml:space="preserve">from this initiative The measures envisioned by this initiative will therefore have significantly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lower effects on their own. It remains unclear how strong effects would be, and it was decided</w:t>
      </w:r>
      <w:r>
        <w:t xml:space="preserve"> </w:t>
      </w:r>
      <w:r>
        <w:t xml:space="preserve">that, given the difference in baseline (risk-free rate) and high uncertainty, it provides no added</w:t>
      </w:r>
      <w:r>
        <w:t xml:space="preserve"> </w:t>
      </w:r>
      <w:r>
        <w:t xml:space="preserve">value to try and extrapolate effects with high inaccuracy. The figures in the latter two papers</w:t>
      </w:r>
      <w:r>
        <w:t xml:space="preserve"> </w:t>
      </w:r>
      <w:r>
        <w:t xml:space="preserve">however do support that (i) the direct benefits estimated via the first approach are of a realistic</w:t>
      </w:r>
      <w:r>
        <w:t xml:space="preserve"> </w:t>
      </w:r>
      <w:r>
        <w:t xml:space="preserve">order of magnitude, and (ii) that there are multiple significant out-of-scope barriers (i.e. </w:t>
      </w:r>
      <w:r>
        <w:t xml:space="preserve"> </w:t>
      </w:r>
      <w:r>
        <w:t xml:space="preserve">reinforcing the low 10-25% range estimate for the effectiveness of this initiative towards</w:t>
      </w:r>
      <w:r>
        <w:t xml:space="preserve"> </w:t>
      </w:r>
      <w:r>
        <w:t xml:space="preserve">forming a fully integrate market). Even if we assume that the preferred option only addresses</w:t>
      </w:r>
      <w:r>
        <w:t xml:space="preserve"> </w:t>
      </w:r>
      <w:r>
        <w:t xml:space="preserve">a fraction of the fragmentation problem – how much exactly is difficult to ascertain for the</w:t>
      </w:r>
      <w:r>
        <w:t xml:space="preserve"> </w:t>
      </w:r>
      <w:r>
        <w:t xml:space="preserve">reasons set out above - the resulting benefits in terms of GDP impacts would be high (in the</w:t>
      </w:r>
      <w:r>
        <w:t xml:space="preserve"> </w:t>
      </w:r>
      <w:r>
        <w:t xml:space="preserve">billions of euros) – and much higher in the order of magnitude than the direct costs of the</w:t>
      </w:r>
      <w:r>
        <w:t xml:space="preserve"> </w:t>
      </w:r>
      <w:r>
        <w:t xml:space="preserve">measures in question. With some exceptions (in particular the interconnection requirements</w:t>
      </w:r>
      <w:r>
        <w:t xml:space="preserve"> </w:t>
      </w:r>
      <w:r>
        <w:t xml:space="preserve">and EU supervision, the costs of which are quantified the report), this initiative does not impose</w:t>
      </w:r>
      <w:r>
        <w:t xml:space="preserve"> </w:t>
      </w:r>
      <w:r>
        <w:t xml:space="preserve">any new requirements but seeks to remove barriers to cross-border operations. Overall,</w:t>
      </w:r>
      <w:r>
        <w:t xml:space="preserve"> </w:t>
      </w:r>
      <w:r>
        <w:t xml:space="preserve">significant efforts have been undertaking to support the analysis of problems and the</w:t>
      </w:r>
      <w:r>
        <w:t xml:space="preserve"> </w:t>
      </w:r>
      <w:r>
        <w:t xml:space="preserve">assessment of policy options. Each of the sources of evidence and methodological approaches</w:t>
      </w:r>
      <w:r>
        <w:t xml:space="preserve"> </w:t>
      </w:r>
      <w:r>
        <w:t xml:space="preserve">applied provided valuable insights and informed the assessment presented. However,</w:t>
      </w:r>
      <w:r>
        <w:br/>
      </w:r>
      <w:r>
        <w:t xml:space="preserve">there are clear limitations in what can be quantified, and all presented figures hold significant</w:t>
      </w:r>
      <w:r>
        <w:t xml:space="preserve"> </w:t>
      </w:r>
      <w:r>
        <w:t xml:space="preserve">caveats in terms of accuracy. The combined evidence nonetheless provides corroborating</w:t>
      </w:r>
      <w:r>
        <w:t xml:space="preserve"> </w:t>
      </w:r>
      <w:r>
        <w:t xml:space="preserve">evidence and presents a basis for the impact assessment, despite the inherent limitations of each</w:t>
      </w:r>
      <w:r>
        <w:t xml:space="preserve"> </w:t>
      </w:r>
      <w:r>
        <w:t xml:space="preserve">of the individual approaches applied and the lack of quantification for all different impacts.</w:t>
      </w:r>
      <w:r>
        <w:t xml:space="preserve"> </w:t>
      </w:r>
      <w:r>
        <w:t xml:space="preserve">Multiple previous impact assessments and other studies in the sectors provide further, if</w:t>
      </w:r>
      <w:r>
        <w:t xml:space="preserve"> </w:t>
      </w:r>
      <w:r>
        <w:t xml:space="preserve">sometimes outdated, evidence in terms of market barriers and hurdles to both integration and</w:t>
      </w:r>
      <w:r>
        <w:t xml:space="preserve"> </w:t>
      </w:r>
      <w:r>
        <w:t xml:space="preserve">innovation. The overall analysis in this impact assessment shows that only some of these issues</w:t>
      </w:r>
      <w:r>
        <w:t xml:space="preserve"> </w:t>
      </w:r>
      <w:r>
        <w:t xml:space="preserve">have been successfully addressed and assesses the policy options to tackle the key remaining</w:t>
      </w:r>
      <w:r>
        <w:t xml:space="preserve"> </w:t>
      </w:r>
      <w:r>
        <w:t xml:space="preserve">ones.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t xml:space="preserve"> </w:t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Sections 6, 7; Annex 3 &amp; Sectoral</w:t>
      </w:r>
      <w:r>
        <w:t xml:space="preserve"> </w:t>
      </w:r>
      <w:r>
        <w:t xml:space="preserve">Annexes (7-11)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Sections 6, 7 &amp; Sectoral Annexes (7-</w:t>
      </w:r>
      <w:r>
        <w:t xml:space="preserve"> </w:t>
      </w:r>
      <w:r>
        <w:t xml:space="preserve">11)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Sections 6, 7 &amp; Annex 10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Annex 6</w:t>
      </w:r>
      <w:r>
        <w:t xml:space="preserve"> </w:t>
      </w:r>
      <w:r>
        <w:t xml:space="preserve">2. SYNTHETIC ASSESSMENT</w:t>
      </w:r>
      <w:r>
        <w:br/>
      </w:r>
      <w:r>
        <w:t xml:space="preserve">The initiative intends to remove key obstacles to cross-border activities in the addressed sectors</w:t>
      </w:r>
      <w:r>
        <w:t xml:space="preserve"> </w:t>
      </w:r>
      <w:r>
        <w:t xml:space="preserve">(trading, post-trading, asset management). In addition, increased supervisory convergence and</w:t>
      </w:r>
      <w:r>
        <w:t xml:space="preserve"> </w:t>
      </w:r>
      <w:r>
        <w:t xml:space="preserve">alignment of practices will create a more level playing field for market participants.</w:t>
      </w:r>
      <w:r>
        <w:t xml:space="preserve"> </w:t>
      </w:r>
      <w:r>
        <w:t xml:space="preserve">Furthermore, the changes envisioned to the DLT Pilot regime and related changes in the SFD</w:t>
      </w:r>
      <w:r>
        <w:t xml:space="preserve"> </w:t>
      </w:r>
      <w:r>
        <w:t xml:space="preserve">aim to expand the regime and prevent legal fragmentation across MSs to facilitate innovation</w:t>
      </w:r>
      <w:r>
        <w:t xml:space="preserve"> </w:t>
      </w:r>
      <w:r>
        <w:t xml:space="preserve">and market uptake of DLT solutions.</w:t>
      </w:r>
      <w:r>
        <w:t xml:space="preserve"> </w:t>
      </w:r>
      <w:r>
        <w:t xml:space="preserve">The initiative is expected to stimulate cross-border activity by lowering costs</w:t>
      </w:r>
      <w:r>
        <w:br/>
      </w:r>
      <w:r>
        <w:t xml:space="preserve">of cross-border provision of services and market entry. This would enable service providers to</w:t>
      </w:r>
      <w:r>
        <w:t xml:space="preserve"> </w:t>
      </w:r>
      <w:r>
        <w:t xml:space="preserve">grow more easily and to a larger size by servicing clients across the EU. Size effects may also</w:t>
      </w:r>
      <w:r>
        <w:t xml:space="preserve"> </w:t>
      </w:r>
      <w:r>
        <w:t xml:space="preserve">come about via market consolidation, which becomes more attractive given the new treatment</w:t>
      </w:r>
      <w:r>
        <w:t xml:space="preserve"> </w:t>
      </w:r>
      <w:r>
        <w:t xml:space="preserve">of group structures and reduced burden for cross-border service providers. These effects and</w:t>
      </w:r>
      <w:r>
        <w:t xml:space="preserve"> </w:t>
      </w:r>
      <w:r>
        <w:t xml:space="preserve">higher economies of scale would bring about benefits for downstream and end-consumers both</w:t>
      </w:r>
      <w:r>
        <w:t xml:space="preserve"> </w:t>
      </w:r>
      <w:r>
        <w:t xml:space="preserve">in terms costs and quality of the services provided. The costs of adjusting to the new provisions</w:t>
      </w:r>
      <w:r>
        <w:t xml:space="preserve"> </w:t>
      </w:r>
      <w:r>
        <w:t xml:space="preserve">would be smaller in comparison and are expected to be outweighed by these benefits.</w:t>
      </w:r>
      <w:r>
        <w:br/>
      </w:r>
      <w:r>
        <w:t xml:space="preserve">In addition, the reduction of the frictional costs in cross-border service provision</w:t>
      </w:r>
      <w:r>
        <w:br/>
      </w:r>
      <w:r>
        <w:t xml:space="preserve">and the potential for increased economies of scale will positively impact the international</w:t>
      </w:r>
      <w:r>
        <w:t xml:space="preserve"> </w:t>
      </w:r>
      <w:r>
        <w:t xml:space="preserve">attractiveness of services provided in the EU and, in effect, EU capital markets in general. This</w:t>
      </w:r>
      <w:r>
        <w:t xml:space="preserve"> </w:t>
      </w:r>
      <w:r>
        <w:t xml:space="preserve">may attract additional business for EU service providers as well as investments from investors</w:t>
      </w:r>
      <w:r>
        <w:t xml:space="preserve"> </w:t>
      </w:r>
      <w:r>
        <w:t xml:space="preserve">based in third countries. It would help address the current fragmentation and underdevelopment</w:t>
      </w:r>
      <w:r>
        <w:t xml:space="preserve"> </w:t>
      </w:r>
      <w:r>
        <w:t xml:space="preserve">of EU capital markets relative to certain other jurisdictions.</w:t>
      </w:r>
      <w:r>
        <w:br/>
      </w:r>
      <w:r>
        <w:t xml:space="preserve">Formalising the DLT regime and expanding the scope of eligible assets and volume thresholds</w:t>
      </w:r>
      <w:r>
        <w:t xml:space="preserve"> </w:t>
      </w:r>
      <w:r>
        <w:t xml:space="preserve">would make the regime more attractive. Market participants would be able to engage in long-</w:t>
      </w:r>
      <w:r>
        <w:t xml:space="preserve"> </w:t>
      </w:r>
      <w:r>
        <w:t xml:space="preserve">term planning and extend operations beyond small testing scales. Harmonisation and target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changes to the SFD would furthermore prevent fragmented legal regimes across Member States</w:t>
      </w:r>
      <w:r>
        <w:t xml:space="preserve"> </w:t>
      </w:r>
      <w:r>
        <w:t xml:space="preserve">and allow for designations (and protection) under the SFD for DLT-based systems. Overall,</w:t>
      </w:r>
      <w:r>
        <w:t xml:space="preserve"> </w:t>
      </w:r>
      <w:r>
        <w:t xml:space="preserve">the changes should promote innovation by increasing the potential returns of investments and</w:t>
      </w:r>
      <w:r>
        <w:t xml:space="preserve"> </w:t>
      </w:r>
      <w:r>
        <w:t xml:space="preserve">by providing increased legal certainty / clarity for DLT innovations.</w:t>
      </w:r>
      <w:r>
        <w:t xml:space="preserve"> </w:t>
      </w:r>
      <w:r>
        <w:t xml:space="preserve">Although not specifically targeted at SMEs, the initiative could also bring about positive</w:t>
      </w:r>
      <w:r>
        <w:t xml:space="preserve"> </w:t>
      </w:r>
      <w:r>
        <w:t xml:space="preserve">impacts for SMEs. Similar to larger firms, smaller market participants in the financial sector</w:t>
      </w:r>
      <w:r>
        <w:t xml:space="preserve"> </w:t>
      </w:r>
      <w:r>
        <w:t xml:space="preserve">will benefit from reduced costs and administrative burden for cross-border provision of</w:t>
      </w:r>
      <w:r>
        <w:t xml:space="preserve"> </w:t>
      </w:r>
      <w:r>
        <w:t xml:space="preserve">services. Given lower volumes and revenue base, these cost savings can be more impactful for</w:t>
      </w:r>
      <w:r>
        <w:t xml:space="preserve"> </w:t>
      </w:r>
      <w:r>
        <w:t xml:space="preserve">SMEs.</w:t>
      </w:r>
      <w:r>
        <w:t xml:space="preserve"> </w:t>
      </w:r>
      <w:r>
        <w:t xml:space="preserve">While</w:t>
      </w:r>
      <w:r>
        <w:t xml:space="preserve"> </w:t>
      </w:r>
      <w:r>
        <w:t xml:space="preserve">less</w:t>
      </w:r>
      <w:r>
        <w:t xml:space="preserve"> </w:t>
      </w:r>
      <w:r>
        <w:t xml:space="preserve">efficient</w:t>
      </w:r>
      <w:r>
        <w:t xml:space="preserve"> </w:t>
      </w:r>
      <w:r>
        <w:t xml:space="preserve">SMEs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pushed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br/>
      </w:r>
      <w:r>
        <w:t xml:space="preserve">due to increased cross-border competition, SMEs with viable business models will be able to</w:t>
      </w:r>
      <w:r>
        <w:t xml:space="preserve"> </w:t>
      </w:r>
      <w:r>
        <w:t xml:space="preserve">grow more easily. SMEs that are non-financial companies and tapping finance</w:t>
      </w:r>
      <w:r>
        <w:br/>
      </w:r>
      <w:r>
        <w:t xml:space="preserve">via capital markets may also see small benefits in terms of improved market liquidity</w:t>
      </w:r>
      <w:r>
        <w:br/>
      </w:r>
      <w:r>
        <w:t xml:space="preserve">and minor improvements to financing conditions given a more efficient EU capital market</w:t>
      </w:r>
      <w:r>
        <w:t xml:space="preserve"> </w:t>
      </w:r>
      <w:r>
        <w:t xml:space="preserve">ecosystem.</w:t>
      </w:r>
      <w:r>
        <w:br/>
      </w:r>
      <w:r>
        <w:t xml:space="preserve">3. COMPETITIVE POSITION OF THE MOST AFFECTED SECTORS</w:t>
      </w:r>
      <w:r>
        <w:t xml:space="preserve"> </w:t>
      </w:r>
      <w:r>
        <w:t xml:space="preserve">With easier access to a broader range of venues, brokers could enhance their service offerings,</w:t>
      </w:r>
      <w:r>
        <w:t xml:space="preserve"> </w:t>
      </w:r>
      <w:r>
        <w:t xml:space="preserve">providing clients with diverse investment opportunities and competitive pricing, which could</w:t>
      </w:r>
      <w:r>
        <w:t xml:space="preserve"> </w:t>
      </w:r>
      <w:r>
        <w:t xml:space="preserve">ultimately result in making investments more accessible and attracting a larger client base.</w:t>
      </w:r>
      <w:r>
        <w:t xml:space="preserve"> </w:t>
      </w:r>
      <w:r>
        <w:t xml:space="preserve">Moreover, inter-CSD link requirements would create a more interconnected settlement</w:t>
      </w:r>
      <w:r>
        <w:t xml:space="preserve"> </w:t>
      </w:r>
      <w:r>
        <w:t xml:space="preserve">landscape, allowing for participants in any CSD to more easily invest in an instrument held at</w:t>
      </w:r>
      <w:r>
        <w:t xml:space="preserve"> </w:t>
      </w:r>
      <w:r>
        <w:t xml:space="preserve">any other EU CSD. This less fragmented settlement network would further foster competition</w:t>
      </w:r>
      <w:r>
        <w:t xml:space="preserve"> </w:t>
      </w:r>
      <w:r>
        <w:t xml:space="preserve">between CSDs, as would a reduction in the burden of issuing across borders and for CSDs to</w:t>
      </w:r>
      <w:r>
        <w:t xml:space="preserve"> </w:t>
      </w:r>
      <w:r>
        <w:t xml:space="preserve">provide services in other Member States.</w:t>
      </w:r>
      <w:r>
        <w:t xml:space="preserve"> </w:t>
      </w:r>
      <w:r>
        <w:t xml:space="preserve">The proposed measures in the asset management sector are expected to boost competition in</w:t>
      </w:r>
      <w:r>
        <w:t xml:space="preserve"> </w:t>
      </w:r>
      <w:r>
        <w:t xml:space="preserve">the EU market. By introducing a</w:t>
      </w:r>
      <w:r>
        <w:t xml:space="preserve"> </w:t>
      </w:r>
      <w:r>
        <w:t xml:space="preserve">“passporting upon authorisation”</w:t>
      </w:r>
      <w:r>
        <w:t xml:space="preserve"> </w:t>
      </w:r>
      <w:r>
        <w:t xml:space="preserve">regime, this initiative will</w:t>
      </w:r>
      <w:r>
        <w:t xml:space="preserve"> </w:t>
      </w:r>
      <w:r>
        <w:t xml:space="preserve">simplify market access for investment funds, enabling asset managers to enter new markets</w:t>
      </w:r>
      <w:r>
        <w:t xml:space="preserve"> </w:t>
      </w:r>
      <w:r>
        <w:t xml:space="preserve">more easily and quickly, at reduced costs. According to economic research180, new entrants</w:t>
      </w:r>
      <w:r>
        <w:t xml:space="preserve"> </w:t>
      </w:r>
      <w:r>
        <w:t xml:space="preserve">drive price and quantity competition. Asset managers will also be able to utilise and share</w:t>
      </w:r>
      <w:r>
        <w:t xml:space="preserve"> </w:t>
      </w:r>
      <w:r>
        <w:t xml:space="preserve">resources across entities within their EU group, allowing them to optimise their operations and</w:t>
      </w:r>
      <w:r>
        <w:t xml:space="preserve"> </w:t>
      </w:r>
      <w:r>
        <w:t xml:space="preserve">compete more effectively.</w:t>
      </w:r>
      <w:r>
        <w:t xml:space="preserve"> </w:t>
      </w:r>
      <w:r>
        <w:t xml:space="preserve">Furthermore, the EU depositary passport will increase competition among depositaries, giving</w:t>
      </w:r>
      <w:r>
        <w:t xml:space="preserve"> </w:t>
      </w:r>
      <w:r>
        <w:t xml:space="preserve">fund managers a broader range of providers to choose from across the EU.</w:t>
      </w:r>
      <w:r>
        <w:br/>
      </w:r>
      <w:r>
        <w:t xml:space="preserve">Overall, the proposed measures will promote competition, reduce barriers to entry,</w:t>
      </w:r>
      <w:r>
        <w:br/>
      </w:r>
      <w:r>
        <w:t xml:space="preserve">and increase the efficiency of the EU asset management market. This will bring the EU fund</w:t>
      </w:r>
      <w:r>
        <w:t xml:space="preserve"> </w:t>
      </w:r>
      <w:r>
        <w:t xml:space="preserve">industry closer to a ’contestable market’181, characterized by low barriers to entry and exit that</w:t>
      </w:r>
      <w:r>
        <w:t xml:space="preserve"> </w:t>
      </w:r>
      <w:r>
        <w:t xml:space="preserve">lead to lower costs and greater efficiency to ultimately benefit the end-user, i.e. EU investors.</w:t>
      </w:r>
      <w:r>
        <w:t xml:space="preserve"> </w:t>
      </w:r>
      <w:r>
        <w:t xml:space="preserve">Finally, by increasing the activity thresholds of the DLTPR and the scope of eligible products,</w:t>
      </w:r>
      <w:r>
        <w:t xml:space="preserve"> </w:t>
      </w:r>
      <w:r>
        <w:t xml:space="preserve">this option would support the scaling of DLT-based projects.</w:t>
      </w:r>
    </w:p>
    <w:p>
      <w:pPr>
        <w:pStyle w:val="BodyText"/>
      </w:pPr>
      <w:r>
        <w:t xml:space="preserve">180 Wahal, S., &amp; Wang, A. Y. (2011). Competition among mutual funds. Journal of Financial Economics, 99(1),</w:t>
      </w:r>
      <w:r>
        <w:t xml:space="preserve"> </w:t>
      </w:r>
      <w:r>
        <w:t xml:space="preserve">40-59.</w:t>
      </w:r>
      <w:r>
        <w:t xml:space="preserve"> </w:t>
      </w:r>
      <w:r>
        <w:t xml:space="preserve">181 Baumol, W. J., Panzar, J. C., &amp; Willig, R. D. (1982). Contestable Markets and the Theory of Industry Structure.</w:t>
      </w:r>
      <w:r>
        <w:t xml:space="preserve"> </w:t>
      </w:r>
      <w:r>
        <w:t xml:space="preserve">San Diego: Harcourt Brace Jovanovich.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ANNEX 6: SME CHECK</w:t>
      </w:r>
      <w:r>
        <w:br/>
      </w:r>
      <w:r>
        <w:t xml:space="preserve">1. 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Although not directly targeted at SMEs, the initiative is relevant both for SME financial</w:t>
      </w:r>
      <w:r>
        <w:t xml:space="preserve"> </w:t>
      </w:r>
      <w:r>
        <w:t xml:space="preserve">services providers as well as for SME’s that are non-financial companies (NFCs) engaging</w:t>
      </w:r>
      <w:r>
        <w:t xml:space="preserve"> </w:t>
      </w:r>
      <w:r>
        <w:t xml:space="preserve">in capital market financing.</w:t>
      </w:r>
    </w:p>
    <w:p>
      <w:pPr>
        <w:pStyle w:val="SourceCode"/>
      </w:pPr>
      <w:r>
        <w:rPr>
          <w:rStyle w:val="VerbatimChar"/>
        </w:rPr>
        <w:t xml:space="preserve">(1) IDENTIFICATION OF AFFECTED BUSINESSES AND ASSESSMENT OF RELEVANCE </w:t>
      </w:r>
    </w:p>
    <w:p>
      <w:pPr>
        <w:pStyle w:val="FirstParagraph"/>
      </w:pPr>
      <w:r>
        <w:t xml:space="preserve">Are SMEs directly affected? In which sectors?</w:t>
      </w:r>
      <w:r>
        <w:t xml:space="preserve"> </w:t>
      </w:r>
      <w:r>
        <w:t xml:space="preserve">SMEs active in the financial sector, especially those which engage in capital markets (e.g. </w:t>
      </w:r>
      <w:r>
        <w:t xml:space="preserve"> </w:t>
      </w:r>
      <w:r>
        <w:t xml:space="preserve">brokers, asset managers), will be affected directly.</w:t>
      </w:r>
      <w:r>
        <w:br/>
      </w:r>
      <w:r>
        <w:t xml:space="preserve">Estimated number of directly affected SMEs</w:t>
      </w:r>
      <w:r>
        <w:t xml:space="preserve"> </w:t>
      </w:r>
      <w:r>
        <w:t xml:space="preserve">The initiative will impact foremost small and medium sized brokers, asset managers as well</w:t>
      </w:r>
      <w:r>
        <w:t xml:space="preserve"> </w:t>
      </w:r>
      <w:r>
        <w:t xml:space="preserve">as SMEs which are, or plan to engage, in DLT-based initiatives. The large majority of firms</w:t>
      </w:r>
      <w:r>
        <w:t xml:space="preserve"> </w:t>
      </w:r>
      <w:r>
        <w:t xml:space="preserve">active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(trading</w:t>
      </w:r>
      <w:r>
        <w:t xml:space="preserve"> </w:t>
      </w:r>
      <w:r>
        <w:t xml:space="preserve">&amp;</w:t>
      </w:r>
      <w:r>
        <w:t xml:space="preserve"> </w:t>
      </w:r>
      <w:r>
        <w:t xml:space="preserve">post-trading</w:t>
      </w:r>
      <w:r>
        <w:t xml:space="preserve"> </w:t>
      </w:r>
      <w:r>
        <w:t xml:space="preserve">services)</w:t>
      </w:r>
      <w:r>
        <w:br/>
      </w:r>
      <w:r>
        <w:t xml:space="preserve">are large, well-established companies. Some small infrastructure providers (e.g. niche</w:t>
      </w:r>
      <w:r>
        <w:t xml:space="preserve"> </w:t>
      </w:r>
      <w:r>
        <w:t xml:space="preserve">players) and potential new entrants may however also meet the SME criteria.</w:t>
      </w:r>
      <w:r>
        <w:br/>
      </w:r>
      <w:r>
        <w:t xml:space="preserve">Estimated number of employees in directly affected SMEs</w:t>
      </w:r>
      <w:r>
        <w:t xml:space="preserve"> </w:t>
      </w:r>
      <w:r>
        <w:t xml:space="preserve">In total, there are around 4,600 asset management companies. Most of these managers are</w:t>
      </w:r>
      <w:r>
        <w:t xml:space="preserve"> </w:t>
      </w:r>
      <w:r>
        <w:t xml:space="preserve">expected to meet the SME criteria. According to EFAMA182, there are 130,000 people</w:t>
      </w:r>
      <w:r>
        <w:t xml:space="preserve"> </w:t>
      </w:r>
      <w:r>
        <w:t xml:space="preserve">employed directly in the EU asset management industry. This includes UCITSs and AIFs</w:t>
      </w:r>
      <w:r>
        <w:t xml:space="preserve"> </w:t>
      </w:r>
      <w:r>
        <w:t xml:space="preserve">managers. There are no figures available to estimate the exact number employed by SME</w:t>
      </w:r>
      <w:r>
        <w:t xml:space="preserve"> </w:t>
      </w:r>
      <w:r>
        <w:t xml:space="preserve">UCITs and AIF managers.</w:t>
      </w:r>
      <w:r>
        <w:br/>
      </w:r>
      <w:r>
        <w:t xml:space="preserve">There are no figures available to estimate the number of employees in small and medium-</w:t>
      </w:r>
      <w:r>
        <w:t xml:space="preserve"> </w:t>
      </w:r>
      <w:r>
        <w:t xml:space="preserve">sized EU brokers or firms engaged in DLT-based initiatives.</w:t>
      </w:r>
      <w:r>
        <w:br/>
      </w:r>
      <w:r>
        <w:t xml:space="preserve">There are 1806 EU SME companies listed on EU regulation markets who employ around</w:t>
      </w:r>
      <w:r>
        <w:t xml:space="preserve"> </w:t>
      </w:r>
      <w:r>
        <w:t xml:space="preserve">110 000 staff183 and that will indirectly be affected by the initiative.</w:t>
      </w:r>
      <w:r>
        <w:br/>
      </w:r>
      <w:r>
        <w:t xml:space="preserve">Are SMEs indirectly affected? In which sectors? What is the estimated number</w:t>
      </w:r>
      <w:r>
        <w:br/>
      </w:r>
      <w:r>
        <w:t xml:space="preserve">of indirectly affected SMEs and employees?</w:t>
      </w:r>
      <w:r>
        <w:t xml:space="preserve"> </w:t>
      </w:r>
      <w:r>
        <w:t xml:space="preserve">EU NFC SMEs will be indirectly affected via efficiency gains and increased competition in</w:t>
      </w:r>
      <w:r>
        <w:t xml:space="preserve"> </w:t>
      </w:r>
      <w:r>
        <w:t xml:space="preserve">capital market services. Given system-wide efficiency gains, it can be expected</w:t>
      </w:r>
      <w:r>
        <w:br/>
      </w:r>
      <w:r>
        <w:t xml:space="preserve">that there is some minor positive impact on all EU SMEs that utilise market-based financing</w:t>
      </w:r>
      <w:r>
        <w:t xml:space="preserve"> </w:t>
      </w:r>
      <w:r>
        <w:t xml:space="preserve">options (i.e. almost all). This includes also firms using exclusively bank-based financing as</w:t>
      </w:r>
      <w:r>
        <w:t xml:space="preserve"> </w:t>
      </w:r>
      <w:r>
        <w:t xml:space="preserve">this financing channel stands in competition with capital-market based financing.</w:t>
      </w:r>
    </w:p>
    <w:p>
      <w:pPr>
        <w:pStyle w:val="Compact"/>
        <w:numPr>
          <w:ilvl w:val="0"/>
          <w:numId w:val="1024"/>
        </w:numPr>
      </w:pPr>
      <w:r>
        <w:t xml:space="preserve">CONSULTATION OF SME STAKEHOLDERS</w:t>
      </w:r>
    </w:p>
    <w:p>
      <w:pPr>
        <w:pStyle w:val="FirstParagraph"/>
      </w:pPr>
      <w:r>
        <w:t xml:space="preserve">182 See ‘Our industry in numbers’, EFAMA – Link</w:t>
      </w:r>
      <w:r>
        <w:br/>
      </w:r>
      <w:r>
        <w:t xml:space="preserve">183 Orbis Database.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The public consultation asked whether respondents were SMEs, which was the case</w:t>
      </w:r>
      <w:r>
        <w:br/>
      </w:r>
      <w:r>
        <w:t xml:space="preserve">for X out of X replies. more than half would qualify as SMEs. Many of these were</w:t>
      </w:r>
      <w:r>
        <w:t xml:space="preserve"> </w:t>
      </w:r>
      <w:r>
        <w:t xml:space="preserve">however business associations (87 SMEs out of 92 respondents) and trade unions (5 out</w:t>
      </w:r>
      <w:r>
        <w:t xml:space="preserve"> </w:t>
      </w:r>
      <w:r>
        <w:t xml:space="preserve">of 5) and not representing the SME views as such. 35 individual companies</w:t>
      </w:r>
      <w:r>
        <w:br/>
      </w:r>
      <w:r>
        <w:t xml:space="preserve">who responded where SMEs, mostly from the financial sector.</w:t>
      </w:r>
      <w:r>
        <w:br/>
      </w:r>
      <w:r>
        <w:t xml:space="preserve">Are SMEs’ views different from those of large businesses?</w:t>
      </w:r>
      <w:r>
        <w:br/>
      </w:r>
      <w:r>
        <w:t xml:space="preserve">The consultation replies from SME and other direct engagements with SME have not</w:t>
      </w:r>
      <w:r>
        <w:t xml:space="preserve"> </w:t>
      </w:r>
      <w:r>
        <w:t xml:space="preserve">shown any categorical differences in opinion. SME stakeholders often note</w:t>
      </w:r>
      <w:r>
        <w:br/>
      </w:r>
      <w:r>
        <w:t xml:space="preserve">that a respectively smaller revenue base increases, in relative terms, the size of barriers</w:t>
      </w:r>
      <w:r>
        <w:t xml:space="preserve"> </w:t>
      </w:r>
      <w:r>
        <w:t xml:space="preserve">to cross-border activities.</w:t>
      </w:r>
    </w:p>
    <w:p>
      <w:pPr>
        <w:pStyle w:val="Compact"/>
        <w:numPr>
          <w:ilvl w:val="0"/>
          <w:numId w:val="1025"/>
        </w:numPr>
      </w:pPr>
      <w:r>
        <w:t xml:space="preserve">ASSESSMENT OF IMPACTS ON SMES</w:t>
      </w:r>
      <w:r>
        <w:t xml:space="preserve"> </w:t>
      </w:r>
      <w:r>
        <w:t xml:space="preserve">What are the estimated direct costs for SMEs of the preferred policy option?</w:t>
      </w:r>
      <w:r>
        <w:br/>
      </w:r>
      <w:r>
        <w:t xml:space="preserve">Qualitative assessment</w:t>
      </w:r>
      <w:r>
        <w:t xml:space="preserve"> </w:t>
      </w:r>
      <w:r>
        <w:t xml:space="preserve">Most SMEs will not be directly affected by the measures concerning the supervisory</w:t>
      </w:r>
      <w:r>
        <w:t xml:space="preserve"> </w:t>
      </w:r>
      <w:r>
        <w:t xml:space="preserve">setup given that changes only apply to large market participants. In asset management,</w:t>
      </w:r>
      <w:r>
        <w:t xml:space="preserve"> </w:t>
      </w:r>
      <w:r>
        <w:t xml:space="preserve">which likely contains the largest number of SMEs, NCAs will remain the only supervisor</w:t>
      </w:r>
      <w:r>
        <w:t xml:space="preserve"> </w:t>
      </w:r>
      <w:r>
        <w:t xml:space="preserve">and there is no change as such. There may be some adjustment costs (e.g. to digest legal</w:t>
      </w:r>
      <w:r>
        <w:t xml:space="preserve"> </w:t>
      </w:r>
      <w:r>
        <w:t xml:space="preserve">changes) but these remain small. Impacts will be similar to those for large companies.</w:t>
      </w:r>
      <w:r>
        <w:t xml:space="preserve"> </w:t>
      </w:r>
      <w:r>
        <w:t xml:space="preserve">In relative terms, the impact of barriers to cross-border activities is usually higher for</w:t>
      </w:r>
      <w:r>
        <w:t xml:space="preserve"> </w:t>
      </w:r>
      <w:r>
        <w:t xml:space="preserve">SMEs, given a smaller revenue base. SMEs, like other market participants, will likely</w:t>
      </w:r>
      <w:r>
        <w:t xml:space="preserve"> </w:t>
      </w:r>
      <w:r>
        <w:t xml:space="preserve">experience stronger competition in their respective market(s) but the initiative will</w:t>
      </w:r>
      <w:r>
        <w:br/>
      </w:r>
      <w:r>
        <w:t xml:space="preserve">also facilitate expanding activities throughout the EU. It thereby gives competitive</w:t>
      </w:r>
      <w:r>
        <w:t xml:space="preserve"> </w:t>
      </w:r>
      <w:r>
        <w:t xml:space="preserve">SMEs the ability to grow faster.</w:t>
      </w:r>
      <w:r>
        <w:br/>
      </w:r>
      <w:r>
        <w:t xml:space="preserve">Quantitative assessment</w:t>
      </w:r>
      <w:r>
        <w:t xml:space="preserve"> </w:t>
      </w:r>
      <w:r>
        <w:t xml:space="preserve">Annex 3 summarises the available estimates of costs for businesses for the preferred</w:t>
      </w:r>
      <w:r>
        <w:t xml:space="preserve"> </w:t>
      </w:r>
      <w:r>
        <w:t xml:space="preserve">combination of policy options. As SMEs are not specifically targeted and quantitative</w:t>
      </w:r>
      <w:r>
        <w:t xml:space="preserve"> </w:t>
      </w:r>
      <w:r>
        <w:t xml:space="preserve">evidence is overall limited, no separate estimates for SMEs are provided.</w:t>
      </w:r>
      <w:r>
        <w:t xml:space="preserve"> </w:t>
      </w:r>
      <w:r>
        <w:t xml:space="preserve">What are the estimated direct benefits/cost savings for SMEs of the preferred</w:t>
      </w:r>
      <w:r>
        <w:t xml:space="preserve"> </w:t>
      </w:r>
      <w:r>
        <w:t xml:space="preserve">policy option?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SMEs will experience cost savings when they engage in (or aspire to engage in) cross-</w:t>
      </w:r>
      <w:r>
        <w:t xml:space="preserve"> </w:t>
      </w:r>
      <w:r>
        <w:t xml:space="preserve">border activities. The harmonisation and streamlining of requirements will benefit them</w:t>
      </w:r>
      <w:r>
        <w:t xml:space="preserve"> </w:t>
      </w:r>
      <w:r>
        <w:t xml:space="preserve">in the same manner as large companies. Arguably, this positive effect is bigger for SMEs</w:t>
      </w:r>
      <w:r>
        <w:t xml:space="preserve"> </w:t>
      </w:r>
      <w:r>
        <w:t xml:space="preserve">as they have a lower revenue base to stem administrative costs arising from national</w:t>
      </w:r>
      <w:r>
        <w:t xml:space="preserve"> </w:t>
      </w:r>
      <w:r>
        <w:t xml:space="preserve">divergent requirements and supervision.</w:t>
      </w:r>
      <w:r>
        <w:br/>
      </w:r>
      <w:r>
        <w:t xml:space="preserve">Quantitative assessment</w:t>
      </w:r>
      <w:r>
        <w:t xml:space="preserve"> </w:t>
      </w:r>
      <w:r>
        <w:t xml:space="preserve">Annex 3 summarises the estimation(s) of the one-off and recurring costs for businesses</w:t>
      </w:r>
      <w:r>
        <w:t xml:space="preserve"> </w:t>
      </w:r>
      <w:r>
        <w:t xml:space="preserve">in the baseline scenario as well as the changes for the preferred combination of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What are the indirect impacts of this initiative on SMEs?</w:t>
      </w:r>
      <w:r>
        <w:br/>
      </w:r>
      <w:r>
        <w:t xml:space="preserve">SMEs will benefit in terms of a more efficient market, including lower costs and higher</w:t>
      </w:r>
      <w:r>
        <w:t xml:space="preserve"> </w:t>
      </w:r>
      <w:r>
        <w:t xml:space="preserve">quality of intermediary services. This will allow them to tap capital markets more</w:t>
      </w:r>
      <w:r>
        <w:t xml:space="preserve"> </w:t>
      </w:r>
      <w:r>
        <w:t xml:space="preserve">effectively and it is expected that there will be some minor positive impact in terms</w:t>
      </w:r>
      <w:r>
        <w:br/>
      </w:r>
      <w:r>
        <w:t xml:space="preserve">of financing conditions for all EU SMEs that utilise market-based financing options.</w:t>
      </w:r>
    </w:p>
    <w:p>
      <w:pPr>
        <w:pStyle w:val="FirstParagraph"/>
      </w:pPr>
      <w:r>
        <w:t xml:space="preserve">162</w:t>
      </w:r>
    </w:p>
    <w:p>
      <w:pPr>
        <w:pStyle w:val="Compact"/>
        <w:numPr>
          <w:ilvl w:val="0"/>
          <w:numId w:val="1026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</w:t>
      </w:r>
    </w:p>
    <w:p>
      <w:pPr>
        <w:pStyle w:val="FirstParagraph"/>
      </w:pPr>
      <w:r>
        <w:t xml:space="preserve">If yes, are there any specific subgroups of SMEs more exposed than others?</w:t>
      </w:r>
      <w:r>
        <w:t xml:space="preserve"> </w:t>
      </w:r>
      <w:r>
        <w:t xml:space="preserve">No</w:t>
      </w:r>
      <w:r>
        <w:br/>
      </w:r>
      <w:r>
        <w:t xml:space="preserve">Have mitigating measures been included in the preferred option/proposal?</w:t>
      </w:r>
      <w:r>
        <w:br/>
      </w:r>
      <w:r>
        <w:t xml:space="preserve">No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ANNEX 7: SECTORAL ANNEX ON TRADING</w:t>
      </w:r>
      <w:r>
        <w:t xml:space="preserve"> </w:t>
      </w:r>
      <w:r>
        <w:t xml:space="preserve">1. DESCRIPTION OF THE CURRENT TRADING ENVIRONMENT IN THE EU</w:t>
      </w:r>
      <w:r>
        <w:t xml:space="preserve"> </w:t>
      </w:r>
      <w:r>
        <w:t xml:space="preserve">1.1. DESCRIPTION</w:t>
      </w:r>
      <w:r>
        <w:t xml:space="preserve"> </w:t>
      </w:r>
      <w:r>
        <w:t xml:space="preserve">AND</w:t>
      </w:r>
      <w:r>
        <w:t xml:space="preserve"> </w:t>
      </w:r>
      <w:r>
        <w:t xml:space="preserve">EVOLUTION</w:t>
      </w:r>
      <w:r>
        <w:t xml:space="preserve"> </w:t>
      </w:r>
      <w:r>
        <w:t xml:space="preserve">OF</w:t>
      </w:r>
      <w:r>
        <w:t xml:space="preserve"> </w:t>
      </w:r>
      <w:r>
        <w:t xml:space="preserve">EUROPEAN</w:t>
      </w:r>
      <w:r>
        <w:t xml:space="preserve"> </w:t>
      </w:r>
      <w:r>
        <w:t xml:space="preserve">MARKETS</w:t>
      </w:r>
      <w:r>
        <w:t xml:space="preserve"> </w:t>
      </w:r>
      <w:r>
        <w:t xml:space="preserve">IN</w:t>
      </w:r>
      <w:r>
        <w:t xml:space="preserve"> </w:t>
      </w:r>
      <w:r>
        <w:t xml:space="preserve">FINANCIAL</w:t>
      </w:r>
      <w:r>
        <w:t xml:space="preserve"> </w:t>
      </w:r>
      <w:r>
        <w:t xml:space="preserve">INSTRUMENTS</w:t>
      </w:r>
      <w:r>
        <w:t xml:space="preserve"> </w:t>
      </w:r>
      <w:r>
        <w:t xml:space="preserve">The EU trading landscape changed significantly after MiFID 1184 and MiFID 2185 came into</w:t>
      </w:r>
      <w:r>
        <w:t xml:space="preserve"> </w:t>
      </w:r>
      <w:r>
        <w:t xml:space="preserve">force in 2007 and 2018, respectively. MiFID 1 abolished the so-called ‘concentration rule’</w:t>
      </w:r>
      <w:r>
        <w:t xml:space="preserve"> </w:t>
      </w:r>
      <w:r>
        <w:t xml:space="preserve">which, under the 1993 Investment Services Directive186, allowed Member States to require that</w:t>
      </w:r>
      <w:r>
        <w:t xml:space="preserve"> </w:t>
      </w:r>
      <w:r>
        <w:t xml:space="preserve">orders in equity instruments be routed to national stock exchanges. As a result, MiFID 1</w:t>
      </w:r>
      <w:r>
        <w:t xml:space="preserve"> </w:t>
      </w:r>
      <w:r>
        <w:t xml:space="preserve">liberalised equity trading and promoted competition between different execution venues</w:t>
      </w:r>
      <w:r>
        <w:br/>
      </w:r>
      <w:r>
        <w:t xml:space="preserve">with a view to enhancing price competition, innovation and investors’ choice. While the</w:t>
      </w:r>
      <w:r>
        <w:t xml:space="preserve"> </w:t>
      </w:r>
      <w:r>
        <w:t xml:space="preserve">incumbent national exchanges remained dominant in equity trading, alternative trading venues</w:t>
      </w:r>
      <w:r>
        <w:t xml:space="preserve"> </w:t>
      </w:r>
      <w:r>
        <w:t xml:space="preserve">(in particular, Multilateral Trading Facilities, ‘MTF’) began to develop and put competitive</w:t>
      </w:r>
      <w:r>
        <w:t xml:space="preserve"> </w:t>
      </w:r>
      <w:r>
        <w:t xml:space="preserve">pressure on traditional stock exchanges. MTFs offer secondary trading in financial instruments</w:t>
      </w:r>
      <w:r>
        <w:t xml:space="preserve"> </w:t>
      </w:r>
      <w:r>
        <w:t xml:space="preserve">that are initially admitted to trading on other trading venues, such as regulated markets (‘RM’).</w:t>
      </w:r>
      <w:r>
        <w:t xml:space="preserve"> </w:t>
      </w:r>
      <w:r>
        <w:t xml:space="preserve">For single-name financial instruments, this means that there may be multiple liquidity pools.</w:t>
      </w:r>
      <w:r>
        <w:t xml:space="preserve"> </w:t>
      </w:r>
      <w:r>
        <w:t xml:space="preserve">In several cases, those pools of liquidity are located in more than one Member State,</w:t>
      </w:r>
      <w:r>
        <w:br/>
      </w:r>
      <w:r>
        <w:t xml:space="preserve">thus qualifying those instruments as cross-border instruments.187</w:t>
      </w:r>
      <w:r>
        <w:br/>
      </w:r>
      <w:r>
        <w:t xml:space="preserve">MiFID 2 further expanded the regulated multilateral space by adding the Organised Trading</w:t>
      </w:r>
      <w:r>
        <w:t xml:space="preserve"> </w:t>
      </w:r>
      <w:r>
        <w:t xml:space="preserve">Facility (‘OTF’) classification (specific for bonds and derivatives) and by introducing “SME</w:t>
      </w:r>
      <w:r>
        <w:t xml:space="preserve"> </w:t>
      </w:r>
      <w:r>
        <w:t xml:space="preserve">growth markets”, a type of MTF designed to ease access of smaller companies to public</w:t>
      </w:r>
      <w:r>
        <w:t xml:space="preserve"> </w:t>
      </w:r>
      <w:r>
        <w:t xml:space="preserve">markets.</w:t>
      </w:r>
      <w:r>
        <w:br/>
      </w:r>
      <w:r>
        <w:t xml:space="preserve">Under MiFID 2/MiFIR, most bilateral/over-the-counter (OTC) execution by investment firms</w:t>
      </w:r>
      <w:r>
        <w:t xml:space="preserve"> </w:t>
      </w:r>
      <w:r>
        <w:t xml:space="preserve">is regulated as an investment service. Since MiFID 1, investors also have the possibility</w:t>
      </w:r>
      <w:r>
        <w:br/>
      </w:r>
      <w:r>
        <w:t xml:space="preserve">to trade against the balance sheet of investment banks (at market risk) that act as dealers and</w:t>
      </w:r>
      <w:r>
        <w:t xml:space="preserve"> </w:t>
      </w:r>
      <w:r>
        <w:t xml:space="preserve">trade bilaterally (also known as ‘systematic internalisers’, ‘SIs’).</w:t>
      </w:r>
      <w:r>
        <w:br/>
      </w:r>
      <w:r>
        <w:t xml:space="preserve">These regulatory developments have led to a proliferation of venues where financial</w:t>
      </w:r>
      <w:r>
        <w:t xml:space="preserve"> </w:t>
      </w:r>
      <w:r>
        <w:t xml:space="preserve">instruments can be traded (execution venues). The total number of trading venues (‘TVs’)</w:t>
      </w:r>
    </w:p>
    <w:p>
      <w:pPr>
        <w:pStyle w:val="BodyText"/>
      </w:pPr>
      <w:r>
        <w:t xml:space="preserve">184 Directive 2004/39/EC of the European Parliament and of the Council of 21 April 2004 on markets in financial</w:t>
      </w:r>
      <w:r>
        <w:t xml:space="preserve"> </w:t>
      </w:r>
      <w:r>
        <w:t xml:space="preserve">instruments.</w:t>
      </w:r>
      <w:r>
        <w:br/>
      </w:r>
      <w:r>
        <w:t xml:space="preserve">185 Directive 2014/65/EU of the European Parliament and of the Council of 15 May 2014 on markets in financial</w:t>
      </w:r>
      <w:r>
        <w:t xml:space="preserve"> </w:t>
      </w:r>
      <w:r>
        <w:t xml:space="preserve">instruments.</w:t>
      </w:r>
      <w:r>
        <w:t xml:space="preserve"> </w:t>
      </w:r>
      <w:r>
        <w:t xml:space="preserve">186 Council Directive 93/22/EEC of 10 May 1993 on investment services in the securities field.</w:t>
      </w:r>
      <w:r>
        <w:t xml:space="preserve"> </w:t>
      </w:r>
      <w:r>
        <w:t xml:space="preserve">187 According to ESMA Securities Markets 2023, “For EEA bonds, 53,000 instruments or 70% of bonds issued in</w:t>
      </w:r>
      <w:r>
        <w:t xml:space="preserve"> </w:t>
      </w:r>
      <w:r>
        <w:t xml:space="preserve">the EEA were cross-border instruments in 2022. This proportion was even larger for EEA equity instruments, for</w:t>
      </w:r>
      <w:r>
        <w:t xml:space="preserve"> </w:t>
      </w:r>
      <w:r>
        <w:t xml:space="preserve">which 10,200 out of the 12,100 EEA equity instruments available for trading were cross-border instruments in</w:t>
      </w:r>
      <w:r>
        <w:t xml:space="preserve"> </w:t>
      </w:r>
      <w:r>
        <w:t xml:space="preserve">2022”.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in the EEA, at segment MIC level188, reached 330 at the end of 2024 and 314 - in the EU.</w:t>
      </w:r>
      <w:r>
        <w:t xml:space="preserve"> </w:t>
      </w:r>
      <w:r>
        <w:t xml:space="preserve">Among EEA TVs, there are 130 (119 in the EU) RMs, 170 (165 in the EU) MTFs and 30</w:t>
      </w:r>
      <w:r>
        <w:t xml:space="preserve"> </w:t>
      </w:r>
      <w:r>
        <w:t xml:space="preserve">OTFs.189</w:t>
      </w:r>
      <w:r>
        <w:t xml:space="preserve"> </w:t>
      </w:r>
      <w:r>
        <w:t xml:space="preserve">In addition to TVs, there are 173 (167 in the EU) SIs190</w:t>
      </w:r>
    </w:p>
    <w:p>
      <w:pPr>
        <w:pStyle w:val="BodyText"/>
      </w:pPr>
      <w:r>
        <w:t xml:space="preserve">Source: ESMA, MiFID dashboard 2024, MiFID dashboard 2024</w:t>
      </w:r>
      <w:r>
        <w:t xml:space="preserve"> </w:t>
      </w:r>
      <w:r>
        <w:t xml:space="preserve">Considering the number of trading venues, there is significant geographic concentration</w:t>
      </w:r>
      <w:r>
        <w:br/>
      </w:r>
      <w:r>
        <w:t xml:space="preserve">of TVs, with three Member States (Germany, the Netherlands and Sweden) being home to 41.2</w:t>
      </w:r>
      <w:r>
        <w:t xml:space="preserve"> </w:t>
      </w:r>
      <w:r>
        <w:t xml:space="preserve">% of all TVs.</w:t>
      </w:r>
    </w:p>
    <w:p>
      <w:pPr>
        <w:pStyle w:val="BodyText"/>
      </w:pPr>
      <w:r>
        <w:t xml:space="preserve">188 In the context of this analysis, trading venues are identified at segment MIC level. Segment MICs are often</w:t>
      </w:r>
      <w:r>
        <w:t xml:space="preserve"> </w:t>
      </w:r>
      <w:r>
        <w:t xml:space="preserve">used to distinguish different trading systems and/or different financial instruments. This allows for a precise</w:t>
      </w:r>
      <w:r>
        <w:t xml:space="preserve"> </w:t>
      </w:r>
      <w:r>
        <w:t xml:space="preserve">identification of trading facilities by market type, in instances in which the same market operator runs both a RM</w:t>
      </w:r>
      <w:r>
        <w:t xml:space="preserve"> </w:t>
      </w:r>
      <w:r>
        <w:t xml:space="preserve">and an MTF, for example.</w:t>
      </w:r>
      <w:r>
        <w:t xml:space="preserve"> </w:t>
      </w:r>
      <w:r>
        <w:t xml:space="preserve">189 As a comparison, there are 36 exchanges and 77 alternative trading systems in the United States as officially</w:t>
      </w:r>
      <w:r>
        <w:t xml:space="preserve"> </w:t>
      </w:r>
      <w:r>
        <w:t xml:space="preserve">registered within the SEC.</w:t>
      </w:r>
      <w:r>
        <w:t xml:space="preserve"> </w:t>
      </w:r>
      <w:r>
        <w:t xml:space="preserve">190 Only 11 investment firms registered as SIs under MiFID 1, UK firms included.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Source: ESMA, MiFID dashboard 2024, MiFID dashboard 2024</w:t>
      </w:r>
      <w:r>
        <w:t xml:space="preserve"> </w:t>
      </w:r>
      <w:r>
        <w:t xml:space="preserve">The level of concentration in terms of number of venues remains similar when including</w:t>
      </w:r>
      <w:r>
        <w:br/>
      </w:r>
      <w:r>
        <w:t xml:space="preserve">also SIs, with the top three Member States (Germany, the Netherlands and France)</w:t>
      </w:r>
      <w:r>
        <w:br/>
      </w:r>
      <w:r>
        <w:t xml:space="preserve">being home to the 40.7 % of all SIs.</w:t>
      </w:r>
    </w:p>
    <w:p>
      <w:pPr>
        <w:pStyle w:val="BodyText"/>
      </w:pPr>
      <w:r>
        <w:t xml:space="preserve">Source: ESMA, MiFID dashboard 2024, MiFID dashboard 2024</w:t>
      </w:r>
      <w:r>
        <w:t xml:space="preserve"> </w:t>
      </w:r>
      <w:r>
        <w:t xml:space="preserve">Not all of these execution venues operate independently from each other. There have been</w:t>
      </w:r>
      <w:r>
        <w:t xml:space="preserve"> </w:t>
      </w:r>
      <w:r>
        <w:t xml:space="preserve">several market-led initiatives that pursued horizontal consolidation. To better assess the actual</w:t>
      </w:r>
      <w:r>
        <w:t xml:space="preserve"> </w:t>
      </w:r>
      <w:r>
        <w:t xml:space="preserve">level of fragmentation, it is therefore worth considering the existence and extent</w:t>
      </w:r>
      <w:r>
        <w:br/>
      </w:r>
      <w:r>
        <w:t xml:space="preserve">of consolidation of ca. fifty groups that, in some cases, comprise several trading venues located</w:t>
      </w:r>
      <w:r>
        <w:t xml:space="preserve"> </w:t>
      </w:r>
      <w:r>
        <w:t xml:space="preserve">in different Member States.</w:t>
      </w:r>
      <w:r>
        <w:br/>
      </w:r>
      <w:r>
        <w:t xml:space="preserve">Within those groups, there are several market operators established in different EEA States,</w:t>
      </w:r>
      <w:r>
        <w:br/>
      </w:r>
      <w:r>
        <w:t xml:space="preserve">all controlled by the same parent company. For example, Euronext operates several trading</w:t>
      </w:r>
      <w:r>
        <w:t xml:space="preserve"> </w:t>
      </w:r>
      <w:r>
        <w:t xml:space="preserve">venues (51 at segment MIC level) in seven countries (Belgium, France, Ireland, Italy, Norway,</w:t>
      </w:r>
      <w:r>
        <w:t xml:space="preserve"> </w:t>
      </w:r>
      <w:r>
        <w:t xml:space="preserve">Portugal and the Netherlands). Nasdaq operates several trading venues (53 at segment MIC</w:t>
      </w:r>
      <w:r>
        <w:t xml:space="preserve"> </w:t>
      </w:r>
      <w:r>
        <w:t xml:space="preserve">level) in eight countries (Denmark, Estonia, Finland, Iceland, Latvia, Lithuania, Norway</w:t>
      </w:r>
      <w:r>
        <w:br/>
      </w:r>
      <w:r>
        <w:t xml:space="preserve">and Sweden). Despite functioning separately (e.g., separate order books), trading venues that</w:t>
      </w:r>
      <w:r>
        <w:t xml:space="preserve"> </w:t>
      </w:r>
      <w:r>
        <w:t xml:space="preserve">are part of the same group often share a single technology trading platform and, to the extent</w:t>
      </w:r>
      <w:r>
        <w:t xml:space="preserve"> </w:t>
      </w:r>
      <w:r>
        <w:t xml:space="preserve">possible considering the current legislative framework, a single rulebook.191 This approach</w:t>
      </w:r>
      <w:r>
        <w:t xml:space="preserve"> </w:t>
      </w:r>
      <w:r>
        <w:t xml:space="preserve">seeks to reduce operational costs and, potentially, increase markets’ accessibility by users</w:t>
      </w:r>
      <w:r>
        <w:t xml:space="preserve"> </w:t>
      </w:r>
      <w:r>
        <w:t xml:space="preserve">located in different Member States. Outside groups’ structures, similar objectives are pursued</w:t>
      </w:r>
      <w:r>
        <w:t xml:space="preserve"> </w:t>
      </w:r>
      <w:r>
        <w:t xml:space="preserve">through the sharing of technology by larger players in favour of smaller ones on a commercial</w:t>
      </w:r>
      <w:r>
        <w:t xml:space="preserve"> </w:t>
      </w:r>
      <w:r>
        <w:t xml:space="preserve">basis.192</w:t>
      </w:r>
      <w:r>
        <w:br/>
      </w:r>
      <w:r>
        <w:t xml:space="preserve">The set-up of the post-trading sector has also implications on the fragmentation in the trading</w:t>
      </w:r>
      <w:r>
        <w:t xml:space="preserve"> </w:t>
      </w:r>
      <w:r>
        <w:t xml:space="preserve">sphere. In absence of a full interoperability with Central Securities Depositories (‘CSDs’),</w:t>
      </w:r>
    </w:p>
    <w:p>
      <w:pPr>
        <w:pStyle w:val="BodyText"/>
      </w:pPr>
      <w:r>
        <w:t xml:space="preserve">191 For example, this is the model applied by Euronext and Nasdaq.</w:t>
      </w:r>
      <w:r>
        <w:br/>
      </w:r>
      <w:r>
        <w:t xml:space="preserve">192 For example, Deutsche Börse’ T7 platform is used by several exchanges in central and southern Europe.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the ability of a broker to trade the same instruments cross-venues is reduced while also being</w:t>
      </w:r>
      <w:r>
        <w:t xml:space="preserve"> </w:t>
      </w:r>
      <w:r>
        <w:t xml:space="preserve">costlier, keeping those pools of liquidity separate and not directly accessible by a vast majority</w:t>
      </w:r>
      <w:r>
        <w:t xml:space="preserve"> </w:t>
      </w:r>
      <w:r>
        <w:t xml:space="preserve">of market participants. To settle transactions, a transfer from the securities account held by the</w:t>
      </w:r>
      <w:r>
        <w:t xml:space="preserve"> </w:t>
      </w:r>
      <w:r>
        <w:t xml:space="preserve">issuer’s CSD is needed. To settle a transaction, where an investor has its own securities account</w:t>
      </w:r>
      <w:r>
        <w:t xml:space="preserve"> </w:t>
      </w:r>
      <w:r>
        <w:t xml:space="preserve">in a CSD other than the issuer’s CSD (so-called investor’s CSD), links should</w:t>
      </w:r>
      <w:r>
        <w:br/>
      </w:r>
      <w:r>
        <w:t xml:space="preserve">be in place between those two CSD. The absence of those links forces market participants using</w:t>
      </w:r>
      <w:r>
        <w:t xml:space="preserve"> </w:t>
      </w:r>
      <w:r>
        <w:t xml:space="preserve">more expensive settlement options (such as going via a chain of intermediaries/custodians</w:t>
      </w:r>
      <w:r>
        <w:br/>
      </w:r>
      <w:r>
        <w:t xml:space="preserve">or, alternatively, simultaneously setting up and maintaining accounts in multiple CSDs), which</w:t>
      </w:r>
      <w:r>
        <w:t xml:space="preserve"> </w:t>
      </w:r>
      <w:r>
        <w:t xml:space="preserve">ultimately discourages brokers from cross-venue trading (i.e. trading across multiple venues).</w:t>
      </w:r>
      <w:r>
        <w:br/>
      </w:r>
      <w:r>
        <w:t xml:space="preserve">A similar problem exists at the level of clearing, where clearing of trades occurring on a given</w:t>
      </w:r>
      <w:r>
        <w:t xml:space="preserve"> </w:t>
      </w:r>
      <w:r>
        <w:t xml:space="preserve">venue will only be possible on a selected number of Central Counterparties (‘CCPs’),</w:t>
      </w:r>
      <w:r>
        <w:br/>
      </w:r>
      <w:r>
        <w:t xml:space="preserve">which are themselves not necessarily interoperable. In addition, the absence of interoperability</w:t>
      </w:r>
      <w:r>
        <w:t xml:space="preserve"> </w:t>
      </w:r>
      <w:r>
        <w:t xml:space="preserve">prevents a clearing member (and by proxy the broker) to cross margins positions.</w:t>
      </w:r>
      <w:r>
        <w:br/>
      </w:r>
      <w:r>
        <w:t xml:space="preserve">Therefore, the need to establish proper post-trade arrangements, which are sometimes specific</w:t>
      </w:r>
      <w:r>
        <w:t xml:space="preserve"> </w:t>
      </w:r>
      <w:r>
        <w:t xml:space="preserve">to each trading venue also has a direct impact on the ability to integrate pools of liquidity,</w:t>
      </w:r>
      <w:r>
        <w:br/>
      </w:r>
      <w:r>
        <w:t xml:space="preserve">on the clearing costs, as well as navigating such pools in an efficient manner.</w:t>
      </w:r>
      <w:r>
        <w:br/>
      </w:r>
      <w:r>
        <w:t xml:space="preserve">Pan-European trading venues (i.e. trading venues offering trading in financial instruments that</w:t>
      </w:r>
      <w:r>
        <w:t xml:space="preserve"> </w:t>
      </w:r>
      <w:r>
        <w:t xml:space="preserve">are initially admitted to trading on other trading venues, often in a different Member State)</w:t>
      </w:r>
      <w:r>
        <w:t xml:space="preserve"> </w:t>
      </w:r>
      <w:r>
        <w:t xml:space="preserve">have emerged as a possible model to tackle the issue of access to a pan-European range</w:t>
      </w:r>
      <w:r>
        <w:br/>
      </w:r>
      <w:r>
        <w:t xml:space="preserve">of instruments, notably in the equity space. From a user’s perspective, two limitations</w:t>
      </w:r>
      <w:r>
        <w:br/>
      </w:r>
      <w:r>
        <w:t xml:space="preserve">to the attractiveness of pan-European venues must however be highlighted:</w:t>
      </w:r>
      <w:r>
        <w:t xml:space="preserve"> </w:t>
      </w:r>
      <w:r>
        <w:t xml:space="preserve">(i)</w:t>
      </w:r>
      <w:r>
        <w:t xml:space="preserve"> </w:t>
      </w:r>
      <w:r>
        <w:t xml:space="preserve">While pan-European trading venues offer a solution as regards access to securities,</w:t>
      </w:r>
      <w:r>
        <w:t xml:space="preserve"> </w:t>
      </w:r>
      <w:r>
        <w:t xml:space="preserve">they still represent only one of several available pools of liquidity</w:t>
      </w:r>
      <w:r>
        <w:br/>
      </w:r>
      <w:r>
        <w:t xml:space="preserve">and not necessarily the deepest one. Therefore, those trading venues might not</w:t>
      </w:r>
      <w:r>
        <w:t xml:space="preserve"> </w:t>
      </w:r>
      <w:r>
        <w:t xml:space="preserve">always offer the best execution conditions to investors for a given share, compared</w:t>
      </w:r>
      <w:r>
        <w:t xml:space="preserve"> </w:t>
      </w:r>
      <w:r>
        <w:t xml:space="preserve">to the home domestic market or to any other execution venue.</w:t>
      </w:r>
      <w:r>
        <w:br/>
      </w:r>
      <w:r>
        <w:t xml:space="preserve">(ii)</w:t>
      </w:r>
      <w:r>
        <w:t xml:space="preserve"> </w:t>
      </w:r>
      <w:r>
        <w:t xml:space="preserve">This model does not offer a solution to the fragmentation of the post-trade</w:t>
      </w:r>
      <w:r>
        <w:t xml:space="preserve"> </w:t>
      </w:r>
      <w:r>
        <w:t xml:space="preserve">infrastructure. This implies that entities trading on pan-European venues still need</w:t>
      </w:r>
      <w:r>
        <w:t xml:space="preserve"> </w:t>
      </w:r>
      <w:r>
        <w:t xml:space="preserve">to be directly or indirectly connected to the issuer’s CSD of each equity instrument</w:t>
      </w:r>
      <w:r>
        <w:t xml:space="preserve"> </w:t>
      </w:r>
      <w:r>
        <w:t xml:space="preserve">they trade on those platforms. It also does not solve the situation where multiple</w:t>
      </w:r>
      <w:r>
        <w:t xml:space="preserve"> </w:t>
      </w:r>
      <w:r>
        <w:t xml:space="preserve">CCP membership is necessary due to the absence of interoperability arrangements</w:t>
      </w:r>
      <w:r>
        <w:t xml:space="preserve"> </w:t>
      </w:r>
      <w:r>
        <w:t xml:space="preserve">between CCPs (e.g., in the case where the CCP on a given pan-European platform</w:t>
      </w:r>
      <w:r>
        <w:t xml:space="preserve"> </w:t>
      </w:r>
      <w:r>
        <w:t xml:space="preserve">is not allowed to clear trades on an incumbent venue on an interoperable basis).</w:t>
      </w:r>
      <w:r>
        <w:t xml:space="preserve"> </w:t>
      </w:r>
      <w:r>
        <w:t xml:space="preserve">Lastly, it is noteworthy that such pan-European platforms usually focus on the most liquid</w:t>
      </w:r>
      <w:r>
        <w:t xml:space="preserve"> </w:t>
      </w:r>
      <w:r>
        <w:t xml:space="preserve">instruments. As a result, shares issued by smaller issuers might not benefit from the emergence</w:t>
      </w:r>
      <w:r>
        <w:t xml:space="preserve"> </w:t>
      </w:r>
      <w:r>
        <w:t xml:space="preserve">of those platforms.</w:t>
      </w:r>
      <w:r>
        <w:t xml:space="preserve"> </w:t>
      </w:r>
      <w:r>
        <w:t xml:space="preserve">Therefore, the emergence of pan-EU trading platforms can only partially address the issue</w:t>
      </w:r>
      <w:r>
        <w:br/>
      </w:r>
      <w:r>
        <w:t xml:space="preserve">of fragmentation in the trading area. Having access to a variety of trading venues therefore still</w:t>
      </w:r>
      <w:r>
        <w:t xml:space="preserve"> </w:t>
      </w:r>
      <w:r>
        <w:t xml:space="preserve">remains instrumental to having access to the widest possible range of financial instruments,</w:t>
      </w:r>
      <w:r>
        <w:t xml:space="preserve"> </w:t>
      </w:r>
      <w:r>
        <w:t xml:space="preserve">and in offering optimal execution quality to end-clients.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1.2. CURRENT REGULATORY APPROACH TO CROSS-BORDER OPERATIONS OF TRADING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The proliferation of trading venues led to subsequent consolidation among those venues.</w:t>
      </w:r>
      <w:r>
        <w:br/>
      </w:r>
      <w:r>
        <w:t xml:space="preserve">This has culminated notably in the emergence of two large trading infrastructure groups</w:t>
      </w:r>
      <w:r>
        <w:br/>
      </w:r>
      <w:r>
        <w:t xml:space="preserve">in the EU. While the creation of groups did not address all regulatory and non-regulatory</w:t>
      </w:r>
      <w:r>
        <w:t xml:space="preserve"> </w:t>
      </w:r>
      <w:r>
        <w:t xml:space="preserve">barriers to cross-border operation, as further explained below, at the very least, it sought</w:t>
      </w:r>
      <w:r>
        <w:br/>
      </w:r>
      <w:r>
        <w:t xml:space="preserve">to attenuate their impact.</w:t>
      </w:r>
      <w:r>
        <w:t xml:space="preserve"> </w:t>
      </w:r>
      <w:r>
        <w:t xml:space="preserve">In general, entities or groups operating across borders can rely on two main types</w:t>
      </w:r>
      <w:r>
        <w:br/>
      </w:r>
      <w:r>
        <w:t xml:space="preserve">of organisational arrangement:</w:t>
      </w:r>
      <w:r>
        <w:t xml:space="preserve"> </w:t>
      </w:r>
      <w:r>
        <w:t xml:space="preserve">-</w:t>
      </w:r>
      <w:r>
        <w:t xml:space="preserve"> </w:t>
      </w:r>
      <w:r>
        <w:t xml:space="preserve">the subsidiary model (relying on multiple licences), where entities establish</w:t>
      </w:r>
      <w:r>
        <w:t xml:space="preserve"> </w:t>
      </w:r>
      <w:r>
        <w:t xml:space="preserve">separate</w:t>
      </w:r>
      <w:r>
        <w:t xml:space="preserve"> </w:t>
      </w:r>
      <w:r>
        <w:t xml:space="preserve">subsidiaries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operation,</w:t>
      </w:r>
      <w:r>
        <w:t xml:space="preserve"> </w:t>
      </w:r>
      <w:r>
        <w:t xml:space="preserve">resulting</w:t>
      </w:r>
      <w:r>
        <w:br/>
      </w:r>
      <w:r>
        <w:t xml:space="preserve">in a group of independent entities, each subject to local authorisation requirements</w:t>
      </w:r>
      <w:r>
        <w:t xml:space="preserve"> </w:t>
      </w:r>
      <w:r>
        <w:t xml:space="preserve">and supervision;</w:t>
      </w:r>
      <w:r>
        <w:t xml:space="preserve"> </w:t>
      </w:r>
      <w:r>
        <w:t xml:space="preserve">-</w:t>
      </w:r>
      <w:r>
        <w:t xml:space="preserve"> </w:t>
      </w:r>
      <w:r>
        <w:t xml:space="preserve">the passporting model (relying on a single licence), where entities obtain</w:t>
      </w:r>
      <w:r>
        <w:t xml:space="preserve"> </w:t>
      </w:r>
      <w:r>
        <w:t xml:space="preserve">authorisation in one Member State and leverage the EU’s freedom to provide</w:t>
      </w:r>
      <w:r>
        <w:t xml:space="preserve"> </w:t>
      </w:r>
      <w:r>
        <w:t xml:space="preserve">services or freedom of establishment to operate in other Member States,</w:t>
      </w:r>
      <w:r>
        <w:br/>
      </w:r>
      <w:r>
        <w:t xml:space="preserve">without the need to establish a dedicated, locally authorised entity</w:t>
      </w:r>
      <w:r>
        <w:br/>
      </w:r>
      <w:r>
        <w:t xml:space="preserve">(one entity with one license offering its services in multiple Member States).</w:t>
      </w:r>
      <w:r>
        <w:t xml:space="preserve"> </w:t>
      </w:r>
      <w:r>
        <w:t xml:space="preserve">These two approaches differ fundamentally, as they involve distinct corporate structures,</w:t>
      </w:r>
      <w:r>
        <w:t xml:space="preserve"> </w:t>
      </w:r>
      <w:r>
        <w:t xml:space="preserve">licensing requirements, and supervisory arrangements, giving rise to varying regulatory</w:t>
      </w:r>
      <w:r>
        <w:t xml:space="preserve"> </w:t>
      </w:r>
      <w:r>
        <w:t xml:space="preserve">expectations and obligations.</w:t>
      </w:r>
      <w:r>
        <w:t xml:space="preserve"> </w:t>
      </w:r>
      <w:r>
        <w:t xml:space="preserve">As regards the first type of organisational arrangement (groups), the existing regulatory</w:t>
      </w:r>
      <w:r>
        <w:t xml:space="preserve"> </w:t>
      </w:r>
      <w:r>
        <w:t xml:space="preserve">framework falls short in addressing the unique needs of entities operating across multiple</w:t>
      </w:r>
      <w:r>
        <w:t xml:space="preserve"> </w:t>
      </w:r>
      <w:r>
        <w:t xml:space="preserve">Member States. Notably, the MiFID 2 framework does not fully recognise the operational</w:t>
      </w:r>
      <w:r>
        <w:t xml:space="preserve"> </w:t>
      </w:r>
      <w:r>
        <w:t xml:space="preserve">specificities of groups of financial market infrastructures, their distinct needs, or the potential</w:t>
      </w:r>
      <w:r>
        <w:t xml:space="preserve"> </w:t>
      </w:r>
      <w:r>
        <w:t xml:space="preserve">economies of scale that could be harnessed. The allocation of resources within a group is still</w:t>
      </w:r>
      <w:r>
        <w:t xml:space="preserve"> </w:t>
      </w:r>
      <w:r>
        <w:t xml:space="preserve">subject to default outsourcing rules (i.e. the rules that are equally applicable to the outsourcing</w:t>
      </w:r>
      <w:r>
        <w:t xml:space="preserve"> </w:t>
      </w:r>
      <w:r>
        <w:t xml:space="preserve">to completely independent legal entities), and each delegation of tasks between group entities</w:t>
      </w:r>
      <w:r>
        <w:t xml:space="preserve"> </w:t>
      </w:r>
      <w:r>
        <w:t xml:space="preserve">is treated as a third-party outsourcing arrangement, despite being part of the same corporate</w:t>
      </w:r>
      <w:r>
        <w:t xml:space="preserve"> </w:t>
      </w:r>
      <w:r>
        <w:t xml:space="preserve">structure under the oversight of a single parent company. This oversight fails to account</w:t>
      </w:r>
      <w:r>
        <w:br/>
      </w:r>
      <w:r>
        <w:t xml:space="preserve">for the inherent differences between intra-group allocation of resources and outsourcing to third</w:t>
      </w:r>
      <w:r>
        <w:t xml:space="preserve"> </w:t>
      </w:r>
      <w:r>
        <w:t xml:space="preserve">parties outside the group.</w:t>
      </w:r>
      <w:r>
        <w:t xml:space="preserve"> </w:t>
      </w:r>
      <w:r>
        <w:t xml:space="preserve">There are also important shortcomings with regard to the functioning of the passporting model.</w:t>
      </w:r>
      <w:r>
        <w:t xml:space="preserve"> </w:t>
      </w:r>
      <w:r>
        <w:t xml:space="preserve">The use of the passporting model is currently complicated by the persisting fragmentation</w:t>
      </w:r>
      <w:r>
        <w:br/>
      </w:r>
      <w:r>
        <w:t xml:space="preserve">of the regulatory framework for trading venues due to national divergences (as well as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divergent level of supervisory oversight193). The transposition of MiFID 2 requirements into</w:t>
      </w:r>
      <w:r>
        <w:t xml:space="preserve"> </w:t>
      </w:r>
      <w:r>
        <w:t xml:space="preserve">national legislation has resulted in varying interpretations and implementations across Member</w:t>
      </w:r>
      <w:r>
        <w:t xml:space="preserve"> </w:t>
      </w:r>
      <w:r>
        <w:t xml:space="preserve">States, with some introducing additional requirements at the national level to address areas not</w:t>
      </w:r>
      <w:r>
        <w:t xml:space="preserve"> </w:t>
      </w:r>
      <w:r>
        <w:t xml:space="preserve">covered by EU law. This fragmentation is particularly pronounced for RMs, which are subject</w:t>
      </w:r>
      <w:r>
        <w:t xml:space="preserve"> </w:t>
      </w:r>
      <w:r>
        <w:t xml:space="preserve">to comprehensive and dedicated national rulebooks, as well as distinct national approaches to</w:t>
      </w:r>
      <w:r>
        <w:t xml:space="preserve"> </w:t>
      </w:r>
      <w:r>
        <w:t xml:space="preserve">implementing EU legislation, leading to a complex and still non fully harmonised regulatory</w:t>
      </w:r>
      <w:r>
        <w:t xml:space="preserve"> </w:t>
      </w:r>
      <w:r>
        <w:t xml:space="preserve">landscape.</w:t>
      </w:r>
      <w:r>
        <w:t xml:space="preserve"> </w:t>
      </w:r>
      <w:r>
        <w:t xml:space="preserve">It is also worth noting that, unlike what exists for investment firms operating an MTF/OTF,</w:t>
      </w:r>
      <w:r>
        <w:br/>
      </w:r>
      <w:r>
        <w:t xml:space="preserve">the framework applicable to RMs does not contain similar explicit provisions relating</w:t>
      </w:r>
      <w:r>
        <w:br/>
      </w:r>
      <w:r>
        <w:t xml:space="preserve">to the rights of RMs as regards the provision of cross-border services in the Union on the basis</w:t>
      </w:r>
      <w:r>
        <w:t xml:space="preserve"> </w:t>
      </w:r>
      <w:r>
        <w:t xml:space="preserve">of their initial license, that is to say the freedom to provide services (Article 34 for investment</w:t>
      </w:r>
      <w:r>
        <w:t xml:space="preserve"> </w:t>
      </w:r>
      <w:r>
        <w:t xml:space="preserve">firms) or the establishment of a branch (Article 35). This gap or, at the very least, lack of clarity,</w:t>
      </w:r>
      <w:r>
        <w:t xml:space="preserve"> </w:t>
      </w:r>
      <w:r>
        <w:t xml:space="preserve">has a direct impact on the capacity of regulated markets and their operators to seamlessly</w:t>
      </w:r>
      <w:r>
        <w:t xml:space="preserve"> </w:t>
      </w:r>
      <w:r>
        <w:t xml:space="preserve">operate across borders, and is conducive to the preservation of local entities in Member States</w:t>
      </w:r>
      <w:r>
        <w:t xml:space="preserve"> </w:t>
      </w:r>
      <w:r>
        <w:t xml:space="preserve">(persistence of the group model). Those problems are further described in the dedicated section</w:t>
      </w:r>
      <w:r>
        <w:t xml:space="preserve"> </w:t>
      </w:r>
      <w:r>
        <w:t xml:space="preserve">below.</w:t>
      </w:r>
      <w:r>
        <w:t xml:space="preserve"> </w:t>
      </w:r>
      <w:r>
        <w:t xml:space="preserve">Therefore, the EU regulatory framework currently falls short of fully addressing the operational</w:t>
      </w:r>
      <w:r>
        <w:t xml:space="preserve"> </w:t>
      </w:r>
      <w:r>
        <w:t xml:space="preserve">needs of groups and infrastructure entities operating cross-border. As a result, and as further</w:t>
      </w:r>
      <w:r>
        <w:t xml:space="preserve"> </w:t>
      </w:r>
      <w:r>
        <w:t xml:space="preserve">described below, efforts to consolidate and rationalise the trading venue landscape,</w:t>
      </w:r>
      <w:r>
        <w:br/>
      </w:r>
      <w:r>
        <w:t xml:space="preserve">or to leverage synergies within groups, carried out by EU operators in the past, have failed</w:t>
      </w:r>
      <w:r>
        <w:br/>
      </w:r>
      <w:r>
        <w:t xml:space="preserve">to fully deliver the expected outcomes for end-users. Furthermore, this inability to ensure</w:t>
      </w:r>
      <w:r>
        <w:t xml:space="preserve"> </w:t>
      </w:r>
      <w:r>
        <w:t xml:space="preserve">effective consolidation on the operators’ side was not mitigated by easier access to liquidity</w:t>
      </w:r>
      <w:r>
        <w:br/>
      </w:r>
      <w:r>
        <w:t xml:space="preserve">of users who continue to face difficulties in accessing multiple trading venues (and pools</w:t>
      </w:r>
      <w:r>
        <w:br/>
      </w:r>
      <w:r>
        <w:t xml:space="preserve">and liquidity) in a cost-efficient manner.</w:t>
      </w:r>
      <w:r>
        <w:t xml:space="preserve"> </w:t>
      </w:r>
      <w:r>
        <w:t xml:space="preserve">1.3. ACCESSING LIQUIDITY POOLS IN THE UNION: CURRENT MARKET PRACTICES</w:t>
      </w:r>
      <w:r>
        <w:t xml:space="preserve"> </w:t>
      </w:r>
      <w:r>
        <w:t xml:space="preserve">From a user’s perspective, the corollary to the fragmentation of the EU trading landscape is the</w:t>
      </w:r>
      <w:r>
        <w:t xml:space="preserve"> </w:t>
      </w:r>
      <w:r>
        <w:t xml:space="preserve">necessary arrangements that need to be put in place to effectively access, directly or indirectly,</w:t>
      </w:r>
      <w:r>
        <w:t xml:space="preserve"> </w:t>
      </w:r>
      <w:r>
        <w:t xml:space="preserve">all the trading venues needed for their activities. Access to trading venues can be done either</w:t>
      </w:r>
      <w:r>
        <w:t xml:space="preserve"> </w:t>
      </w:r>
      <w:r>
        <w:t xml:space="preserve">directly, through direct membership, or indirectly, via intermediaries. Both paths entail specific</w:t>
      </w:r>
      <w:r>
        <w:t xml:space="preserve"> </w:t>
      </w:r>
      <w:r>
        <w:t xml:space="preserve">procedures, costs and challenges outlined below.</w:t>
      </w:r>
      <w:r>
        <w:br/>
      </w:r>
      <w:r>
        <w:t xml:space="preserve">Direct access to trading venues necessitates a multitude of arrangements, making it a complex</w:t>
      </w:r>
      <w:r>
        <w:t xml:space="preserve"> </w:t>
      </w:r>
      <w:r>
        <w:t xml:space="preserve">and costly access route. The process of establishing direct connection entails several critical</w:t>
      </w:r>
      <w:r>
        <w:t xml:space="preserve"> </w:t>
      </w:r>
      <w:r>
        <w:t xml:space="preserve">steps, including:</w:t>
      </w:r>
      <w:r>
        <w:t xml:space="preserve"> </w:t>
      </w:r>
      <w:r>
        <w:t xml:space="preserve">-</w:t>
      </w:r>
      <w:r>
        <w:t xml:space="preserve"> </w:t>
      </w:r>
      <w:r>
        <w:t xml:space="preserve">undergoing assessments conducted by trading venues on organizational aspects,</w:t>
      </w:r>
      <w:r>
        <w:br/>
      </w:r>
      <w:r>
        <w:t xml:space="preserve">such as knowledge and experience evaluations, which are verified by each venue upon</w:t>
      </w:r>
      <w:r>
        <w:t xml:space="preserve"> </w:t>
      </w:r>
      <w:r>
        <w:t xml:space="preserve">each membership application;</w:t>
      </w:r>
    </w:p>
    <w:p>
      <w:pPr>
        <w:pStyle w:val="BodyText"/>
      </w:pPr>
      <w:r>
        <w:t xml:space="preserve">193 See Annex 11 for more detail on the currently fragmented supervisory setting.</w:t>
      </w:r>
    </w:p>
    <w:bookmarkStart w:id="9" w:name="section"/>
    <w:p>
      <w:pPr>
        <w:pStyle w:val="Heading2"/>
      </w:pPr>
      <w:r>
        <w:t xml:space="preserve">169</w:t>
      </w:r>
    </w:p>
    <w:p>
      <w:pPr>
        <w:pStyle w:val="FirstParagraph"/>
      </w:pPr>
      <w:r>
        <w:t xml:space="preserve">establishing physical/hardware connections to the technical systems operated by those</w:t>
      </w:r>
      <w:r>
        <w:t xml:space="preserve"> </w:t>
      </w:r>
      <w:r>
        <w:t xml:space="preserve">venues;</w:t>
      </w:r>
      <w:r>
        <w:t xml:space="preserve"> </w:t>
      </w:r>
      <w:r>
        <w:t xml:space="preserve">-</w:t>
      </w:r>
      <w:r>
        <w:t xml:space="preserve"> </w:t>
      </w:r>
      <w:r>
        <w:t xml:space="preserve">ensuring compatibility with the software applications utilised by each venue,</w:t>
      </w:r>
      <w:r>
        <w:t xml:space="preserve"> </w:t>
      </w:r>
      <w:r>
        <w:t xml:space="preserve">specifically their communication protocols, and implementing necessary Information</w:t>
      </w:r>
      <w:r>
        <w:t xml:space="preserve"> </w:t>
      </w:r>
      <w:r>
        <w:t xml:space="preserve">Technology (IT) upgrades;</w:t>
      </w:r>
      <w:r>
        <w:t xml:space="preserve"> </w:t>
      </w:r>
      <w:r>
        <w:t xml:space="preserve">-</w:t>
      </w:r>
      <w:r>
        <w:t xml:space="preserve"> </w:t>
      </w:r>
      <w:r>
        <w:t xml:space="preserve">remitting membership, connection, and other fees associated with access</w:t>
      </w:r>
      <w:r>
        <w:br/>
      </w:r>
      <w:r>
        <w:t xml:space="preserve">to these venues; and</w:t>
      </w:r>
      <w:r>
        <w:t xml:space="preserve"> </w:t>
      </w:r>
      <w:r>
        <w:t xml:space="preserve">-</w:t>
      </w:r>
      <w:r>
        <w:t xml:space="preserve"> </w:t>
      </w:r>
      <w:r>
        <w:t xml:space="preserve">implementing requisite post-trade arrangements to facilitate clearing and settlement</w:t>
      </w:r>
      <w:r>
        <w:br/>
      </w:r>
      <w:r>
        <w:t xml:space="preserve">of transactions executed on these venues.</w:t>
      </w:r>
      <w:r>
        <w:t xml:space="preserve"> </w:t>
      </w:r>
      <w:r>
        <w:t xml:space="preserve">The cumulative burden and costs associated with compliance with these requirements have</w:t>
      </w:r>
      <w:r>
        <w:t xml:space="preserve"> </w:t>
      </w:r>
      <w:r>
        <w:t xml:space="preserve">given rise to the emergence of third-party service providers that facilitate the technological</w:t>
      </w:r>
      <w:r>
        <w:t xml:space="preserve"> </w:t>
      </w:r>
      <w:r>
        <w:t xml:space="preserve">aspects of direct connections to venues for entities that lack the capacity (or do not have enough</w:t>
      </w:r>
      <w:r>
        <w:t xml:space="preserve"> </w:t>
      </w:r>
      <w:r>
        <w:t xml:space="preserve">resources) to develop proprietary hardware and software connection solutions. While</w:t>
      </w:r>
      <w:r>
        <w:t xml:space="preserve"> </w:t>
      </w:r>
      <w:r>
        <w:t xml:space="preserve">membership remains the responsibility of the member, these service providers offer software</w:t>
      </w:r>
      <w:r>
        <w:t xml:space="preserve"> </w:t>
      </w:r>
      <w:r>
        <w:t xml:space="preserve">or hardware solutions that alleviate the technical complexities associated with direct access to</w:t>
      </w:r>
      <w:r>
        <w:t xml:space="preserve"> </w:t>
      </w:r>
      <w:r>
        <w:t xml:space="preserve">trading venues:</w:t>
      </w:r>
      <w:r>
        <w:br/>
      </w:r>
      <w:r>
        <w:t xml:space="preserve">-</w:t>
      </w:r>
      <w:r>
        <w:t xml:space="preserve"> </w:t>
      </w:r>
      <w:r>
        <w:t xml:space="preserve">Application Service Providers (ASPs) provide both hardware and software solutions;</w:t>
      </w:r>
      <w:r>
        <w:t xml:space="preserve"> </w:t>
      </w:r>
      <w:r>
        <w:t xml:space="preserve">-</w:t>
      </w:r>
      <w:r>
        <w:t xml:space="preserve"> </w:t>
      </w:r>
      <w:r>
        <w:t xml:space="preserve">Independent Software Vendors (ISVs) provide a software solution to ‘translate’ orders</w:t>
      </w:r>
      <w:r>
        <w:t xml:space="preserve"> </w:t>
      </w:r>
      <w:r>
        <w:t xml:space="preserve">to be compatible with each venue’s communication protocol, but do not handle physical</w:t>
      </w:r>
      <w:r>
        <w:t xml:space="preserve"> </w:t>
      </w:r>
      <w:r>
        <w:t xml:space="preserve">connections;</w:t>
      </w:r>
      <w:r>
        <w:t xml:space="preserve"> </w:t>
      </w:r>
      <w:r>
        <w:t xml:space="preserve">-</w:t>
      </w:r>
      <w:r>
        <w:t xml:space="preserve"> </w:t>
      </w:r>
      <w:r>
        <w:t xml:space="preserve">Extranet Service Providers (ESPs) provide the physical/hardware connection, but do</w:t>
      </w:r>
      <w:r>
        <w:t xml:space="preserve"> </w:t>
      </w:r>
      <w:r>
        <w:t xml:space="preserve">not provide any software solution.</w:t>
      </w:r>
    </w:p>
    <w:p>
      <w:pPr>
        <w:pStyle w:val="BodyText"/>
      </w:pPr>
      <w:r>
        <w:t xml:space="preserve">Figure 1: overview of the main types of third-party service providers offering technical</w:t>
      </w:r>
      <w:r>
        <w:t xml:space="preserve"> </w:t>
      </w:r>
      <w:r>
        <w:t xml:space="preserve">solutions for connection to trading venues</w:t>
      </w:r>
      <w:r>
        <w:t xml:space="preserve"> </w:t>
      </w:r>
      <w:r>
        <w:t xml:space="preserve">An alternative to direct connection is the use of indirect connection. Indirect connections</w:t>
      </w:r>
      <w:r>
        <w:br/>
      </w:r>
      <w:r>
        <w:t xml:space="preserve">are usually simpler and more cost-efficient in scenarios where trading volumes</w:t>
      </w:r>
      <w:r>
        <w:br/>
      </w:r>
      <w:r>
        <w:t xml:space="preserve">and downstream client demand do not warrant a direct connection to trading venues. In such</w:t>
      </w:r>
      <w:r>
        <w:t xml:space="preserve"> </w:t>
      </w:r>
      <w:r>
        <w:t xml:space="preserve">Application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(ASPs)</w:t>
      </w:r>
      <w:r>
        <w:t xml:space="preserve"> </w:t>
      </w:r>
      <w:r>
        <w:t xml:space="preserve">Harware</w:t>
      </w:r>
      <w:r>
        <w:t xml:space="preserve"> </w:t>
      </w:r>
      <w:r>
        <w:t xml:space="preserve">solution</w:t>
      </w:r>
      <w:r>
        <w:t xml:space="preserve"> </w:t>
      </w:r>
      <w:r>
        <w:t xml:space="preserve">Software</w:t>
      </w:r>
      <w:r>
        <w:t xml:space="preserve"> </w:t>
      </w:r>
      <w:r>
        <w:t xml:space="preserve">solution</w:t>
      </w:r>
      <w:r>
        <w:t xml:space="preserve"> </w:t>
      </w:r>
      <w:r>
        <w:t xml:space="preserve">Independent</w:t>
      </w:r>
      <w:r>
        <w:t xml:space="preserve"> </w:t>
      </w:r>
      <w:r>
        <w:t xml:space="preserve">Software Vendors</w:t>
      </w:r>
      <w:r>
        <w:t xml:space="preserve"> </w:t>
      </w:r>
      <w:r>
        <w:t xml:space="preserve">(ISVs)</w:t>
      </w:r>
      <w:r>
        <w:t xml:space="preserve"> </w:t>
      </w:r>
      <w:r>
        <w:t xml:space="preserve">NO</w:t>
      </w:r>
      <w:r>
        <w:t xml:space="preserve"> </w:t>
      </w:r>
      <w:r>
        <w:t xml:space="preserve">Hardware</w:t>
      </w:r>
      <w:r>
        <w:t xml:space="preserve"> </w:t>
      </w:r>
      <w:r>
        <w:t xml:space="preserve">solution</w:t>
      </w:r>
      <w:r>
        <w:t xml:space="preserve"> </w:t>
      </w:r>
      <w:r>
        <w:t xml:space="preserve">Software</w:t>
      </w:r>
      <w:r>
        <w:t xml:space="preserve"> </w:t>
      </w:r>
      <w:r>
        <w:t xml:space="preserve">solution</w:t>
      </w:r>
      <w:r>
        <w:t xml:space="preserve"> </w:t>
      </w:r>
      <w:r>
        <w:t xml:space="preserve">Extranet Service</w:t>
      </w:r>
      <w:r>
        <w:t xml:space="preserve"> </w:t>
      </w:r>
      <w:r>
        <w:t xml:space="preserve">Providers (ESPs)</w:t>
      </w:r>
      <w:r>
        <w:t xml:space="preserve"> </w:t>
      </w:r>
      <w:r>
        <w:t xml:space="preserve">Hardware</w:t>
      </w:r>
      <w:r>
        <w:t xml:space="preserve"> </w:t>
      </w:r>
      <w:r>
        <w:t xml:space="preserve">solution</w:t>
      </w:r>
      <w:r>
        <w:t xml:space="preserve"> </w:t>
      </w:r>
      <w:r>
        <w:t xml:space="preserve">NO</w:t>
      </w:r>
      <w:r>
        <w:t xml:space="preserve"> </w:t>
      </w:r>
      <w:r>
        <w:t xml:space="preserve">Software</w:t>
      </w:r>
      <w:r>
        <w:t xml:space="preserve"> </w:t>
      </w:r>
      <w:r>
        <w:t xml:space="preserve">solution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instances, brokers opt to leverage the services of intermediaries that possess membership status</w:t>
      </w:r>
      <w:r>
        <w:t xml:space="preserve"> </w:t>
      </w:r>
      <w:r>
        <w:t xml:space="preserve">with the requisite venues. Several modalities of indirect access exist, including:</w:t>
      </w:r>
      <w:r>
        <w:t xml:space="preserve"> </w:t>
      </w:r>
      <w:r>
        <w:t xml:space="preserve">-</w:t>
      </w:r>
      <w:r>
        <w:t xml:space="preserve"> </w:t>
      </w:r>
      <w:r>
        <w:t xml:space="preserve">Direct Electronic Access;</w:t>
      </w:r>
      <w:r>
        <w:t xml:space="preserve"> </w:t>
      </w:r>
      <w:r>
        <w:t xml:space="preserve">-</w:t>
      </w:r>
      <w:r>
        <w:t xml:space="preserve"> </w:t>
      </w:r>
      <w:r>
        <w:t xml:space="preserve">Brokerage services via prime brokers.</w:t>
      </w:r>
      <w:r>
        <w:t xml:space="preserve"> </w:t>
      </w:r>
      <w:r>
        <w:t xml:space="preserve">This indirect connection approach can offer brokers a more economical and streamlined means</w:t>
      </w:r>
      <w:r>
        <w:t xml:space="preserve"> </w:t>
      </w:r>
      <w:r>
        <w:t xml:space="preserve">of accessing trading venues, particularly in situations where the costs and complexities</w:t>
      </w:r>
      <w:r>
        <w:t xml:space="preserve"> </w:t>
      </w:r>
      <w:r>
        <w:t xml:space="preserve">associated with direct membership are prohibitively high.</w:t>
      </w:r>
      <w:r>
        <w:t xml:space="preserve"> </w:t>
      </w:r>
      <w:r>
        <w:t xml:space="preserve">-</w:t>
      </w:r>
      <w:r>
        <w:t xml:space="preserve"> </w:t>
      </w:r>
      <w:r>
        <w:t xml:space="preserve">Direct Electronic Access</w:t>
      </w:r>
      <w:r>
        <w:br/>
      </w:r>
      <w:r>
        <w:t xml:space="preserve">To ease cross-border connection to trading venues, while preserving market integrity, MiFID 2</w:t>
      </w:r>
      <w:r>
        <w:t xml:space="preserve"> </w:t>
      </w:r>
      <w:r>
        <w:t xml:space="preserve">introduced a comprehensive regime governing “Direct Electronic Access” to trading venues.</w:t>
      </w:r>
      <w:r>
        <w:t xml:space="preserve"> </w:t>
      </w:r>
      <w:r>
        <w:t xml:space="preserve">Pursuant to Article 4(1)(41) of MiFID 2, Direct Electronic Access includes both direct market</w:t>
      </w:r>
      <w:r>
        <w:t xml:space="preserve"> </w:t>
      </w:r>
      <w:r>
        <w:t xml:space="preserve">access and sponsored access.</w:t>
      </w:r>
      <w:r>
        <w:br/>
      </w:r>
      <w:r>
        <w:t xml:space="preserve">Direct market access (DMA) is an arrangement whereby a member, participant or client</w:t>
      </w:r>
      <w:r>
        <w:br/>
      </w:r>
      <w:r>
        <w:t xml:space="preserve">of a trading venue (the provider) allows a legal or natural person that is not a member,</w:t>
      </w:r>
      <w:r>
        <w:t xml:space="preserve"> </w:t>
      </w:r>
      <w:r>
        <w:t xml:space="preserve">participant or client of that trading venue to make use of its trading code (access) to directly</w:t>
      </w:r>
      <w:r>
        <w:t xml:space="preserve"> </w:t>
      </w:r>
      <w:r>
        <w:t xml:space="preserve">and electronically transmit orders in financial instruments to that trading venue. As a result,</w:t>
      </w:r>
      <w:r>
        <w:br/>
      </w:r>
      <w:r>
        <w:t xml:space="preserve">the provider’s client can pass orders directly to a trading venue through the infrastructure</w:t>
      </w:r>
      <w:r>
        <w:br/>
      </w:r>
      <w:r>
        <w:t xml:space="preserve">of the provider or a connection system made available by that provider, with control</w:t>
      </w:r>
      <w:r>
        <w:br/>
      </w:r>
      <w:r>
        <w:t xml:space="preserve">over the trading decisions and reduced latency of execution.</w:t>
      </w:r>
      <w:r>
        <w:br/>
      </w:r>
      <w:r>
        <w:t xml:space="preserve">Sponsored access (SA) is an arrangement whereby a member, participant or client of a trading</w:t>
      </w:r>
      <w:r>
        <w:t xml:space="preserve"> </w:t>
      </w:r>
      <w:r>
        <w:t xml:space="preserve">venue (the provider) allows a client that is not a member, participant or client of that trading</w:t>
      </w:r>
      <w:r>
        <w:t xml:space="preserve"> </w:t>
      </w:r>
      <w:r>
        <w:t xml:space="preserve">venue to transmit orders directly and electronically to a specified trading venue using</w:t>
      </w:r>
      <w:r>
        <w:br/>
      </w:r>
      <w:r>
        <w:t xml:space="preserve">the provider’s trading identification without these orders having to first pass through the</w:t>
      </w:r>
      <w:r>
        <w:t xml:space="preserve"> </w:t>
      </w:r>
      <w:r>
        <w:t xml:space="preserve">provider’s own electronic trading systems (the arrangement does not include</w:t>
      </w:r>
      <w:r>
        <w:br/>
      </w:r>
      <w:r>
        <w:t xml:space="preserve">the use of the infrastructure or connection system of the provider).</w:t>
      </w:r>
      <w:r>
        <w:t xml:space="preserve"> </w:t>
      </w:r>
      <w:r>
        <w:t xml:space="preserve">The investment firms that offer Direct Electronic Access (DEA) remain responsible for orders</w:t>
      </w:r>
      <w:r>
        <w:t xml:space="preserve"> </w:t>
      </w:r>
      <w:r>
        <w:t xml:space="preserve">that are placed by their clients that make use of their systems and/or their trading codes.</w:t>
      </w:r>
      <w:r>
        <w:br/>
      </w:r>
      <w:r>
        <w:t xml:space="preserve">They must draw up criteria regarding the appropriateness of the parties to whom direct access</w:t>
      </w:r>
      <w:r>
        <w:t xml:space="preserve"> </w:t>
      </w:r>
      <w:r>
        <w:t xml:space="preserve">is being provided. The investment firms that offer DEA must also ensure that clients who make</w:t>
      </w:r>
      <w:r>
        <w:t xml:space="preserve"> </w:t>
      </w:r>
      <w:r>
        <w:t xml:space="preserve">use of DEA comply with MiFID 2 rules and the rules of the trading venue. In addition, they</w:t>
      </w:r>
      <w:r>
        <w:t xml:space="preserve"> </w:t>
      </w:r>
      <w:r>
        <w:t xml:space="preserve">must build in risk controls and threshold values and be able to terminate the access of individual</w:t>
      </w:r>
      <w:r>
        <w:t xml:space="preserve"> </w:t>
      </w:r>
      <w:r>
        <w:t xml:space="preserve">clients. Trading venues are also required to build in risk controls and threshold values for direct</w:t>
      </w:r>
      <w:r>
        <w:t xml:space="preserve"> </w:t>
      </w:r>
      <w:r>
        <w:t xml:space="preserve">access to trading. In addition, they must draw up rules that ensure that DEA providers comply</w:t>
      </w:r>
      <w:r>
        <w:t xml:space="preserve"> </w:t>
      </w:r>
      <w:r>
        <w:t xml:space="preserve">with MiFID 2 rules.</w:t>
      </w:r>
      <w:r>
        <w:br/>
      </w:r>
      <w:r>
        <w:t xml:space="preserve">-</w:t>
      </w:r>
      <w:r>
        <w:t xml:space="preserve"> </w:t>
      </w:r>
      <w:r>
        <w:t xml:space="preserve">Prime brokerage services</w:t>
      </w:r>
      <w:r>
        <w:t xml:space="preserve"> </w:t>
      </w:r>
      <w:r>
        <w:t xml:space="preserve">Brokers that are not directly connected to the trading venues where a given instrument is traded</w:t>
      </w:r>
      <w:r>
        <w:t xml:space="preserve"> </w:t>
      </w:r>
      <w:r>
        <w:t xml:space="preserve">may also choose to resort to prime brokerage services, which involves the provision of access</w:t>
      </w:r>
      <w:r>
        <w:t xml:space="preserve"> </w:t>
      </w:r>
      <w:r>
        <w:t xml:space="preserve">to</w:t>
      </w:r>
      <w:r>
        <w:t xml:space="preserve"> </w:t>
      </w:r>
      <w:r>
        <w:t xml:space="preserve">multiple</w:t>
      </w:r>
      <w:r>
        <w:t xml:space="preserve"> </w:t>
      </w:r>
      <w:r>
        <w:t xml:space="preserve">trading</w:t>
      </w:r>
      <w:r>
        <w:t xml:space="preserve"> </w:t>
      </w:r>
      <w:r>
        <w:t xml:space="preserve">venues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intermediary.</w:t>
      </w:r>
      <w:r>
        <w:t xml:space="preserve"> </w:t>
      </w:r>
      <w:r>
        <w:t xml:space="preserve">Prime</w:t>
      </w:r>
      <w:r>
        <w:t xml:space="preserve"> </w:t>
      </w:r>
      <w:r>
        <w:t xml:space="preserve">brokers</w:t>
      </w:r>
      <w:r>
        <w:br/>
      </w:r>
      <w:r>
        <w:t xml:space="preserve">are in charge of executing orders by following best execution rules and can do so either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by executing trades directly on the relevant venues, or by executing through systematic</w:t>
      </w:r>
      <w:r>
        <w:t xml:space="preserve"> </w:t>
      </w:r>
      <w:r>
        <w:t xml:space="preserve">internalisers (which those entities often run themselves). Prime brokerage is often accompanied</w:t>
      </w:r>
      <w:r>
        <w:t xml:space="preserve"> </w:t>
      </w:r>
      <w:r>
        <w:t xml:space="preserve">by additional services such as clearing and settlement.</w:t>
      </w:r>
    </w:p>
    <w:p>
      <w:pPr>
        <w:pStyle w:val="BodyText"/>
      </w:pPr>
      <w:r>
        <w:t xml:space="preserve">Figure 2: different paths for direct and indirect access to a trading venue</w:t>
      </w:r>
      <w:r>
        <w:t xml:space="preserve"> </w:t>
      </w:r>
      <w:r>
        <w:t xml:space="preserve">2. ASSESSMENT OF PROBLEMS IN THE TRADING AREA</w:t>
      </w:r>
      <w:r>
        <w:t xml:space="preserve"> </w:t>
      </w:r>
      <w:r>
        <w:t xml:space="preserve">2.1. IDENTIFIED PROBLEMS IN THE TRADING AREA</w:t>
      </w:r>
      <w:r>
        <w:t xml:space="preserve"> </w:t>
      </w:r>
      <w:r>
        <w:t xml:space="preserve">The EU trading landscape suffers from a lack of seamless cross-border operation of trading</w:t>
      </w:r>
      <w:r>
        <w:t xml:space="preserve"> </w:t>
      </w:r>
      <w:r>
        <w:t xml:space="preserve">infrastructures, on the one hand, and access by users of those infrastructures, in particular</w:t>
      </w:r>
      <w:r>
        <w:t xml:space="preserve"> </w:t>
      </w:r>
      <w:r>
        <w:t xml:space="preserve">smaller brokers, on the other hand.</w:t>
      </w:r>
      <w:r>
        <w:br/>
      </w:r>
      <w:r>
        <w:t xml:space="preserve">On the trading infrastructures side, entities that wish to operate across border still face</w:t>
      </w:r>
      <w:r>
        <w:t xml:space="preserve"> </w:t>
      </w:r>
      <w:r>
        <w:t xml:space="preserve">significant compliance, operational and adaptation costs linked to a complex, non-fully</w:t>
      </w:r>
      <w:r>
        <w:t xml:space="preserve"> </w:t>
      </w:r>
      <w:r>
        <w:t xml:space="preserve">harmonised regulatory landscape, and supplementary, often diverging, national rules</w:t>
      </w:r>
      <w:r>
        <w:br/>
      </w:r>
      <w:r>
        <w:t xml:space="preserve">and specificities. Groups operating trading infrastructures across multiple Member States face</w:t>
      </w:r>
      <w:r>
        <w:t xml:space="preserve"> </w:t>
      </w:r>
      <w:r>
        <w:t xml:space="preserve">regulatory barriers in allocating resources optimally and are not able to fully leverage the</w:t>
      </w:r>
      <w:r>
        <w:t xml:space="preserve"> </w:t>
      </w:r>
      <w:r>
        <w:t xml:space="preserve">synergies that can be drawn from legal consolidation (i.e. merger and/or acquisition).</w:t>
      </w:r>
      <w:r>
        <w:br/>
      </w:r>
      <w:r>
        <w:t xml:space="preserve">In addition, not having a well-defined passporting regime creates uncertainty for market</w:t>
      </w:r>
      <w:r>
        <w:t xml:space="preserve"> </w:t>
      </w:r>
      <w:r>
        <w:t xml:space="preserve">operators on whether they can use this additional avenue for cross border provision of services.</w:t>
      </w:r>
      <w:r>
        <w:t xml:space="preserve"> </w:t>
      </w:r>
      <w:r>
        <w:t xml:space="preserve">As a result, the opportunities afforded by the Single Market are not being fully exploited,</w:t>
      </w:r>
      <w:r>
        <w:t xml:space="preserve"> </w:t>
      </w:r>
      <w:r>
        <w:t xml:space="preserve">leading to suboptimal outcomes.</w:t>
      </w:r>
      <w:r>
        <w:t xml:space="preserve"> </w:t>
      </w:r>
      <w:r>
        <w:t xml:space="preserve">Access</w:t>
      </w:r>
      <w:r>
        <w:t xml:space="preserve"> </w:t>
      </w:r>
      <w:r>
        <w:t xml:space="preserve">Direct membership</w:t>
      </w:r>
      <w:r>
        <w:t xml:space="preserve"> </w:t>
      </w:r>
      <w:r>
        <w:t xml:space="preserve">Proprietary</w:t>
      </w:r>
      <w:r>
        <w:t xml:space="preserve"> </w:t>
      </w:r>
      <w:r>
        <w:t xml:space="preserve">solutions</w:t>
      </w:r>
      <w:r>
        <w:t xml:space="preserve"> </w:t>
      </w:r>
      <w:r>
        <w:t xml:space="preserve">Own</w:t>
      </w:r>
      <w:r>
        <w:t xml:space="preserve"> </w:t>
      </w:r>
      <w:r>
        <w:t xml:space="preserve">physical/hardware</w:t>
      </w:r>
      <w:r>
        <w:t xml:space="preserve"> </w:t>
      </w:r>
      <w:r>
        <w:t xml:space="preserve">connections</w:t>
      </w:r>
      <w:r>
        <w:t xml:space="preserve"> </w:t>
      </w:r>
      <w:r>
        <w:t xml:space="preserve">Own software</w:t>
      </w:r>
      <w:r>
        <w:t xml:space="preserve"> </w:t>
      </w:r>
      <w:r>
        <w:t xml:space="preserve">solutions</w:t>
      </w:r>
      <w:r>
        <w:t xml:space="preserve"> </w:t>
      </w:r>
      <w:r>
        <w:t xml:space="preserve">Third-party solutions</w:t>
      </w:r>
      <w:r>
        <w:t xml:space="preserve"> </w:t>
      </w:r>
      <w:r>
        <w:t xml:space="preserve">ASPs</w:t>
      </w:r>
      <w:r>
        <w:t xml:space="preserve"> </w:t>
      </w:r>
      <w:r>
        <w:t xml:space="preserve">ESPs</w:t>
      </w:r>
      <w:r>
        <w:t xml:space="preserve"> </w:t>
      </w:r>
      <w:r>
        <w:t xml:space="preserve">ISVs</w:t>
      </w:r>
      <w:r>
        <w:t xml:space="preserve"> </w:t>
      </w:r>
      <w:r>
        <w:t xml:space="preserve">Indirect access</w:t>
      </w:r>
      <w:r>
        <w:t xml:space="preserve"> </w:t>
      </w:r>
      <w:r>
        <w:t xml:space="preserve">Direct Electronic</w:t>
      </w:r>
      <w:r>
        <w:t xml:space="preserve"> </w:t>
      </w:r>
      <w:r>
        <w:t xml:space="preserve">Access</w:t>
      </w:r>
      <w:r>
        <w:t xml:space="preserve"> </w:t>
      </w:r>
      <w:r>
        <w:t xml:space="preserve">Direct Market</w:t>
      </w:r>
      <w:r>
        <w:t xml:space="preserve"> </w:t>
      </w:r>
      <w:r>
        <w:t xml:space="preserve">Access</w:t>
      </w:r>
      <w:r>
        <w:t xml:space="preserve"> </w:t>
      </w:r>
      <w:r>
        <w:t xml:space="preserve">Sponsored Access</w:t>
      </w:r>
      <w:r>
        <w:t xml:space="preserve"> </w:t>
      </w:r>
      <w:r>
        <w:t xml:space="preserve">Prime brokerage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On the infrastructure users’ side, a costly and complex access to the fragmented trading</w:t>
      </w:r>
      <w:r>
        <w:t xml:space="preserve"> </w:t>
      </w:r>
      <w:r>
        <w:t xml:space="preserve">landscape</w:t>
      </w:r>
      <w:r>
        <w:t xml:space="preserve"> </w:t>
      </w:r>
      <w:r>
        <w:t xml:space="preserve">exacerbates</w:t>
      </w:r>
      <w:r>
        <w:t xml:space="preserve"> </w:t>
      </w:r>
      <w:r>
        <w:t xml:space="preserve">the</w:t>
      </w:r>
      <w:r>
        <w:t xml:space="preserve"> </w:t>
      </w:r>
      <w:r>
        <w:t xml:space="preserve">problem.</w:t>
      </w:r>
      <w:r>
        <w:t xml:space="preserve"> </w:t>
      </w:r>
      <w:r>
        <w:t xml:space="preserve">Users,</w:t>
      </w:r>
      <w:r>
        <w:t xml:space="preserve"> </w:t>
      </w:r>
      <w:r>
        <w:t xml:space="preserve">and</w:t>
      </w:r>
      <w:r>
        <w:t xml:space="preserve"> </w:t>
      </w:r>
      <w:r>
        <w:t xml:space="preserve">particularly</w:t>
      </w:r>
      <w:r>
        <w:t xml:space="preserve"> </w:t>
      </w:r>
      <w:r>
        <w:t xml:space="preserve">smaller</w:t>
      </w:r>
      <w:r>
        <w:t xml:space="preserve"> </w:t>
      </w:r>
      <w:r>
        <w:t xml:space="preserve">brokers,</w:t>
      </w:r>
      <w:r>
        <w:br/>
      </w:r>
      <w:r>
        <w:t xml:space="preserve">are not able to navigate the EU trading infrastructure as a single, integrated pool of liquidity,</w:t>
      </w:r>
      <w:r>
        <w:t xml:space="preserve"> </w:t>
      </w:r>
      <w:r>
        <w:t xml:space="preserve">which limits their ability to operate efficiently and effectively across the EU. This is partially</w:t>
      </w:r>
      <w:r>
        <w:t xml:space="preserve"> </w:t>
      </w:r>
      <w:r>
        <w:t xml:space="preserve">driven also by costs of post-trade activities. For example, CCP fee structures are often volume-</w:t>
      </w:r>
      <w:r>
        <w:t xml:space="preserve"> </w:t>
      </w:r>
      <w:r>
        <w:t xml:space="preserve">based, meaning that smaller participants tend to pay more per trade than larger ones (e.g. 0.06</w:t>
      </w:r>
      <w:r>
        <w:t xml:space="preserve"> </w:t>
      </w:r>
      <w:r>
        <w:t xml:space="preserve">EUR for a low volume client versus 0.0035 EUR for a high-volume client in cash equities194).</w:t>
      </w:r>
      <w:r>
        <w:t xml:space="preserve"> </w:t>
      </w:r>
      <w:r>
        <w:t xml:space="preserve">As a result, end-investors, particularly retail investors, face higher trading costs, in particular</w:t>
      </w:r>
      <w:r>
        <w:t xml:space="preserve"> </w:t>
      </w:r>
      <w:r>
        <w:t xml:space="preserve">when they wish to invest across borders, and are deprived from the potential benefits of</w:t>
      </w:r>
      <w:r>
        <w:t xml:space="preserve"> </w:t>
      </w:r>
      <w:r>
        <w:t xml:space="preserve">diversifying their portfolios with a broader range of investment opportunities. Some smaller</w:t>
      </w:r>
      <w:r>
        <w:t xml:space="preserve"> </w:t>
      </w:r>
      <w:r>
        <w:t xml:space="preserve">brokers’ costs associated with trading on EU exchanges can be double or even triple the fees</w:t>
      </w:r>
      <w:r>
        <w:t xml:space="preserve"> </w:t>
      </w:r>
      <w:r>
        <w:t xml:space="preserve">charged for similar transactions on US trading venues. There is also a significant discrepancy</w:t>
      </w:r>
      <w:r>
        <w:t xml:space="preserve"> </w:t>
      </w:r>
      <w:r>
        <w:t xml:space="preserve">in the fees brokers charge for executing transactions on their domestic markets, as opposed to</w:t>
      </w:r>
      <w:r>
        <w:t xml:space="preserve"> </w:t>
      </w:r>
      <w:r>
        <w:t xml:space="preserve">ones in other Member States. Multiple brokers across different Member States impose fees that</w:t>
      </w:r>
      <w:r>
        <w:t xml:space="preserve"> </w:t>
      </w:r>
      <w:r>
        <w:t xml:space="preserve">are three times higher for executing trades in other markets in the EU compared to their</w:t>
      </w:r>
      <w:r>
        <w:t xml:space="preserve"> </w:t>
      </w:r>
      <w:r>
        <w:t xml:space="preserve">domestic market.195 As a result, companies, particularly SMEs, face challenges in attracting</w:t>
      </w:r>
      <w:r>
        <w:t xml:space="preserve"> </w:t>
      </w:r>
      <w:r>
        <w:t xml:space="preserve">cross-border investment from brokers based in other Member States, affecting their ability to</w:t>
      </w:r>
      <w:r>
        <w:t xml:space="preserve"> </w:t>
      </w:r>
      <w:r>
        <w:t xml:space="preserve">raise capital on capital markets and grow.</w:t>
      </w:r>
      <w:r>
        <w:t xml:space="preserve"> </w:t>
      </w:r>
      <w:r>
        <w:t xml:space="preserve">2.2. IDENTIFIED PROBLEM DRIVERS IN THE TRADING AREA</w:t>
      </w:r>
      <w:r>
        <w:t xml:space="preserve"> </w:t>
      </w:r>
      <w:r>
        <w:t xml:space="preserve">The lack of a seamless cross-border operation in the trading space can be attributed to two</w:t>
      </w:r>
      <w:r>
        <w:t xml:space="preserve"> </w:t>
      </w:r>
      <w:r>
        <w:t xml:space="preserve">primary drivers: (i) regulatory hurdles that impede the cross-border activities of financial</w:t>
      </w:r>
      <w:r>
        <w:t xml:space="preserve"> </w:t>
      </w:r>
      <w:r>
        <w:t xml:space="preserve">market infrastructures, and (ii) market practices (or non-regulatory barriers) that prevent</w:t>
      </w:r>
      <w:r>
        <w:t xml:space="preserve"> </w:t>
      </w:r>
      <w:r>
        <w:t xml:space="preserve">infrastructure users to easily and cost-efficiently connect to various trading venues, hindering</w:t>
      </w:r>
      <w:r>
        <w:t xml:space="preserve"> </w:t>
      </w:r>
      <w:r>
        <w:t xml:space="preserve">EU capital markets’ ability to function as a truly integrated pool of liquidity.</w:t>
      </w:r>
      <w:r>
        <w:t xml:space="preserve"> </w:t>
      </w:r>
      <w:r>
        <w:t xml:space="preserve">Sub-driver 1 (regulatory barriers): Absence of a true single rulebook for trading venues</w:t>
      </w:r>
      <w:r>
        <w:t xml:space="preserve"> </w:t>
      </w:r>
      <w:r>
        <w:t xml:space="preserve">and lack of recognition of operational specificities of groups</w:t>
      </w:r>
      <w:r>
        <w:t xml:space="preserve"> </w:t>
      </w:r>
      <w:r>
        <w:t xml:space="preserve">Efficient cross-border operations of trading venues and, more specifically, of RMs, is hindered</w:t>
      </w:r>
      <w:r>
        <w:t xml:space="preserve"> </w:t>
      </w:r>
      <w:r>
        <w:t xml:space="preserve">by two key types of regulatory barriers. First, the provision of cross-border services for RMs</w:t>
      </w:r>
      <w:r>
        <w:t xml:space="preserve"> </w:t>
      </w:r>
      <w:r>
        <w:t xml:space="preserve">is still subject to a non-fully harmonised specific regime that does not allow for the same level</w:t>
      </w:r>
      <w:r>
        <w:t xml:space="preserve"> </w:t>
      </w:r>
      <w:r>
        <w:t xml:space="preserve">of flexibility for the cross-border provision of services compared to the one that applies to the</w:t>
      </w:r>
      <w:r>
        <w:t xml:space="preserve"> </w:t>
      </w:r>
      <w:r>
        <w:t xml:space="preserve">provision of investment services and activities (including the operation of an MTF or an OTF)</w:t>
      </w:r>
      <w:r>
        <w:t xml:space="preserve"> </w:t>
      </w:r>
      <w:r>
        <w:t xml:space="preserve">by investment firms. Second, the current regulatory framework is not adapted to the operations</w:t>
      </w:r>
      <w:r>
        <w:t xml:space="preserve"> </w:t>
      </w:r>
      <w:r>
        <w:t xml:space="preserve">of market infrastructures that are part of the same group.</w:t>
      </w:r>
      <w:r>
        <w:br/>
      </w:r>
      <w:r>
        <w:t xml:space="preserve">Lack of true single rulebook for trading venues, and regulated markets in particular</w:t>
      </w:r>
    </w:p>
    <w:p>
      <w:pPr>
        <w:pStyle w:val="BodyText"/>
      </w:pPr>
      <w:r>
        <w:t xml:space="preserve">194 Cash Equities Clearing in Europe: Building a More Competitive and Integrated Market, AFME, October 2025</w:t>
      </w:r>
      <w:r>
        <w:t xml:space="preserve"> </w:t>
      </w:r>
      <w:r>
        <w:t xml:space="preserve">- Link</w:t>
      </w:r>
      <w:r>
        <w:br/>
      </w:r>
      <w:r>
        <w:t xml:space="preserve">195 Information based on internal analysis of the publicly available fee schedules of a representative sample of</w:t>
      </w:r>
      <w:r>
        <w:t xml:space="preserve"> </w:t>
      </w:r>
      <w:r>
        <w:t xml:space="preserve">neo-brokers and banks active in 8 Member States.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The current regulatory framework for trading venues is still subject to a certain degree</w:t>
      </w:r>
      <w:r>
        <w:br/>
      </w:r>
      <w:r>
        <w:t xml:space="preserve">of national discretions and peculiarities. The existence of non-harmonised national rules</w:t>
      </w:r>
      <w:r>
        <w:br/>
      </w:r>
      <w:r>
        <w:t xml:space="preserve">for RMs and their operators significantly exacerbates the complexity for firms that wish</w:t>
      </w:r>
      <w:r>
        <w:br/>
      </w:r>
      <w:r>
        <w:t xml:space="preserve">to operate on a cross-border basis. This fragmentation not only hinders the ability</w:t>
      </w:r>
      <w:r>
        <w:br/>
      </w:r>
      <w:r>
        <w:t xml:space="preserve">of firms to scale their operations efficiently across multiple Member States, but also increases</w:t>
      </w:r>
      <w:r>
        <w:t xml:space="preserve"> </w:t>
      </w:r>
      <w:r>
        <w:t xml:space="preserve">their administrative and operational costs, as they must dedicate considerable resources</w:t>
      </w:r>
      <w:r>
        <w:br/>
      </w:r>
      <w:r>
        <w:t xml:space="preserve">to understanding, adapting to, and complying with the specific framework of each Member</w:t>
      </w:r>
      <w:r>
        <w:t xml:space="preserve"> </w:t>
      </w:r>
      <w:r>
        <w:t xml:space="preserve">State in which they operate. Furthermore, the lack of harmonisation creates uncertainty</w:t>
      </w:r>
      <w:r>
        <w:br/>
      </w:r>
      <w:r>
        <w:t xml:space="preserve">and risks for firms, as they may face diverging enforcement practices, inconsistent</w:t>
      </w:r>
      <w:r>
        <w:t xml:space="preserve"> </w:t>
      </w:r>
      <w:r>
        <w:t xml:space="preserve">interpretation of rules, and potential reputational damage stemming from unintentional</w:t>
      </w:r>
      <w:r>
        <w:br/>
      </w:r>
      <w:r>
        <w:t xml:space="preserve">non-compliance. Ultimately, the patchwork of national rules acts as a significant barrier</w:t>
      </w:r>
      <w:r>
        <w:br/>
      </w:r>
      <w:r>
        <w:t xml:space="preserve">to the provision of trading-related services across borders within the Union, disincentivises</w:t>
      </w:r>
      <w:r>
        <w:br/>
      </w:r>
      <w:r>
        <w:t xml:space="preserve">the formation of cross-border financial market infrastructure groups, undermines</w:t>
      </w:r>
      <w:r>
        <w:br/>
      </w:r>
      <w:r>
        <w:t xml:space="preserve">the competitiveness of firms and limits their ability to fully harness the potential of the Single</w:t>
      </w:r>
      <w:r>
        <w:t xml:space="preserve"> </w:t>
      </w:r>
      <w:r>
        <w:t xml:space="preserve">Market.</w:t>
      </w:r>
      <w:r>
        <w:t xml:space="preserve"> </w:t>
      </w:r>
      <w:r>
        <w:t xml:space="preserve">This situation appears to be particularly acute when it comes to RMs that are subject</w:t>
      </w:r>
      <w:r>
        <w:br/>
      </w:r>
      <w:r>
        <w:t xml:space="preserve">to a significant amount of national rules. By way of example, national specificities and</w:t>
      </w:r>
      <w:r>
        <w:t xml:space="preserve"> </w:t>
      </w:r>
      <w:r>
        <w:t xml:space="preserve">divergences in terms of procedures to approve amendments to exchange rulebooks have been</w:t>
      </w:r>
      <w:r>
        <w:t xml:space="preserve"> </w:t>
      </w:r>
      <w:r>
        <w:t xml:space="preserve">identified between Member States.196 Similarly, national approaches diverge in relation to</w:t>
      </w:r>
      <w:r>
        <w:t xml:space="preserve"> </w:t>
      </w:r>
      <w:r>
        <w:t xml:space="preserve">prudential requirements.197 This leads to high compliance costs and fails to adequately</w:t>
      </w:r>
      <w:r>
        <w:t xml:space="preserve"> </w:t>
      </w:r>
      <w:r>
        <w:t xml:space="preserve">incentivise or facilitate cross-border operation of trading infrastructures in the EU. The absence</w:t>
      </w:r>
      <w:r>
        <w:t xml:space="preserve"> </w:t>
      </w:r>
      <w:r>
        <w:t xml:space="preserve">of full harmonisation has also allowed several Member States to impose additional</w:t>
      </w:r>
      <w:r>
        <w:t xml:space="preserve"> </w:t>
      </w:r>
      <w:r>
        <w:t xml:space="preserve">requirements linked to the entities that can operate a RM on their territory, and to introduce</w:t>
      </w:r>
      <w:r>
        <w:t xml:space="preserve"> </w:t>
      </w:r>
      <w:r>
        <w:t xml:space="preserve">national laws that require RMs to be operated by an entity with a seat in and authorised</w:t>
      </w:r>
      <w:r>
        <w:br/>
      </w:r>
      <w:r>
        <w:t xml:space="preserve">by those Member States.</w:t>
      </w:r>
      <w:r>
        <w:t xml:space="preserve"> </w:t>
      </w:r>
      <w:r>
        <w:t xml:space="preserve">Additionally, unlike investment firms operating MTFs or OTFs, which benefit from a fully-</w:t>
      </w:r>
      <w:r>
        <w:t xml:space="preserve"> </w:t>
      </w:r>
      <w:r>
        <w:t xml:space="preserve">fledged passporting mechanism under MiFID (with dedicated articles relating to the provision</w:t>
      </w:r>
      <w:r>
        <w:t xml:space="preserve"> </w:t>
      </w:r>
      <w:r>
        <w:t xml:space="preserve">of services via the freedom to provide services or the freedom of establishment), the current</w:t>
      </w:r>
      <w:r>
        <w:t xml:space="preserve"> </w:t>
      </w:r>
      <w:r>
        <w:t xml:space="preserve">MiFID 2 rulebook only foresees, in terms of cross-border activity, the possibility for regulated</w:t>
      </w:r>
      <w:r>
        <w:t xml:space="preserve"> </w:t>
      </w:r>
      <w:r>
        <w:t xml:space="preserve">markets to set up ‘trading arrangements’ to accommodate remote access of members (i.e.,</w:t>
      </w:r>
      <w:r>
        <w:t xml:space="preserve"> </w:t>
      </w:r>
      <w:r>
        <w:t xml:space="preserve">trading screens).198 By being silent on any other forms of arrangements, such as the possibility</w:t>
      </w:r>
      <w:r>
        <w:t xml:space="preserve"> </w:t>
      </w:r>
      <w:r>
        <w:t xml:space="preserve">to have a local presence without setting up a subsidiary authorised in another Member State,</w:t>
      </w:r>
    </w:p>
    <w:p>
      <w:pPr>
        <w:pStyle w:val="BodyText"/>
      </w:pPr>
      <w:r>
        <w:t xml:space="preserve">196 Practices widely differ in that regard. Some NCAs do not require any form of ex ante approval, while others</w:t>
      </w:r>
      <w:r>
        <w:t xml:space="preserve"> </w:t>
      </w:r>
      <w:r>
        <w:t xml:space="preserve">require pre-approval of rules changes, and others even a pre-notification of proposed changes which then go</w:t>
      </w:r>
      <w:r>
        <w:t xml:space="preserve"> </w:t>
      </w:r>
      <w:r>
        <w:t xml:space="preserve">through pre-approval. This adds to the actual divergences in appreciation of changes by different NCAs for exact</w:t>
      </w:r>
      <w:r>
        <w:t xml:space="preserve"> </w:t>
      </w:r>
      <w:r>
        <w:t xml:space="preserve">same cases (the same change, notably in groups of exchanges, is often appreciated diversely by the various NCAs</w:t>
      </w:r>
      <w:r>
        <w:t xml:space="preserve"> </w:t>
      </w:r>
      <w:r>
        <w:t xml:space="preserve">to which it needs to be submitted).</w:t>
      </w:r>
      <w:r>
        <w:br/>
      </w:r>
      <w:r>
        <w:t xml:space="preserve">197 For instance, under French law a market operator is subject to minimum capital requirements as well as own</w:t>
      </w:r>
      <w:r>
        <w:t xml:space="preserve"> </w:t>
      </w:r>
      <w:r>
        <w:t xml:space="preserve">resources requirements which are laid down in Arrêté du 2 juillet 2007 relatif au capital minimum, aux fonds</w:t>
      </w:r>
      <w:r>
        <w:t xml:space="preserve"> </w:t>
      </w:r>
      <w:r>
        <w:t xml:space="preserve">propres et au contrôle interne des entreprises de marché - Légifrance. These requirements differ from requirements</w:t>
      </w:r>
      <w:r>
        <w:t xml:space="preserve"> </w:t>
      </w:r>
      <w:r>
        <w:t xml:space="preserve">applicable to market operators under Italian law, as laid down in Article 6 of Consob’s Regolamento Mercati.</w:t>
      </w:r>
      <w:r>
        <w:br/>
      </w:r>
      <w:r>
        <w:t xml:space="preserve">198 See Article 53(6) MiFID: ‘Member States shall, without further legal or administrative requirements, allow</w:t>
      </w:r>
      <w:r>
        <w:t xml:space="preserve"> </w:t>
      </w:r>
      <w:r>
        <w:t xml:space="preserve">regulated markets from other Member States to provide appropriate arrangements on their territory so as to</w:t>
      </w:r>
      <w:r>
        <w:t xml:space="preserve"> </w:t>
      </w:r>
      <w:r>
        <w:t xml:space="preserve">facilitate access to and trading on those markets by remote members or participants established in their territory’.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for instance to facilitate issuer or broker onboarding through a branch, the current framework</w:t>
      </w:r>
      <w:r>
        <w:t xml:space="preserve"> </w:t>
      </w:r>
      <w:r>
        <w:t xml:space="preserve">creates uncertainty as regards the extent to which services relating to RMs can be carried out</w:t>
      </w:r>
      <w:r>
        <w:t xml:space="preserve"> </w:t>
      </w:r>
      <w:r>
        <w:t xml:space="preserve">on a cross-border basis under a single licence through the establishment of a branch. In</w:t>
      </w:r>
      <w:r>
        <w:t xml:space="preserve"> </w:t>
      </w:r>
      <w:r>
        <w:t xml:space="preserve">addition, beyond the passporting rights linked to each trading venue, the mere fact that the</w:t>
      </w:r>
      <w:r>
        <w:t xml:space="preserve"> </w:t>
      </w:r>
      <w:r>
        <w:t xml:space="preserve">current regulatory framework requires an authorisation at the level of each RM does not allow</w:t>
      </w:r>
      <w:r>
        <w:t xml:space="preserve"> </w:t>
      </w:r>
      <w:r>
        <w:t xml:space="preserve">for the cost-efficient operation of several regulated markets on the basis of a single licence.</w:t>
      </w:r>
      <w:r>
        <w:t xml:space="preserve"> </w:t>
      </w:r>
      <w:r>
        <w:t xml:space="preserve">Moreover, the current framework for RMs, while clearly identifying market operators and</w:t>
      </w:r>
      <w:r>
        <w:t xml:space="preserve"> </w:t>
      </w:r>
      <w:r>
        <w:t xml:space="preserve">RMs, does not provide for a clear-cut allocation of tasks between the two entities. As a result,</w:t>
      </w:r>
      <w:r>
        <w:t xml:space="preserve"> </w:t>
      </w:r>
      <w:r>
        <w:t xml:space="preserve">most Member States do not dissociate the RM from its operator which, in turn, does not allow</w:t>
      </w:r>
      <w:r>
        <w:t xml:space="preserve"> </w:t>
      </w:r>
      <w:r>
        <w:t xml:space="preserve">for any sort of flexibility in terms of cross-border operation, whereby some tasks could be</w:t>
      </w:r>
      <w:r>
        <w:t xml:space="preserve"> </w:t>
      </w:r>
      <w:r>
        <w:t xml:space="preserve">performed by a market operator located in a different Member State than the market. This is</w:t>
      </w:r>
      <w:r>
        <w:t xml:space="preserve"> </w:t>
      </w:r>
      <w:r>
        <w:t xml:space="preserve">for instance reflected in certain national frameworks which require that local regulated markets</w:t>
      </w:r>
      <w:r>
        <w:t xml:space="preserve"> </w:t>
      </w:r>
      <w:r>
        <w:t xml:space="preserve">be operated by a market operator located in that same Member State.199 This prevents the</w:t>
      </w:r>
      <w:r>
        <w:t xml:space="preserve"> </w:t>
      </w:r>
      <w:r>
        <w:t xml:space="preserve">emergence of truly efficient structures operating markets in several Member States on the basis</w:t>
      </w:r>
      <w:r>
        <w:t xml:space="preserve"> </w:t>
      </w:r>
      <w:r>
        <w:t xml:space="preserve">of a single licence and, therefore, on the basis of a single core supervisory relationship.</w:t>
      </w:r>
      <w:r>
        <w:t xml:space="preserve"> </w:t>
      </w:r>
      <w:r>
        <w:t xml:space="preserve">Treatment of group structures</w:t>
      </w:r>
      <w:r>
        <w:t xml:space="preserve"> </w:t>
      </w:r>
      <w:r>
        <w:t xml:space="preserve">The current MiFID 2 rules governing trading venues and their operators do not recognise</w:t>
      </w:r>
      <w:r>
        <w:t xml:space="preserve"> </w:t>
      </w:r>
      <w:r>
        <w:t xml:space="preserve">operational specificities of group structures. This may create a misalignment between</w:t>
      </w:r>
      <w:r>
        <w:br/>
      </w:r>
      <w:r>
        <w:t xml:space="preserve">the current legal set up, according to which each market operator is a separate and autonomous</w:t>
      </w:r>
      <w:r>
        <w:t xml:space="preserve"> </w:t>
      </w:r>
      <w:r>
        <w:t xml:space="preserve">legal entity, with its own governance structure and rules, and the key characteristics of a group,</w:t>
      </w:r>
      <w:r>
        <w:t xml:space="preserve"> </w:t>
      </w:r>
      <w:r>
        <w:t xml:space="preserve">that acts as a single economic entity.</w:t>
      </w:r>
      <w:r>
        <w:br/>
      </w:r>
      <w:r>
        <w:t xml:space="preserve">As a consequence:</w:t>
      </w:r>
      <w:r>
        <w:t xml:space="preserve"> </w:t>
      </w:r>
      <w:r>
        <w:t xml:space="preserve"> a participant (i.e. broker) must apply to and be approved by each trading venue within</w:t>
      </w:r>
      <w:r>
        <w:t xml:space="preserve"> </w:t>
      </w:r>
      <w:r>
        <w:t xml:space="preserve">the group on which it wishes to trade;200</w:t>
      </w:r>
      <w:r>
        <w:t xml:space="preserve"> </w:t>
      </w:r>
      <w:r>
        <w:t xml:space="preserve"> each market operator within the group is responsible for the national markets</w:t>
      </w:r>
      <w:r>
        <w:br/>
      </w:r>
      <w:r>
        <w:t xml:space="preserve">that it operates, and faces different national supervisors, with each supervisor having</w:t>
      </w:r>
      <w:r>
        <w:t xml:space="preserve"> </w:t>
      </w:r>
      <w:r>
        <w:t xml:space="preserve">limited visibility over the organisation and operation of the group as a whole;</w:t>
      </w:r>
      <w:r>
        <w:t xml:space="preserve"> </w:t>
      </w:r>
      <w:r>
        <w:t xml:space="preserve"> the economies of scale that can be realised are limited, for example:</w:t>
      </w:r>
      <w:r>
        <w:br/>
      </w:r>
      <w:r>
        <w:t xml:space="preserve">o any outsourcing arrangement within the group is treated as those entered</w:t>
      </w:r>
      <w:r>
        <w:br/>
      </w:r>
      <w:r>
        <w:t xml:space="preserve">into with entities outside the group, requiring arm’s length outsourcing</w:t>
      </w:r>
      <w:r>
        <w:br/>
      </w:r>
      <w:r>
        <w:t xml:space="preserve">and service level agreements, even when they are between group entities;</w:t>
      </w:r>
      <w:r>
        <w:t xml:space="preserve"> </w:t>
      </w:r>
      <w:r>
        <w:t xml:space="preserve">o staff and more general resources sharing is limited within the group;</w:t>
      </w:r>
      <w:r>
        <w:t xml:space="preserve"> </w:t>
      </w:r>
      <w:r>
        <w:t xml:space="preserve">o reporting streams are fragmented in terms of recipients and data coverage.</w:t>
      </w:r>
    </w:p>
    <w:p>
      <w:pPr>
        <w:pStyle w:val="BodyText"/>
      </w:pPr>
      <w:r>
        <w:t xml:space="preserve">199 For example, under French law (Art. L. 421-2 du Code Monétaire et Financier) ‘A regulated market is run by</w:t>
      </w:r>
      <w:r>
        <w:t xml:space="preserve"> </w:t>
      </w:r>
      <w:r>
        <w:t xml:space="preserve">a market undertaking which is a commercial company. Where a market undertaking runs a regulated market</w:t>
      </w:r>
      <w:r>
        <w:t xml:space="preserve"> </w:t>
      </w:r>
      <w:r>
        <w:t xml:space="preserve">governed by the provisions of this code, its registered office and its effective management shall be located in</w:t>
      </w:r>
      <w:r>
        <w:t xml:space="preserve"> </w:t>
      </w:r>
      <w:r>
        <w:t xml:space="preserve">Metropolitan France or its overseas départements or in Saint Barthélemy or Saint Martin.</w:t>
      </w:r>
      <w:r>
        <w:t xml:space="preserve"> </w:t>
      </w:r>
      <w:r>
        <w:t xml:space="preserve">200 Taking Euronext as an example, out of the 230 trading members authorised to trade on the Cash/or Derivatives</w:t>
      </w:r>
      <w:r>
        <w:t xml:space="preserve"> </w:t>
      </w:r>
      <w:r>
        <w:t xml:space="preserve">markets for the seven countries, only 26 are members of all the markets (Members list | live).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Ultimately, market-led consolidation is not sufficiently incentivised, as groups are hindered</w:t>
      </w:r>
      <w:r>
        <w:br/>
      </w:r>
      <w:r>
        <w:t xml:space="preserve">in their capacity to allocate resources freely and efficiently among the entities that are part</w:t>
      </w:r>
      <w:r>
        <w:br/>
      </w:r>
      <w:r>
        <w:t xml:space="preserve">of the same group and economies of scale are not sufficiently exploited.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Sub-driver 2 (non-regulatory barriers): Barriers linked to market practices: costly direct</w:t>
      </w:r>
      <w:r>
        <w:t xml:space="preserve"> </w:t>
      </w:r>
      <w:r>
        <w:t xml:space="preserve">access to liquidity and financial instruments</w:t>
      </w:r>
      <w:r>
        <w:t xml:space="preserve"> </w:t>
      </w:r>
      <w:r>
        <w:t xml:space="preserve">In addition to the barriers stemming from the lack of a unified single rulebook for EU trading</w:t>
      </w:r>
      <w:r>
        <w:t xml:space="preserve"> </w:t>
      </w:r>
      <w:r>
        <w:t xml:space="preserve">infrastructures, barriers linked to market practices further exacerbate the fragmentation of EU</w:t>
      </w:r>
      <w:r>
        <w:t xml:space="preserve"> </w:t>
      </w:r>
      <w:r>
        <w:t xml:space="preserve">trading infrastructures and frustrate seamless cross-border trading activity in the Union.</w:t>
      </w:r>
      <w:r>
        <w:br/>
      </w:r>
      <w:r>
        <w:t xml:space="preserve">Firstly, brokers and end-clients within the Union face significant obstacles in accessing all</w:t>
      </w:r>
      <w:r>
        <w:t xml:space="preserve"> </w:t>
      </w:r>
      <w:r>
        <w:t xml:space="preserve">available liquidity pools for a given financial instrument. Notably, EU-based brokers,</w:t>
      </w:r>
      <w:r>
        <w:t xml:space="preserve"> </w:t>
      </w:r>
      <w:r>
        <w:t xml:space="preserve">particularly small and medium-sized entities, often maintain connections to a limited number</w:t>
      </w:r>
      <w:r>
        <w:t xml:space="preserve"> </w:t>
      </w:r>
      <w:r>
        <w:t xml:space="preserve">of trading venues, frequently restricted to the locally relevant venues. According to the replies</w:t>
      </w:r>
      <w:r>
        <w:t xml:space="preserve"> </w:t>
      </w:r>
      <w:r>
        <w:t xml:space="preserve">of the public consultation, this is linked to several factors, some of those pertaining to post-</w:t>
      </w:r>
      <w:r>
        <w:t xml:space="preserve"> </w:t>
      </w:r>
      <w:r>
        <w:t xml:space="preserve">trade arrangements, but the high costs and technical complexity involved in connecting directly</w:t>
      </w:r>
      <w:r>
        <w:t xml:space="preserve"> </w:t>
      </w:r>
      <w:r>
        <w:t xml:space="preserve">to multiple trading venues across the EU, especially for smaller and medium-sized firms, was</w:t>
      </w:r>
      <w:r>
        <w:t xml:space="preserve"> </w:t>
      </w:r>
      <w:r>
        <w:t xml:space="preserve">considered a major obstacle for achieving efficient and widespread direct connectivity.</w:t>
      </w:r>
      <w:r>
        <w:t xml:space="preserve"> </w:t>
      </w:r>
      <w:r>
        <w:t xml:space="preserve">Although, as previously explained, this lack of direct connection does not inherently preclude</w:t>
      </w:r>
      <w:r>
        <w:t xml:space="preserve"> </w:t>
      </w:r>
      <w:r>
        <w:t xml:space="preserve">a broker from offering its clients access to financial instruments across borders, it nonetheless</w:t>
      </w:r>
      <w:r>
        <w:t xml:space="preserve"> </w:t>
      </w:r>
      <w:r>
        <w:t xml:space="preserve">results in increased costs for end-clients. Consequently, placing orders for instruments traded</w:t>
      </w:r>
      <w:r>
        <w:t xml:space="preserve"> </w:t>
      </w:r>
      <w:r>
        <w:t xml:space="preserve">on venues located in other Member States is typically significantly more expensive, especially</w:t>
      </w:r>
      <w:r>
        <w:t xml:space="preserve"> </w:t>
      </w:r>
      <w:r>
        <w:t xml:space="preserve">for retail investors, compared to trading on local venues (or even on US-based venues).</w:t>
      </w:r>
      <w:r>
        <w:br/>
      </w:r>
      <w:r>
        <w:t xml:space="preserve">While the explanation for these costs is complex and multifactorial, also being influenced</w:t>
      </w:r>
      <w:r>
        <w:br/>
      </w:r>
      <w:r>
        <w:t xml:space="preserve">by the expenses associated with cross-border post-trade arrangements, they also reflect the</w:t>
      </w:r>
      <w:r>
        <w:t xml:space="preserve"> </w:t>
      </w:r>
      <w:r>
        <w:t xml:space="preserve">incentives of brokers to limit their direct connections to local infrastructure.</w:t>
      </w:r>
      <w:r>
        <w:br/>
      </w:r>
      <w:r>
        <w:t xml:space="preserve">Hurdles in accessing multiple liquidity pools also hinder brokers’ ability to directly execute</w:t>
      </w:r>
      <w:r>
        <w:t xml:space="preserve"> </w:t>
      </w:r>
      <w:r>
        <w:t xml:space="preserve">orders for a given instrument on the most efficient execution venue. This implies either higher</w:t>
      </w:r>
      <w:r>
        <w:t xml:space="preserve"> </w:t>
      </w:r>
      <w:r>
        <w:t xml:space="preserve">costs linked to intermediation to tap into the most efficient liquidity pool, or potential</w:t>
      </w:r>
      <w:r>
        <w:t xml:space="preserve"> </w:t>
      </w:r>
      <w:r>
        <w:t xml:space="preserve">suboptimal execution quality - both leading to inferior execution conditions for end-clients,</w:t>
      </w:r>
      <w:r>
        <w:t xml:space="preserve"> </w:t>
      </w:r>
      <w:r>
        <w:t xml:space="preserve">especially those seeking to invest cross-border.</w:t>
      </w:r>
      <w:r>
        <w:t xml:space="preserve"> </w:t>
      </w:r>
      <w:r>
        <w:t xml:space="preserve">Secondly, the reliance on intermediaries to access certain markets or instruments can</w:t>
      </w:r>
      <w:r>
        <w:t xml:space="preserve"> </w:t>
      </w:r>
      <w:r>
        <w:t xml:space="preserve">compromise the capacity of brokers, and eventually end-clients, to access the broadest possible</w:t>
      </w:r>
      <w:r>
        <w:t xml:space="preserve"> </w:t>
      </w:r>
      <w:r>
        <w:t xml:space="preserve">range of EU financial instruments, as access becomes contingent upon the intermediary’s</w:t>
      </w:r>
      <w:r>
        <w:t xml:space="preserve"> </w:t>
      </w:r>
      <w:r>
        <w:t xml:space="preserve">commercial interests. This can be particularly detrimental for small and mid-cap stocks, where</w:t>
      </w:r>
      <w:r>
        <w:t xml:space="preserve"> </w:t>
      </w:r>
      <w:r>
        <w:t xml:space="preserve">demand may be insufficient to warrant provision of access to end-clients, thereby limiting their</w:t>
      </w:r>
      <w:r>
        <w:t xml:space="preserve"> </w:t>
      </w:r>
      <w:r>
        <w:t xml:space="preserve">visibility and liquidity. As a consequence, excessive intermediation can restrict access to shares</w:t>
      </w:r>
      <w:r>
        <w:t xml:space="preserve"> </w:t>
      </w:r>
      <w:r>
        <w:t xml:space="preserve">of smaller and mid-cap companies, resulting in missed opportunities for both issuers and</w:t>
      </w:r>
      <w:r>
        <w:t xml:space="preserve"> </w:t>
      </w:r>
      <w:r>
        <w:t xml:space="preserve">investors in this market segment. Similar conclusions had been reached by the Capital Markets</w:t>
      </w:r>
      <w:r>
        <w:t xml:space="preserve"> </w:t>
      </w:r>
      <w:r>
        <w:t xml:space="preserve">Union High Level Forum in June 2020, where experts identified that, as liquidity for SMEs</w:t>
      </w:r>
      <w:r>
        <w:t xml:space="preserve"> </w:t>
      </w:r>
      <w:r>
        <w:t xml:space="preserve">was often pooled in one location (i.e., one exchange), measures should be taken to guarantee</w:t>
      </w:r>
      <w:r>
        <w:t xml:space="preserve"> </w:t>
      </w:r>
      <w:r>
        <w:t xml:space="preserve">access to such liquidity to the widest possible range of investors.201 The report (while mostly</w:t>
      </w:r>
      <w:r>
        <w:t xml:space="preserve"> </w:t>
      </w:r>
      <w:r>
        <w:t xml:space="preserve">focusing on smaller cap markets) refers to the need for more interconnection of exchanges, as</w:t>
      </w:r>
    </w:p>
    <w:p>
      <w:pPr>
        <w:pStyle w:val="BodyText"/>
      </w:pPr>
      <w:r>
        <w:t xml:space="preserve">201 Final report of the High-Level Forum on the Capital Markets Union (p. 69).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well as to greater passporting possibilities for exchanges, notably the possibility to operate</w:t>
      </w:r>
      <w:r>
        <w:t xml:space="preserve"> </w:t>
      </w:r>
      <w:r>
        <w:t xml:space="preserve">through branches and on the basis of a single authorisation.</w:t>
      </w:r>
      <w:r>
        <w:t xml:space="preserve"> </w:t>
      </w:r>
      <w:r>
        <w:t xml:space="preserve">Thirdly, this situation undermines the effectiveness of policy measures aimed at empowering</w:t>
      </w:r>
      <w:r>
        <w:t xml:space="preserve"> </w:t>
      </w:r>
      <w:r>
        <w:t xml:space="preserve">infrastructure users to navigate a fragmented market and identify the most efficient pools</w:t>
      </w:r>
      <w:r>
        <w:br/>
      </w:r>
      <w:r>
        <w:t xml:space="preserve">of liquidity. The consolidated tape, introduced as part of the last MiFIR reform,</w:t>
      </w:r>
      <w:r>
        <w:br/>
      </w:r>
      <w:r>
        <w:t xml:space="preserve">is a case in point. While the consolidated equities tape will provide users with information</w:t>
      </w:r>
      <w:r>
        <w:br/>
      </w:r>
      <w:r>
        <w:t xml:space="preserve">on the best available bid and offer for a given share or ETF in the EU, brokers may still</w:t>
      </w:r>
      <w:r>
        <w:br/>
      </w:r>
      <w:r>
        <w:t xml:space="preserve">not be able to tap into that liquidity at a reasonable cost. The inability of infrastructure users</w:t>
      </w:r>
      <w:r>
        <w:br/>
      </w:r>
      <w:r>
        <w:t xml:space="preserve">to tap into a broad range of liquidity pools at a reasonable cost is a significant obstacle</w:t>
      </w:r>
      <w:r>
        <w:br/>
      </w:r>
      <w:r>
        <w:t xml:space="preserve">to realising the full potential of the consolidated tape.</w:t>
      </w:r>
      <w:r>
        <w:t xml:space="preserve"> </w:t>
      </w:r>
      <w:r>
        <w:t xml:space="preserve">Lastly, remaining inefficiencies in the functioning and application of open access provisions at</w:t>
      </w:r>
      <w:r>
        <w:t xml:space="preserve"> </w:t>
      </w:r>
      <w:r>
        <w:t xml:space="preserve">the trading venue level pose a significant barrier to efficient and cost-effective access to EU</w:t>
      </w:r>
      <w:r>
        <w:t xml:space="preserve"> </w:t>
      </w:r>
      <w:r>
        <w:t xml:space="preserve">trading venues. Frictions in the functioning of existing open access provisions,</w:t>
      </w:r>
      <w:r>
        <w:br/>
      </w:r>
      <w:r>
        <w:t xml:space="preserve">such as excessive flexibility for infrastructure operators and national supervisors to reject</w:t>
      </w:r>
      <w:r>
        <w:t xml:space="preserve"> </w:t>
      </w:r>
      <w:r>
        <w:t xml:space="preserve">interoperability arrangements, or restrictive practices limiting the leveraging of interoperability</w:t>
      </w:r>
      <w:r>
        <w:t xml:space="preserve"> </w:t>
      </w:r>
      <w:r>
        <w:t xml:space="preserve">arrangements between CCPs, exacerbate fragmentation, forcing market participants to navigate</w:t>
      </w:r>
      <w:r>
        <w:t xml:space="preserve"> </w:t>
      </w:r>
      <w:r>
        <w:t xml:space="preserve">a complex web of disparate post-trade systems, each with unique requirements and costs. As a</w:t>
      </w:r>
      <w:r>
        <w:t xml:space="preserve"> </w:t>
      </w:r>
      <w:r>
        <w:t xml:space="preserve">result, accessing multiple trading venues, particularly across borders, becomes even more</w:t>
      </w:r>
      <w:r>
        <w:t xml:space="preserve"> </w:t>
      </w:r>
      <w:r>
        <w:t xml:space="preserve">costly and cumbersome, creating a high barrier to entry for new market participants and</w:t>
      </w:r>
      <w:r>
        <w:t xml:space="preserve"> </w:t>
      </w:r>
      <w:r>
        <w:t xml:space="preserve">discouraging direct connections, especially for smaller brokers and investors.</w:t>
      </w:r>
      <w:r>
        <w:br/>
      </w:r>
      <w:r>
        <w:t xml:space="preserve">2.3. OBJECTIVES IN THE TRADING AREA</w:t>
      </w:r>
      <w:r>
        <w:t xml:space="preserve"> </w:t>
      </w:r>
      <w:r>
        <w:t xml:space="preserve">The objective of this initiative is to enable further market integration and scale effects by</w:t>
      </w:r>
      <w:r>
        <w:t xml:space="preserve"> </w:t>
      </w:r>
      <w:r>
        <w:t xml:space="preserve">increasing cross-border activity. Considering the abovementioned problems and problem</w:t>
      </w:r>
      <w:r>
        <w:t xml:space="preserve"> </w:t>
      </w:r>
      <w:r>
        <w:t xml:space="preserve">drivers, this overall objective translates, in the trading area, in terms of:</w:t>
      </w:r>
      <w:r>
        <w:t xml:space="preserve"> </w:t>
      </w:r>
      <w:r>
        <w:t xml:space="preserve">-</w:t>
      </w:r>
      <w:r>
        <w:t xml:space="preserve"> </w:t>
      </w:r>
      <w:r>
        <w:t xml:space="preserve">facilitated and increased cross border activities of trading venues; and</w:t>
      </w:r>
      <w:r>
        <w:t xml:space="preserve"> </w:t>
      </w:r>
      <w:r>
        <w:t xml:space="preserve">-</w:t>
      </w:r>
      <w:r>
        <w:t xml:space="preserve"> </w:t>
      </w:r>
      <w:r>
        <w:t xml:space="preserve">improved brokers’ direct access to liquidity pools.</w:t>
      </w:r>
      <w:r>
        <w:t xml:space="preserve"> </w:t>
      </w:r>
      <w:r>
        <w:t xml:space="preserve">3. POLICY OPTIONS AND ASSESSMENT OF THE OPTIONS</w:t>
      </w:r>
      <w:r>
        <w:t xml:space="preserve"> </w:t>
      </w:r>
      <w:r>
        <w:t xml:space="preserve">3.1. DESCRIPTION OF POLICY OPTIONS</w:t>
      </w:r>
      <w:r>
        <w:t xml:space="preserve"> </w:t>
      </w:r>
      <w:r>
        <w:t xml:space="preserve">Option 1: lifting regulatory barriers to cross-border operations of trading venues</w:t>
      </w:r>
      <w:r>
        <w:br/>
      </w:r>
      <w:r>
        <w:t xml:space="preserve">and facilitating direct broker connections to a wider range of trading venues</w:t>
      </w:r>
      <w:r>
        <w:t xml:space="preserve"> </w:t>
      </w:r>
      <w:r>
        <w:t xml:space="preserve">This option seeks to achieve a more integrated EU trading landscape, (i) where rules that apply</w:t>
      </w:r>
      <w:r>
        <w:t xml:space="preserve"> </w:t>
      </w:r>
      <w:r>
        <w:t xml:space="preserve">to trading venues are further harmonised and passporting opportunities for RMs and their</w:t>
      </w:r>
      <w:r>
        <w:t xml:space="preserve"> </w:t>
      </w:r>
      <w:r>
        <w:t xml:space="preserve">operators are enhanced, (ii) where groups that comprise multiple trading venues across several</w:t>
      </w:r>
      <w:r>
        <w:t xml:space="preserve"> </w:t>
      </w:r>
      <w:r>
        <w:t xml:space="preserve">Member States can effectively leverage economies of scale and (iii) where brokers’ direct</w:t>
      </w:r>
      <w:r>
        <w:t xml:space="preserve"> </w:t>
      </w:r>
      <w:r>
        <w:t xml:space="preserve">access to trading venues is simplified.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Under this option, the rules regarding the authorisation and operation of RMs would be</w:t>
      </w:r>
      <w:r>
        <w:t xml:space="preserve"> </w:t>
      </w:r>
      <w:r>
        <w:t xml:space="preserve">transferred from MiFID 2 (Directive) to MiFIR (Regulation) and further harmonised (reducing</w:t>
      </w:r>
      <w:r>
        <w:t xml:space="preserve"> </w:t>
      </w:r>
      <w:r>
        <w:t xml:space="preserve">scope for national discretions and gold-plating) with a view to creating a truly European single</w:t>
      </w:r>
      <w:r>
        <w:t xml:space="preserve"> </w:t>
      </w:r>
      <w:r>
        <w:t xml:space="preserve">rulebook for trading venues. As regards MTFs and OTFs, considering that those venues can be</w:t>
      </w:r>
      <w:r>
        <w:t xml:space="preserve"> </w:t>
      </w:r>
      <w:r>
        <w:t xml:space="preserve">operated by investment firms (and not only by market operators), only rules that are specific to</w:t>
      </w:r>
      <w:r>
        <w:t xml:space="preserve"> </w:t>
      </w:r>
      <w:r>
        <w:t xml:space="preserve">the operation of an MTF or OTF (and not the entire investment firm authorisation and operation</w:t>
      </w:r>
      <w:r>
        <w:t xml:space="preserve"> </w:t>
      </w:r>
      <w:r>
        <w:t xml:space="preserve">requirements) would be transferred to MiFIR and further harmonised. In parallel, rules for</w:t>
      </w:r>
      <w:r>
        <w:t xml:space="preserve"> </w:t>
      </w:r>
      <w:r>
        <w:t xml:space="preserve">RMs, MTFs, and OTFs would be aligned as much as possible to ensure a level playing field,</w:t>
      </w:r>
      <w:r>
        <w:t xml:space="preserve"> </w:t>
      </w:r>
      <w:r>
        <w:t xml:space="preserve">including from the supervisory standpoint. Incidentally, this harmonisation of rules would also</w:t>
      </w:r>
      <w:r>
        <w:t xml:space="preserve"> </w:t>
      </w:r>
      <w:r>
        <w:t xml:space="preserve">facilitate the transfer of supervision of operators/markets with a cross-border dimension to the</w:t>
      </w:r>
      <w:r>
        <w:t xml:space="preserve"> </w:t>
      </w:r>
      <w:r>
        <w:t xml:space="preserve">European level and allow to enforce a truly single rulebook for those operators (and not just a</w:t>
      </w:r>
      <w:r>
        <w:t xml:space="preserve"> </w:t>
      </w:r>
      <w:r>
        <w:t xml:space="preserve">series of national laws).</w:t>
      </w:r>
      <w:r>
        <w:t xml:space="preserve"> </w:t>
      </w:r>
      <w:r>
        <w:t xml:space="preserve">The harmonisation of rules would be accompanied by enhanced passporting rights for market</w:t>
      </w:r>
      <w:r>
        <w:t xml:space="preserve"> </w:t>
      </w:r>
      <w:r>
        <w:t xml:space="preserve">operators and regulated markets, to ease the cross-border operation of these trading venues and</w:t>
      </w:r>
      <w:r>
        <w:t xml:space="preserve"> </w:t>
      </w:r>
      <w:r>
        <w:t xml:space="preserve">allow for a rationalisation of licensing requirements across Member States. In particular, a new</w:t>
      </w:r>
      <w:r>
        <w:t xml:space="preserve"> </w:t>
      </w:r>
      <w:r>
        <w:t xml:space="preserve">status for ‘Pan-European Market Operators’ would be introduced for cross-border market</w:t>
      </w:r>
      <w:r>
        <w:t xml:space="preserve"> </w:t>
      </w:r>
      <w:r>
        <w:t xml:space="preserve">operators to allow for the operation of trading venues in multiple Member States on the basis</w:t>
      </w:r>
      <w:r>
        <w:t xml:space="preserve"> </w:t>
      </w:r>
      <w:r>
        <w:t xml:space="preserve">of a single licence. This single PEMO licence, to be granted by ESMA, would allow to maintain</w:t>
      </w:r>
      <w:r>
        <w:t xml:space="preserve"> </w:t>
      </w:r>
      <w:r>
        <w:t xml:space="preserve">the existence of ‘national’ markets, thereby preserving proximity with local ecosystems,</w:t>
      </w:r>
      <w:r>
        <w:t xml:space="preserve"> </w:t>
      </w:r>
      <w:r>
        <w:t xml:space="preserve">without the need for those markets to be subject to individual licenses to operate those markets.</w:t>
      </w:r>
      <w:r>
        <w:br/>
      </w:r>
      <w:r>
        <w:t xml:space="preserve">In parallel, this option would allow trading venues that operate under a unified group structure,</w:t>
      </w:r>
      <w:r>
        <w:t xml:space="preserve"> </w:t>
      </w:r>
      <w:r>
        <w:t xml:space="preserve">with harmonised systems and governance, to fully exploit group synergies. The regulatory</w:t>
      </w:r>
      <w:r>
        <w:t xml:space="preserve"> </w:t>
      </w:r>
      <w:r>
        <w:t xml:space="preserve">framework would be revised to ensure that intra-group allocation of resources and functions is</w:t>
      </w:r>
      <w:r>
        <w:t xml:space="preserve"> </w:t>
      </w:r>
      <w:r>
        <w:t xml:space="preserve">not treated in the same way as outsourcing outside the group. This is with a view to simplifying</w:t>
      </w:r>
      <w:r>
        <w:t xml:space="preserve"> </w:t>
      </w:r>
      <w:r>
        <w:t xml:space="preserve">the allocation of tasks within the group, thus reducing administrative burden and compliance</w:t>
      </w:r>
      <w:r>
        <w:t xml:space="preserve"> </w:t>
      </w:r>
      <w:r>
        <w:t xml:space="preserve">costs for groups.202</w:t>
      </w:r>
      <w:r>
        <w:br/>
      </w:r>
      <w:r>
        <w:t xml:space="preserve">This option also entails the implementation of measures aimed at eliminating barriers that</w:t>
      </w:r>
      <w:r>
        <w:t xml:space="preserve"> </w:t>
      </w:r>
      <w:r>
        <w:t xml:space="preserve">hinder brokers from becoming direct members of trading venues. To achieve this, a</w:t>
      </w:r>
      <w:r>
        <w:t xml:space="preserve"> </w:t>
      </w:r>
      <w:r>
        <w:t xml:space="preserve">“streamlined membership process” would be established, enabling entities that have been</w:t>
      </w:r>
      <w:r>
        <w:t xml:space="preserve"> </w:t>
      </w:r>
      <w:r>
        <w:t xml:space="preserve">granted membership on one venue for one asset class to avoid duplicative checks and</w:t>
      </w:r>
      <w:r>
        <w:t xml:space="preserve"> </w:t>
      </w:r>
      <w:r>
        <w:t xml:space="preserve">procedural burdens when they apply for membership on another comparable platform.</w:t>
      </w:r>
      <w:r>
        <w:br/>
      </w:r>
      <w:r>
        <w:t xml:space="preserve">The granting of membership would thereby waive the requirement for redundant checks</w:t>
      </w:r>
      <w:r>
        <w:br/>
      </w:r>
      <w:r>
        <w:t xml:space="preserve">by other trading venues trading the same asset class, thus streamlining the membership process.</w:t>
      </w:r>
      <w:r>
        <w:t xml:space="preserve"> </w:t>
      </w:r>
      <w:r>
        <w:t xml:space="preserve">However, other aspects of membership eligibility checks, such as those pertaining to the ability</w:t>
      </w:r>
      <w:r>
        <w:t xml:space="preserve"> </w:t>
      </w:r>
      <w:r>
        <w:t xml:space="preserve">to settle trades executed on trading venues, would remain subject to individual venue</w:t>
      </w:r>
      <w:r>
        <w:t xml:space="preserve"> </w:t>
      </w:r>
      <w:r>
        <w:t xml:space="preserve">assessment, given the venue-specific nature of post-trade arrangements. This would also ensure</w:t>
      </w:r>
      <w:r>
        <w:t xml:space="preserve"> </w:t>
      </w:r>
      <w:r>
        <w:t xml:space="preserve">that venues can continue to compete and innovate on more technical aspects of the trading</w:t>
      </w:r>
      <w:r>
        <w:t xml:space="preserve"> </w:t>
      </w:r>
      <w:r>
        <w:t xml:space="preserve">business.</w:t>
      </w:r>
    </w:p>
    <w:p>
      <w:pPr>
        <w:pStyle w:val="BodyText"/>
      </w:pPr>
      <w:r>
        <w:t xml:space="preserve">202 The actions linked to enhancing passporting rights for market operators and regulated markets, as well those</w:t>
      </w:r>
      <w:r>
        <w:t xml:space="preserve"> </w:t>
      </w:r>
      <w:r>
        <w:t xml:space="preserve">on the treatment of groups require ensuring an appropriate supervisory set-up that considers the cross-border</w:t>
      </w:r>
      <w:r>
        <w:t xml:space="preserve"> </w:t>
      </w:r>
      <w:r>
        <w:t xml:space="preserve">dimension of those entities and therefore they are linked to the initiatives on EU-level supervision as detailed in</w:t>
      </w:r>
      <w:r>
        <w:t xml:space="preserve"> </w:t>
      </w:r>
      <w:r>
        <w:t xml:space="preserve">the Sectoral Annex 11 on ‘Supervision’.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Option 2: Option 1 supplemented by a requirement on the interconnection of significant</w:t>
      </w:r>
      <w:r>
        <w:t xml:space="preserve"> </w:t>
      </w:r>
      <w:r>
        <w:t xml:space="preserve">exchanges and pan-European MTFs</w:t>
      </w:r>
      <w:r>
        <w:t xml:space="preserve"> </w:t>
      </w:r>
      <w:r>
        <w:t xml:space="preserve">The measures outlined under Option 2 should be considered as a supplementary extension</w:t>
      </w:r>
      <w:r>
        <w:br/>
      </w:r>
      <w:r>
        <w:t xml:space="preserve">to those presented under Option 1 (in other words, Option 2 builds on Option 1 but also</w:t>
      </w:r>
      <w:r>
        <w:t xml:space="preserve"> </w:t>
      </w:r>
      <w:r>
        <w:t xml:space="preserve">complements it with an additional measure).</w:t>
      </w:r>
      <w:r>
        <w:t xml:space="preserve"> </w:t>
      </w:r>
      <w:r>
        <w:t xml:space="preserve">Under this option, a subset of key trading venues, which could be subject to ESMA supervision,</w:t>
      </w:r>
      <w:r>
        <w:t xml:space="preserve"> </w:t>
      </w:r>
      <w:r>
        <w:t xml:space="preserve">would be required to establish interconnections with one another.203 This is with</w:t>
      </w:r>
      <w:r>
        <w:br/>
      </w:r>
      <w:r>
        <w:t xml:space="preserve">a view to enabling members of each of those venues to submit orders for execution on other</w:t>
      </w:r>
      <w:r>
        <w:t xml:space="preserve"> </w:t>
      </w:r>
      <w:r>
        <w:t xml:space="preserve">venues within the interconnected network, without necessitating membership or direct</w:t>
      </w:r>
      <w:r>
        <w:t xml:space="preserve"> </w:t>
      </w:r>
      <w:r>
        <w:t xml:space="preserve">connection to those other trading venues.</w:t>
      </w:r>
      <w:r>
        <w:t xml:space="preserve"> </w:t>
      </w:r>
      <w:r>
        <w:t xml:space="preserve">It is essential to note that this option would not transform the aforementioned venues into</w:t>
      </w:r>
      <w:r>
        <w:t xml:space="preserve"> </w:t>
      </w:r>
      <w:r>
        <w:t xml:space="preserve">executing brokers, subjecting them to best execution rules. Rather, venues participating</w:t>
      </w:r>
      <w:r>
        <w:br/>
      </w:r>
      <w:r>
        <w:t xml:space="preserve">in the network would serve as mere technical conduits, facilitating brokers’ ability to directly</w:t>
      </w:r>
      <w:r>
        <w:t xml:space="preserve"> </w:t>
      </w:r>
      <w:r>
        <w:t xml:space="preserve">place orders on diverse venues within the network. To this extent, this option differs</w:t>
      </w:r>
      <w:r>
        <w:t xml:space="preserve"> </w:t>
      </w:r>
      <w:r>
        <w:t xml:space="preserve">substantially from the US</w:t>
      </w:r>
      <w:r>
        <w:t xml:space="preserve"> </w:t>
      </w:r>
      <w:r>
        <w:t xml:space="preserve">‘Order Protection Rule’</w:t>
      </w:r>
      <w:r>
        <w:t xml:space="preserve"> </w:t>
      </w:r>
      <w:r>
        <w:t xml:space="preserve">(also known as Reg NMS rule)204, which</w:t>
      </w:r>
      <w:r>
        <w:t xml:space="preserve"> </w:t>
      </w:r>
      <w:r>
        <w:t xml:space="preserve">mandates exchanges to re-route orders received to the exchange offering the best available</w:t>
      </w:r>
      <w:r>
        <w:t xml:space="preserve"> </w:t>
      </w:r>
      <w:r>
        <w:t xml:space="preserve">price (or National Best Bid and Offer, NBBO), thereby placing the onus on every exchange to</w:t>
      </w:r>
      <w:r>
        <w:t xml:space="preserve"> </w:t>
      </w:r>
      <w:r>
        <w:t xml:space="preserve">identify the most favourable venue of execution. In contrast, under this option, brokers relying</w:t>
      </w:r>
      <w:r>
        <w:t xml:space="preserve"> </w:t>
      </w:r>
      <w:r>
        <w:t xml:space="preserve">on the interconnection offered by venues within the network would retain full responsibility</w:t>
      </w:r>
      <w:r>
        <w:t xml:space="preserve"> </w:t>
      </w:r>
      <w:r>
        <w:t xml:space="preserve">for selecting the venue for order execution, and would consequently remain liable for ensuring</w:t>
      </w:r>
      <w:r>
        <w:t xml:space="preserve"> </w:t>
      </w:r>
      <w:r>
        <w:t xml:space="preserve">the best execution vis-à-vis their clients.</w:t>
      </w:r>
      <w:r>
        <w:t xml:space="preserve"> </w:t>
      </w:r>
      <w:r>
        <w:t xml:space="preserve">Establishing this interconnection would necessitate that each concerned venue becomes a</w:t>
      </w:r>
      <w:r>
        <w:t xml:space="preserve"> </w:t>
      </w:r>
      <w:r>
        <w:t xml:space="preserve">technical member of the other venues, and that each concerned venue implements a technical</w:t>
      </w:r>
      <w:r>
        <w:t xml:space="preserve"> </w:t>
      </w:r>
      <w:r>
        <w:t xml:space="preserve">solution to submit orders on other venues within the interconnected network (technical</w:t>
      </w:r>
      <w:r>
        <w:t xml:space="preserve"> </w:t>
      </w:r>
      <w:r>
        <w:t xml:space="preserve">connectivity). While the former requirement (membership) does not imply significant</w:t>
      </w:r>
      <w:r>
        <w:t xml:space="preserve"> </w:t>
      </w:r>
      <w:r>
        <w:t xml:space="preserve">complexity nor cost, the latter necessitates that venues ensure they are capable of (i) interacting</w:t>
      </w:r>
      <w:r>
        <w:t xml:space="preserve"> </w:t>
      </w:r>
      <w:r>
        <w:t xml:space="preserve">with each venue’s communication protocol, thereby allowing communication with the target</w:t>
      </w:r>
      <w:r>
        <w:t xml:space="preserve"> </w:t>
      </w:r>
      <w:r>
        <w:t xml:space="preserve">venue (software component), and (ii) physically conveying messages to other venues within</w:t>
      </w:r>
      <w:r>
        <w:t xml:space="preserve"> </w:t>
      </w:r>
      <w:r>
        <w:t xml:space="preserve">the network (hardware component).</w:t>
      </w:r>
      <w:r>
        <w:t xml:space="preserve"> </w:t>
      </w:r>
      <w:r>
        <w:t xml:space="preserve">To achieve this, venues within the network may opt to:</w:t>
      </w:r>
      <w:r>
        <w:t xml:space="preserve"> </w:t>
      </w:r>
      <w:r>
        <w:t xml:space="preserve">-</w:t>
      </w:r>
      <w:r>
        <w:t xml:space="preserve"> </w:t>
      </w:r>
      <w:r>
        <w:t xml:space="preserve">develop proprietary hardware and software connections to other venues;</w:t>
      </w:r>
      <w:r>
        <w:t xml:space="preserve"> </w:t>
      </w:r>
      <w:r>
        <w:t xml:space="preserve">-</w:t>
      </w:r>
      <w:r>
        <w:t xml:space="preserve"> </w:t>
      </w:r>
      <w:r>
        <w:t xml:space="preserve">utilise third-party providers of physical/hardware connections (Extranet Service</w:t>
      </w:r>
      <w:r>
        <w:t xml:space="preserve"> </w:t>
      </w:r>
      <w:r>
        <w:t xml:space="preserve">Providers, ESPs), while leveraging their own coding capacity to integrate with each</w:t>
      </w:r>
      <w:r>
        <w:t xml:space="preserve"> </w:t>
      </w:r>
      <w:r>
        <w:t xml:space="preserve">venue’s communication protocols;</w:t>
      </w:r>
      <w:r>
        <w:t xml:space="preserve"> </w:t>
      </w:r>
      <w:r>
        <w:t xml:space="preserve">-</w:t>
      </w:r>
      <w:r>
        <w:t xml:space="preserve"> </w:t>
      </w:r>
      <w:r>
        <w:t xml:space="preserve">employ third-party providers of software solutions to</w:t>
      </w:r>
      <w:r>
        <w:t xml:space="preserve"> </w:t>
      </w:r>
      <w:r>
        <w:t xml:space="preserve">‘translate’</w:t>
      </w:r>
      <w:r>
        <w:t xml:space="preserve"> </w:t>
      </w:r>
      <w:r>
        <w:t xml:space="preserve">orders into a format</w:t>
      </w:r>
      <w:r>
        <w:t xml:space="preserve"> </w:t>
      </w:r>
      <w:r>
        <w:t xml:space="preserve">compatible with each venue’s communication protocol (ISVs), while relying on their</w:t>
      </w:r>
      <w:r>
        <w:t xml:space="preserve"> </w:t>
      </w:r>
      <w:r>
        <w:t xml:space="preserve">own physical/hardware connections to other venues; or</w:t>
      </w:r>
      <w:r>
        <w:t xml:space="preserve"> </w:t>
      </w:r>
      <w:r>
        <w:t xml:space="preserve">-</w:t>
      </w:r>
      <w:r>
        <w:t xml:space="preserve"> </w:t>
      </w:r>
      <w:r>
        <w:t xml:space="preserve">resort to third-party providers offering both hardware and software solutions (ASPs).</w:t>
      </w:r>
    </w:p>
    <w:p>
      <w:pPr>
        <w:pStyle w:val="BodyText"/>
      </w:pPr>
      <w:r>
        <w:t xml:space="preserve">203 See the Sectoral Annex 11 for more detail on EU-level supervision.</w:t>
      </w:r>
      <w:r>
        <w:t xml:space="preserve"> </w:t>
      </w:r>
      <w:r>
        <w:t xml:space="preserve">204 Rule 611 of the Regulation National Market System established intermarket protection against trade-throughs</w:t>
      </w:r>
      <w:r>
        <w:t xml:space="preserve"> </w:t>
      </w:r>
      <w:r>
        <w:t xml:space="preserve">for certain shares. Due to this rule, trading venues are prevented from executing orders if a better execution price</w:t>
      </w:r>
      <w:r>
        <w:t xml:space="preserve"> </w:t>
      </w:r>
      <w:r>
        <w:t xml:space="preserve">can be found on another exchange.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This option would not prescribe a specific technical setup for venues in scope, as the choice</w:t>
      </w:r>
      <w:r>
        <w:br/>
      </w:r>
      <w:r>
        <w:t xml:space="preserve">of solution will depend on factors such as projected volumes of cross-border orders to be placed</w:t>
      </w:r>
      <w:r>
        <w:t xml:space="preserve"> </w:t>
      </w:r>
      <w:r>
        <w:t xml:space="preserve">through the interconnection mechanism and the specific venues involved.</w:t>
      </w:r>
      <w:r>
        <w:t xml:space="preserve"> </w:t>
      </w:r>
      <w:r>
        <w:t xml:space="preserve">To ensure the effectiveness of this technical solution relative to intermediation (notably prime</w:t>
      </w:r>
      <w:r>
        <w:t xml:space="preserve"> </w:t>
      </w:r>
      <w:r>
        <w:t xml:space="preserve">brokerage) services, this option should be accompanied by restrictions on venues’ ability to</w:t>
      </w:r>
      <w:r>
        <w:t xml:space="preserve"> </w:t>
      </w:r>
      <w:r>
        <w:t xml:space="preserve">charge re-routing fees, which could otherwise render this setup uneconomical. Consequently,</w:t>
      </w:r>
      <w:r>
        <w:t xml:space="preserve"> </w:t>
      </w:r>
      <w:r>
        <w:t xml:space="preserve">venues within the network would be precluded from charging fees for orders placed through</w:t>
      </w:r>
      <w:r>
        <w:t xml:space="preserve"> </w:t>
      </w:r>
      <w:r>
        <w:t xml:space="preserve">their venue on other venues within the network.</w:t>
      </w:r>
      <w:r>
        <w:t xml:space="preserve"> </w:t>
      </w:r>
      <w:r>
        <w:t xml:space="preserve">Lastly, a fundamental prerequisite for the effectiveness of this option is that users of the</w:t>
      </w:r>
      <w:r>
        <w:t xml:space="preserve"> </w:t>
      </w:r>
      <w:r>
        <w:t xml:space="preserve">interconnected system have access to price information enabling them to identify the most</w:t>
      </w:r>
      <w:r>
        <w:t xml:space="preserve"> </w:t>
      </w:r>
      <w:r>
        <w:t xml:space="preserve">relevant execution venue among those within the network. In this regard, the experience of</w:t>
      </w:r>
      <w:r>
        <w:t xml:space="preserve"> </w:t>
      </w:r>
      <w:r>
        <w:t xml:space="preserve">China’s</w:t>
      </w:r>
      <w:r>
        <w:t xml:space="preserve"> </w:t>
      </w:r>
      <w:r>
        <w:t xml:space="preserve">‘China Stock Connect’</w:t>
      </w:r>
      <w:r>
        <w:t xml:space="preserve"> </w:t>
      </w:r>
      <w:r>
        <w:t xml:space="preserve">system, which has established an interconnected network</w:t>
      </w:r>
      <w:r>
        <w:t xml:space="preserve"> </w:t>
      </w:r>
      <w:r>
        <w:t xml:space="preserve">between the Shanghai, Shenzhen, and Hong Kong stock exchanges, is worth noting. China has</w:t>
      </w:r>
      <w:r>
        <w:t xml:space="preserve"> </w:t>
      </w:r>
      <w:r>
        <w:t xml:space="preserve">mandated that level 1 price-depth market data be shared with all market participants free of</w:t>
      </w:r>
      <w:r>
        <w:t xml:space="preserve"> </w:t>
      </w:r>
      <w:r>
        <w:t xml:space="preserve">charge. That solution would however not necessarily need to be implemented in the EU context.</w:t>
      </w:r>
      <w:r>
        <w:t xml:space="preserve"> </w:t>
      </w:r>
      <w:r>
        <w:t xml:space="preserve">Instead, in the EU, the consolidated tape could be leveraged to ensure the usability of the</w:t>
      </w:r>
      <w:r>
        <w:t xml:space="preserve"> </w:t>
      </w:r>
      <w:r>
        <w:t xml:space="preserve">mechanism.</w:t>
      </w:r>
      <w:r>
        <w:t xml:space="preserve"> </w:t>
      </w:r>
      <w:r>
        <w:t xml:space="preserve">3.2. ASSESSMENT AND COMPARISON OF THE OPTIONS</w:t>
      </w:r>
      <w:r>
        <w:t xml:space="preserve"> </w:t>
      </w:r>
      <w:r>
        <w:t xml:space="preserve">Option 1 - lifting regulatory barriers to cross-border operations of trading venues and</w:t>
      </w:r>
      <w:r>
        <w:t xml:space="preserve"> </w:t>
      </w:r>
      <w:r>
        <w:t xml:space="preserve">facilitating direct broker connections to a wider range of trading venues</w:t>
      </w:r>
      <w:r>
        <w:t xml:space="preserve"> </w:t>
      </w:r>
      <w:r>
        <w:t xml:space="preserve">Cost-benefit analysis</w:t>
      </w:r>
      <w:r>
        <w:t xml:space="preserve"> </w:t>
      </w:r>
      <w:r>
        <w:t xml:space="preserve">-</w:t>
      </w:r>
      <w:r>
        <w:t xml:space="preserve"> </w:t>
      </w:r>
      <w:r>
        <w:t xml:space="preserve">Costs and benefits for trading venues</w:t>
      </w:r>
      <w:r>
        <w:t xml:space="preserve"> </w:t>
      </w:r>
      <w:r>
        <w:t xml:space="preserve">Harmonisation of rules (MiFID to MiFIR), better passporting opportunities and creation of a</w:t>
      </w:r>
      <w:r>
        <w:t xml:space="preserve"> </w:t>
      </w:r>
      <w:r>
        <w:t xml:space="preserve">‘Pan-European Market Operator’ status</w:t>
      </w:r>
      <w:r>
        <w:t xml:space="preserve"> </w:t>
      </w:r>
      <w:r>
        <w:t xml:space="preserve">Under option 1, requirements applicable to regulated markets, as well as to MTFs and OTFs</w:t>
      </w:r>
      <w:r>
        <w:t xml:space="preserve"> </w:t>
      </w:r>
      <w:r>
        <w:t xml:space="preserve">would be moved from Directive (MiFID 2) to Regulation (MiFIR), removing differences in</w:t>
      </w:r>
      <w:r>
        <w:t xml:space="preserve"> </w:t>
      </w:r>
      <w:r>
        <w:t xml:space="preserve">transposition in national laws and the possibility for additional gold-plating by Member States.</w:t>
      </w:r>
      <w:r>
        <w:t xml:space="preserve"> </w:t>
      </w:r>
      <w:r>
        <w:t xml:space="preserve">This, in turn, would simplify the overall regulatory landscape, in particular for cross-border</w:t>
      </w:r>
      <w:r>
        <w:t xml:space="preserve"> </w:t>
      </w:r>
      <w:r>
        <w:t xml:space="preserve">entities or groups, remove national specificities and gold-plating measures, and lead to more</w:t>
      </w:r>
      <w:r>
        <w:t xml:space="preserve"> </w:t>
      </w:r>
      <w:r>
        <w:t xml:space="preserve">uniform supervisory outcomes. In addition, as the absence of harmonisation has left room for</w:t>
      </w:r>
      <w:r>
        <w:t xml:space="preserve"> </w:t>
      </w:r>
      <w:r>
        <w:t xml:space="preserve">varying interpretations of these requirements, further harmonisation would avoid an uneven</w:t>
      </w:r>
      <w:r>
        <w:t xml:space="preserve"> </w:t>
      </w:r>
      <w:r>
        <w:t xml:space="preserve">playing field among Member States and minimise risks of forum shopping. It would also</w:t>
      </w:r>
      <w:r>
        <w:t xml:space="preserve"> </w:t>
      </w:r>
      <w:r>
        <w:t xml:space="preserve">enhance legal certainty and enable market infrastructures in the Union to scale up their</w:t>
      </w:r>
      <w:r>
        <w:t xml:space="preserve"> </w:t>
      </w:r>
      <w:r>
        <w:t xml:space="preserve">activities. 67% of respondents to the relevant question in the public consultation deemed an</w:t>
      </w:r>
      <w:r>
        <w:t xml:space="preserve"> </w:t>
      </w:r>
      <w:r>
        <w:t xml:space="preserve">increase in the level of harmonisation of EU rules applying to trading venues and their operators</w:t>
      </w:r>
      <w:r>
        <w:t xml:space="preserve"> </w:t>
      </w:r>
      <w:r>
        <w:t xml:space="preserve">necessary to foster cross-border operations.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A study published in 2019205 estimated that compliance with MiFID/MiFIR accounted for a</w:t>
      </w:r>
      <w:r>
        <w:t xml:space="preserve"> </w:t>
      </w:r>
      <w:r>
        <w:t xml:space="preserve">significant portion of operating costs in the financial markets industry, with average one-off</w:t>
      </w:r>
      <w:r>
        <w:t xml:space="preserve"> </w:t>
      </w:r>
      <w:r>
        <w:t xml:space="preserve">compliance costs representing 1.44% of such operating costs, and ongoing compliance costs</w:t>
      </w:r>
      <w:r>
        <w:t xml:space="preserve"> </w:t>
      </w:r>
      <w:r>
        <w:t xml:space="preserve">accounting for 2.2%. Notably, the study assessed that MiFID/MiFIR imposed the highest</w:t>
      </w:r>
      <w:r>
        <w:t xml:space="preserve"> </w:t>
      </w:r>
      <w:r>
        <w:t xml:space="preserve">ongoing compliance costs and the second-highest one-off compliance costs among all financial</w:t>
      </w:r>
      <w:r>
        <w:t xml:space="preserve"> </w:t>
      </w:r>
      <w:r>
        <w:t xml:space="preserve">services-related legislation. Although it is challenging to quantify the exact savings that could</w:t>
      </w:r>
      <w:r>
        <w:t xml:space="preserve"> </w:t>
      </w:r>
      <w:r>
        <w:t xml:space="preserve">be achieved by simplifying the MiFID/MiFIR regulatory framework, these figures suggest that</w:t>
      </w:r>
      <w:r>
        <w:t xml:space="preserve"> </w:t>
      </w:r>
      <w:r>
        <w:t xml:space="preserve">any simplification efforts (elimination of national specificities, gold-plating, uniform</w:t>
      </w:r>
      <w:r>
        <w:t xml:space="preserve"> </w:t>
      </w:r>
      <w:r>
        <w:t xml:space="preserve">application, etc.) would likely have a substantial impact on compliance cost savings for firms.</w:t>
      </w:r>
      <w:r>
        <w:t xml:space="preserve"> </w:t>
      </w:r>
      <w:r>
        <w:t xml:space="preserve">In some specific areas, stakeholders have mentioned extra costs (notably opportunity costs)</w:t>
      </w:r>
      <w:r>
        <w:t xml:space="preserve"> </w:t>
      </w:r>
      <w:r>
        <w:t xml:space="preserve">linked to diverging practices and additional procedures not mentioned in EU legislation</w:t>
      </w:r>
      <w:r>
        <w:t xml:space="preserve"> </w:t>
      </w:r>
      <w:r>
        <w:t xml:space="preserve">amounting to ca. EUR 1 million per group-level changes (e.g. approval of a change of trading</w:t>
      </w:r>
      <w:r>
        <w:t xml:space="preserve"> </w:t>
      </w:r>
      <w:r>
        <w:t xml:space="preserve">platforms). The actual level of cost savings would however also depend on other alleviations</w:t>
      </w:r>
      <w:r>
        <w:t xml:space="preserve"> </w:t>
      </w:r>
      <w:r>
        <w:t xml:space="preserve">introduced, such as on whether an authorisation process would be maintained or instead</w:t>
      </w:r>
      <w:r>
        <w:t xml:space="preserve"> </w:t>
      </w:r>
      <w:r>
        <w:t xml:space="preserve">replaced by a lighter notification process (e.g. for changes in an exchange rulebook).</w:t>
      </w:r>
      <w:r>
        <w:t xml:space="preserve"> </w:t>
      </w:r>
      <w:r>
        <w:t xml:space="preserve">While the adaptation to a new, fully harmonised rulebook might entail some adaptation cost</w:t>
      </w:r>
      <w:r>
        <w:t xml:space="preserve"> </w:t>
      </w:r>
      <w:r>
        <w:t xml:space="preserve">for entities managing trading infrastructure because of the modification of national rules (i.e.,</w:t>
      </w:r>
      <w:r>
        <w:t xml:space="preserve"> </w:t>
      </w:r>
      <w:r>
        <w:t xml:space="preserve">the deletion of national specificities), the costs incurred are likely to be one-off and by no means</w:t>
      </w:r>
      <w:r>
        <w:t xml:space="preserve"> </w:t>
      </w:r>
      <w:r>
        <w:t xml:space="preserve">comparable to the benefits that are expected to be drawn by those same entities from the</w:t>
      </w:r>
      <w:r>
        <w:t xml:space="preserve"> </w:t>
      </w:r>
      <w:r>
        <w:t xml:space="preserve">simplification of the regulatory landscape. Therefore, while it was impossible to quantify the</w:t>
      </w:r>
      <w:r>
        <w:t xml:space="preserve"> </w:t>
      </w:r>
      <w:r>
        <w:t xml:space="preserve">level of one-off adaptation costs nor a precise level of generated benefits, it is expected that</w:t>
      </w:r>
      <w:r>
        <w:t xml:space="preserve"> </w:t>
      </w:r>
      <w:r>
        <w:t xml:space="preserve">overall infrastructure entities are likely to obtain a net benefit over a mid to longer term horizon.</w:t>
      </w:r>
      <w:r>
        <w:t xml:space="preserve"> </w:t>
      </w:r>
      <w:r>
        <w:t xml:space="preserve">The fully harmonised rulebook will be accompanied by enhanced passporting opportunities for</w:t>
      </w:r>
      <w:r>
        <w:t xml:space="preserve"> </w:t>
      </w:r>
      <w:r>
        <w:t xml:space="preserve">those entities that would seek to operate on the basis of the freedom of establishment or the</w:t>
      </w:r>
      <w:r>
        <w:t xml:space="preserve"> </w:t>
      </w:r>
      <w:r>
        <w:t xml:space="preserve">freedom to provide services, notably through a clarification of the scope of activities that can</w:t>
      </w:r>
      <w:r>
        <w:t xml:space="preserve"> </w:t>
      </w:r>
      <w:r>
        <w:t xml:space="preserve">be carried out by a trading venue in a Member State without establishing a fully-fledged</w:t>
      </w:r>
      <w:r>
        <w:t xml:space="preserve"> </w:t>
      </w:r>
      <w:r>
        <w:t xml:space="preserve">licensed entity. In addition, the creation of a PEMO status would further facilitate the</w:t>
      </w:r>
      <w:r>
        <w:t xml:space="preserve"> </w:t>
      </w:r>
      <w:r>
        <w:t xml:space="preserve">streamlining of operational and supervisory arrangements of groups of trading venues, while</w:t>
      </w:r>
      <w:r>
        <w:t xml:space="preserve"> </w:t>
      </w:r>
      <w:r>
        <w:t xml:space="preserve">maintaining the existence of local ‘national’ markets. One stakeholder has referred to potential</w:t>
      </w:r>
      <w:r>
        <w:t xml:space="preserve"> </w:t>
      </w:r>
      <w:r>
        <w:t xml:space="preserve">savings linked to the rationalisation of its corporate structure (i.e., the suppression of legal</w:t>
      </w:r>
      <w:r>
        <w:t xml:space="preserve"> </w:t>
      </w:r>
      <w:r>
        <w:t xml:space="preserve">entities within the group) amounting to savings in the order of tens of millions annually. This</w:t>
      </w:r>
      <w:r>
        <w:t xml:space="preserve"> </w:t>
      </w:r>
      <w:r>
        <w:t xml:space="preserve">represents savings linked to legal, regulatory (internal and external advisors’ costs), finance,</w:t>
      </w:r>
      <w:r>
        <w:t xml:space="preserve"> </w:t>
      </w:r>
      <w:r>
        <w:t xml:space="preserve">human resources costs that would be reduced should operation through branches be enhanced.</w:t>
      </w:r>
      <w:r>
        <w:t xml:space="preserve"> </w:t>
      </w:r>
      <w:r>
        <w:t xml:space="preserve">That same stakeholder also cited savings linked to local governance costs. Similar cost savings</w:t>
      </w:r>
      <w:r>
        <w:t xml:space="preserve"> </w:t>
      </w:r>
      <w:r>
        <w:t xml:space="preserve">could be expected for other entities structured as groups, although the exact level for each group</w:t>
      </w:r>
      <w:r>
        <w:t xml:space="preserve"> </w:t>
      </w:r>
      <w:r>
        <w:t xml:space="preserve">would depend on each entity’s (i.e. of the group and entities within that group) current</w:t>
      </w:r>
      <w:r>
        <w:t xml:space="preserve"> </w:t>
      </w:r>
      <w:r>
        <w:t xml:space="preserve">governance and established processes.206 Ultimately, this facilitation of cross-border operations</w:t>
      </w:r>
    </w:p>
    <w:p>
      <w:pPr>
        <w:pStyle w:val="BodyText"/>
      </w:pPr>
      <w:r>
        <w:t xml:space="preserve">205 Study on the costs of compliance for the financial sector - CEPS</w:t>
      </w:r>
      <w:r>
        <w:t xml:space="preserve"> </w:t>
      </w:r>
      <w:r>
        <w:t xml:space="preserve">206 Those savings depend also on the supervisory structure applicable and therefore are linked to the initiatives on</w:t>
      </w:r>
      <w:r>
        <w:t xml:space="preserve"> </w:t>
      </w:r>
      <w:r>
        <w:t xml:space="preserve">EU-level supervision described in the Sectoral Annex 11. Where EU-level supervision is envisaged, the described</w:t>
      </w:r>
      <w:r>
        <w:t xml:space="preserve"> </w:t>
      </w:r>
      <w:r>
        <w:t xml:space="preserve">cost savings could be extracted to the fullest extent possible.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through a single license will also create incentives for legal consolidation, as the operations of</w:t>
      </w:r>
      <w:r>
        <w:t xml:space="preserve"> </w:t>
      </w:r>
      <w:r>
        <w:t xml:space="preserve">trading infrastructure in several Member States would be significantly streamlined.</w:t>
      </w:r>
      <w:r>
        <w:t xml:space="preserve"> </w:t>
      </w:r>
      <w:r>
        <w:t xml:space="preserve">To further substantiate the impact of the proposed measures, the Commission received</w:t>
      </w:r>
      <w:r>
        <w:t xml:space="preserve"> </w:t>
      </w:r>
      <w:r>
        <w:t xml:space="preserve">confidential input from a number of groups of trading infrastructures operating in several</w:t>
      </w:r>
      <w:r>
        <w:t xml:space="preserve"> </w:t>
      </w:r>
      <w:r>
        <w:t xml:space="preserve">Member States on the estimated savings the proposed measures would generate. Together, the</w:t>
      </w:r>
      <w:r>
        <w:t xml:space="preserve"> </w:t>
      </w:r>
      <w:r>
        <w:t xml:space="preserve">groups that provided input accounted for around one third of all on-venue trading in shares in</w:t>
      </w:r>
      <w:r>
        <w:t xml:space="preserve"> </w:t>
      </w:r>
      <w:r>
        <w:t xml:space="preserve">2023.207 Their submissions showed that there are significant inefficiencies in operating a cross-</w:t>
      </w:r>
      <w:r>
        <w:t xml:space="preserve"> </w:t>
      </w:r>
      <w:r>
        <w:t xml:space="preserve">border group under the current legal framework. Some of these inefficiencies are linked to the</w:t>
      </w:r>
      <w:r>
        <w:t xml:space="preserve"> </w:t>
      </w:r>
      <w:r>
        <w:t xml:space="preserve">EU-level rules themselves, such as the lack of clarity around a passporting regime for regulated</w:t>
      </w:r>
      <w:r>
        <w:t xml:space="preserve"> </w:t>
      </w:r>
      <w:r>
        <w:t xml:space="preserve">markets, whereas others are the result of national implementation of the rules, including gold-</w:t>
      </w:r>
      <w:r>
        <w:t xml:space="preserve"> </w:t>
      </w:r>
      <w:r>
        <w:t xml:space="preserve">plating and the inability to freely allocate resources or functions within a group. Contributing</w:t>
      </w:r>
      <w:r>
        <w:t xml:space="preserve"> </w:t>
      </w:r>
      <w:r>
        <w:t xml:space="preserve">exchange groups report the largest potential saving from the removal of the requirement to</w:t>
      </w:r>
      <w:r>
        <w:t xml:space="preserve"> </w:t>
      </w:r>
      <w:r>
        <w:t xml:space="preserve">maintain multiple legal entities to operate cross-border as a group, in a scenario where those</w:t>
      </w:r>
      <w:r>
        <w:t xml:space="preserve"> </w:t>
      </w:r>
      <w:r>
        <w:t xml:space="preserve">groups would be able to operate as a single legal entity under a single licence, with estimated</w:t>
      </w:r>
      <w:r>
        <w:t xml:space="preserve"> </w:t>
      </w:r>
      <w:r>
        <w:t xml:space="preserve">savings per group ranging from EUR single digit millions to mid double digit millions per year.</w:t>
      </w:r>
      <w:r>
        <w:t xml:space="preserve"> </w:t>
      </w:r>
      <w:r>
        <w:t xml:space="preserve">More limited savings, in the range of EUR 0.5-5 million per group per year, are expected if</w:t>
      </w:r>
      <w:r>
        <w:t xml:space="preserve"> </w:t>
      </w:r>
      <w:r>
        <w:t xml:space="preserve">Member States would no longer have the discretion to impose additional requirements</w:t>
      </w:r>
      <w:r>
        <w:t xml:space="preserve"> </w:t>
      </w:r>
      <w:r>
        <w:t xml:space="preserve">regarding the compliance and risk functions. Market surveillance requirements, too, are</w:t>
      </w:r>
      <w:r>
        <w:t xml:space="preserve"> </w:t>
      </w:r>
      <w:r>
        <w:t xml:space="preserve">reportedly applied in diverging ways, with reported potential cost savings ranging from EUR</w:t>
      </w:r>
      <w:r>
        <w:t xml:space="preserve"> </w:t>
      </w:r>
      <w:r>
        <w:t xml:space="preserve">0.5 to 5 million per year. Exchange groups also report inefficiencies as well as opportunity</w:t>
      </w:r>
      <w:r>
        <w:t xml:space="preserve"> </w:t>
      </w:r>
      <w:r>
        <w:t xml:space="preserve">costs arising from the need to obtain approval for updates of their exchange rulebooks from</w:t>
      </w:r>
      <w:r>
        <w:t xml:space="preserve"> </w:t>
      </w:r>
      <w:r>
        <w:t xml:space="preserve">several competent authorities, with the opportunity costs as a result of time lost estimated as</w:t>
      </w:r>
      <w:r>
        <w:t xml:space="preserve"> </w:t>
      </w:r>
      <w:r>
        <w:t xml:space="preserve">much greater, by a factor of 5 to 10, than the direct costs incurred. Further anecdotal evidence</w:t>
      </w:r>
      <w:r>
        <w:t xml:space="preserve"> </w:t>
      </w:r>
      <w:r>
        <w:t xml:space="preserve">was reported of diverging requirements from certain NCAs necessitating multi-million-euro</w:t>
      </w:r>
      <w:r>
        <w:t xml:space="preserve"> </w:t>
      </w:r>
      <w:r>
        <w:t xml:space="preserve">modifications to IT infrastructure before the exchange rulebook could be approved. In total,</w:t>
      </w:r>
      <w:r>
        <w:t xml:space="preserve"> </w:t>
      </w:r>
      <w:r>
        <w:t xml:space="preserve">the groups contributing input reported expected savings between EUR 29 and 74 million per</w:t>
      </w:r>
      <w:r>
        <w:t xml:space="preserve"> </w:t>
      </w:r>
      <w:r>
        <w:t xml:space="preserve">year, depending on the scope of expected savings resulting from the reduction in the number</w:t>
      </w:r>
      <w:r>
        <w:t xml:space="preserve"> </w:t>
      </w:r>
      <w:r>
        <w:t xml:space="preserve">of legal entities required and on whether anecdotal evidence is taken into account.</w:t>
      </w:r>
      <w:r>
        <w:t xml:space="preserve"> </w:t>
      </w:r>
      <w:r>
        <w:t xml:space="preserve">Assuming that all groups of trading venues that operate across Member States would similarly</w:t>
      </w:r>
      <w:r>
        <w:t xml:space="preserve"> </w:t>
      </w:r>
      <w:r>
        <w:t xml:space="preserve">benefit from the proposed measures in proportion to the volume traded, we can extrapolate</w:t>
      </w:r>
      <w:r>
        <w:t xml:space="preserve"> </w:t>
      </w:r>
      <w:r>
        <w:t xml:space="preserve">these estimated savings to all trading infrastructure groups, which in 2023 accounted for around</w:t>
      </w:r>
      <w:r>
        <w:t xml:space="preserve"> </w:t>
      </w:r>
      <w:r>
        <w:t xml:space="preserve">55% of all on-venue trading in shares. This yields expected savings ranging between EUR 47</w:t>
      </w:r>
      <w:r>
        <w:t xml:space="preserve"> </w:t>
      </w:r>
      <w:r>
        <w:t xml:space="preserve">and 120 million per year across all trading venues belonging to a group. It is moreover possible</w:t>
      </w:r>
      <w:r>
        <w:t xml:space="preserve"> </w:t>
      </w:r>
      <w:r>
        <w:t xml:space="preserve">that the proposed measures would allow trading venues that currently do not operate as a group</w:t>
      </w:r>
      <w:r>
        <w:t xml:space="preserve"> </w:t>
      </w:r>
      <w:r>
        <w:t xml:space="preserve">to expand or to organise their operations more efficiently; those potential benefits have not</w:t>
      </w:r>
      <w:r>
        <w:t xml:space="preserve"> </w:t>
      </w:r>
      <w:r>
        <w:t xml:space="preserve">been quantified at this stage.</w:t>
      </w:r>
      <w:r>
        <w:t xml:space="preserve"> </w:t>
      </w:r>
      <w:r>
        <w:t xml:space="preserve">Assuming a pass-through rate of at least 50% from trading venues to brokers and at least of</w:t>
      </w:r>
      <w:r>
        <w:t xml:space="preserve"> </w:t>
      </w:r>
      <w:r>
        <w:t xml:space="preserve">50% from brokers to clients (that would be a conservative assumption, given a rather significant</w:t>
      </w:r>
      <w:r>
        <w:t xml:space="preserve"> </w:t>
      </w:r>
      <w:r>
        <w:t xml:space="preserve">number of trading venues (see page 2 of this Annex) and brokers competing with each other in</w:t>
      </w:r>
    </w:p>
    <w:p>
      <w:pPr>
        <w:pStyle w:val="BodyText"/>
      </w:pPr>
      <w:r>
        <w:t xml:space="preserve">207 Based on ESMA FITRS data.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the EU), it can be estimated that a minimum of EUR 11.25 to 30 million of these savings would</w:t>
      </w:r>
      <w:r>
        <w:t xml:space="preserve"> </w:t>
      </w:r>
      <w:r>
        <w:t xml:space="preserve">will directly benefit end investors trading on EU stock exchanges.</w:t>
      </w:r>
      <w:r>
        <w:t xml:space="preserve"> </w:t>
      </w:r>
      <w:r>
        <w:t xml:space="preserve">Enhanced intra-group efficiencies</w:t>
      </w:r>
      <w:r>
        <w:t xml:space="preserve"> </w:t>
      </w:r>
      <w:r>
        <w:t xml:space="preserve">Entities that do not wish to rely on enhanced passporting opportunities, and continue to operate</w:t>
      </w:r>
      <w:r>
        <w:t xml:space="preserve"> </w:t>
      </w:r>
      <w:r>
        <w:t xml:space="preserve">as a group of trading infrastructures, would be able to rely on the enhanced intra-group</w:t>
      </w:r>
      <w:r>
        <w:t xml:space="preserve"> </w:t>
      </w:r>
      <w:r>
        <w:t xml:space="preserve">efficiencies included in this option.208 For some trading venues, the need to navigate the</w:t>
      </w:r>
      <w:r>
        <w:t xml:space="preserve"> </w:t>
      </w:r>
      <w:r>
        <w:t xml:space="preserve">diverging regulatory frameworks applicable to each entity within the group entails time costs</w:t>
      </w:r>
      <w:r>
        <w:t xml:space="preserve"> </w:t>
      </w:r>
      <w:r>
        <w:t xml:space="preserve">that could amount up to approximately 13,000 hours per year on administration209, reporting,</w:t>
      </w:r>
      <w:r>
        <w:t xml:space="preserve"> </w:t>
      </w:r>
      <w:r>
        <w:t xml:space="preserve">risk and compliance in relation to managing existing outsourcing arrangements.</w:t>
      </w:r>
      <w:r>
        <w:t xml:space="preserve"> </w:t>
      </w:r>
      <w:r>
        <w:t xml:space="preserve">According to responses of trading venues to the public consultation, the recognition of the</w:t>
      </w:r>
      <w:r>
        <w:t xml:space="preserve"> </w:t>
      </w:r>
      <w:r>
        <w:t xml:space="preserve">operational specificities of groups active in more than one Member State will create significant</w:t>
      </w:r>
      <w:r>
        <w:t xml:space="preserve"> </w:t>
      </w:r>
      <w:r>
        <w:t xml:space="preserve">synergies within a group. By treating jointly (i.e. as a single entity) all RMs comprised within</w:t>
      </w:r>
      <w:r>
        <w:t xml:space="preserve"> </w:t>
      </w:r>
      <w:r>
        <w:t xml:space="preserve">a group rather than isolated units, groups can streamline operations, consolidate and cut</w:t>
      </w:r>
      <w:r>
        <w:t xml:space="preserve"> </w:t>
      </w:r>
      <w:r>
        <w:t xml:space="preserve">resources, and eliminate redundancies. This recognition allows for shared services, centralised</w:t>
      </w:r>
      <w:r>
        <w:t xml:space="preserve"> </w:t>
      </w:r>
      <w:r>
        <w:t xml:space="preserve">procurement, coordinated decision-making, and better leverage of economies of scale. One</w:t>
      </w:r>
      <w:r>
        <w:t xml:space="preserve"> </w:t>
      </w:r>
      <w:r>
        <w:t xml:space="preserve">exchange has for instance referred to significant potential savings in case of:</w:t>
      </w:r>
      <w:r>
        <w:t xml:space="preserve"> </w:t>
      </w:r>
      <w:r>
        <w:t xml:space="preserve">-</w:t>
      </w:r>
      <w:r>
        <w:t xml:space="preserve"> </w:t>
      </w:r>
      <w:r>
        <w:t xml:space="preserve">rationalisation of compliance function teams (especially if combined with compliance</w:t>
      </w:r>
      <w:r>
        <w:t xml:space="preserve"> </w:t>
      </w:r>
      <w:r>
        <w:t xml:space="preserve">function related to post-trading activities where applicable),</w:t>
      </w:r>
      <w:r>
        <w:br/>
      </w:r>
      <w:r>
        <w:t xml:space="preserve">-</w:t>
      </w:r>
      <w:r>
        <w:t xml:space="preserve"> </w:t>
      </w:r>
      <w:r>
        <w:t xml:space="preserve">rationalisation of resources dedicated to market operations, including market</w:t>
      </w:r>
      <w:r>
        <w:t xml:space="preserve"> </w:t>
      </w:r>
      <w:r>
        <w:t xml:space="preserve">surveillance, market abuse, regulatory reporting and membership of 30% (which can</w:t>
      </w:r>
      <w:r>
        <w:t xml:space="preserve"> </w:t>
      </w:r>
      <w:r>
        <w:t xml:space="preserve">amount to figures in the low millions), plus additional savings from the avoidance of</w:t>
      </w:r>
      <w:r>
        <w:t xml:space="preserve"> </w:t>
      </w:r>
      <w:r>
        <w:t xml:space="preserve">duplicative teams in certain Member States only. It would also facilitate more efficient</w:t>
      </w:r>
      <w:r>
        <w:t xml:space="preserve"> </w:t>
      </w:r>
      <w:r>
        <w:t xml:space="preserve">use of capital and human resources across the group, reducing duplication of efforts and</w:t>
      </w:r>
      <w:r>
        <w:t xml:space="preserve"> </w:t>
      </w:r>
      <w:r>
        <w:t xml:space="preserve">enabling consistent policy implementation.</w:t>
      </w:r>
      <w:r>
        <w:br/>
      </w:r>
      <w:r>
        <w:t xml:space="preserve">The Commission therefore estimates that in total cost savings linked to enhanced intra-group</w:t>
      </w:r>
      <w:r>
        <w:t xml:space="preserve"> </w:t>
      </w:r>
      <w:r>
        <w:t xml:space="preserve">efficiencies would be in the range of EU 435,500 - 585,500 (13,000 hours annually) in terms</w:t>
      </w:r>
      <w:r>
        <w:t xml:space="preserve"> </w:t>
      </w:r>
      <w:r>
        <w:t xml:space="preserve">of management of regulatory requirements. In addition, there would be additional savings</w:t>
      </w:r>
      <w:r>
        <w:t xml:space="preserve"> </w:t>
      </w:r>
      <w:r>
        <w:t xml:space="preserve">linked to operational efficiencies, such as optimal allocation of resources, avoidance</w:t>
      </w:r>
      <w:r>
        <w:br/>
      </w:r>
      <w:r>
        <w:t xml:space="preserve">of duplicative functions within the same group, etc., which could be significant. Those savings,</w:t>
      </w:r>
      <w:r>
        <w:t xml:space="preserve"> </w:t>
      </w:r>
      <w:r>
        <w:t xml:space="preserve">however, are complex to quantify accurately, as they highly depend on the business decisions</w:t>
      </w:r>
      <w:r>
        <w:t xml:space="preserve"> </w:t>
      </w:r>
      <w:r>
        <w:t xml:space="preserve">taken by each group and each group’s existing corporate structure, as well as on the supervisory</w:t>
      </w:r>
      <w:r>
        <w:t xml:space="preserve"> </w:t>
      </w:r>
      <w:r>
        <w:t xml:space="preserve">arrangements.</w:t>
      </w:r>
    </w:p>
    <w:p>
      <w:pPr>
        <w:pStyle w:val="BodyText"/>
      </w:pPr>
      <w:r>
        <w:t xml:space="preserve">208 It is however possible that the same entity both remains structured as a group and avails itself of passporting</w:t>
      </w:r>
      <w:r>
        <w:t xml:space="preserve"> </w:t>
      </w:r>
      <w:r>
        <w:t xml:space="preserve">possibilities to access local markets (i.e. in other Member States where the group does not have established</w:t>
      </w:r>
      <w:r>
        <w:t xml:space="preserve"> </w:t>
      </w:r>
      <w:r>
        <w:t xml:space="preserve">presence).</w:t>
      </w:r>
      <w:r>
        <w:t xml:space="preserve"> </w:t>
      </w:r>
      <w:r>
        <w:t xml:space="preserve">209 Using Eurostat figures for average hourly income (using ISCO2 ‘professionals’; 2022 figures - Link) this would</w:t>
      </w:r>
      <w:r>
        <w:t xml:space="preserve"> </w:t>
      </w:r>
      <w:r>
        <w:t xml:space="preserve">translate to costs of EUR 435,500. This represents the lower bound figure. In practice, total costs savings are</w:t>
      </w:r>
      <w:r>
        <w:t xml:space="preserve"> </w:t>
      </w:r>
      <w:r>
        <w:t xml:space="preserve">expected to be higher as the EU average hourly rate (EUR 33.50/hour) is not adjusted for the respective</w:t>
      </w:r>
      <w:r>
        <w:t xml:space="preserve"> </w:t>
      </w:r>
      <w:r>
        <w:t xml:space="preserve">concentration of compliance activity in Member States (e.g. using average hourly costs for only DE, FR, IT, ES</w:t>
      </w:r>
      <w:r>
        <w:t xml:space="preserve"> </w:t>
      </w:r>
      <w:r>
        <w:t xml:space="preserve">and NL would result in savings of EUR 585,500).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The Commission also assesses that the facilitation of pooling of intra-group resources will also</w:t>
      </w:r>
      <w:r>
        <w:t xml:space="preserve"> </w:t>
      </w:r>
      <w:r>
        <w:t xml:space="preserve">foster the development of innovative solutions, in particular for the purpose of running trading</w:t>
      </w:r>
      <w:r>
        <w:t xml:space="preserve"> </w:t>
      </w:r>
      <w:r>
        <w:t xml:space="preserve">platforms in a cross-border basis and in the management of various national contexts (e.g.,</w:t>
      </w:r>
      <w:r>
        <w:t xml:space="preserve"> </w:t>
      </w:r>
      <w:r>
        <w:t xml:space="preserve">diverging securities laws, management of corporate events, etc.). A positive impact – yet</w:t>
      </w:r>
      <w:r>
        <w:t xml:space="preserve"> </w:t>
      </w:r>
      <w:r>
        <w:t xml:space="preserve">impossible to quantify – is therefore expected in the area of innovation/digitalisation.</w:t>
      </w:r>
      <w:r>
        <w:br/>
      </w:r>
      <w:r>
        <w:t xml:space="preserve">It is expected that those measures will also incentivise legal consolidation through</w:t>
      </w:r>
      <w:r>
        <w:br/>
      </w:r>
      <w:r>
        <w:t xml:space="preserve">the facilitation of the operation of cross-border groups of trading infrastructures.</w:t>
      </w:r>
      <w:r>
        <w:t xml:space="preserve"> </w:t>
      </w:r>
      <w:r>
        <w:t xml:space="preserve">Streamlined membership processes</w:t>
      </w:r>
      <w:r>
        <w:t xml:space="preserve"> </w:t>
      </w:r>
      <w:r>
        <w:t xml:space="preserve">With respect to the streamlined membership process, trading venues are not expected to incur</w:t>
      </w:r>
      <w:r>
        <w:t xml:space="preserve"> </w:t>
      </w:r>
      <w:r>
        <w:t xml:space="preserve">any costs other than that of the harmonisation of targeted areas of exchange rulebooks. As</w:t>
      </w:r>
      <w:r>
        <w:t xml:space="preserve"> </w:t>
      </w:r>
      <w:r>
        <w:t xml:space="preserve">regards the adaptation of rulebooks, trading venues estimated those to be in the range of EUR</w:t>
      </w:r>
      <w:r>
        <w:t xml:space="preserve"> </w:t>
      </w:r>
      <w:r>
        <w:t xml:space="preserve">1-2 million (costs of project management, legal drafting, IT adjustments, and staff re-training).</w:t>
      </w:r>
      <w:r>
        <w:t xml:space="preserve"> </w:t>
      </w:r>
      <w:r>
        <w:t xml:space="preserve">Additionally, it was pointed out that venues could also incur opportunity costs as the staff would</w:t>
      </w:r>
      <w:r>
        <w:t xml:space="preserve"> </w:t>
      </w:r>
      <w:r>
        <w:t xml:space="preserve">focus on harmonisation rather than other projects. However, in the Commission’s views,</w:t>
      </w:r>
      <w:r>
        <w:t xml:space="preserve"> </w:t>
      </w:r>
      <w:r>
        <w:t xml:space="preserve">provided estimations would exaggerate the actual cost, as they are based on the inaccurate</w:t>
      </w:r>
      <w:r>
        <w:t xml:space="preserve"> </w:t>
      </w:r>
      <w:r>
        <w:t xml:space="preserve">assumption that the entire rulebook would be overhauled, including aspects relating to trading</w:t>
      </w:r>
      <w:r>
        <w:t xml:space="preserve"> </w:t>
      </w:r>
      <w:r>
        <w:t xml:space="preserve">systems for instance (which, as described above, is not targeted by the action at hand). The</w:t>
      </w:r>
      <w:r>
        <w:t xml:space="preserve"> </w:t>
      </w:r>
      <w:r>
        <w:t xml:space="preserve">Commission estimates that the targeted harmonisation of rulebooks on the elements pertaining</w:t>
      </w:r>
      <w:r>
        <w:t xml:space="preserve"> </w:t>
      </w:r>
      <w:r>
        <w:t xml:space="preserve">exclusively to the ‘quality’ of members would only concern a marginal part of the rulebook and</w:t>
      </w:r>
      <w:r>
        <w:t xml:space="preserve"> </w:t>
      </w:r>
      <w:r>
        <w:t xml:space="preserve">would in many cases require very limited efforts of adaptation on behalf of venues (e.g. direct</w:t>
      </w:r>
      <w:r>
        <w:t xml:space="preserve"> </w:t>
      </w:r>
      <w:r>
        <w:t xml:space="preserve">incorporation of the relevant provisions set out in legislation). Those are estimated to require</w:t>
      </w:r>
      <w:r>
        <w:t xml:space="preserve"> </w:t>
      </w:r>
      <w:r>
        <w:t xml:space="preserve">around 40 working hours by lawyers, which could translate into a cost of ca EUR 15,000. It is</w:t>
      </w:r>
      <w:r>
        <w:t xml:space="preserve"> </w:t>
      </w:r>
      <w:r>
        <w:t xml:space="preserve">worth noting that even those stakeholders who pointed to the potential adaptation costs were</w:t>
      </w:r>
      <w:r>
        <w:t xml:space="preserve"> </w:t>
      </w:r>
      <w:r>
        <w:t xml:space="preserve">overall still positive about the expected net outcome (i.e. that benefits would outweigh costs).</w:t>
      </w:r>
      <w:r>
        <w:t xml:space="preserve"> </w:t>
      </w:r>
      <w:r>
        <w:t xml:space="preserve">Additionally, as the result of the measure, trading venues would benefit from a streamlined</w:t>
      </w:r>
      <w:r>
        <w:t xml:space="preserve"> </w:t>
      </w:r>
      <w:r>
        <w:t xml:space="preserve">member onboarding and monitoring process, as due diligence would only need to be performed</w:t>
      </w:r>
      <w:r>
        <w:t xml:space="preserve"> </w:t>
      </w:r>
      <w:r>
        <w:t xml:space="preserve">once (and by one venue only), which would save staff cost for all venues over a longer-term</w:t>
      </w:r>
      <w:r>
        <w:t xml:space="preserve"> </w:t>
      </w:r>
      <w:r>
        <w:t xml:space="preserve">horizon. As the measure would also make it easier for venues to rely on each other’s ongoing</w:t>
      </w:r>
      <w:r>
        <w:t xml:space="preserve"> </w:t>
      </w:r>
      <w:r>
        <w:t xml:space="preserve">eligibility checks (such as annual/periodic audits), venues would also save staff costs, estimated</w:t>
      </w:r>
      <w:r>
        <w:t xml:space="preserve"> </w:t>
      </w:r>
      <w:r>
        <w:t xml:space="preserve">at a few FTEs, for ongoing compliance and membership management. Despite several requests</w:t>
      </w:r>
      <w:r>
        <w:t xml:space="preserve"> </w:t>
      </w:r>
      <w:r>
        <w:t xml:space="preserve">made to that effect, it was not possible for the Commission to obtain data on the cost of periodic</w:t>
      </w:r>
      <w:r>
        <w:t xml:space="preserve"> </w:t>
      </w:r>
      <w:r>
        <w:t xml:space="preserve">auctions, making it impossible for the Commission to quantify expected cost savings related to</w:t>
      </w:r>
      <w:r>
        <w:t xml:space="preserve"> </w:t>
      </w:r>
      <w:r>
        <w:t xml:space="preserve">the measure.</w:t>
      </w:r>
      <w:r>
        <w:t xml:space="preserve"> </w:t>
      </w:r>
      <w:r>
        <w:t xml:space="preserve">-</w:t>
      </w:r>
      <w:r>
        <w:t xml:space="preserve"> </w:t>
      </w:r>
      <w:r>
        <w:t xml:space="preserve">Costs and benefits for brokers</w:t>
      </w:r>
      <w:r>
        <w:t xml:space="preserve"> </w:t>
      </w:r>
      <w:r>
        <w:t xml:space="preserve">Further harmonisation of requirements applicable to trading venues would not create any cost</w:t>
      </w:r>
      <w:r>
        <w:t xml:space="preserve"> </w:t>
      </w:r>
      <w:r>
        <w:t xml:space="preserve">for brokers. Conversely, it is anticipated that any costs savings and operational efficiencies</w:t>
      </w:r>
      <w:r>
        <w:t xml:space="preserve"> </w:t>
      </w:r>
      <w:r>
        <w:t xml:space="preserve">made by trading venues, through the leveraging of the above-described opportunities</w:t>
      </w:r>
      <w:r>
        <w:t xml:space="preserve"> </w:t>
      </w:r>
      <w:r>
        <w:t xml:space="preserve">(harmonised regulatory environment, further passporting possibilities, enhanced intra-group</w:t>
      </w:r>
      <w:r>
        <w:t xml:space="preserve"> </w:t>
      </w:r>
      <w:r>
        <w:t xml:space="preserve">synergies) could ultimately benefit brokers. While the extent of the pass-through depends</w:t>
      </w:r>
      <w:r>
        <w:br/>
      </w:r>
      <w:r>
        <w:t xml:space="preserve">on the degree of competition in the market, it could be estimated that a large broker active</w:t>
      </w:r>
      <w:r>
        <w:br/>
      </w:r>
      <w:r>
        <w:t xml:space="preserve">in the entire EU could save EUR 100-500k per year by not having to maintain separate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memberships, should this mechanism lead to an alleviation or even suppression of membership</w:t>
      </w:r>
      <w:r>
        <w:t xml:space="preserve"> </w:t>
      </w:r>
      <w:r>
        <w:t xml:space="preserve">fees.</w:t>
      </w:r>
      <w:r>
        <w:br/>
      </w:r>
      <w:r>
        <w:t xml:space="preserve">In addition, it is expected that the PEMO structure, by allowing a leaner operational structure</w:t>
      </w:r>
      <w:r>
        <w:t xml:space="preserve"> </w:t>
      </w:r>
      <w:r>
        <w:t xml:space="preserve">of trading venues, would act as a first step towards the effective pooling of liquidity across</w:t>
      </w:r>
      <w:r>
        <w:t xml:space="preserve"> </w:t>
      </w:r>
      <w:r>
        <w:t xml:space="preserve">trading venues operated by PEMOs (while maintaining national ‘entry points’). Those effects</w:t>
      </w:r>
      <w:r>
        <w:t xml:space="preserve"> </w:t>
      </w:r>
      <w:r>
        <w:t xml:space="preserve">are even likelier to materialise as actions at the level of post-trade (e.g., facilitation of cross-</w:t>
      </w:r>
      <w:r>
        <w:t xml:space="preserve"> </w:t>
      </w:r>
      <w:r>
        <w:t xml:space="preserve">border CSD operations) would catalyse the synergies drawn at trading level. Brokers</w:t>
      </w:r>
      <w:r>
        <w:br/>
      </w:r>
      <w:r>
        <w:t xml:space="preserve">(and, eventually, end-clients) would, in the longer term, therefore benefit from a more efficient</w:t>
      </w:r>
      <w:r>
        <w:t xml:space="preserve"> </w:t>
      </w:r>
      <w:r>
        <w:t xml:space="preserve">trading environment derived from the more efficient organisational and supervisory structures</w:t>
      </w:r>
      <w:r>
        <w:t xml:space="preserve"> </w:t>
      </w:r>
      <w:r>
        <w:t xml:space="preserve">enabled by the PEMO status.</w:t>
      </w:r>
      <w:r>
        <w:t xml:space="preserve"> </w:t>
      </w:r>
      <w:r>
        <w:t xml:space="preserve">When it comes to the streamlined on-boarding processes, brokers that are existing members of</w:t>
      </w:r>
      <w:r>
        <w:t xml:space="preserve"> </w:t>
      </w:r>
      <w:r>
        <w:t xml:space="preserve">venues would not incur any costs by virtue of the introduction of a streamlined membership</w:t>
      </w:r>
      <w:r>
        <w:t xml:space="preserve"> </w:t>
      </w:r>
      <w:r>
        <w:t xml:space="preserve">process that will only apply to new members (who would now find it easier and cheaper to</w:t>
      </w:r>
      <w:r>
        <w:t xml:space="preserve"> </w:t>
      </w:r>
      <w:r>
        <w:t xml:space="preserve">apply for direct membership of several venues due to the streamlined membership onboarding</w:t>
      </w:r>
      <w:r>
        <w:t xml:space="preserve"> </w:t>
      </w:r>
      <w:r>
        <w:t xml:space="preserve">process). All brokers (new and existing ones) would benefit from a more streamlined ongoing</w:t>
      </w:r>
      <w:r>
        <w:t xml:space="preserve"> </w:t>
      </w:r>
      <w:r>
        <w:t xml:space="preserve">compliance/monitoring procedures by venues. The new streamlined membership process</w:t>
      </w:r>
      <w:r>
        <w:t xml:space="preserve"> </w:t>
      </w:r>
      <w:r>
        <w:t xml:space="preserve">would be without prejudice to the fees that brokers are required to pay to each trading venue to</w:t>
      </w:r>
      <w:r>
        <w:t xml:space="preserve"> </w:t>
      </w:r>
      <w:r>
        <w:t xml:space="preserve">become members and to trade.</w:t>
      </w:r>
      <w:r>
        <w:br/>
      </w:r>
      <w:r>
        <w:t xml:space="preserve">Overall, brokers would be able to save on compliance costs and on the procedures to handle:</w:t>
      </w:r>
      <w:r>
        <w:t xml:space="preserve"> </w:t>
      </w:r>
      <w:r>
        <w:t xml:space="preserve">(i) initial membership on-boarding processes (impossible to quantify), and</w:t>
      </w:r>
      <w:r>
        <w:br/>
      </w:r>
      <w:r>
        <w:t xml:space="preserve">(ii) ongoing monitoring of compliance with membership rules, which often take the</w:t>
      </w:r>
      <w:r>
        <w:t xml:space="preserve"> </w:t>
      </w:r>
      <w:r>
        <w:t xml:space="preserve">shape of regular/periodic audits (impossible to quantify).</w:t>
      </w:r>
      <w:r>
        <w:t xml:space="preserve"> </w:t>
      </w:r>
      <w:r>
        <w:t xml:space="preserve">-</w:t>
      </w:r>
      <w:r>
        <w:t xml:space="preserve"> </w:t>
      </w:r>
      <w:r>
        <w:t xml:space="preserve">Costs and benefits for end-clients</w:t>
      </w:r>
      <w:r>
        <w:t xml:space="preserve"> </w:t>
      </w:r>
      <w:r>
        <w:t xml:space="preserve">As also stated on page 20 of this Annex, lower operational costs for trading venues and brokers</w:t>
      </w:r>
      <w:r>
        <w:t xml:space="preserve"> </w:t>
      </w:r>
      <w:r>
        <w:t xml:space="preserve">could ultimately benefit end-clients, as these savings could be passed on in the form of reduced</w:t>
      </w:r>
      <w:r>
        <w:t xml:space="preserve"> </w:t>
      </w:r>
      <w:r>
        <w:t xml:space="preserve">brokerage fees (depending on the degree of competition in the market). This is particularly</w:t>
      </w:r>
      <w:r>
        <w:t xml:space="preserve"> </w:t>
      </w:r>
      <w:r>
        <w:t xml:space="preserve">significant if brokers can more easily connect to a wider range of trading venues outside their</w:t>
      </w:r>
      <w:r>
        <w:t xml:space="preserve"> </w:t>
      </w:r>
      <w:r>
        <w:t xml:space="preserve">local markets (either through streamlined membership processes, or because trading</w:t>
      </w:r>
      <w:r>
        <w:t xml:space="preserve"> </w:t>
      </w:r>
      <w:r>
        <w:t xml:space="preserve">infrastructures offer more efficient connection opportunities through enhanced passporting or</w:t>
      </w:r>
      <w:r>
        <w:t xml:space="preserve"> </w:t>
      </w:r>
      <w:r>
        <w:t xml:space="preserve">intra-group synergies) and thereby access markets they might not have engaged with under</w:t>
      </w:r>
      <w:r>
        <w:t xml:space="preserve"> </w:t>
      </w:r>
      <w:r>
        <w:t xml:space="preserve">more cumbersome onboarding processes and ongoing monitoring of compliance with</w:t>
      </w:r>
      <w:r>
        <w:t xml:space="preserve"> </w:t>
      </w:r>
      <w:r>
        <w:t xml:space="preserve">membership requirements. With easier access to a broader range of venues, brokers can</w:t>
      </w:r>
      <w:r>
        <w:t xml:space="preserve"> </w:t>
      </w:r>
      <w:r>
        <w:t xml:space="preserve">enhance their service offerings, providing clients with diverse investment opportunities and</w:t>
      </w:r>
      <w:r>
        <w:t xml:space="preserve"> </w:t>
      </w:r>
      <w:r>
        <w:t xml:space="preserve">competitive pricing, which could ultimately result in making investments more accessible and</w:t>
      </w:r>
      <w:r>
        <w:t xml:space="preserve"> </w:t>
      </w:r>
      <w:r>
        <w:t xml:space="preserve">attracting a larger client base.</w:t>
      </w:r>
      <w:r>
        <w:t xml:space="preserve"> </w:t>
      </w:r>
      <w:r>
        <w:t xml:space="preserve">In addition, the quality of trade execution could see improvements through facilitated direct</w:t>
      </w:r>
      <w:r>
        <w:t xml:space="preserve"> </w:t>
      </w:r>
      <w:r>
        <w:t xml:space="preserve">connections to trading venues, as brokers could develop more direct access arrangements</w:t>
      </w:r>
      <w:r>
        <w:br/>
      </w:r>
      <w:r>
        <w:t xml:space="preserve">to a broader range of trading venues than they would without streamlined membership</w:t>
      </w:r>
      <w:r>
        <w:t xml:space="preserve"> </w:t>
      </w:r>
      <w:r>
        <w:t xml:space="preserve">processes.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As an illustration of the unequal level of access to trading venues across the EU, the</w:t>
      </w:r>
      <w:r>
        <w:t xml:space="preserve"> </w:t>
      </w:r>
      <w:r>
        <w:t xml:space="preserve">Commission has compared the level of trading fees for the domestic market of the broker, the</w:t>
      </w:r>
      <w:r>
        <w:t xml:space="preserve"> </w:t>
      </w:r>
      <w:r>
        <w:t xml:space="preserve">main US markets and other Member State markets (i.e. non-domestic markets of the broker).</w:t>
      </w:r>
      <w:r>
        <w:t xml:space="preserve"> </w:t>
      </w:r>
      <w:r>
        <w:t xml:space="preserve">The table below represents the publicly available trading fee for a hypothetical EUR 10.000</w:t>
      </w:r>
      <w:r>
        <w:t xml:space="preserve"> </w:t>
      </w:r>
      <w:r>
        <w:t xml:space="preserve">retail order to buy shares.210 Although not fully representative, the selected sample of Member</w:t>
      </w:r>
      <w:r>
        <w:t xml:space="preserve"> </w:t>
      </w:r>
      <w:r>
        <w:t xml:space="preserve">States and of brokers indicates that it is almost always more expensive to trade on other</w:t>
      </w:r>
      <w:r>
        <w:t xml:space="preserve"> </w:t>
      </w:r>
      <w:r>
        <w:t xml:space="preserve">Member State markets than on the domestic market (4 out of 5 Member States included in the</w:t>
      </w:r>
      <w:r>
        <w:t xml:space="preserve"> </w:t>
      </w:r>
      <w:r>
        <w:t xml:space="preserve">sample). In addition, it is often cheaper (for 4 out of 5 Member States included in the sample)</w:t>
      </w:r>
      <w:r>
        <w:t xml:space="preserve"> </w:t>
      </w:r>
      <w:r>
        <w:t xml:space="preserve">to trade on US markets than on other Member State markets, and that there are even instances</w:t>
      </w:r>
      <w:r>
        <w:t xml:space="preserve"> </w:t>
      </w:r>
      <w:r>
        <w:t xml:space="preserve">(2 out of 5 Member States included in the sample) where it is even cheaper to trade on US</w:t>
      </w:r>
      <w:r>
        <w:t xml:space="preserve"> </w:t>
      </w:r>
      <w:r>
        <w:t xml:space="preserve">markets than on the domestic market.</w:t>
      </w:r>
      <w:r>
        <w:t xml:space="preserve"> </w:t>
      </w:r>
      <w:r>
        <w:t xml:space="preserve">Table 1: Fee (EUR) for a EUR 10.000 retail order to buy shares for banks (B) and neo-brokers (N) across 5 Member States</w:t>
      </w:r>
      <w:r>
        <w:t xml:space="preserve"> </w:t>
      </w:r>
      <w:r>
        <w:t xml:space="preserve">(data from May 2025)</w:t>
      </w:r>
    </w:p>
    <w:p>
      <w:pPr>
        <w:pStyle w:val="BodyText"/>
      </w:pPr>
      <w:r>
        <w:t xml:space="preserve">Member State 1</w:t>
      </w:r>
      <w:r>
        <w:t xml:space="preserve"> </w:t>
      </w:r>
      <w:r>
        <w:t xml:space="preserve">Member State 2</w:t>
      </w:r>
      <w:r>
        <w:t xml:space="preserve"> </w:t>
      </w:r>
      <w:r>
        <w:t xml:space="preserve">Member State 3</w:t>
      </w:r>
      <w:r>
        <w:t xml:space="preserve"> </w:t>
      </w:r>
      <w:r>
        <w:t xml:space="preserve">Member State 4</w:t>
      </w:r>
      <w:r>
        <w:t xml:space="preserve"> </w:t>
      </w:r>
      <w:r>
        <w:t xml:space="preserve">Member State 5</w:t>
      </w:r>
      <w:r>
        <w:t xml:space="preserve"> </w:t>
      </w:r>
      <w:r>
        <w:t xml:space="preserve">Local market</w:t>
      </w:r>
      <w:r>
        <w:t xml:space="preserve"> </w:t>
      </w:r>
      <w:r>
        <w:t xml:space="preserve">(or market</w:t>
      </w:r>
      <w:r>
        <w:t xml:space="preserve"> </w:t>
      </w:r>
      <w:r>
        <w:t xml:space="preserve">belonging to</w:t>
      </w:r>
      <w:r>
        <w:t xml:space="preserve"> </w:t>
      </w:r>
      <w:r>
        <w:t xml:space="preserve">the same</w:t>
      </w:r>
      <w:r>
        <w:t xml:space="preserve"> </w:t>
      </w:r>
      <w:r>
        <w:t xml:space="preserve">exchange</w:t>
      </w:r>
      <w:r>
        <w:t xml:space="preserve"> </w:t>
      </w:r>
      <w:r>
        <w:t xml:space="preserve">group)</w:t>
      </w:r>
      <w:r>
        <w:t xml:space="preserve"> </w:t>
      </w:r>
      <w:r>
        <w:t xml:space="preserve">B1: EUR 50</w:t>
      </w:r>
      <w:r>
        <w:t xml:space="preserve"> </w:t>
      </w:r>
      <w:r>
        <w:t xml:space="preserve">B2: EUR 35</w:t>
      </w:r>
      <w:r>
        <w:t xml:space="preserve"> </w:t>
      </w:r>
      <w:r>
        <w:t xml:space="preserve">N1211: EUR 60</w:t>
      </w:r>
      <w:r>
        <w:t xml:space="preserve"> </w:t>
      </w:r>
      <w:r>
        <w:t xml:space="preserve">N2: EUR 45</w:t>
      </w:r>
    </w:p>
    <w:p>
      <w:pPr>
        <w:pStyle w:val="BodyText"/>
      </w:pPr>
      <w:r>
        <w:t xml:space="preserve">Average: EUR 47,5</w:t>
      </w:r>
      <w:r>
        <w:br/>
      </w:r>
      <w:r>
        <w:t xml:space="preserve">Bank 1: EUR 100</w:t>
      </w:r>
      <w:r>
        <w:t xml:space="preserve"> </w:t>
      </w:r>
      <w:r>
        <w:t xml:space="preserve">Bank 2: EUR 10</w:t>
      </w:r>
      <w:r>
        <w:t xml:space="preserve"> </w:t>
      </w:r>
      <w:r>
        <w:t xml:space="preserve">N1212: EUR 15</w:t>
      </w:r>
    </w:p>
    <w:p>
      <w:pPr>
        <w:pStyle w:val="BodyText"/>
      </w:pPr>
      <w:r>
        <w:t xml:space="preserve">Average: EUR 41,67</w:t>
      </w:r>
      <w:r>
        <w:t xml:space="preserve"> </w:t>
      </w:r>
      <w:r>
        <w:t xml:space="preserve">B1: EUR 6</w:t>
      </w:r>
      <w:r>
        <w:t xml:space="preserve"> </w:t>
      </w:r>
      <w:r>
        <w:t xml:space="preserve">B2: EUR 65</w:t>
      </w:r>
      <w:r>
        <w:t xml:space="preserve"> </w:t>
      </w:r>
      <w:r>
        <w:t xml:space="preserve">N1: EUR 9</w:t>
      </w:r>
    </w:p>
    <w:p>
      <w:pPr>
        <w:pStyle w:val="BodyText"/>
      </w:pPr>
      <w:r>
        <w:t xml:space="preserve">Average: EUR 26,67</w:t>
      </w:r>
      <w:r>
        <w:t xml:space="preserve"> </w:t>
      </w:r>
      <w:r>
        <w:t xml:space="preserve">B1: EUR 102</w:t>
      </w:r>
      <w:r>
        <w:t xml:space="preserve"> </w:t>
      </w:r>
      <w:r>
        <w:t xml:space="preserve">B2: EUR 25</w:t>
      </w:r>
      <w:r>
        <w:t xml:space="preserve"> </w:t>
      </w:r>
      <w:r>
        <w:t xml:space="preserve">N1: EUR 0</w:t>
      </w:r>
      <w:r>
        <w:t xml:space="preserve"> </w:t>
      </w:r>
      <w:r>
        <w:t xml:space="preserve">N2: EUR 4,99</w:t>
      </w:r>
    </w:p>
    <w:p>
      <w:pPr>
        <w:pStyle w:val="BodyText"/>
      </w:pPr>
      <w:r>
        <w:t xml:space="preserve">Average: EUR 33</w:t>
      </w:r>
      <w:r>
        <w:t xml:space="preserve"> </w:t>
      </w:r>
      <w:r>
        <w:t xml:space="preserve">B1: EUR 2,5</w:t>
      </w:r>
      <w:r>
        <w:t xml:space="preserve"> </w:t>
      </w:r>
      <w:r>
        <w:t xml:space="preserve">B2: EUR 40</w:t>
      </w:r>
      <w:r>
        <w:t xml:space="preserve"> </w:t>
      </w:r>
      <w:r>
        <w:t xml:space="preserve">N1: EUR 2,95</w:t>
      </w:r>
      <w:r>
        <w:t xml:space="preserve"> </w:t>
      </w:r>
      <w:r>
        <w:t xml:space="preserve">N2: EUR 5</w:t>
      </w:r>
    </w:p>
    <w:p>
      <w:pPr>
        <w:pStyle w:val="BodyText"/>
      </w:pPr>
      <w:r>
        <w:t xml:space="preserve">Average: EUR 12,61</w:t>
      </w:r>
      <w:r>
        <w:t xml:space="preserve"> </w:t>
      </w:r>
      <w:r>
        <w:t xml:space="preserve">US market</w:t>
      </w:r>
      <w:r>
        <w:t xml:space="preserve"> </w:t>
      </w:r>
      <w:r>
        <w:t xml:space="preserve">(NYSE /</w:t>
      </w:r>
      <w:r>
        <w:t xml:space="preserve"> </w:t>
      </w:r>
      <w:r>
        <w:t xml:space="preserve">NASDAQ)</w:t>
      </w:r>
      <w:r>
        <w:t xml:space="preserve"> </w:t>
      </w:r>
      <w:r>
        <w:t xml:space="preserve">B1: EUR 50</w:t>
      </w:r>
      <w:r>
        <w:t xml:space="preserve"> </w:t>
      </w:r>
      <w:r>
        <w:t xml:space="preserve">B2: EUR 50</w:t>
      </w:r>
      <w:r>
        <w:t xml:space="preserve"> </w:t>
      </w:r>
      <w:r>
        <w:t xml:space="preserve">N1: EUR 12</w:t>
      </w:r>
      <w:r>
        <w:t xml:space="preserve"> </w:t>
      </w:r>
      <w:r>
        <w:t xml:space="preserve">N2: EUR 12</w:t>
      </w:r>
    </w:p>
    <w:p>
      <w:pPr>
        <w:pStyle w:val="BodyText"/>
      </w:pPr>
      <w:r>
        <w:t xml:space="preserve">Average: EUR 31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65%</w:t>
      </w:r>
      <w:r>
        <w:t xml:space="preserve"> </w:t>
      </w:r>
      <w:r>
        <w:t xml:space="preserve">B1: EUR 120</w:t>
      </w:r>
      <w:r>
        <w:t xml:space="preserve"> </w:t>
      </w:r>
      <w:r>
        <w:t xml:space="preserve">B2: EUR 12</w:t>
      </w:r>
      <w:r>
        <w:t xml:space="preserve"> </w:t>
      </w:r>
      <w:r>
        <w:t xml:space="preserve">N1: EUR 20 (USD</w:t>
      </w:r>
      <w:r>
        <w:t xml:space="preserve"> </w:t>
      </w:r>
      <w:r>
        <w:t xml:space="preserve">20 / USD 10,000)</w:t>
      </w:r>
    </w:p>
    <w:p>
      <w:pPr>
        <w:pStyle w:val="BodyText"/>
      </w:pPr>
      <w:r>
        <w:t xml:space="preserve">Average: EUR 43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103%</w:t>
      </w:r>
      <w:r>
        <w:t xml:space="preserve"> </w:t>
      </w:r>
      <w:r>
        <w:t xml:space="preserve">B1: EUR 20</w:t>
      </w:r>
      <w:r>
        <w:t xml:space="preserve"> </w:t>
      </w:r>
      <w:r>
        <w:t xml:space="preserve">B2: EUR 36</w:t>
      </w:r>
      <w:r>
        <w:t xml:space="preserve"> </w:t>
      </w:r>
      <w:r>
        <w:t xml:space="preserve">N1: EUR 15</w:t>
      </w:r>
    </w:p>
    <w:p>
      <w:pPr>
        <w:pStyle w:val="BodyText"/>
      </w:pPr>
      <w:r>
        <w:t xml:space="preserve">Average: EUR 23,67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89%</w:t>
      </w:r>
      <w:r>
        <w:t xml:space="preserve"> </w:t>
      </w:r>
      <w:r>
        <w:t xml:space="preserve">B1: EUR 115</w:t>
      </w:r>
      <w:r>
        <w:t xml:space="preserve"> </w:t>
      </w:r>
      <w:r>
        <w:t xml:space="preserve">B2: EUR 25</w:t>
      </w:r>
      <w:r>
        <w:t xml:space="preserve"> </w:t>
      </w:r>
      <w:r>
        <w:t xml:space="preserve">N1: EUR 0</w:t>
      </w:r>
      <w:r>
        <w:t xml:space="preserve"> </w:t>
      </w:r>
      <w:r>
        <w:t xml:space="preserve">N2: / (no price</w:t>
      </w:r>
      <w:r>
        <w:t xml:space="preserve"> </w:t>
      </w:r>
      <w:r>
        <w:t xml:space="preserve">listed)</w:t>
      </w:r>
      <w:r>
        <w:t xml:space="preserve"> </w:t>
      </w:r>
      <w:r>
        <w:t xml:space="preserve">Average: EUR 46,67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141%</w:t>
      </w:r>
      <w:r>
        <w:t xml:space="preserve"> </w:t>
      </w:r>
      <w:r>
        <w:t xml:space="preserve">B1: EUR 10,35</w:t>
      </w:r>
      <w:r>
        <w:t xml:space="preserve"> </w:t>
      </w:r>
      <w:r>
        <w:t xml:space="preserve">(USD 12)</w:t>
      </w:r>
      <w:r>
        <w:t xml:space="preserve"> </w:t>
      </w:r>
      <w:r>
        <w:t xml:space="preserve">B2: EUR 90</w:t>
      </w:r>
      <w:r>
        <w:t xml:space="preserve"> </w:t>
      </w:r>
      <w:r>
        <w:t xml:space="preserve">N1: EUR 3,95</w:t>
      </w:r>
      <w:r>
        <w:t xml:space="preserve"> </w:t>
      </w:r>
      <w:r>
        <w:t xml:space="preserve">N2: EUR 7,76 (USD</w:t>
      </w:r>
      <w:r>
        <w:t xml:space="preserve"> </w:t>
      </w:r>
      <w:r>
        <w:t xml:space="preserve">9)</w:t>
      </w:r>
    </w:p>
    <w:p>
      <w:pPr>
        <w:pStyle w:val="BodyText"/>
      </w:pPr>
      <w:r>
        <w:t xml:space="preserve">Average: EUR 28,02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222%</w:t>
      </w:r>
      <w:r>
        <w:t xml:space="preserve"> </w:t>
      </w:r>
      <w:r>
        <w:t xml:space="preserve">Other EU</w:t>
      </w:r>
      <w:r>
        <w:t xml:space="preserve"> </w:t>
      </w:r>
      <w:r>
        <w:t xml:space="preserve">market</w:t>
      </w:r>
      <w:r>
        <w:t xml:space="preserve"> </w:t>
      </w:r>
      <w:r>
        <w:t xml:space="preserve">B1: EUR 50</w:t>
      </w:r>
      <w:r>
        <w:t xml:space="preserve"> </w:t>
      </w:r>
      <w:r>
        <w:t xml:space="preserve">B2: EUR 50</w:t>
      </w:r>
      <w:r>
        <w:t xml:space="preserve"> </w:t>
      </w:r>
      <w:r>
        <w:t xml:space="preserve">N1: EUR 30</w:t>
      </w:r>
      <w:r>
        <w:t xml:space="preserve"> </w:t>
      </w:r>
      <w:r>
        <w:t xml:space="preserve">N2: EUR 25-35</w:t>
      </w:r>
    </w:p>
    <w:p>
      <w:pPr>
        <w:pStyle w:val="BodyText"/>
      </w:pPr>
      <w:r>
        <w:t xml:space="preserve">Average: EUR 53,33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112%</w:t>
      </w:r>
      <w:r>
        <w:t xml:space="preserve"> </w:t>
      </w:r>
      <w:r>
        <w:t xml:space="preserve">B1: EUR 120 -140</w:t>
      </w:r>
      <w:r>
        <w:t xml:space="preserve"> </w:t>
      </w:r>
      <w:r>
        <w:t xml:space="preserve">B2: EUR 15 - 30</w:t>
      </w:r>
      <w:r>
        <w:t xml:space="preserve"> </w:t>
      </w:r>
      <w:r>
        <w:t xml:space="preserve">N1: EUR 15 – 100</w:t>
      </w:r>
    </w:p>
    <w:p>
      <w:pPr>
        <w:pStyle w:val="BodyText"/>
      </w:pPr>
      <w:r>
        <w:t xml:space="preserve">Average: EUR 70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168%</w:t>
      </w:r>
      <w:r>
        <w:t xml:space="preserve"> </w:t>
      </w:r>
      <w:r>
        <w:t xml:space="preserve">B1: EUR 20</w:t>
      </w:r>
      <w:r>
        <w:t xml:space="preserve"> </w:t>
      </w:r>
      <w:r>
        <w:t xml:space="preserve">B2: EUR 36</w:t>
      </w:r>
      <w:r>
        <w:t xml:space="preserve"> </w:t>
      </w:r>
      <w:r>
        <w:t xml:space="preserve">N1: USD 15</w:t>
      </w:r>
    </w:p>
    <w:p>
      <w:pPr>
        <w:pStyle w:val="BodyText"/>
      </w:pPr>
      <w:r>
        <w:t xml:space="preserve">Average: EUR 23,67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89%</w:t>
      </w:r>
      <w:r>
        <w:t xml:space="preserve"> </w:t>
      </w:r>
      <w:r>
        <w:t xml:space="preserve">B1: EUR 129</w:t>
      </w:r>
      <w:r>
        <w:t xml:space="preserve"> </w:t>
      </w:r>
      <w:r>
        <w:t xml:space="preserve">B2: EUR 25</w:t>
      </w:r>
      <w:r>
        <w:t xml:space="preserve"> </w:t>
      </w:r>
      <w:r>
        <w:t xml:space="preserve">N1: EUR 0</w:t>
      </w:r>
      <w:r>
        <w:t xml:space="preserve"> </w:t>
      </w:r>
      <w:r>
        <w:t xml:space="preserve">N2: / (no price</w:t>
      </w:r>
      <w:r>
        <w:t xml:space="preserve"> </w:t>
      </w:r>
      <w:r>
        <w:t xml:space="preserve">listed)</w:t>
      </w:r>
      <w:r>
        <w:t xml:space="preserve"> </w:t>
      </w:r>
      <w:r>
        <w:t xml:space="preserve">Average: EUR 51,33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156%</w:t>
      </w:r>
      <w:r>
        <w:t xml:space="preserve"> </w:t>
      </w:r>
      <w:r>
        <w:t xml:space="preserve">B1: EUR 9 - 45</w:t>
      </w:r>
      <w:r>
        <w:t xml:space="preserve"> </w:t>
      </w:r>
      <w:r>
        <w:t xml:space="preserve">B2: EUR 90</w:t>
      </w:r>
      <w:r>
        <w:t xml:space="preserve"> </w:t>
      </w:r>
      <w:r>
        <w:t xml:space="preserve">N1: EUR 2,95-9,95</w:t>
      </w:r>
      <w:r>
        <w:t xml:space="preserve"> </w:t>
      </w:r>
      <w:r>
        <w:t xml:space="preserve">N2: EUR 25</w:t>
      </w:r>
    </w:p>
    <w:p>
      <w:pPr>
        <w:pStyle w:val="BodyText"/>
      </w:pPr>
      <w:r>
        <w:t xml:space="preserve">Average: EUR 37,11</w:t>
      </w:r>
    </w:p>
    <w:p>
      <w:pPr>
        <w:pStyle w:val="BodyText"/>
      </w:pPr>
      <w:r>
        <w:t xml:space="preserve">% of the price of</w:t>
      </w:r>
      <w:r>
        <w:t xml:space="preserve"> </w:t>
      </w:r>
      <w:r>
        <w:t xml:space="preserve">domestic trading:</w:t>
      </w:r>
      <w:r>
        <w:t xml:space="preserve"> </w:t>
      </w:r>
      <w:r>
        <w:t xml:space="preserve">294%</w:t>
      </w:r>
    </w:p>
    <w:p>
      <w:pPr>
        <w:pStyle w:val="BodyText"/>
      </w:pPr>
      <w:r>
        <w:t xml:space="preserve">210 Where banks / brokers offered varying account types / membership levels, the standard / lowest cost option</w:t>
      </w:r>
      <w:r>
        <w:t xml:space="preserve"> </w:t>
      </w:r>
      <w:r>
        <w:t xml:space="preserve">was chosen.</w:t>
      </w:r>
      <w:r>
        <w:t xml:space="preserve"> </w:t>
      </w:r>
      <w:r>
        <w:t xml:space="preserve">211 Subsidiary of a bank.</w:t>
      </w:r>
      <w:r>
        <w:t xml:space="preserve"> </w:t>
      </w:r>
      <w:r>
        <w:t xml:space="preserve">212 Subsidiary of a bank.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Effectiveness in meeting the specific objectives and overall efficiency</w:t>
      </w:r>
      <w:r>
        <w:t xml:space="preserve"> </w:t>
      </w:r>
      <w:r>
        <w:t xml:space="preserve">This option envisages a number of measures that entail limited costs for stakeholders while</w:t>
      </w:r>
      <w:r>
        <w:t xml:space="preserve"> </w:t>
      </w:r>
      <w:r>
        <w:t xml:space="preserve">effectively achieving the aim of fostering greater market integration and increasing cross-</w:t>
      </w:r>
      <w:r>
        <w:t xml:space="preserve"> </w:t>
      </w:r>
      <w:r>
        <w:t xml:space="preserve">border trading activity. The Commission nevertheless acknowledges that the measures under</w:t>
      </w:r>
      <w:r>
        <w:t xml:space="preserve"> </w:t>
      </w:r>
      <w:r>
        <w:t xml:space="preserve">Option 1 would not be as effective as the interconnection measures set out under Option 2</w:t>
      </w:r>
      <w:r>
        <w:br/>
      </w:r>
      <w:r>
        <w:t xml:space="preserve">(see section below for the cost-benefit analysis for Option 2).</w:t>
      </w:r>
      <w:r>
        <w:t xml:space="preserve"> </w:t>
      </w:r>
      <w:r>
        <w:t xml:space="preserve">However, as demonstrated above, the benefits of the implementation of Option 1 would</w:t>
      </w:r>
      <w:r>
        <w:t xml:space="preserve"> </w:t>
      </w:r>
      <w:r>
        <w:t xml:space="preserve">outweigh the potential costs incurred. Said benefits for trading venues include</w:t>
      </w:r>
      <w:r>
        <w:br/>
      </w:r>
      <w:r>
        <w:t xml:space="preserve">o a decrease in the costs of compliance with MiFIR/ MiFID II and in the costs incurred</w:t>
      </w:r>
      <w:r>
        <w:t xml:space="preserve"> </w:t>
      </w:r>
      <w:r>
        <w:t xml:space="preserve">on administration and reporting,</w:t>
      </w:r>
      <w:r>
        <w:br/>
      </w:r>
      <w:r>
        <w:t xml:space="preserve">o an overall more efficient operation of venues by virtue of the legal recognition of the</w:t>
      </w:r>
      <w:r>
        <w:t xml:space="preserve"> </w:t>
      </w:r>
      <w:r>
        <w:t xml:space="preserve">group’s concept, enhanced passporting possibilities, and a more streamlined</w:t>
      </w:r>
      <w:r>
        <w:t xml:space="preserve"> </w:t>
      </w:r>
      <w:r>
        <w:t xml:space="preserve">membership process</w:t>
      </w:r>
      <w:r>
        <w:t xml:space="preserve"> </w:t>
      </w:r>
      <w:r>
        <w:t xml:space="preserve">Respondents to the public consultation concur that the benefits significantly exceed the costs.</w:t>
      </w:r>
      <w:r>
        <w:t xml:space="preserve"> </w:t>
      </w:r>
      <w:r>
        <w:t xml:space="preserve">One of the main advantages of this option is that the costs to-be-incurred may be known or at</w:t>
      </w:r>
      <w:r>
        <w:t xml:space="preserve"> </w:t>
      </w:r>
      <w:r>
        <w:t xml:space="preserve">least estimated in advance, which allows the Commission to determine with better precision</w:t>
      </w:r>
      <w:r>
        <w:t xml:space="preserve"> </w:t>
      </w:r>
      <w:r>
        <w:t xml:space="preserve">that the cost-benefit ratio underscores the efficiency of Option 1. By contrast, the costs for the</w:t>
      </w:r>
      <w:r>
        <w:t xml:space="preserve"> </w:t>
      </w:r>
      <w:r>
        <w:t xml:space="preserve">implementation of Option 2 cannot be accurately calculated, even provisionally, at the present</w:t>
      </w:r>
      <w:r>
        <w:t xml:space="preserve"> </w:t>
      </w:r>
      <w:r>
        <w:t xml:space="preserve">moment, and the benefits of that other option are contingent on many other factors (notably on</w:t>
      </w:r>
      <w:r>
        <w:t xml:space="preserve"> </w:t>
      </w:r>
      <w:r>
        <w:t xml:space="preserve">changes in the operation of post-trade infrastructure) whose realisation is at this stage not fully</w:t>
      </w:r>
      <w:r>
        <w:t xml:space="preserve"> </w:t>
      </w:r>
      <w:r>
        <w:t xml:space="preserve">certain (see section below for the cost-benefit analysis for Option 2). Thus, as regards the</w:t>
      </w:r>
      <w:r>
        <w:t xml:space="preserve"> </w:t>
      </w:r>
      <w:r>
        <w:t xml:space="preserve">efficiency criterion, based on the cost-benefit analysis of both Options, the Commission deems</w:t>
      </w:r>
      <w:r>
        <w:t xml:space="preserve"> </w:t>
      </w:r>
      <w:r>
        <w:t xml:space="preserve">Option 1 to be the more efficient one, hence the preferred one.</w:t>
      </w:r>
      <w:r>
        <w:br/>
      </w:r>
      <w:r>
        <w:t xml:space="preserve">Coherence with the SIU objectives</w:t>
      </w:r>
      <w:r>
        <w:t xml:space="preserve"> </w:t>
      </w:r>
      <w:r>
        <w:t xml:space="preserve">Option 1 is coherent with the Commission’s objectives, as defined in the SIU Communication,</w:t>
      </w:r>
      <w:r>
        <w:t xml:space="preserve"> </w:t>
      </w:r>
      <w:r>
        <w:t xml:space="preserve">published on 19 March 2025. A unified rulebook for trading venues would remove barriers to</w:t>
      </w:r>
      <w:r>
        <w:t xml:space="preserve"> </w:t>
      </w:r>
      <w:r>
        <w:t xml:space="preserve">cross-border operations by trading infrastructure and contribute to more consistent supervisory</w:t>
      </w:r>
      <w:r>
        <w:t xml:space="preserve"> </w:t>
      </w:r>
      <w:r>
        <w:t xml:space="preserve">outcomes, which is a major step towards achieving harmonised supervision in the single</w:t>
      </w:r>
      <w:r>
        <w:t xml:space="preserve"> </w:t>
      </w:r>
      <w:r>
        <w:t xml:space="preserve">market, which is one of the SIU’s pillars. Additionally, all measures comprising Option 1 are</w:t>
      </w:r>
      <w:r>
        <w:t xml:space="preserve"> </w:t>
      </w:r>
      <w:r>
        <w:t xml:space="preserve">in line with the Commission’s simplification agenda, also relevant in the SIU context.</w:t>
      </w:r>
      <w:r>
        <w:t xml:space="preserve"> </w:t>
      </w:r>
      <w:r>
        <w:t xml:space="preserve">Enhanced passporting opportunities would simplify cross-border operations by streamlining</w:t>
      </w:r>
      <w:r>
        <w:t xml:space="preserve"> </w:t>
      </w:r>
      <w:r>
        <w:t xml:space="preserve">licensing requirements. The recognition of the operational specificities of groups would reduce</w:t>
      </w:r>
      <w:r>
        <w:t xml:space="preserve"> </w:t>
      </w:r>
      <w:r>
        <w:t xml:space="preserve">costs and simplify operations for groups comprising several trading venues. Streamlining the</w:t>
      </w:r>
      <w:r>
        <w:t xml:space="preserve"> </w:t>
      </w:r>
      <w:r>
        <w:t xml:space="preserve">membership process would reduce costs for brokers who wish to become members of several</w:t>
      </w:r>
      <w:r>
        <w:t xml:space="preserve"> </w:t>
      </w:r>
      <w:r>
        <w:t xml:space="preserve">trading venues, thus also improving execution outcomes for end-clients. Overall, those</w:t>
      </w:r>
      <w:r>
        <w:t xml:space="preserve"> </w:t>
      </w:r>
      <w:r>
        <w:t xml:space="preserve">measures aim to create a more integrated, and efficient regulatory landscape that facilitates</w:t>
      </w:r>
      <w:r>
        <w:t xml:space="preserve"> </w:t>
      </w:r>
      <w:r>
        <w:t xml:space="preserve">business operations and economic activity across the Union.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Option 1 is also in line with the conclusions in Mario Draghi’s Report on the future of European</w:t>
      </w:r>
      <w:r>
        <w:t xml:space="preserve"> </w:t>
      </w:r>
      <w:r>
        <w:t xml:space="preserve">competitiveness.213 The measures described above, if implemented, would help build a more</w:t>
      </w:r>
      <w:r>
        <w:t xml:space="preserve"> </w:t>
      </w:r>
      <w:r>
        <w:t xml:space="preserve">dynamic and competitive economic environment in the EU.</w:t>
      </w:r>
      <w:r>
        <w:t xml:space="preserve"> </w:t>
      </w:r>
      <w:r>
        <w:t xml:space="preserve">Option 2: Option 1 supplemented by a requirement on the interconnection of significant</w:t>
      </w:r>
      <w:r>
        <w:t xml:space="preserve"> </w:t>
      </w:r>
      <w:r>
        <w:t xml:space="preserve">exchanges and pan-European MTFs</w:t>
      </w:r>
      <w:r>
        <w:t xml:space="preserve"> </w:t>
      </w:r>
      <w:r>
        <w:t xml:space="preserve">Option 2 builds on but also expands Option 1, by supplementing it with the measure on the</w:t>
      </w:r>
      <w:r>
        <w:t xml:space="preserve"> </w:t>
      </w:r>
      <w:r>
        <w:t xml:space="preserve">interconnection of trading venues. The below assessment only covers the additional feature of</w:t>
      </w:r>
      <w:r>
        <w:t xml:space="preserve"> </w:t>
      </w:r>
      <w:r>
        <w:t xml:space="preserve">Option 2 (i.e. interconnection). The previous section should be consulted for the cost and</w:t>
      </w:r>
      <w:r>
        <w:t xml:space="preserve"> </w:t>
      </w:r>
      <w:r>
        <w:t xml:space="preserve">benefit analysis of all other measures comprised under Option 2.</w:t>
      </w:r>
      <w:r>
        <w:t xml:space="preserve"> </w:t>
      </w:r>
      <w:r>
        <w:t xml:space="preserve">Cost-benefit analysis</w:t>
      </w:r>
      <w:r>
        <w:t xml:space="preserve"> </w:t>
      </w:r>
      <w:r>
        <w:t xml:space="preserve">-</w:t>
      </w:r>
      <w:r>
        <w:t xml:space="preserve"> </w:t>
      </w:r>
      <w:r>
        <w:t xml:space="preserve">Costs and benefits for trading venues</w:t>
      </w:r>
      <w:r>
        <w:br/>
      </w:r>
      <w:r>
        <w:t xml:space="preserve">Venues that are part of the interconnected network would bear the costs of setting up and</w:t>
      </w:r>
      <w:r>
        <w:t xml:space="preserve"> </w:t>
      </w:r>
      <w:r>
        <w:t xml:space="preserve">maintaining the interconnections. The data collected from stakeholders lacks consistency,</w:t>
      </w:r>
      <w:r>
        <w:t xml:space="preserve"> </w:t>
      </w:r>
      <w:r>
        <w:t xml:space="preserve">making it challenging to provide a reliable estimate of the costs. Estimates of the average costs</w:t>
      </w:r>
      <w:r>
        <w:t xml:space="preserve"> </w:t>
      </w:r>
      <w:r>
        <w:t xml:space="preserve">for setting up the network provided by stakeholders vary from EUR 300,000 to EUR 100</w:t>
      </w:r>
      <w:r>
        <w:t xml:space="preserve"> </w:t>
      </w:r>
      <w:r>
        <w:t xml:space="preserve">million (which probably partly reflects a divergent understanding by stakeholders of what the</w:t>
      </w:r>
      <w:r>
        <w:t xml:space="preserve"> </w:t>
      </w:r>
      <w:r>
        <w:t xml:space="preserve">measure would represent). Additionally, the precise amount would depend on the actual setup,</w:t>
      </w:r>
      <w:r>
        <w:t xml:space="preserve"> </w:t>
      </w:r>
      <w:r>
        <w:t xml:space="preserve">the number of venues that participate in the system, the type of connectivity (bilateral links</w:t>
      </w:r>
      <w:r>
        <w:t xml:space="preserve"> </w:t>
      </w:r>
      <w:r>
        <w:t xml:space="preserve">versus hub system) and the quality of the links used, the type of software which would be</w:t>
      </w:r>
      <w:r>
        <w:t xml:space="preserve"> </w:t>
      </w:r>
      <w:r>
        <w:t xml:space="preserve">implemented and the trading sessions costs, among others.</w:t>
      </w:r>
      <w:r>
        <w:t xml:space="preserve"> </w:t>
      </w:r>
      <w:r>
        <w:t xml:space="preserve">Some stakeholders provided additional cost breakdown, as presented below. Given a wide</w:t>
      </w:r>
      <w:r>
        <w:t xml:space="preserve"> </w:t>
      </w:r>
      <w:r>
        <w:t xml:space="preserve">divergence in the overall cost estimates provided by stakeholders, those detailed cost estimates</w:t>
      </w:r>
      <w:r>
        <w:t xml:space="preserve"> </w:t>
      </w:r>
      <w:r>
        <w:t xml:space="preserve">should be considered with caution and may only be used for illustrative purposes. The actual</w:t>
      </w:r>
      <w:r>
        <w:t xml:space="preserve"> </w:t>
      </w:r>
      <w:r>
        <w:t xml:space="preserve">relevance of those costs would also depend on the set-up of the interconnectivity between</w:t>
      </w:r>
      <w:r>
        <w:t xml:space="preserve"> </w:t>
      </w:r>
      <w:r>
        <w:t xml:space="preserve">trading venues.</w:t>
      </w:r>
      <w:r>
        <w:t xml:space="preserve"> </w:t>
      </w:r>
      <w:r>
        <w:t xml:space="preserve">First, with respect to bilateral links (or the lines) used, one possibility could be the use of land</w:t>
      </w:r>
      <w:r>
        <w:t xml:space="preserve"> </w:t>
      </w:r>
      <w:r>
        <w:t xml:space="preserve">lines, which could cost between EUR 2,000 and EUR 8,000 per month per bilateral link. One</w:t>
      </w:r>
      <w:r>
        <w:t xml:space="preserve"> </w:t>
      </w:r>
      <w:r>
        <w:t xml:space="preserve">exchange explained in the public consultation that connectivity to another trading venue would</w:t>
      </w:r>
      <w:r>
        <w:t xml:space="preserve"> </w:t>
      </w:r>
      <w:r>
        <w:t xml:space="preserve">require more than one leased line: connectivity to the primary data centre of the trading venue</w:t>
      </w:r>
      <w:r>
        <w:t xml:space="preserve"> </w:t>
      </w:r>
      <w:r>
        <w:t xml:space="preserve">with a backup line physically diverse from the main line and connectivity to the secondary data</w:t>
      </w:r>
      <w:r>
        <w:t xml:space="preserve"> </w:t>
      </w:r>
      <w:r>
        <w:t xml:space="preserve">centre also with a second diverse route for resiliency purpose, which amounts to a total of four</w:t>
      </w:r>
      <w:r>
        <w:t xml:space="preserve"> </w:t>
      </w:r>
      <w:r>
        <w:t xml:space="preserve">lines. Another option would be to use more advanced microwave technology, which reduces</w:t>
      </w:r>
      <w:r>
        <w:t xml:space="preserve"> </w:t>
      </w:r>
      <w:r>
        <w:t xml:space="preserve">latency (or speed of data transmission) by roughly half, compared to leased lines. This network</w:t>
      </w:r>
      <w:r>
        <w:t xml:space="preserve"> </w:t>
      </w:r>
      <w:r>
        <w:t xml:space="preserve">technology is, however, more expensive, at an estimated EUR 10,000 per month.</w:t>
      </w:r>
      <w:r>
        <w:t xml:space="preserve"> </w:t>
      </w:r>
      <w:r>
        <w:t xml:space="preserve">Second, in order to connect to another venue, trading venues in scope would have to deploy</w:t>
      </w:r>
      <w:r>
        <w:t xml:space="preserve"> </w:t>
      </w:r>
      <w:r>
        <w:t xml:space="preserve">and maintain the necessary software, which they could either build or buy. Building the</w:t>
      </w:r>
    </w:p>
    <w:p>
      <w:pPr>
        <w:pStyle w:val="BodyText"/>
      </w:pPr>
      <w:r>
        <w:t xml:space="preserve">213 The Draghi report on EU competitiveness.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software in-house would require hiring additional IT staff (estimated to be between 20 and 40</w:t>
      </w:r>
      <w:r>
        <w:t xml:space="preserve"> </w:t>
      </w:r>
      <w:r>
        <w:t xml:space="preserve">people) and would come at the cost, according to a stakeholder, of EUR 1.5 to 3 million per</w:t>
      </w:r>
      <w:r>
        <w:t xml:space="preserve"> </w:t>
      </w:r>
      <w:r>
        <w:t xml:space="preserve">year (not including the software maintenance costs). A cheaper option would be to buy the</w:t>
      </w:r>
      <w:r>
        <w:t xml:space="preserve"> </w:t>
      </w:r>
      <w:r>
        <w:t xml:space="preserve">software. However, this option is reported to be less performant, while trading venues would</w:t>
      </w:r>
      <w:r>
        <w:t xml:space="preserve"> </w:t>
      </w:r>
      <w:r>
        <w:t xml:space="preserve">still incur costs related to additional staff to maintain the platform and supervise the flow.</w:t>
      </w:r>
      <w:r>
        <w:t xml:space="preserve"> </w:t>
      </w:r>
      <w:r>
        <w:t xml:space="preserve">Third, the connectivity fees vary greatly depending on how many order books would be</w:t>
      </w:r>
      <w:r>
        <w:t xml:space="preserve"> </w:t>
      </w:r>
      <w:r>
        <w:t xml:space="preserve">accessed, how many systems need to be connected to the trading venue, if the connection were</w:t>
      </w:r>
      <w:r>
        <w:t xml:space="preserve"> </w:t>
      </w:r>
      <w:r>
        <w:t xml:space="preserve">via cross connect or via a central hub, and the capacity needed in terms of messages per second.</w:t>
      </w:r>
      <w:r>
        <w:t xml:space="preserve"> </w:t>
      </w:r>
      <w:r>
        <w:t xml:space="preserve">Some venues do not publish their fees and that further complicates the assessment, even</w:t>
      </w:r>
      <w:r>
        <w:t xml:space="preserve"> </w:t>
      </w:r>
      <w:r>
        <w:t xml:space="preserve">provisional, of the costs that would be incurred. The cost of a trading session can vary between</w:t>
      </w:r>
      <w:r>
        <w:t xml:space="preserve"> </w:t>
      </w:r>
      <w:r>
        <w:t xml:space="preserve">EUR 210 and EUR 780 per month.</w:t>
      </w:r>
      <w:r>
        <w:t xml:space="preserve"> </w:t>
      </w:r>
      <w:r>
        <w:t xml:space="preserve">The above enumeration of costs is not exhaustive. Given the uncertainties referred to above,</w:t>
      </w:r>
      <w:r>
        <w:t xml:space="preserve"> </w:t>
      </w:r>
      <w:r>
        <w:t xml:space="preserve">currently the Commission is unable to determine the precise level of costs that venues would</w:t>
      </w:r>
      <w:r>
        <w:t xml:space="preserve"> </w:t>
      </w:r>
      <w:r>
        <w:t xml:space="preserve">incur to set up and maintain the interconnected network. It is however assessed that costs should</w:t>
      </w:r>
      <w:r>
        <w:t xml:space="preserve"> </w:t>
      </w:r>
      <w:r>
        <w:t xml:space="preserve">be rather homogeneous among participating venues using similar trading protocols; they may</w:t>
      </w:r>
      <w:r>
        <w:t xml:space="preserve"> </w:t>
      </w:r>
      <w:r>
        <w:t xml:space="preserve">however differ when borne by users of those connections (e.g. broker) depending on the</w:t>
      </w:r>
      <w:r>
        <w:t xml:space="preserve"> </w:t>
      </w:r>
      <w:r>
        <w:t xml:space="preserve">number of transactions executed using those connections.</w:t>
      </w:r>
      <w:r>
        <w:t xml:space="preserve"> </w:t>
      </w:r>
      <w:r>
        <w:t xml:space="preserve">Some stakeholders suggested to use the cost of implementation of the ‘order protection rule’ in</w:t>
      </w:r>
      <w:r>
        <w:t xml:space="preserve"> </w:t>
      </w:r>
      <w:r>
        <w:t xml:space="preserve">the US as the reference point. When proposing the order protection rule, the Securities and</w:t>
      </w:r>
      <w:r>
        <w:t xml:space="preserve"> </w:t>
      </w:r>
      <w:r>
        <w:t xml:space="preserve">Exchange Commission estimated214 that the cost of the rule was around USD 143.8 million in</w:t>
      </w:r>
      <w:r>
        <w:t xml:space="preserve"> </w:t>
      </w:r>
      <w:r>
        <w:t xml:space="preserve">one-off costs, and USD 21.9 million in yearly ongoing maintenance costs. However, the</w:t>
      </w:r>
      <w:r>
        <w:t xml:space="preserve"> </w:t>
      </w:r>
      <w:r>
        <w:t xml:space="preserve">Commission is of the view that this reference to the US cost would not be appropriate in this</w:t>
      </w:r>
      <w:r>
        <w:t xml:space="preserve"> </w:t>
      </w:r>
      <w:r>
        <w:t xml:space="preserve">case given the following important shortcomings:</w:t>
      </w:r>
      <w:r>
        <w:br/>
      </w:r>
      <w:r>
        <w:t xml:space="preserve">(i)</w:t>
      </w:r>
      <w:r>
        <w:t xml:space="preserve"> </w:t>
      </w:r>
      <w:r>
        <w:t xml:space="preserve">the order protection rule implied a significant responsibility shift in terms</w:t>
      </w:r>
      <w:r>
        <w:br/>
      </w:r>
      <w:r>
        <w:t xml:space="preserve">of best execution to the venues. The interconnection proposed under option 2</w:t>
      </w:r>
      <w:r>
        <w:t xml:space="preserve"> </w:t>
      </w:r>
      <w:r>
        <w:t xml:space="preserve">does not foresee such a shift, as explained above;</w:t>
      </w:r>
      <w:r>
        <w:t xml:space="preserve"> </w:t>
      </w:r>
      <w:r>
        <w:t xml:space="preserve">(ii)</w:t>
      </w:r>
      <w:r>
        <w:t xml:space="preserve"> </w:t>
      </w:r>
      <w:r>
        <w:t xml:space="preserve">the rule was introduced almost 20 years ago. Connection technology and overall</w:t>
      </w:r>
      <w:r>
        <w:t xml:space="preserve"> </w:t>
      </w:r>
      <w:r>
        <w:t xml:space="preserve">the degree of digitalisation have significantly improved since the decision</w:t>
      </w:r>
      <w:r>
        <w:br/>
      </w:r>
      <w:r>
        <w:t xml:space="preserve">to implement the order protection rules in the US in 2006;</w:t>
      </w:r>
      <w:r>
        <w:t xml:space="preserve"> </w:t>
      </w:r>
      <w:r>
        <w:t xml:space="preserve">(iii)</w:t>
      </w:r>
      <w:r>
        <w:t xml:space="preserve"> </w:t>
      </w:r>
      <w:r>
        <w:t xml:space="preserve">the US exchange market structure is also significantly different from the EU</w:t>
      </w:r>
      <w:r>
        <w:t xml:space="preserve"> </w:t>
      </w:r>
      <w:r>
        <w:t xml:space="preserve">one, although the amount of interconnected exchanges would be relatively</w:t>
      </w:r>
      <w:r>
        <w:t xml:space="preserve"> </w:t>
      </w:r>
      <w:r>
        <w:t xml:space="preserve">similar.</w:t>
      </w:r>
      <w:r>
        <w:t xml:space="preserve"> </w:t>
      </w:r>
      <w:r>
        <w:t xml:space="preserve">(iv)</w:t>
      </w:r>
      <w:r>
        <w:t xml:space="preserve"> </w:t>
      </w:r>
      <w:r>
        <w:t xml:space="preserve">the US chose a particular system of interconnectivity (all relevant exchanges</w:t>
      </w:r>
      <w:r>
        <w:t xml:space="preserve"> </w:t>
      </w:r>
      <w:r>
        <w:t xml:space="preserve">interconnected with each other). An alternative hub-and-spoke model</w:t>
      </w:r>
      <w:r>
        <w:t xml:space="preserve"> </w:t>
      </w:r>
      <w:r>
        <w:t xml:space="preserve">(whereby a single central technical solution to which all venues in scope</w:t>
      </w:r>
      <w:r>
        <w:t xml:space="preserve"> </w:t>
      </w:r>
      <w:r>
        <w:t xml:space="preserve">connect, and from which orders are then routed) would result in considerably</w:t>
      </w:r>
      <w:r>
        <w:t xml:space="preserve"> </w:t>
      </w:r>
      <w:r>
        <w:t xml:space="preserve">less connections and much lower cost of the measure.</w:t>
      </w:r>
    </w:p>
    <w:p>
      <w:pPr>
        <w:pStyle w:val="BodyText"/>
      </w:pPr>
      <w:r>
        <w:t xml:space="preserve">214 Securities and Exchange Commission: Regulation NMS | U.S. GAO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In terms of benefits for venues generated by the interconnection, trading venues would be</w:t>
      </w:r>
      <w:r>
        <w:t xml:space="preserve"> </w:t>
      </w:r>
      <w:r>
        <w:t xml:space="preserve">expected to benefit from increased cross-border traffic, potentially generating higher revenue</w:t>
      </w:r>
      <w:r>
        <w:t xml:space="preserve"> </w:t>
      </w:r>
      <w:r>
        <w:t xml:space="preserve">through execution fees. Nevertheless, the Commission notes that these benefits are likely to</w:t>
      </w:r>
      <w:r>
        <w:t xml:space="preserve"> </w:t>
      </w:r>
      <w:r>
        <w:t xml:space="preserve">materialise only after implementation costs are incurred, and are contingent upon the solution</w:t>
      </w:r>
      <w:r>
        <w:t xml:space="preserve"> </w:t>
      </w:r>
      <w:r>
        <w:t xml:space="preserve">being widely adopted by brokers.</w:t>
      </w:r>
      <w:r>
        <w:br/>
      </w:r>
      <w:r>
        <w:t xml:space="preserve">Overall, given the uncertainty around costs and benefits of the interconnection for trading</w:t>
      </w:r>
      <w:r>
        <w:t xml:space="preserve"> </w:t>
      </w:r>
      <w:r>
        <w:t xml:space="preserve">venues, it is impossible to estimate with any meaningful degree of precision the net outcome</w:t>
      </w:r>
      <w:r>
        <w:t xml:space="preserve"> </w:t>
      </w:r>
      <w:r>
        <w:t xml:space="preserve">of Option 2.</w:t>
      </w:r>
      <w:r>
        <w:t xml:space="preserve"> </w:t>
      </w:r>
      <w:r>
        <w:t xml:space="preserve">-</w:t>
      </w:r>
      <w:r>
        <w:t xml:space="preserve"> </w:t>
      </w:r>
      <w:r>
        <w:t xml:space="preserve">Costs and benefits for brokers</w:t>
      </w:r>
      <w:r>
        <w:t xml:space="preserve"> </w:t>
      </w:r>
      <w:r>
        <w:t xml:space="preserve">Brokers would not bear any direct costs with respect to the initial set-up and ongoing</w:t>
      </w:r>
      <w:r>
        <w:t xml:space="preserve"> </w:t>
      </w:r>
      <w:r>
        <w:t xml:space="preserve">maintenance of the interconnected network. However, they may bear indirect costs. Although</w:t>
      </w:r>
      <w:r>
        <w:t xml:space="preserve"> </w:t>
      </w:r>
      <w:r>
        <w:t xml:space="preserve">it is proposed that re-routing costs are prohibited/restricted under this option, trading venues</w:t>
      </w:r>
      <w:r>
        <w:t xml:space="preserve"> </w:t>
      </w:r>
      <w:r>
        <w:t xml:space="preserve">may opt to increase execution fees for all clients, regardless of their use of the interconnectivity</w:t>
      </w:r>
      <w:r>
        <w:t xml:space="preserve"> </w:t>
      </w:r>
      <w:r>
        <w:t xml:space="preserve">features (i.e. to cross-subsidise). Whether and to what extent such an increase in execution fees</w:t>
      </w:r>
      <w:r>
        <w:t xml:space="preserve"> </w:t>
      </w:r>
      <w:r>
        <w:t xml:space="preserve">would materialise is complex to determine and quantify, given the uncertainty around the costs</w:t>
      </w:r>
      <w:r>
        <w:t xml:space="preserve"> </w:t>
      </w:r>
      <w:r>
        <w:t xml:space="preserve">borne by venues to set up and maintain the network, and the uptake of the interconnection</w:t>
      </w:r>
      <w:r>
        <w:t xml:space="preserve"> </w:t>
      </w:r>
      <w:r>
        <w:t xml:space="preserve">system among brokers (the broader the use, the lower the costs per individual transaction). The</w:t>
      </w:r>
      <w:r>
        <w:t xml:space="preserve"> </w:t>
      </w:r>
      <w:r>
        <w:t xml:space="preserve">effects on execution fees also depend on whether trading venues in scope would opt for</w:t>
      </w:r>
      <w:r>
        <w:t xml:space="preserve"> </w:t>
      </w:r>
      <w:r>
        <w:t xml:space="preserve">internalising at least a portion of those costs. Because of competitive pressure from other</w:t>
      </w:r>
      <w:r>
        <w:t xml:space="preserve"> </w:t>
      </w:r>
      <w:r>
        <w:t xml:space="preserve">execution venues, venues may opt against passing those costs entirely on to their clients</w:t>
      </w:r>
      <w:r>
        <w:t xml:space="preserve"> </w:t>
      </w:r>
      <w:r>
        <w:t xml:space="preserve">(brokers).</w:t>
      </w:r>
      <w:r>
        <w:br/>
      </w:r>
      <w:r>
        <w:t xml:space="preserve">On the other hand, at present, brokers are paying fees for either connecting directly to a trading</w:t>
      </w:r>
      <w:r>
        <w:t xml:space="preserve"> </w:t>
      </w:r>
      <w:r>
        <w:t xml:space="preserve">venue, or the intermediation fees charged by larger brokers. Hence, they are, at present,</w:t>
      </w:r>
      <w:r>
        <w:t xml:space="preserve"> </w:t>
      </w:r>
      <w:r>
        <w:t xml:space="preserve">incurring costs for establishing either direct or indirect connections to the venues on which they</w:t>
      </w:r>
      <w:r>
        <w:t xml:space="preserve"> </w:t>
      </w:r>
      <w:r>
        <w:t xml:space="preserve">want to trade. If an interconnectivity mechanism were established, brokers would be able to</w:t>
      </w:r>
      <w:r>
        <w:t xml:space="preserve"> </w:t>
      </w:r>
      <w:r>
        <w:t xml:space="preserve">place orders on multiple venues, while being connected to and being a member of only one.</w:t>
      </w:r>
      <w:r>
        <w:t xml:space="preserve"> </w:t>
      </w:r>
      <w:r>
        <w:t xml:space="preserve">This would, in turn, mean that brokers would only pay membership and execution fees to the</w:t>
      </w:r>
      <w:r>
        <w:t xml:space="preserve"> </w:t>
      </w:r>
      <w:r>
        <w:t xml:space="preserve">venue of which they are a member, and would not incur either membership fees and</w:t>
      </w:r>
      <w:r>
        <w:t xml:space="preserve"> </w:t>
      </w:r>
      <w:r>
        <w:t xml:space="preserve">connectivity fees for connection to any other venue that is part of the interconnected network,</w:t>
      </w:r>
      <w:r>
        <w:t xml:space="preserve"> </w:t>
      </w:r>
      <w:r>
        <w:t xml:space="preserve">or pay fees to intermediary offering execution on such venues. As no precise intermediation</w:t>
      </w:r>
      <w:r>
        <w:t xml:space="preserve"> </w:t>
      </w:r>
      <w:r>
        <w:t xml:space="preserve">fees data is available, being generally very client-specific, it is not possible to provide precise</w:t>
      </w:r>
      <w:r>
        <w:t xml:space="preserve"> </w:t>
      </w:r>
      <w:r>
        <w:t xml:space="preserve">figures as regards savings that could be made on intermediation fees. However, the</w:t>
      </w:r>
      <w:r>
        <w:t xml:space="preserve"> </w:t>
      </w:r>
      <w:r>
        <w:t xml:space="preserve">Commission is aware that those intermediation fees can be high, in particular for shares of</w:t>
      </w:r>
      <w:r>
        <w:t xml:space="preserve"> </w:t>
      </w:r>
      <w:r>
        <w:t xml:space="preserve">smaller companies.</w:t>
      </w:r>
      <w:r>
        <w:t xml:space="preserve"> </w:t>
      </w:r>
      <w:r>
        <w:t xml:space="preserve">Lastly, as explained above, reliance on intermediation implies that brokers (and thereby end-</w:t>
      </w:r>
      <w:r>
        <w:t xml:space="preserve"> </w:t>
      </w:r>
      <w:r>
        <w:t xml:space="preserve">clients) are dependent on the intermediary’s commercial interest in offering access to a given</w:t>
      </w:r>
      <w:r>
        <w:t xml:space="preserve"> </w:t>
      </w:r>
      <w:r>
        <w:t xml:space="preserve">instrument. This commercial interest is often lacking when it comes to offering solutions to</w:t>
      </w:r>
      <w:r>
        <w:t xml:space="preserve"> </w:t>
      </w:r>
      <w:r>
        <w:t xml:space="preserve">trade shares of smaller companies. Therefore, interconnection would also offer brokers a more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systematic and broader access to SME shares, as highlighted by the High-Level Forum</w:t>
      </w:r>
      <w:r>
        <w:br/>
      </w:r>
      <w:r>
        <w:t xml:space="preserve">on the Capital Markets Union back in June 2020.215</w:t>
      </w:r>
      <w:r>
        <w:t xml:space="preserve"> </w:t>
      </w:r>
      <w:r>
        <w:t xml:space="preserve">Given the above, the Commission can conclude that the benefits for the brokers are likely to</w:t>
      </w:r>
      <w:r>
        <w:t xml:space="preserve"> </w:t>
      </w:r>
      <w:r>
        <w:t xml:space="preserve">outweigh the costs they would incur, and that this set-up would lead to a more efficient trading</w:t>
      </w:r>
      <w:r>
        <w:t xml:space="preserve"> </w:t>
      </w:r>
      <w:r>
        <w:t xml:space="preserve">environment for them. The exact estimation of benefits for brokers however depends on the</w:t>
      </w:r>
      <w:r>
        <w:t xml:space="preserve"> </w:t>
      </w:r>
      <w:r>
        <w:t xml:space="preserve">actual set-up/quality of the interconnectivity system, client’s demand as well as overall costs</w:t>
      </w:r>
      <w:r>
        <w:t xml:space="preserve"> </w:t>
      </w:r>
      <w:r>
        <w:t xml:space="preserve">charged by trading venues.</w:t>
      </w:r>
      <w:r>
        <w:br/>
      </w:r>
      <w:r>
        <w:t xml:space="preserve">-</w:t>
      </w:r>
      <w:r>
        <w:t xml:space="preserve"> </w:t>
      </w:r>
      <w:r>
        <w:t xml:space="preserve">Costs and benefits for end-clients</w:t>
      </w:r>
      <w:r>
        <w:t xml:space="preserve"> </w:t>
      </w:r>
      <w:r>
        <w:t xml:space="preserve">The savings in terms of intermediation and/or direct connection costs for brokers are likely to</w:t>
      </w:r>
      <w:r>
        <w:t xml:space="preserve"> </w:t>
      </w:r>
      <w:r>
        <w:t xml:space="preserve">be translated into lower brokerage fees for end-clients, especially for cross-border trades, as</w:t>
      </w:r>
      <w:r>
        <w:t xml:space="preserve"> </w:t>
      </w:r>
      <w:r>
        <w:t xml:space="preserve">well as into a broadening of the (cross-border) offering of brokers. The positive impact is</w:t>
      </w:r>
      <w:r>
        <w:t xml:space="preserve"> </w:t>
      </w:r>
      <w:r>
        <w:t xml:space="preserve">expected to be significantly greater for retail clients who, as explained above, are more affected</w:t>
      </w:r>
      <w:r>
        <w:t xml:space="preserve"> </w:t>
      </w:r>
      <w:r>
        <w:t xml:space="preserve">by high costs linked to cross-border trading. However, the full scale of those benefits might be</w:t>
      </w:r>
      <w:r>
        <w:t xml:space="preserve"> </w:t>
      </w:r>
      <w:r>
        <w:t xml:space="preserve">partially limited by the potential passing on of potentially increased execution fees incurred by</w:t>
      </w:r>
      <w:r>
        <w:t xml:space="preserve"> </w:t>
      </w:r>
      <w:r>
        <w:t xml:space="preserve">brokers (see above).</w:t>
      </w:r>
      <w:r>
        <w:br/>
      </w:r>
      <w:r>
        <w:t xml:space="preserve">Furthermore, as noted earlier, brokers’ access to a broader pool of liquidity could</w:t>
      </w:r>
      <w:r>
        <w:br/>
      </w:r>
      <w:r>
        <w:t xml:space="preserve">lead to improved execution quality for their clients. For end-investors, the interconnection</w:t>
      </w:r>
      <w:r>
        <w:t xml:space="preserve"> </w:t>
      </w:r>
      <w:r>
        <w:t xml:space="preserve">system would imply that their brokers’ execution policies can no longer cite direct connection</w:t>
      </w:r>
      <w:r>
        <w:t xml:space="preserve"> </w:t>
      </w:r>
      <w:r>
        <w:t xml:space="preserve">limitations as a reason for sub-optimal execution, a limitation that is sometimes encountered</w:t>
      </w:r>
      <w:r>
        <w:t xml:space="preserve"> </w:t>
      </w:r>
      <w:r>
        <w:t xml:space="preserve">today.</w:t>
      </w:r>
      <w:r>
        <w:t xml:space="preserve"> </w:t>
      </w:r>
      <w:r>
        <w:t xml:space="preserve">A last potential benefit of the measure is that, by lowering cross-border transaction costs,</w:t>
      </w:r>
      <w:r>
        <w:br/>
      </w:r>
      <w:r>
        <w:t xml:space="preserve">it could help reduce home bias, particularly for retail investors. Currently, differentiated fee</w:t>
      </w:r>
      <w:r>
        <w:t xml:space="preserve"> </w:t>
      </w:r>
      <w:r>
        <w:t xml:space="preserve">structures based on the country of origin of securities exacerbate home bias. By introducing</w:t>
      </w:r>
      <w:r>
        <w:t xml:space="preserve"> </w:t>
      </w:r>
      <w:r>
        <w:t xml:space="preserve">more neutral, origin-agnostic fee schedules, the measure could further mitigate home bias and</w:t>
      </w:r>
      <w:r>
        <w:t xml:space="preserve"> </w:t>
      </w:r>
      <w:r>
        <w:t xml:space="preserve">encourage retail investors to consider a broader, more diversified range of investment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Effectiveness in meeting the specific objectives and overall efficiency</w:t>
      </w:r>
      <w:r>
        <w:t xml:space="preserve"> </w:t>
      </w:r>
      <w:r>
        <w:t xml:space="preserve">Option 2 would be effective in addressing the costly and complex direct access to liquidity and</w:t>
      </w:r>
      <w:r>
        <w:t xml:space="preserve"> </w:t>
      </w:r>
      <w:r>
        <w:t xml:space="preserve">financial instruments, which brokers are currently facing. At present, they either need to be</w:t>
      </w:r>
      <w:r>
        <w:t xml:space="preserve"> </w:t>
      </w:r>
      <w:r>
        <w:t xml:space="preserve">direct members of the trading venues on which they want to trade, or access indirectly via other</w:t>
      </w:r>
      <w:r>
        <w:t xml:space="preserve"> </w:t>
      </w:r>
      <w:r>
        <w:t xml:space="preserve">brokers who are, in turn, direct members of the venue. By eliminating the need for brokers to</w:t>
      </w:r>
      <w:r>
        <w:t xml:space="preserve"> </w:t>
      </w:r>
      <w:r>
        <w:t xml:space="preserve">become members of multiple venues, or get indirect access via intermediaries, Option 2 is more</w:t>
      </w:r>
      <w:r>
        <w:t xml:space="preserve"> </w:t>
      </w:r>
      <w:r>
        <w:t xml:space="preserve">effective in addressing broker’s current needs, than Option 1.</w:t>
      </w:r>
      <w:r>
        <w:br/>
      </w:r>
      <w:r>
        <w:t xml:space="preserve">However, Option 2 may be the less efficient of the two options. As explained above,</w:t>
      </w:r>
      <w:r>
        <w:br/>
      </w:r>
      <w:r>
        <w:t xml:space="preserve">the Commission is currently unable to reach a conclusion on the cost estimation and,</w:t>
      </w:r>
      <w:r>
        <w:br/>
      </w:r>
      <w:r>
        <w:t xml:space="preserve">as a consequence, cannot provide a straightforward answer as to whether the potential benefits</w:t>
      </w:r>
    </w:p>
    <w:p>
      <w:pPr>
        <w:pStyle w:val="BodyText"/>
      </w:pPr>
      <w:r>
        <w:t xml:space="preserve">215 Ibid.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would outweigh the costs incurred. Moreover, Option 2 is a supplementary extension to the</w:t>
      </w:r>
      <w:r>
        <w:t xml:space="preserve"> </w:t>
      </w:r>
      <w:r>
        <w:t xml:space="preserve">measures presented under Option 1. Thus, the implementation costs for the creation of an</w:t>
      </w:r>
      <w:r>
        <w:t xml:space="preserve"> </w:t>
      </w:r>
      <w:r>
        <w:t xml:space="preserve">interconnectivity mechanism would come in addition to the ones which would be incurred for</w:t>
      </w:r>
      <w:r>
        <w:t xml:space="preserve"> </w:t>
      </w:r>
      <w:r>
        <w:t xml:space="preserve">the harmonisation of rules (although those measures result in the overall net benefit as set out</w:t>
      </w:r>
      <w:r>
        <w:t xml:space="preserve"> </w:t>
      </w:r>
      <w:r>
        <w:t xml:space="preserve">above).</w:t>
      </w:r>
      <w:r>
        <w:br/>
      </w:r>
      <w:r>
        <w:t xml:space="preserve">Lastly, the Commission acknowledges that, in order for Option 2 to function as envisaged,</w:t>
      </w:r>
      <w:r>
        <w:br/>
      </w:r>
      <w:r>
        <w:t xml:space="preserve">a seamless interoperability of post-trading, notably of the settlement infrastructure,</w:t>
      </w:r>
      <w:r>
        <w:br/>
      </w:r>
      <w:r>
        <w:t xml:space="preserve">would be necessary. Therefore, given that pre-condition, the Commission cannot currently hold</w:t>
      </w:r>
      <w:r>
        <w:t xml:space="preserve"> </w:t>
      </w:r>
      <w:r>
        <w:t xml:space="preserve">that creating interconnectivity between trading venues would constitute an efficient measure at</w:t>
      </w:r>
      <w:r>
        <w:t xml:space="preserve"> </w:t>
      </w:r>
      <w:r>
        <w:t xml:space="preserve">the current juncture.</w:t>
      </w:r>
      <w:r>
        <w:t xml:space="preserve"> </w:t>
      </w:r>
      <w:r>
        <w:t xml:space="preserve">Consequently, taking into account the cost-benefits analysis from the perspective of all</w:t>
      </w:r>
      <w:r>
        <w:t xml:space="preserve"> </w:t>
      </w:r>
      <w:r>
        <w:t xml:space="preserve">stakeholder categories, the Commission is of the opinion that Option 1 would be more efficient</w:t>
      </w:r>
      <w:r>
        <w:t xml:space="preserve"> </w:t>
      </w:r>
      <w:r>
        <w:t xml:space="preserve">in addressing the identified drivers and tackling the identified problems.</w:t>
      </w:r>
      <w:r>
        <w:t xml:space="preserve"> </w:t>
      </w:r>
      <w:r>
        <w:t xml:space="preserve">Coherence with the SIU objectives</w:t>
      </w:r>
      <w:r>
        <w:t xml:space="preserve"> </w:t>
      </w:r>
      <w:r>
        <w:t xml:space="preserve">Requiring significant exchanges and pan-European MTFs to establish interconnectedness with</w:t>
      </w:r>
      <w:r>
        <w:t xml:space="preserve"> </w:t>
      </w:r>
      <w:r>
        <w:t xml:space="preserve">one another could encourage retail investors’ participation in capital markets, which is in one</w:t>
      </w:r>
      <w:r>
        <w:t xml:space="preserve"> </w:t>
      </w:r>
      <w:r>
        <w:t xml:space="preserve">of the objectives put forward by the SIU communication. Additionally, interconnectedness</w:t>
      </w:r>
      <w:r>
        <w:t xml:space="preserve"> </w:t>
      </w:r>
      <w:r>
        <w:t xml:space="preserve">could simplify investors access to capital markets and help reduce market fragmentation.</w:t>
      </w:r>
      <w:r>
        <w:br/>
      </w:r>
      <w:r>
        <w:t xml:space="preserve">The creation of a more integrated network of RMs and MTFs is a stepping stone to the creation</w:t>
      </w:r>
      <w:r>
        <w:t xml:space="preserve"> </w:t>
      </w:r>
      <w:r>
        <w:t xml:space="preserve">of a single market for capital or SIU, a key priority of the EU, which aims to provide businesses</w:t>
      </w:r>
      <w:r>
        <w:t xml:space="preserve"> </w:t>
      </w:r>
      <w:r>
        <w:t xml:space="preserve">with a broader range of funding sources across member states.</w:t>
      </w:r>
      <w:r>
        <w:br/>
      </w:r>
      <w:r>
        <w:t xml:space="preserve">Improved interconnectivity can lead to increased competition among trading platforms, leading</w:t>
      </w:r>
      <w:r>
        <w:t xml:space="preserve"> </w:t>
      </w:r>
      <w:r>
        <w:t xml:space="preserve">to better services, lower costs, and innovation—core elements needed to enhance the global</w:t>
      </w:r>
      <w:r>
        <w:t xml:space="preserve"> </w:t>
      </w:r>
      <w:r>
        <w:t xml:space="preserve">competitiveness of European markets, as advocated in the Draghi report.</w:t>
      </w:r>
      <w:r>
        <w:br/>
      </w:r>
      <w:r>
        <w:t xml:space="preserve">Table 1 – Cost efficiency analysis of the options by stakeholder type216</w:t>
      </w:r>
      <w:r>
        <w:t xml:space="preserve"> </w:t>
      </w:r>
      <w:r>
        <w:t xml:space="preserve">Cost efficiency by stakeholder type</w:t>
      </w:r>
    </w:p>
    <w:p>
      <w:pPr>
        <w:pStyle w:val="BodyText"/>
      </w:pPr>
      <w:r>
        <w:t xml:space="preserve">Trading venues</w:t>
      </w:r>
      <w:r>
        <w:t xml:space="preserve"> </w:t>
      </w:r>
      <w:r>
        <w:t xml:space="preserve">Brokers</w:t>
      </w:r>
      <w:r>
        <w:t xml:space="preserve"> </w:t>
      </w:r>
      <w:r>
        <w:t xml:space="preserve">End-investors</w:t>
      </w:r>
      <w:r>
        <w:t xml:space="preserve"> </w:t>
      </w:r>
      <w:r>
        <w:t xml:space="preserve">Option 1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Table 2 – Overall effectiveness, efficiency and coherence analysis of the options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N/A (-)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216 Legend: +++ = very positive, ++ = positive, + = slightly positive, 0 = no effect, - = slightly negative, – =</w:t>
      </w:r>
      <w:r>
        <w:t xml:space="preserve"> </w:t>
      </w:r>
      <w:r>
        <w:t xml:space="preserve">negative, — = very negative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3.3. FLANKING MEASURES</w:t>
      </w:r>
      <w:r>
        <w:t xml:space="preserve"> </w:t>
      </w:r>
      <w:r>
        <w:t xml:space="preserve">Open access</w:t>
      </w:r>
      <w:r>
        <w:t xml:space="preserve"> </w:t>
      </w:r>
      <w:r>
        <w:t xml:space="preserve">MiFID and MiFIR contain a number of rules to ensure that CCPs can clear trades executed</w:t>
      </w:r>
      <w:r>
        <w:br/>
      </w:r>
      <w:r>
        <w:t xml:space="preserve">on any venue, and vice-versa. However, restrictive practices and heavy processes that hinder</w:t>
      </w:r>
      <w:r>
        <w:t xml:space="preserve"> </w:t>
      </w:r>
      <w:r>
        <w:t xml:space="preserve">their effectiveness remain when it comes to cash equities.</w:t>
      </w:r>
      <w:r>
        <w:t xml:space="preserve"> </w:t>
      </w:r>
      <w:r>
        <w:t xml:space="preserve">First, the process to grant CCPs access to trading venues (and vice versa) is subject to a number</w:t>
      </w:r>
      <w:r>
        <w:t xml:space="preserve"> </w:t>
      </w:r>
      <w:r>
        <w:t xml:space="preserve">of exceptions that allow NCAs and parties involved to reject said access. Feedback from the</w:t>
      </w:r>
      <w:r>
        <w:t xml:space="preserve"> </w:t>
      </w:r>
      <w:r>
        <w:t xml:space="preserve">consultation has also pointed to hurdles linked to artificially delayed procedures</w:t>
      </w:r>
      <w:r>
        <w:br/>
      </w:r>
      <w:r>
        <w:t xml:space="preserve">and lack of consistent enforcement of those rules.</w:t>
      </w:r>
      <w:r>
        <w:br/>
      </w:r>
      <w:r>
        <w:t xml:space="preserve">Second, even after having granted access to CCPs, some trading venues implement access</w:t>
      </w:r>
      <w:r>
        <w:t xml:space="preserve"> </w:t>
      </w:r>
      <w:r>
        <w:t xml:space="preserve">models that limit market participant’s ability to leverage interoperability agreements that</w:t>
      </w:r>
      <w:r>
        <w:t xml:space="preserve"> </w:t>
      </w:r>
      <w:r>
        <w:t xml:space="preserve">already exist between certain CCPs. More specifically, the Commission understands that some</w:t>
      </w:r>
      <w:r>
        <w:t xml:space="preserve"> </w:t>
      </w:r>
      <w:r>
        <w:t xml:space="preserve">venues apply so-called ‘preferred clearing’, whereby counterparties executing a trade on a</w:t>
      </w:r>
      <w:r>
        <w:t xml:space="preserve"> </w:t>
      </w:r>
      <w:r>
        <w:t xml:space="preserve">venue can choose other CCPs than the default CCP only when both counterparties happen to</w:t>
      </w:r>
      <w:r>
        <w:t xml:space="preserve"> </w:t>
      </w:r>
      <w:r>
        <w:t xml:space="preserve">choose the same CCP, which rarely happens in practice and is unpredictable. From a technical</w:t>
      </w:r>
      <w:r>
        <w:t xml:space="preserve"> </w:t>
      </w:r>
      <w:r>
        <w:t xml:space="preserve">standpoint, interoperable CCPs can handle situations in which one trading party chooses one</w:t>
      </w:r>
      <w:r>
        <w:t xml:space="preserve"> </w:t>
      </w:r>
      <w:r>
        <w:t xml:space="preserve">CCP (e.g. Six x-Clear) and the other party another interoperable CCP (e.g., Cboe Clear).</w:t>
      </w:r>
      <w:r>
        <w:t xml:space="preserve"> </w:t>
      </w:r>
      <w:r>
        <w:t xml:space="preserve">However, it appears that ‘preferred clearing’ arrangements still require that both market</w:t>
      </w:r>
      <w:r>
        <w:t xml:space="preserve"> </w:t>
      </w:r>
      <w:r>
        <w:t xml:space="preserve">participants have chosen the exact same CCP for trades to be cleared in a different CCP than</w:t>
      </w:r>
      <w:r>
        <w:t xml:space="preserve"> </w:t>
      </w:r>
      <w:r>
        <w:t xml:space="preserve">the default one, even though the parties might have chosen different yet interoperable CCPs.</w:t>
      </w:r>
      <w:r>
        <w:br/>
      </w:r>
      <w:r>
        <w:t xml:space="preserve">It is therefore proposed that hurdles in that area are removed by:</w:t>
      </w:r>
      <w:r>
        <w:t xml:space="preserve"> </w:t>
      </w:r>
      <w:r>
        <w:t xml:space="preserve">-</w:t>
      </w:r>
      <w:r>
        <w:t xml:space="preserve"> </w:t>
      </w:r>
      <w:r>
        <w:t xml:space="preserve">streamlining and simplifying access provisions across MiFID and MiFIR and better</w:t>
      </w:r>
      <w:r>
        <w:t xml:space="preserve"> </w:t>
      </w:r>
      <w:r>
        <w:t xml:space="preserve">framing the conditions under which access requests can be rejected or unduly delayed</w:t>
      </w:r>
      <w:r>
        <w:t xml:space="preserve"> </w:t>
      </w:r>
      <w:r>
        <w:t xml:space="preserve">by trading venues/CCPs and by NCAs. Those conditions could be aligned with those</w:t>
      </w:r>
      <w:r>
        <w:t xml:space="preserve"> </w:t>
      </w:r>
      <w:r>
        <w:t xml:space="preserve">included in Article 33 of the CSDR on CSD access, whereby access can only be rejected</w:t>
      </w:r>
      <w:r>
        <w:t xml:space="preserve"> </w:t>
      </w:r>
      <w:r>
        <w:t xml:space="preserve">on the basis of a comprehensive risk assessment, and whereby supervisors only</w:t>
      </w:r>
      <w:r>
        <w:t xml:space="preserve"> </w:t>
      </w:r>
      <w:r>
        <w:t xml:space="preserve">intervene in cases of disagreement. It is also proposed that the EU-level supervisor</w:t>
      </w:r>
      <w:r>
        <w:t xml:space="preserve"> </w:t>
      </w:r>
      <w:r>
        <w:t xml:space="preserve">would be receiving notification for such requests and, similarly, only intervene in cases</w:t>
      </w:r>
      <w:r>
        <w:t xml:space="preserve"> </w:t>
      </w:r>
      <w:r>
        <w:t xml:space="preserve">of disagreement; and</w:t>
      </w:r>
      <w:r>
        <w:t xml:space="preserve"> </w:t>
      </w:r>
      <w:r>
        <w:t xml:space="preserve">-</w:t>
      </w:r>
      <w:r>
        <w:t xml:space="preserve"> </w:t>
      </w:r>
      <w:r>
        <w:t xml:space="preserve">ensuring that, whenever two or more already interoperable CCPs have access to a given</w:t>
      </w:r>
      <w:r>
        <w:t xml:space="preserve"> </w:t>
      </w:r>
      <w:r>
        <w:t xml:space="preserve">trading venue, that trading venue allows its participants to choose to clear on two</w:t>
      </w:r>
      <w:r>
        <w:t xml:space="preserve"> </w:t>
      </w:r>
      <w:r>
        <w:t xml:space="preserve">different interoperable CCPs. This approach reduces the limitations of the preferred</w:t>
      </w:r>
      <w:r>
        <w:t xml:space="preserve"> </w:t>
      </w:r>
      <w:r>
        <w:t xml:space="preserve">clearing model, leveraging existing technology to clear transactions across different</w:t>
      </w:r>
      <w:r>
        <w:t xml:space="preserve"> </w:t>
      </w:r>
      <w:r>
        <w:t xml:space="preserve">CCPs. This option is likely to enhance competition by allowing customer choice and</w:t>
      </w:r>
      <w:r>
        <w:t xml:space="preserve"> </w:t>
      </w:r>
      <w:r>
        <w:t xml:space="preserve">rewarding CCPs investing in interoperability. It should also unlock significant cost</w:t>
      </w:r>
      <w:r>
        <w:t xml:space="preserve"> </w:t>
      </w:r>
      <w:r>
        <w:t xml:space="preserve">savings for market participants through netting efficiencies and a reduction in necessary</w:t>
      </w:r>
      <w:r>
        <w:t xml:space="preserve"> </w:t>
      </w:r>
      <w:r>
        <w:t xml:space="preserve">CCP membership arrangements.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Measures to further develop the equity consolidated tape and stimulate competition</w:t>
      </w:r>
      <w:r>
        <w:br/>
      </w:r>
      <w:r>
        <w:t xml:space="preserve">in the closing auction segment.</w:t>
      </w:r>
      <w:r>
        <w:br/>
      </w:r>
      <w:r>
        <w:t xml:space="preserve">It is proposed to enhance the attractiveness of the equity consolidated tape and its ability</w:t>
      </w:r>
      <w:r>
        <w:br/>
      </w:r>
      <w:r>
        <w:t xml:space="preserve">to support informed investment decisions by:</w:t>
      </w:r>
      <w:r>
        <w:br/>
      </w:r>
      <w:r>
        <w:t xml:space="preserve"> lifting the anonymity of the European Best Bid and Offer (EBBO), to allow users</w:t>
      </w:r>
      <w:r>
        <w:br/>
      </w:r>
      <w:r>
        <w:t xml:space="preserve">of the tape to identify the venue offering the EBBO;</w:t>
      </w:r>
      <w:r>
        <w:t xml:space="preserve"> </w:t>
      </w:r>
      <w:r>
        <w:t xml:space="preserve"> increasing the depth of the pre-trade information published by the tape,</w:t>
      </w:r>
      <w:r>
        <w:br/>
      </w:r>
      <w:r>
        <w:t xml:space="preserve">to cover the first five layers of the book;</w:t>
      </w:r>
      <w:r>
        <w:t xml:space="preserve"> </w:t>
      </w:r>
      <w:r>
        <w:t xml:space="preserve"> including in the equity pre-trade tape information on the (retail order) quotes published</w:t>
      </w:r>
      <w:r>
        <w:t xml:space="preserve"> </w:t>
      </w:r>
      <w:r>
        <w:t xml:space="preserve">by SIs. To achieve that, a necessary pre-requisite to ensure that the quotes published</w:t>
      </w:r>
      <w:r>
        <w:br/>
      </w:r>
      <w:r>
        <w:t xml:space="preserve">by SIs are meaningful in terms of price formation. Today, SIs can, and often do,</w:t>
      </w:r>
      <w:r>
        <w:t xml:space="preserve"> </w:t>
      </w:r>
      <w:r>
        <w:t xml:space="preserve">negotiate bilaterally price improvements that are targeted to specific clients</w:t>
      </w:r>
      <w:r>
        <w:br/>
      </w:r>
      <w:r>
        <w:t xml:space="preserve">(leading to extreme client segmentation) and that are not reflected in the quotes that</w:t>
      </w:r>
      <w:r>
        <w:t xml:space="preserve"> </w:t>
      </w:r>
      <w:r>
        <w:t xml:space="preserve">they publish. It is therefore proposed that, for retail orders, SIs are required</w:t>
      </w:r>
      <w:r>
        <w:br/>
      </w:r>
      <w:r>
        <w:t xml:space="preserve">to immediately update their public quotes to reflect price improvements. Such price</w:t>
      </w:r>
      <w:r>
        <w:t xml:space="preserve"> </w:t>
      </w:r>
      <w:r>
        <w:t xml:space="preserve">improvements will then feed into the tape to adequately reflect the best price offered by</w:t>
      </w:r>
      <w:r>
        <w:t xml:space="preserve"> </w:t>
      </w:r>
      <w:r>
        <w:t xml:space="preserve">SIs, for those trade sizes that are subject to pre-trade transparency;</w:t>
      </w:r>
      <w:r>
        <w:t xml:space="preserve"> </w:t>
      </w:r>
      <w:r>
        <w:t xml:space="preserve"> requiring the tape to compute and publish the volume-weighted closing price generated</w:t>
      </w:r>
      <w:r>
        <w:t xml:space="preserve"> </w:t>
      </w:r>
      <w:r>
        <w:t xml:space="preserve">by all closing auctions for a given security, thereby offering the market an (voluntary)</w:t>
      </w:r>
      <w:r>
        <w:t xml:space="preserve"> </w:t>
      </w:r>
      <w:r>
        <w:t xml:space="preserve">alternative to the closing price generated by incumbent venues. In addition, it could be</w:t>
      </w:r>
      <w:r>
        <w:t xml:space="preserve"> </w:t>
      </w:r>
      <w:r>
        <w:t xml:space="preserve">clarified that the tape-produced reference price could be considered as fair pricing</w:t>
      </w:r>
      <w:r>
        <w:t xml:space="preserve"> </w:t>
      </w:r>
      <w:r>
        <w:t xml:space="preserve">model for the purpose of portfolio valuation by asset managers, thus potentially</w:t>
      </w:r>
      <w:r>
        <w:t xml:space="preserve"> </w:t>
      </w:r>
      <w:r>
        <w:t xml:space="preserve">increasing the uptake of that price for that purpose and providing competition to the use</w:t>
      </w:r>
      <w:r>
        <w:t xml:space="preserve"> </w:t>
      </w:r>
      <w:r>
        <w:t xml:space="preserve">of the standard closing auction price (and hence driving execution fees in closing</w:t>
      </w:r>
      <w:r>
        <w:t xml:space="preserve"> </w:t>
      </w:r>
      <w:r>
        <w:t xml:space="preserve">auctions down).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ANNEX 8: SECTORAL ANNEX ON POST-TRADE</w:t>
      </w:r>
      <w:r>
        <w:t xml:space="preserve"> </w:t>
      </w:r>
      <w:r>
        <w:t xml:space="preserve">Glossary</w:t>
      </w:r>
      <w:r>
        <w:t xml:space="preserve"> </w:t>
      </w:r>
      <w:r>
        <w:t xml:space="preserve">For the purposes of this Annex, the following definitions apply:</w:t>
      </w:r>
      <w:r>
        <w:t xml:space="preserve"> </w:t>
      </w:r>
      <w:r>
        <w:t xml:space="preserve">Asset referenced</w:t>
      </w:r>
      <w:r>
        <w:t xml:space="preserve"> </w:t>
      </w:r>
      <w:r>
        <w:t xml:space="preserve">token (ART)</w:t>
      </w:r>
      <w:r>
        <w:t xml:space="preserve"> </w:t>
      </w:r>
      <w:r>
        <w:t xml:space="preserve">A type of crypto-asset (i.e. a digital representation of a value or of a</w:t>
      </w:r>
      <w:r>
        <w:t xml:space="preserve"> </w:t>
      </w:r>
      <w:r>
        <w:t xml:space="preserve">right that is able to be transferred and stored electronically using</w:t>
      </w:r>
      <w:r>
        <w:t xml:space="preserve"> </w:t>
      </w:r>
      <w:r>
        <w:t xml:space="preserve">distributed ledger technology or similar technology) that is not an</w:t>
      </w:r>
      <w:r>
        <w:t xml:space="preserve"> </w:t>
      </w:r>
      <w:r>
        <w:t xml:space="preserve">electronic money token and that purports to maintain a stable value</w:t>
      </w:r>
      <w:r>
        <w:t xml:space="preserve"> </w:t>
      </w:r>
      <w:r>
        <w:t xml:space="preserve">by referencing another value or right or a combination thereof,</w:t>
      </w:r>
      <w:r>
        <w:t xml:space="preserve"> </w:t>
      </w:r>
      <w:r>
        <w:t xml:space="preserve">including one or more official currencies.217</w:t>
      </w:r>
      <w:r>
        <w:br/>
      </w:r>
      <w:r>
        <w:t xml:space="preserve">Bilateral link</w:t>
      </w:r>
      <w:r>
        <w:t xml:space="preserve"> </w:t>
      </w:r>
      <w:r>
        <w:t xml:space="preserve">An arrangement that set out under a single agreement the transfer of</w:t>
      </w:r>
      <w:r>
        <w:t xml:space="preserve"> </w:t>
      </w:r>
      <w:r>
        <w:t xml:space="preserve">securities between two Securities Settlement Systems.</w:t>
      </w:r>
      <w:r>
        <w:t xml:space="preserve"> </w:t>
      </w:r>
      <w:r>
        <w:t xml:space="preserve">Book-entry</w:t>
      </w:r>
      <w:r>
        <w:t xml:space="preserve"> </w:t>
      </w:r>
      <w:r>
        <w:t xml:space="preserve">settlement</w:t>
      </w:r>
      <w:r>
        <w:br/>
      </w:r>
      <w:r>
        <w:t xml:space="preserve">Generally speaking, a mechanism that enables market participants</w:t>
      </w:r>
      <w:r>
        <w:t xml:space="preserve"> </w:t>
      </w:r>
      <w:r>
        <w:t xml:space="preserve">to transfer assets (e.g. securities) without the physical movement of</w:t>
      </w:r>
      <w:r>
        <w:t xml:space="preserve"> </w:t>
      </w:r>
      <w:r>
        <w:t xml:space="preserve">paper documents or certificates.</w:t>
      </w:r>
      <w:r>
        <w:br/>
      </w:r>
      <w:r>
        <w:t xml:space="preserve">Central bank money</w:t>
      </w:r>
      <w:r>
        <w:t xml:space="preserve"> </w:t>
      </w:r>
      <w:r>
        <w:t xml:space="preserve">Central bank money is the term commonly used to describe the case</w:t>
      </w:r>
      <w:r>
        <w:t xml:space="preserve"> </w:t>
      </w:r>
      <w:r>
        <w:t xml:space="preserve">where a Securities Settlement System settles its cash leg on cash</w:t>
      </w:r>
      <w:r>
        <w:t xml:space="preserve"> </w:t>
      </w:r>
      <w:r>
        <w:t xml:space="preserve">accounts opened in the books of a central bank.</w:t>
      </w:r>
      <w:r>
        <w:t xml:space="preserve"> </w:t>
      </w:r>
      <w:r>
        <w:t xml:space="preserve">Central counterparty</w:t>
      </w:r>
      <w:r>
        <w:t xml:space="preserve"> </w:t>
      </w:r>
      <w:r>
        <w:t xml:space="preserve">(CCP)</w:t>
      </w:r>
      <w:r>
        <w:t xml:space="preserve"> </w:t>
      </w:r>
      <w:r>
        <w:t xml:space="preserve">An entity that interposes itself, in one or more markets, between the</w:t>
      </w:r>
      <w:r>
        <w:t xml:space="preserve"> </w:t>
      </w:r>
      <w:r>
        <w:t xml:space="preserve">counterparties to the contracts traded, becoming the buyer to every</w:t>
      </w:r>
      <w:r>
        <w:t xml:space="preserve"> </w:t>
      </w:r>
      <w:r>
        <w:t xml:space="preserve">seller and the seller to every buyer.218</w:t>
      </w:r>
      <w:r>
        <w:t xml:space="preserve"> </w:t>
      </w:r>
      <w:r>
        <w:t xml:space="preserve">Collateral</w:t>
      </w:r>
      <w:r>
        <w:t xml:space="preserve"> </w:t>
      </w:r>
      <w:r>
        <w:t xml:space="preserve">An asset or third-party commitment that is used by the collateral</w:t>
      </w:r>
      <w:r>
        <w:t xml:space="preserve"> </w:t>
      </w:r>
      <w:r>
        <w:t xml:space="preserve">provider to secure an obligation to the collateral taker. Collateral</w:t>
      </w:r>
      <w:r>
        <w:t xml:space="preserve"> </w:t>
      </w:r>
      <w:r>
        <w:t xml:space="preserve">arrangements may take different legal forms; collateral may be</w:t>
      </w:r>
      <w:r>
        <w:t xml:space="preserve"> </w:t>
      </w:r>
      <w:r>
        <w:t xml:space="preserve">obtained using the method of title transfer or pledge.</w:t>
      </w:r>
      <w:r>
        <w:t xml:space="preserve"> </w:t>
      </w:r>
      <w:r>
        <w:t xml:space="preserve">Commercial bank</w:t>
      </w:r>
      <w:r>
        <w:t xml:space="preserve"> </w:t>
      </w:r>
      <w:r>
        <w:t xml:space="preserve">money</w:t>
      </w:r>
      <w:r>
        <w:t xml:space="preserve"> </w:t>
      </w:r>
      <w:r>
        <w:t xml:space="preserve">Commercial bank money is the term commonly used to describe the</w:t>
      </w:r>
      <w:r>
        <w:t xml:space="preserve"> </w:t>
      </w:r>
      <w:r>
        <w:t xml:space="preserve">case where a Securities Settlement System settles its cash leg on cash</w:t>
      </w:r>
      <w:r>
        <w:t xml:space="preserve"> </w:t>
      </w:r>
      <w:r>
        <w:t xml:space="preserve">accounts that are not opened in the books of a central bank but on</w:t>
      </w:r>
      <w:r>
        <w:t xml:space="preserve"> </w:t>
      </w:r>
      <w:r>
        <w:t xml:space="preserve">the books of a credit institution.</w:t>
      </w:r>
      <w:r>
        <w:t xml:space="preserve"> </w:t>
      </w:r>
      <w:r>
        <w:t xml:space="preserve">Corporate action</w:t>
      </w:r>
      <w:r>
        <w:t xml:space="preserve"> </w:t>
      </w:r>
      <w:r>
        <w:t xml:space="preserve">A corporate action is an event initiated by a public company that</w:t>
      </w:r>
      <w:r>
        <w:t xml:space="preserve"> </w:t>
      </w:r>
      <w:r>
        <w:t xml:space="preserve">brings or could bring an actual change to the securities—equity or</w:t>
      </w:r>
      <w:r>
        <w:t xml:space="preserve"> </w:t>
      </w:r>
      <w:r>
        <w:t xml:space="preserve">debt—issued by the company, such as stock splits, mergers,</w:t>
      </w:r>
      <w:r>
        <w:t xml:space="preserve"> </w:t>
      </w:r>
      <w:r>
        <w:t xml:space="preserve">dividend or coupon payments. The role of the CSD is to inform CSD</w:t>
      </w:r>
      <w:r>
        <w:t xml:space="preserve"> </w:t>
      </w:r>
      <w:r>
        <w:t xml:space="preserve">participants holding the respective security in custody about the</w:t>
      </w:r>
      <w:r>
        <w:t xml:space="preserve"> </w:t>
      </w:r>
      <w:r>
        <w:t xml:space="preserve">upcoming corporate action.</w:t>
      </w:r>
      <w:r>
        <w:t xml:space="preserve"> </w:t>
      </w:r>
      <w:r>
        <w:t xml:space="preserve">Central Securities</w:t>
      </w:r>
      <w:r>
        <w:t xml:space="preserve"> </w:t>
      </w:r>
      <w:r>
        <w:t xml:space="preserve">Depository (CSD)</w:t>
      </w:r>
      <w:r>
        <w:t xml:space="preserve"> </w:t>
      </w:r>
      <w:r>
        <w:t xml:space="preserve">A legal person that operates a securities settlement system and</w:t>
      </w:r>
      <w:r>
        <w:t xml:space="preserve"> </w:t>
      </w:r>
      <w:r>
        <w:t xml:space="preserve">provides at least a notary service or a central maintenance service.</w:t>
      </w:r>
      <w:r>
        <w:t xml:space="preserve"> </w:t>
      </w:r>
      <w:r>
        <w:t xml:space="preserve">Central Securities</w:t>
      </w:r>
      <w:r>
        <w:t xml:space="preserve"> </w:t>
      </w:r>
      <w:r>
        <w:t xml:space="preserve">Depositories</w:t>
      </w:r>
      <w:r>
        <w:t xml:space="preserve"> </w:t>
      </w:r>
      <w:r>
        <w:t xml:space="preserve">Regulation (CSDR)</w:t>
      </w:r>
      <w:r>
        <w:t xml:space="preserve"> </w:t>
      </w:r>
      <w:r>
        <w:t xml:space="preserve">Regulation (EU) No 909/2014 of the European Parliament and of</w:t>
      </w:r>
      <w:r>
        <w:t xml:space="preserve"> </w:t>
      </w:r>
      <w:r>
        <w:t xml:space="preserve">the Council on improving securities settlement in the EU and on</w:t>
      </w:r>
      <w:r>
        <w:t xml:space="preserve"> </w:t>
      </w:r>
      <w:r>
        <w:t xml:space="preserve">central securities depositories</w:t>
      </w:r>
    </w:p>
    <w:p>
      <w:pPr>
        <w:pStyle w:val="BodyText"/>
      </w:pPr>
      <w:r>
        <w:t xml:space="preserve">217 See Article 3(1), points 5 and 6 of Regulation (EU) 2023/1114 on markets in crypto-assets (MiCA).</w:t>
      </w:r>
      <w:r>
        <w:t xml:space="preserve"> </w:t>
      </w:r>
      <w:r>
        <w:t xml:space="preserve">218 See Article 2, point 1 of Regulation (EU) 648/2012 on OTC derivatives, central counterparties, and trade</w:t>
      </w:r>
      <w:r>
        <w:t xml:space="preserve"> </w:t>
      </w:r>
      <w:r>
        <w:t xml:space="preserve">repositories.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Committee on</w:t>
      </w:r>
      <w:r>
        <w:t xml:space="preserve"> </w:t>
      </w:r>
      <w:r>
        <w:t xml:space="preserve">Payments and</w:t>
      </w:r>
      <w:r>
        <w:t xml:space="preserve"> </w:t>
      </w:r>
      <w:r>
        <w:t xml:space="preserve">Market</w:t>
      </w:r>
      <w:r>
        <w:t xml:space="preserve"> </w:t>
      </w:r>
      <w:r>
        <w:t xml:space="preserve">Infrastructures</w:t>
      </w:r>
      <w:r>
        <w:t xml:space="preserve"> </w:t>
      </w:r>
      <w:r>
        <w:t xml:space="preserve">(CPMI)</w:t>
      </w:r>
      <w:r>
        <w:t xml:space="preserve"> </w:t>
      </w:r>
      <w:r>
        <w:t xml:space="preserve">An international standard setter that promotes, monitors and makes</w:t>
      </w:r>
      <w:r>
        <w:t xml:space="preserve"> </w:t>
      </w:r>
      <w:r>
        <w:t xml:space="preserve">recommendations about the safety and efficiency of payment,</w:t>
      </w:r>
      <w:r>
        <w:t xml:space="preserve"> </w:t>
      </w:r>
      <w:r>
        <w:t xml:space="preserve">clearing, settlement and related arrangements, thereby supporting</w:t>
      </w:r>
      <w:r>
        <w:t xml:space="preserve"> </w:t>
      </w:r>
      <w:r>
        <w:t xml:space="preserve">financial stability and the wider economy. The CPMI also serves as</w:t>
      </w:r>
      <w:r>
        <w:t xml:space="preserve"> </w:t>
      </w:r>
      <w:r>
        <w:t xml:space="preserve">a forum for central bank cooperation in related oversight, policy and</w:t>
      </w:r>
      <w:r>
        <w:t xml:space="preserve"> </w:t>
      </w:r>
      <w:r>
        <w:t xml:space="preserve">operational matters, including the provision of central bank services.</w:t>
      </w:r>
      <w:r>
        <w:t xml:space="preserve"> </w:t>
      </w:r>
      <w:r>
        <w:t xml:space="preserve">Custodian or</w:t>
      </w:r>
      <w:r>
        <w:t xml:space="preserve"> </w:t>
      </w:r>
      <w:r>
        <w:t xml:space="preserve">custodian bank</w:t>
      </w:r>
      <w:r>
        <w:t xml:space="preserve"> </w:t>
      </w:r>
      <w:r>
        <w:t xml:space="preserve">An entity, often a credit institution, which acts as an</w:t>
      </w:r>
      <w:r>
        <w:t xml:space="preserve"> </w:t>
      </w:r>
      <w:r>
        <w:t xml:space="preserve">“account</w:t>
      </w:r>
      <w:r>
        <w:t xml:space="preserve"> </w:t>
      </w:r>
      <w:r>
        <w:t xml:space="preserve">provider”</w:t>
      </w:r>
      <w:r>
        <w:t xml:space="preserve"> </w:t>
      </w:r>
      <w:r>
        <w:t xml:space="preserve">and provides securities custody services to its customers,</w:t>
      </w:r>
      <w:r>
        <w:t xml:space="preserve"> </w:t>
      </w:r>
      <w:r>
        <w:t xml:space="preserve">i.e. holding and administration of securities owned by a third party.</w:t>
      </w:r>
      <w:r>
        <w:t xml:space="preserve"> </w:t>
      </w:r>
      <w:r>
        <w:t xml:space="preserve">Customised link</w:t>
      </w:r>
      <w:r>
        <w:t xml:space="preserve"> </w:t>
      </w:r>
      <w:r>
        <w:t xml:space="preserve">A link where the investor CSD benefits from a special access.</w:t>
      </w:r>
      <w:r>
        <w:t xml:space="preserve"> </w:t>
      </w:r>
      <w:r>
        <w:t xml:space="preserve">Distributed ledger</w:t>
      </w:r>
      <w:r>
        <w:t xml:space="preserve"> </w:t>
      </w:r>
      <w:r>
        <w:t xml:space="preserve">technology (DLT)</w:t>
      </w:r>
      <w:r>
        <w:t xml:space="preserve"> </w:t>
      </w:r>
      <w:r>
        <w:t xml:space="preserve">A technology that enables the operation and use of distributed</w:t>
      </w:r>
      <w:r>
        <w:t xml:space="preserve"> </w:t>
      </w:r>
      <w:r>
        <w:t xml:space="preserve">ledgers, such distributed ledger means an information repositories</w:t>
      </w:r>
      <w:r>
        <w:t xml:space="preserve"> </w:t>
      </w:r>
      <w:r>
        <w:t xml:space="preserve">that keep records of transactions and that is shared across and</w:t>
      </w:r>
      <w:r>
        <w:t xml:space="preserve"> </w:t>
      </w:r>
      <w:r>
        <w:t xml:space="preserve">synchronised across a set of DLT network nodes using a consensus</w:t>
      </w:r>
      <w:r>
        <w:t xml:space="preserve"> </w:t>
      </w:r>
      <w:r>
        <w:t xml:space="preserve">mechanism.219</w:t>
      </w:r>
      <w:r>
        <w:t xml:space="preserve"> </w:t>
      </w:r>
      <w:r>
        <w:t xml:space="preserve">Delivery versus</w:t>
      </w:r>
      <w:r>
        <w:t xml:space="preserve"> </w:t>
      </w:r>
      <w:r>
        <w:t xml:space="preserve">payment (DVP)</w:t>
      </w:r>
      <w:r>
        <w:t xml:space="preserve"> </w:t>
      </w:r>
      <w:r>
        <w:t xml:space="preserve">A securities settlement mechanism which links a transfer of</w:t>
      </w:r>
      <w:r>
        <w:t xml:space="preserve"> </w:t>
      </w:r>
      <w:r>
        <w:t xml:space="preserve">securities with a transfer of cash in a way that the delivery of</w:t>
      </w:r>
      <w:r>
        <w:t xml:space="preserve"> </w:t>
      </w:r>
      <w:r>
        <w:t xml:space="preserve">securities occurs if and only if the corresponding transfer of cash</w:t>
      </w:r>
      <w:r>
        <w:t xml:space="preserve"> </w:t>
      </w:r>
      <w:r>
        <w:t xml:space="preserve">occurs and vice versa.</w:t>
      </w:r>
      <w:r>
        <w:t xml:space="preserve"> </w:t>
      </w:r>
      <w:r>
        <w:t xml:space="preserve">EBA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ECB</w:t>
      </w:r>
      <w:r>
        <w:t xml:space="preserve"> </w:t>
      </w:r>
      <w:r>
        <w:t xml:space="preserve">European Central Bank</w:t>
      </w:r>
      <w:r>
        <w:t xml:space="preserve"> </w:t>
      </w:r>
      <w:r>
        <w:t xml:space="preserve">ECSDA</w:t>
      </w:r>
      <w:r>
        <w:t xml:space="preserve"> </w:t>
      </w:r>
      <w:r>
        <w:t xml:space="preserve">European Central Securities Depositories Association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EFAMA</w:t>
      </w:r>
      <w:r>
        <w:t xml:space="preserve"> </w:t>
      </w:r>
      <w:r>
        <w:t xml:space="preserve">European Fund and Asset Management Association</w:t>
      </w:r>
      <w:r>
        <w:t xml:space="preserve"> </w:t>
      </w:r>
      <w:r>
        <w:t xml:space="preserve">Electronic money</w:t>
      </w:r>
      <w:r>
        <w:t xml:space="preserve"> </w:t>
      </w:r>
      <w:r>
        <w:t xml:space="preserve">token or ‘e-money</w:t>
      </w:r>
      <w:r>
        <w:t xml:space="preserve"> </w:t>
      </w:r>
      <w:r>
        <w:t xml:space="preserve">token’</w:t>
      </w:r>
      <w:r>
        <w:t xml:space="preserve"> </w:t>
      </w:r>
      <w:r>
        <w:t xml:space="preserve">A type of crypto-asset (i.e. a digital representation of a value or of a</w:t>
      </w:r>
      <w:r>
        <w:t xml:space="preserve"> </w:t>
      </w:r>
      <w:r>
        <w:t xml:space="preserve">right that is able to be transferred and stored electronically using</w:t>
      </w:r>
      <w:r>
        <w:t xml:space="preserve"> </w:t>
      </w:r>
      <w:r>
        <w:t xml:space="preserve">distributed ledger technology or similar technology) that purports to</w:t>
      </w:r>
      <w:r>
        <w:t xml:space="preserve"> </w:t>
      </w:r>
      <w:r>
        <w:t xml:space="preserve">maintain a stable value by referencing the value of one official</w:t>
      </w:r>
      <w:r>
        <w:t xml:space="preserve"> </w:t>
      </w:r>
      <w:r>
        <w:t xml:space="preserve">currency.220</w:t>
      </w:r>
      <w:r>
        <w:t xml:space="preserve"> </w:t>
      </w:r>
      <w:r>
        <w:t xml:space="preserve">ESCB</w:t>
      </w:r>
      <w:r>
        <w:t xml:space="preserve"> </w:t>
      </w:r>
      <w:r>
        <w:t xml:space="preserve">European System of Central Banks</w:t>
      </w:r>
      <w:r>
        <w:t xml:space="preserve"> </w:t>
      </w:r>
      <w:r>
        <w:t xml:space="preserve">ESMA</w:t>
      </w:r>
      <w:r>
        <w:t xml:space="preserve"> </w:t>
      </w:r>
      <w:r>
        <w:t xml:space="preserve">European Securities and Markets Authority</w:t>
      </w:r>
      <w:r>
        <w:t xml:space="preserve"> </w:t>
      </w:r>
      <w:r>
        <w:t xml:space="preserve">Exchange Traded</w:t>
      </w:r>
      <w:r>
        <w:t xml:space="preserve"> </w:t>
      </w:r>
      <w:r>
        <w:t xml:space="preserve">Fund (ETF)</w:t>
      </w:r>
      <w:r>
        <w:t xml:space="preserve"> </w:t>
      </w:r>
      <w:r>
        <w:t xml:space="preserve">Exchange Traded Fund. An investment fund of which at least one</w:t>
      </w:r>
      <w:r>
        <w:t xml:space="preserve"> </w:t>
      </w:r>
      <w:r>
        <w:t xml:space="preserve">unit or share class is traded throughout the day on at least one</w:t>
      </w:r>
      <w:r>
        <w:t xml:space="preserve"> </w:t>
      </w:r>
      <w:r>
        <w:t xml:space="preserve">regulated market or Multilateral Trading Facility.</w:t>
      </w:r>
      <w:r>
        <w:br/>
      </w:r>
      <w:r>
        <w:t xml:space="preserve">Eurobond</w:t>
      </w:r>
      <w:r>
        <w:t xml:space="preserve"> </w:t>
      </w:r>
      <w:r>
        <w:t xml:space="preserve">Originally, the term Eurobond was reserved to bonds that were</w:t>
      </w:r>
      <w:r>
        <w:t xml:space="preserve"> </w:t>
      </w:r>
      <w:r>
        <w:t xml:space="preserve">issued in currencies different from the currency of incorporation of</w:t>
      </w:r>
      <w:r>
        <w:t xml:space="preserve"> </w:t>
      </w:r>
      <w:r>
        <w:t xml:space="preserve">the issuer. Currently, Eurobonds are issued in a limited number of</w:t>
      </w:r>
      <w:r>
        <w:t xml:space="preserve"> </w:t>
      </w:r>
      <w:r>
        <w:t xml:space="preserve">jurisdictions (e.g. England and Wales, US), leading to numerous</w:t>
      </w:r>
      <w:r>
        <w:t xml:space="preserve"> </w:t>
      </w:r>
      <w:r>
        <w:t xml:space="preserve">situations where the law of issuance is different from the law of the</w:t>
      </w:r>
      <w:r>
        <w:t xml:space="preserve"> </w:t>
      </w:r>
      <w:r>
        <w:t xml:space="preserve">issuer.</w:t>
      </w:r>
      <w:r>
        <w:t xml:space="preserve"> </w:t>
      </w:r>
      <w:r>
        <w:t xml:space="preserve">International</w:t>
      </w:r>
      <w:r>
        <w:t xml:space="preserve"> </w:t>
      </w:r>
      <w:r>
        <w:t xml:space="preserve">Organization of</w:t>
      </w:r>
      <w:r>
        <w:t xml:space="preserve"> </w:t>
      </w:r>
      <w:r>
        <w:t xml:space="preserve">Securities</w:t>
      </w:r>
      <w:r>
        <w:t xml:space="preserve"> </w:t>
      </w:r>
      <w:r>
        <w:t xml:space="preserve">The international body that brings together the world’s securities</w:t>
      </w:r>
      <w:r>
        <w:t xml:space="preserve"> </w:t>
      </w:r>
      <w:r>
        <w:t xml:space="preserve">regulators and is recognized as the global standard setter for</w:t>
      </w:r>
      <w:r>
        <w:t xml:space="preserve"> </w:t>
      </w:r>
      <w:r>
        <w:t xml:space="preserve">financial markets regulation. It develops, implements and promotes</w:t>
      </w:r>
    </w:p>
    <w:p>
      <w:pPr>
        <w:pStyle w:val="BodyText"/>
      </w:pPr>
      <w:r>
        <w:t xml:space="preserve">219 Article 2, point 1 of the Regulation (EU) 2022/858 on a pilot regime for market infrastructures based on</w:t>
      </w:r>
      <w:r>
        <w:t xml:space="preserve"> </w:t>
      </w:r>
      <w:r>
        <w:t xml:space="preserve">distributed ledger technology (DLTPR).</w:t>
      </w:r>
      <w:r>
        <w:br/>
      </w:r>
      <w:r>
        <w:t xml:space="preserve">220 Article 3(1), points 5 and 7, of MiCA.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Commissions</w:t>
      </w:r>
      <w:r>
        <w:t xml:space="preserve"> </w:t>
      </w:r>
      <w:r>
        <w:t xml:space="preserve">(IOSCO)</w:t>
      </w:r>
      <w:r>
        <w:t xml:space="preserve"> </w:t>
      </w:r>
      <w:r>
        <w:t xml:space="preserve">adherence to internationally recognised standards for financial</w:t>
      </w:r>
      <w:r>
        <w:t xml:space="preserve"> </w:t>
      </w:r>
      <w:r>
        <w:t xml:space="preserve">markets regulation.</w:t>
      </w:r>
      <w:r>
        <w:t xml:space="preserve"> </w:t>
      </w:r>
      <w:r>
        <w:t xml:space="preserve">Investor CSD</w:t>
      </w:r>
      <w:r>
        <w:t xml:space="preserve"> </w:t>
      </w:r>
      <w:r>
        <w:t xml:space="preserve">A CSD that opens an account – directly or through a third party</w:t>
      </w:r>
      <w:r>
        <w:t xml:space="preserve"> </w:t>
      </w:r>
      <w:r>
        <w:t xml:space="preserve">acting on its behalf - in another CSD (the issuer CSD) so as to enable</w:t>
      </w:r>
      <w:r>
        <w:t xml:space="preserve"> </w:t>
      </w:r>
      <w:r>
        <w:t xml:space="preserve">the cross-CSD settlement of securities transactions.</w:t>
      </w:r>
      <w:r>
        <w:br/>
      </w:r>
      <w:r>
        <w:t xml:space="preserve">Issuer CSD</w:t>
      </w:r>
      <w:r>
        <w:t xml:space="preserve"> </w:t>
      </w:r>
      <w:r>
        <w:t xml:space="preserve">A CSD that opens accounts allowing investors (in a direct holding</w:t>
      </w:r>
      <w:r>
        <w:t xml:space="preserve"> </w:t>
      </w:r>
      <w:r>
        <w:t xml:space="preserve">system) and/or intermediaries (including investor CSDs) to hold the</w:t>
      </w:r>
      <w:r>
        <w:t xml:space="preserve"> </w:t>
      </w:r>
      <w:r>
        <w:t xml:space="preserve">securities it has issued.</w:t>
      </w:r>
      <w:r>
        <w:br/>
      </w:r>
      <w:r>
        <w:t xml:space="preserve">Direct link</w:t>
      </w:r>
      <w:r>
        <w:t xml:space="preserve"> </w:t>
      </w:r>
      <w:r>
        <w:t xml:space="preserve">An account opened by an investor CSD in the books of an issuer</w:t>
      </w:r>
      <w:r>
        <w:t xml:space="preserve"> </w:t>
      </w:r>
      <w:r>
        <w:t xml:space="preserve">CSD in order to facilitate the transfer of securities from participants</w:t>
      </w:r>
      <w:r>
        <w:t xml:space="preserve"> </w:t>
      </w:r>
      <w:r>
        <w:t xml:space="preserve">in the issuer CSD to participants in the investor CSD (see also</w:t>
      </w:r>
      <w:r>
        <w:t xml:space="preserve"> </w:t>
      </w:r>
      <w:r>
        <w:t xml:space="preserve">Investor CSD).</w:t>
      </w:r>
      <w:r>
        <w:t xml:space="preserve"> </w:t>
      </w:r>
      <w:r>
        <w:t xml:space="preserve">Indirect link</w:t>
      </w:r>
      <w:r>
        <w:t xml:space="preserve"> </w:t>
      </w:r>
      <w:r>
        <w:t xml:space="preserve">A link between two CSDs through a non-CSD intermediary.</w:t>
      </w:r>
      <w:r>
        <w:t xml:space="preserve"> </w:t>
      </w:r>
      <w:r>
        <w:t xml:space="preserve">(Regulation (EU) No 909/2014 of 23 July 2014, Article 1 (32)).</w:t>
      </w:r>
      <w:r>
        <w:t xml:space="preserve"> </w:t>
      </w:r>
      <w:r>
        <w:t xml:space="preserve">Interoperable link</w:t>
      </w:r>
      <w:r>
        <w:t xml:space="preserve"> </w:t>
      </w:r>
      <w:r>
        <w:t xml:space="preserve">A set of arrangements/procedures that allows participants in</w:t>
      </w:r>
      <w:r>
        <w:t xml:space="preserve"> </w:t>
      </w:r>
      <w:r>
        <w:t xml:space="preserve">different systems to conduct and settle payment or securities</w:t>
      </w:r>
      <w:r>
        <w:t xml:space="preserve"> </w:t>
      </w:r>
      <w:r>
        <w:t xml:space="preserve">transactions across systems while continuing to operate only in their</w:t>
      </w:r>
      <w:r>
        <w:t xml:space="preserve"> </w:t>
      </w:r>
      <w:r>
        <w:t xml:space="preserve">own respective system. Interoperability generally works as an</w:t>
      </w:r>
      <w:r>
        <w:t xml:space="preserve"> </w:t>
      </w:r>
      <w:r>
        <w:t xml:space="preserve">improvement of classical links. (Regulation (EU) No 909/2014 of</w:t>
      </w:r>
      <w:r>
        <w:t xml:space="preserve"> </w:t>
      </w:r>
      <w:r>
        <w:t xml:space="preserve">23 July 2014, Article 1 (33)).</w:t>
      </w:r>
      <w:r>
        <w:t xml:space="preserve"> </w:t>
      </w:r>
      <w:r>
        <w:t xml:space="preserve">Margin</w:t>
      </w:r>
      <w:r>
        <w:t xml:space="preserve"> </w:t>
      </w:r>
      <w:r>
        <w:t xml:space="preserve">An asset (or third-party commitment) accepted by a counterparty to</w:t>
      </w:r>
      <w:r>
        <w:t xml:space="preserve"> </w:t>
      </w:r>
      <w:r>
        <w:t xml:space="preserve">ensure performance on potential obligations to it or cover market</w:t>
      </w:r>
      <w:r>
        <w:t xml:space="preserve"> </w:t>
      </w:r>
      <w:r>
        <w:t xml:space="preserve">movements on unsettled transactions.</w:t>
      </w:r>
      <w:r>
        <w:t xml:space="preserve"> </w:t>
      </w:r>
      <w:r>
        <w:t xml:space="preserve">Operated direct link</w:t>
      </w:r>
      <w:r>
        <w:t xml:space="preserve"> </w:t>
      </w:r>
      <w:r>
        <w:t xml:space="preserve">A direct link between two CSDs where a third party, typically a</w:t>
      </w:r>
      <w:r>
        <w:t xml:space="preserve"> </w:t>
      </w:r>
      <w:r>
        <w:t xml:space="preserve">custodian bank, operates the account in the issuer CSD on behalf of</w:t>
      </w:r>
      <w:r>
        <w:t xml:space="preserve"> </w:t>
      </w:r>
      <w:r>
        <w:t xml:space="preserve">the investor CSD.</w:t>
      </w:r>
      <w:r>
        <w:t xml:space="preserve"> </w:t>
      </w:r>
      <w:r>
        <w:t xml:space="preserve">(Direct) Participant</w:t>
      </w:r>
      <w:r>
        <w:t xml:space="preserve"> </w:t>
      </w:r>
      <w:r>
        <w:t xml:space="preserve">A participant to a securities settlement system as defined in Article</w:t>
      </w:r>
      <w:r>
        <w:t xml:space="preserve"> </w:t>
      </w:r>
      <w:r>
        <w:t xml:space="preserve">2, point (f), of Directive 98/26/EC. Central counterparties,</w:t>
      </w:r>
      <w:r>
        <w:t xml:space="preserve"> </w:t>
      </w:r>
      <w:r>
        <w:t xml:space="preserve">settlement agents, clearing houses, system operators, clearing</w:t>
      </w:r>
      <w:r>
        <w:t xml:space="preserve"> </w:t>
      </w:r>
      <w:r>
        <w:t xml:space="preserve">members of an EMIR authorised CCP, credit institutions, investment</w:t>
      </w:r>
      <w:r>
        <w:t xml:space="preserve"> </w:t>
      </w:r>
      <w:r>
        <w:t xml:space="preserve">firms or public authorities/guaranteed undertakings, payment</w:t>
      </w:r>
      <w:r>
        <w:t xml:space="preserve"> </w:t>
      </w:r>
      <w:r>
        <w:t xml:space="preserve">institutions and electronic money institutions may be participants.</w:t>
      </w:r>
      <w:r>
        <w:br/>
      </w:r>
      <w:r>
        <w:t xml:space="preserve">Relayed link</w:t>
      </w:r>
      <w:r>
        <w:t xml:space="preserve"> </w:t>
      </w:r>
      <w:r>
        <w:t xml:space="preserve">A contractual and technical arrangement that allows issuer and</w:t>
      </w:r>
      <w:r>
        <w:t xml:space="preserve"> </w:t>
      </w:r>
      <w:r>
        <w:t xml:space="preserve">investor CSDs to hold and transfer securities through an account</w:t>
      </w:r>
      <w:r>
        <w:t xml:space="preserve"> </w:t>
      </w:r>
      <w:r>
        <w:t xml:space="preserve">with a third CSD (</w:t>
      </w:r>
      <w:r>
        <w:t xml:space="preserve">“middle CSD”</w:t>
      </w:r>
      <w:r>
        <w:t xml:space="preserve">), which acts as an intermediary.</w:t>
      </w:r>
      <w:r>
        <w:t xml:space="preserve"> </w:t>
      </w:r>
      <w:r>
        <w:t xml:space="preserve">Securities at Top Tier</w:t>
      </w:r>
      <w:r>
        <w:t xml:space="preserve"> </w:t>
      </w:r>
      <w:r>
        <w:t xml:space="preserve">Level</w:t>
      </w:r>
      <w:r>
        <w:t xml:space="preserve"> </w:t>
      </w:r>
      <w:r>
        <w:t xml:space="preserve">The CSDs are at the top of the securities chain, i.e. all holdings in a</w:t>
      </w:r>
      <w:r>
        <w:t xml:space="preserve"> </w:t>
      </w:r>
      <w:r>
        <w:t xml:space="preserve">given financial instrument, whether by an individual or a financial</w:t>
      </w:r>
      <w:r>
        <w:t xml:space="preserve"> </w:t>
      </w:r>
      <w:r>
        <w:t xml:space="preserve">institution, are ultimately kept in a securities account at the CSD.</w:t>
      </w:r>
      <w:r>
        <w:t xml:space="preserve"> </w:t>
      </w:r>
      <w:r>
        <w:t xml:space="preserve">Securities settlement</w:t>
      </w:r>
      <w:r>
        <w:t xml:space="preserve"> </w:t>
      </w:r>
      <w:r>
        <w:t xml:space="preserve">system</w:t>
      </w:r>
      <w:r>
        <w:t xml:space="preserve"> </w:t>
      </w:r>
      <w:r>
        <w:t xml:space="preserve">A system which allows the transfer of securities, either free of</w:t>
      </w:r>
      <w:r>
        <w:t xml:space="preserve"> </w:t>
      </w:r>
      <w:r>
        <w:t xml:space="preserve">payment (FOP) or against payment (delivery versus payment).</w:t>
      </w:r>
      <w:r>
        <w:t xml:space="preserve"> </w:t>
      </w:r>
      <w:r>
        <w:t xml:space="preserve">Settlement</w:t>
      </w:r>
      <w:r>
        <w:t xml:space="preserve"> </w:t>
      </w:r>
      <w:r>
        <w:t xml:space="preserve">The completion of a securities transaction where it is concluded with</w:t>
      </w:r>
      <w:r>
        <w:t xml:space="preserve"> </w:t>
      </w:r>
      <w:r>
        <w:t xml:space="preserve">the aim of discharging the obligations of the parties to that</w:t>
      </w:r>
      <w:r>
        <w:t xml:space="preserve"> </w:t>
      </w:r>
      <w:r>
        <w:t xml:space="preserve">transaction through the transfer of cash or securities, or both.</w:t>
      </w:r>
      <w:r>
        <w:t xml:space="preserve"> </w:t>
      </w:r>
      <w:r>
        <w:t xml:space="preserve">Settlement failure</w:t>
      </w:r>
      <w:r>
        <w:t xml:space="preserve"> </w:t>
      </w:r>
      <w:r>
        <w:t xml:space="preserve">The inability of a participant to a Securities Settlement System to</w:t>
      </w:r>
      <w:r>
        <w:t xml:space="preserve"> </w:t>
      </w:r>
      <w:r>
        <w:t xml:space="preserve">meet its settlement obligations in the Securities Settlement System.</w:t>
      </w:r>
      <w:r>
        <w:t xml:space="preserve"> </w:t>
      </w:r>
      <w:r>
        <w:t xml:space="preserve">This inability may be temporary or permanent.</w:t>
      </w:r>
      <w:r>
        <w:t xml:space="preserve"> </w:t>
      </w:r>
      <w:r>
        <w:t xml:space="preserve">Settlement</w:t>
      </w:r>
      <w:r>
        <w:t xml:space="preserve"> </w:t>
      </w:r>
      <w:r>
        <w:t xml:space="preserve">internaliser</w:t>
      </w:r>
      <w:r>
        <w:t xml:space="preserve"> </w:t>
      </w:r>
      <w:r>
        <w:t xml:space="preserve">An institution, which may be authorised in accordance with</w:t>
      </w:r>
      <w:r>
        <w:t xml:space="preserve"> </w:t>
      </w:r>
      <w:r>
        <w:t xml:space="preserve">Directive 2013/36/EU or Directive 2014/65/EU, which executes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transfer orders on behalf of clients or on its own account other than</w:t>
      </w:r>
      <w:r>
        <w:t xml:space="preserve"> </w:t>
      </w:r>
      <w:r>
        <w:t xml:space="preserve">through a securities settlement system.</w:t>
      </w:r>
      <w:r>
        <w:t xml:space="preserve"> </w:t>
      </w:r>
      <w:r>
        <w:t xml:space="preserve">Standard link</w:t>
      </w:r>
      <w:r>
        <w:t xml:space="preserve"> </w:t>
      </w:r>
      <w:r>
        <w:t xml:space="preserve">A link where the investor CSD is treated as a normal participant to</w:t>
      </w:r>
      <w:r>
        <w:t xml:space="preserve"> </w:t>
      </w:r>
      <w:r>
        <w:t xml:space="preserve">the issuer CSD. (Regulation (EU) No 909/2014 of 23 July 2014,</w:t>
      </w:r>
      <w:r>
        <w:t xml:space="preserve"> </w:t>
      </w:r>
      <w:r>
        <w:t xml:space="preserve">Article 1 (30)). These links are one-way.</w:t>
      </w:r>
      <w:r>
        <w:t xml:space="preserve"> </w:t>
      </w:r>
      <w:r>
        <w:t xml:space="preserve">TARGET2-</w:t>
      </w:r>
      <w:r>
        <w:t xml:space="preserve"> </w:t>
      </w:r>
      <w:r>
        <w:t xml:space="preserve">Securities (T2S)</w:t>
      </w:r>
      <w:r>
        <w:t xml:space="preserve"> </w:t>
      </w:r>
      <w:r>
        <w:t xml:space="preserve">The Eurosystem’s single technical platform enabling CSDs and</w:t>
      </w:r>
      <w:r>
        <w:t xml:space="preserve"> </w:t>
      </w:r>
      <w:r>
        <w:t xml:space="preserve">national central banks to provide core, borderless and neutral</w:t>
      </w:r>
      <w:r>
        <w:t xml:space="preserve"> </w:t>
      </w:r>
      <w:r>
        <w:t xml:space="preserve">securities settlement services in central bank money in Europe.</w:t>
      </w:r>
    </w:p>
    <w:p>
      <w:pPr>
        <w:pStyle w:val="Compact"/>
        <w:numPr>
          <w:ilvl w:val="0"/>
          <w:numId w:val="1027"/>
        </w:numPr>
      </w:pPr>
      <w:r>
        <w:t xml:space="preserve">INTRODUCTION</w:t>
      </w:r>
      <w:r>
        <w:br/>
      </w:r>
      <w:r>
        <w:t xml:space="preserve">Barriers to efficient post-trade processes in the EU have persisted for decades, stemming from</w:t>
      </w:r>
      <w:r>
        <w:t xml:space="preserve"> </w:t>
      </w:r>
      <w:r>
        <w:t xml:space="preserve">deep fragmentation of legal frameworks, tax procedures, and market practices across Member</w:t>
      </w:r>
      <w:r>
        <w:t xml:space="preserve"> </w:t>
      </w:r>
      <w:r>
        <w:t xml:space="preserve">States. The first serious attempt to identify and address these barriers came with the Giovannini</w:t>
      </w:r>
      <w:r>
        <w:t xml:space="preserve"> </w:t>
      </w:r>
      <w:r>
        <w:t xml:space="preserve">Reports in 2001 and 2003221, which pinpointed 15 specific barriers that hamper the creation of</w:t>
      </w:r>
      <w:r>
        <w:t xml:space="preserve"> </w:t>
      </w:r>
      <w:r>
        <w:t xml:space="preserve">a truly integrated market for cross-border clearing and settlement. These included, amongst</w:t>
      </w:r>
      <w:r>
        <w:t xml:space="preserve"> </w:t>
      </w:r>
      <w:r>
        <w:t xml:space="preserve">others, mismatches in national operating hours, differences in corporate action processing,</w:t>
      </w:r>
      <w:r>
        <w:t xml:space="preserve"> </w:t>
      </w:r>
      <w:r>
        <w:t xml:space="preserve">inconsistent settlement finality rules and divergent taxation regimes.</w:t>
      </w:r>
      <w:r>
        <w:t xml:space="preserve"> </w:t>
      </w:r>
      <w:r>
        <w:t xml:space="preserve">These reports catalysed the development of pan-European solutions aimed at removing those</w:t>
      </w:r>
      <w:r>
        <w:t xml:space="preserve"> </w:t>
      </w:r>
      <w:r>
        <w:t xml:space="preserve">barriers. Most notably, targeted solutions were introduced across several pieces of legislation,</w:t>
      </w:r>
      <w:r>
        <w:t xml:space="preserve"> </w:t>
      </w:r>
      <w:r>
        <w:t xml:space="preserve">including the Central Securities Depositories Regulation (CSDR)222, the Securities Financing</w:t>
      </w:r>
      <w:r>
        <w:t xml:space="preserve"> </w:t>
      </w:r>
      <w:r>
        <w:t xml:space="preserve">Transactions Regulation (SFTR)223 and the Shareholders Rights Directive (SRD).224 In</w:t>
      </w:r>
      <w:r>
        <w:t xml:space="preserve"> </w:t>
      </w:r>
      <w:r>
        <w:t xml:space="preserve">addition, the European Central Bank developed TARGET2-Securities (T2S), aiming to provide</w:t>
      </w:r>
      <w:r>
        <w:t xml:space="preserve"> </w:t>
      </w:r>
      <w:r>
        <w:t xml:space="preserve">a unified settlement platform across the Euro area (and potentially the EU). Yet, despite these</w:t>
      </w:r>
      <w:r>
        <w:t xml:space="preserve"> </w:t>
      </w:r>
      <w:r>
        <w:t xml:space="preserve">efforts, fragmentation and barriers remain. In its 2017 report225, the European Post Trade Forum</w:t>
      </w:r>
      <w:r>
        <w:t xml:space="preserve"> </w:t>
      </w:r>
      <w:r>
        <w:t xml:space="preserve">(EPTF) reassessed the landscape and found that while some Giovannini barriers had been</w:t>
      </w:r>
      <w:r>
        <w:t xml:space="preserve"> </w:t>
      </w:r>
      <w:r>
        <w:t xml:space="preserve">mitigated, 11 of the original 15 persisted, either in full or in part, such as inefficient withholding</w:t>
      </w:r>
      <w:r>
        <w:t xml:space="preserve"> </w:t>
      </w:r>
      <w:r>
        <w:t xml:space="preserve">tax relief procedures and incomplete legal harmonisation around securities ownership rules.</w:t>
      </w:r>
      <w:r>
        <w:t xml:space="preserve"> </w:t>
      </w:r>
      <w:r>
        <w:t xml:space="preserve">The 2020 CMU Action Plan226 announced the Commission’s intention to come forward with a</w:t>
      </w:r>
      <w:r>
        <w:t xml:space="preserve"> </w:t>
      </w:r>
      <w:r>
        <w:t xml:space="preserve">legislative proposal to amend the CSDR to improve its efficiency and effectiveness (‘CSDR</w:t>
      </w:r>
      <w:r>
        <w:t xml:space="preserve"> </w:t>
      </w:r>
      <w:r>
        <w:t xml:space="preserve">Refit’) and contribute to the development of a more efficient post-trading landscape in the EU.</w:t>
      </w:r>
      <w:r>
        <w:t xml:space="preserve"> </w:t>
      </w:r>
      <w:r>
        <w:t xml:space="preserve">In particular, Action 13 (developing cross-border services) stated that “to improve the cross-</w:t>
      </w:r>
      <w:r>
        <w:t xml:space="preserve"> </w:t>
      </w:r>
      <w:r>
        <w:t xml:space="preserve">border provision of settlement services in the EU without negatively impacting financial</w:t>
      </w:r>
      <w:r>
        <w:t xml:space="preserve"> </w:t>
      </w:r>
      <w:r>
        <w:t xml:space="preserve">stability, Commission would review the rules”. The Commission subsequently presented a</w:t>
      </w:r>
    </w:p>
    <w:p>
      <w:pPr>
        <w:pStyle w:val="FirstParagraph"/>
      </w:pPr>
      <w:r>
        <w:t xml:space="preserve">221 https://finance.ec.europa.eu/publications/giovannini-reports_en</w:t>
      </w:r>
      <w:r>
        <w:t xml:space="preserve"> </w:t>
      </w:r>
      <w:r>
        <w:t xml:space="preserve">222 Regulation (EU) No 909/2014 of the European Parliament and of the Council of 23 July 2014 on improving</w:t>
      </w:r>
      <w:r>
        <w:t xml:space="preserve"> </w:t>
      </w:r>
      <w:r>
        <w:t xml:space="preserve">securities settlement in the European Union and on central securities depositories and amending Directives</w:t>
      </w:r>
      <w:r>
        <w:t xml:space="preserve"> </w:t>
      </w:r>
      <w:r>
        <w:t xml:space="preserve">98/26/EC and 2014/65/EU and Regulation (EU) No 236/2012.</w:t>
      </w:r>
      <w:r>
        <w:t xml:space="preserve"> </w:t>
      </w:r>
      <w:r>
        <w:t xml:space="preserve">223 Regulation (EU) 2015/2365 of the European Parliament and of the Council of 25 November 2015 on</w:t>
      </w:r>
      <w:r>
        <w:t xml:space="preserve"> </w:t>
      </w:r>
      <w:r>
        <w:t xml:space="preserve">transparency of securities financing transactions and of reuse and amending Regulation (EU) No 648/2012.</w:t>
      </w:r>
      <w:r>
        <w:t xml:space="preserve"> </w:t>
      </w:r>
      <w:r>
        <w:t xml:space="preserve">224 Directive 2007/36/EC of the European Parliament and of the Council of 11 July 2007 on the exercise of certain</w:t>
      </w:r>
      <w:r>
        <w:t xml:space="preserve"> </w:t>
      </w:r>
      <w:r>
        <w:t xml:space="preserve">rights of shareholders in listed companies.</w:t>
      </w:r>
      <w:r>
        <w:t xml:space="preserve"> </w:t>
      </w:r>
      <w:r>
        <w:t xml:space="preserve">225 https://finance.ec.europa.eu/publications/report-european-post-trade-forum-eptf_en</w:t>
      </w:r>
      <w:r>
        <w:t xml:space="preserve"> </w:t>
      </w:r>
      <w:r>
        <w:t xml:space="preserve">226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“A Capital Markets Union for people and businesses-new</w:t>
      </w:r>
      <w:r>
        <w:t xml:space="preserve"> </w:t>
      </w:r>
      <w:r>
        <w:t xml:space="preserve">action plan”, COM/2020/590 final, 24 September 2020.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proposal to amend the CSDR; the amendments entered into force in January 2024.227 The CMU</w:t>
      </w:r>
      <w:r>
        <w:t xml:space="preserve"> </w:t>
      </w:r>
      <w:r>
        <w:t xml:space="preserve">Action Plan presented further initiatives, e.g. the FASTER initiative to facilitate and harmonise</w:t>
      </w:r>
      <w:r>
        <w:t xml:space="preserve"> </w:t>
      </w:r>
      <w:r>
        <w:t xml:space="preserve">withholding tax procedures, which should also contribute to facilitating cross-border</w:t>
      </w:r>
      <w:r>
        <w:t xml:space="preserve"> </w:t>
      </w:r>
      <w:r>
        <w:t xml:space="preserve">activity.228</w:t>
      </w:r>
      <w:r>
        <w:t xml:space="preserve"> </w:t>
      </w:r>
      <w:r>
        <w:t xml:space="preserve">More recently, the Noyer Report229 and the Letta Report230 reiterated that post-trade</w:t>
      </w:r>
      <w:r>
        <w:t xml:space="preserve"> </w:t>
      </w:r>
      <w:r>
        <w:t xml:space="preserve">fragmentation is a major impediment to achieving a Capital Markets Union. The Draghi</w:t>
      </w:r>
      <w:r>
        <w:t xml:space="preserve"> </w:t>
      </w:r>
      <w:r>
        <w:t xml:space="preserve">Report231 went further, calling for a single rulebook and regulatory framework for EU post-</w:t>
      </w:r>
      <w:r>
        <w:t xml:space="preserve"> </w:t>
      </w:r>
      <w:r>
        <w:t xml:space="preserve">trade (i.e. clearing and settlement) infrastructure, emphasising that without full integration of</w:t>
      </w:r>
      <w:r>
        <w:t xml:space="preserve"> </w:t>
      </w:r>
      <w:r>
        <w:t xml:space="preserve">that infrastructure – alongside Banking Union reforms – the EU capital market will remain at</w:t>
      </w:r>
      <w:r>
        <w:t xml:space="preserve"> </w:t>
      </w:r>
      <w:r>
        <w:t xml:space="preserve">a competitive disadvantage globally. These reports converge in recognising that solving post-</w:t>
      </w:r>
      <w:r>
        <w:t xml:space="preserve"> </w:t>
      </w:r>
      <w:r>
        <w:t xml:space="preserve">trade fragmentation is not just a technical task but an economic priority for the EU.</w:t>
      </w:r>
      <w:r>
        <w:t xml:space="preserve"> </w:t>
      </w:r>
      <w:r>
        <w:t xml:space="preserve">This annex focuses on barriers to the provision of cross-border settlement services, in particular</w:t>
      </w:r>
      <w:r>
        <w:t xml:space="preserve"> </w:t>
      </w:r>
      <w:r>
        <w:t xml:space="preserve">in those areas that fall within the scope of the CSDR, and the Settlement Finality Directive</w:t>
      </w:r>
      <w:r>
        <w:t xml:space="preserve"> </w:t>
      </w:r>
      <w:r>
        <w:t xml:space="preserve">(SFD).232 It does not provide analysis or proposals for a way forward in areas outside that</w:t>
      </w:r>
      <w:r>
        <w:t xml:space="preserve"> </w:t>
      </w:r>
      <w:r>
        <w:t xml:space="preserve">scope, notably securities law, taxation, company law, insolvency law, etc. Those areas are being</w:t>
      </w:r>
      <w:r>
        <w:t xml:space="preserve"> </w:t>
      </w:r>
      <w:r>
        <w:t xml:space="preserve">looked at as part of separate initiatives that are subject to different timelines announced in the</w:t>
      </w:r>
      <w:r>
        <w:t xml:space="preserve"> </w:t>
      </w:r>
      <w:r>
        <w:t xml:space="preserve">Communication on the Savings and Investment Union (‘SIU Communication’).233</w:t>
      </w:r>
      <w:r>
        <w:br/>
      </w:r>
      <w:r>
        <w:t xml:space="preserve">2. DESCRIPTION OF MARKET AND ENVIRONMENT</w:t>
      </w:r>
      <w:r>
        <w:br/>
      </w:r>
      <w:r>
        <w:t xml:space="preserve">2.1. OVERVIEW OF POST-TRADE SERVICES</w:t>
      </w:r>
      <w:r>
        <w:t xml:space="preserve"> </w:t>
      </w:r>
      <w:r>
        <w:t xml:space="preserve">Safe and efficient post-trade arrangements for securities transactions are a crucial element</w:t>
      </w:r>
      <w:r>
        <w:br/>
      </w:r>
      <w:r>
        <w:t xml:space="preserve">of safe and efficient capital markets. Though largely invisible to investors, these arrangements</w:t>
      </w:r>
      <w:r>
        <w:t xml:space="preserve"> </w:t>
      </w:r>
      <w:r>
        <w:t xml:space="preserve">ensure that after a trade has been carried out the buyer receives the securities they purchased,</w:t>
      </w:r>
      <w:r>
        <w:t xml:space="preserve"> </w:t>
      </w:r>
      <w:r>
        <w:t xml:space="preserve">and the seller is paid. These arrangements are commonly referred to as post-trade services and</w:t>
      </w:r>
      <w:r>
        <w:t xml:space="preserve"> </w:t>
      </w:r>
      <w:r>
        <w:t xml:space="preserve">typically include:234</w:t>
      </w:r>
      <w:r>
        <w:t xml:space="preserve"> </w:t>
      </w:r>
      <w:r>
        <w:t xml:space="preserve"></w:t>
      </w:r>
      <w:r>
        <w:t xml:space="preserve"> </w:t>
      </w:r>
      <w:r>
        <w:t xml:space="preserve">clearing, which is the process of validating and finalising a transaction before it is settled;</w:t>
      </w:r>
      <w:r>
        <w:t xml:space="preserve"> </w:t>
      </w:r>
      <w:r>
        <w:t xml:space="preserve">central clearing is a specific form of clearing whereby a central counterparty (CCP)</w:t>
      </w:r>
      <w:r>
        <w:t xml:space="preserve"> </w:t>
      </w:r>
      <w:r>
        <w:t xml:space="preserve">guarantees the performance of transactions by becoming a buyer to every seller and a seller</w:t>
      </w:r>
      <w:r>
        <w:t xml:space="preserve"> </w:t>
      </w:r>
      <w:r>
        <w:t xml:space="preserve">to every buyer;</w:t>
      </w:r>
    </w:p>
    <w:p>
      <w:pPr>
        <w:pStyle w:val="BodyText"/>
      </w:pPr>
      <w:r>
        <w:t xml:space="preserve">227 Regulation (EU) 2023/2845 of the European Parliament and of the Council of 13 December 2023 amending</w:t>
      </w:r>
      <w:r>
        <w:t xml:space="preserve"> </w:t>
      </w:r>
      <w:r>
        <w:t xml:space="preserve">Regulation (EU) No 909/2014 as regards settlement discipline, cross-border provision of services, supervisory</w:t>
      </w:r>
      <w:r>
        <w:t xml:space="preserve"> </w:t>
      </w:r>
      <w:r>
        <w:t xml:space="preserve">cooperation, provision of banking-type ancillary services and requirements for third-country central securities</w:t>
      </w:r>
      <w:r>
        <w:t xml:space="preserve"> </w:t>
      </w:r>
      <w:r>
        <w:t xml:space="preserve">depositories and amending Regulation (EU) No 236/2012, OJ L, 2023/2845, 27.12.2023.</w:t>
      </w:r>
      <w:r>
        <w:t xml:space="preserve"> </w:t>
      </w:r>
      <w:r>
        <w:t xml:space="preserve">228 Council Directive (EU) 2025/50 of 10 December 2024 on faster and safer relief of excess withholding taxes,</w:t>
      </w:r>
      <w:r>
        <w:t xml:space="preserve"> </w:t>
      </w:r>
      <w:r>
        <w:t xml:space="preserve">OJ L, 2025/50, 10.1.2025.</w:t>
      </w:r>
      <w:r>
        <w:t xml:space="preserve"> </w:t>
      </w:r>
      <w:r>
        <w:t xml:space="preserve">229</w:t>
      </w:r>
      <w:r>
        <w:t xml:space="preserve"> </w:t>
      </w:r>
      <w:r>
        <w:t xml:space="preserve">https://www.tresor.economie.gouv.fr/Articles/2024/04/25/developing-european-capital-markets-to-finance-</w:t>
      </w:r>
      <w:r>
        <w:t xml:space="preserve"> </w:t>
      </w:r>
      <w:r>
        <w:t xml:space="preserve">the-future</w:t>
      </w:r>
      <w:r>
        <w:br/>
      </w:r>
      <w:r>
        <w:t xml:space="preserve">230 https://www.consilium.europa.eu/media/ny3j24sm/much-more-than-a-market-report-by-enrico-letta.pdf</w:t>
      </w:r>
      <w:r>
        <w:t xml:space="preserve"> </w:t>
      </w:r>
      <w:r>
        <w:t xml:space="preserve">231 https://commission.europa.eu/topics/eu-competitiveness/draghi-report_en</w:t>
      </w:r>
      <w:r>
        <w:t xml:space="preserve"> </w:t>
      </w:r>
      <w:r>
        <w:t xml:space="preserve">232 Directive 98/26/EC of the European Parliament and of the Council of 19 May 1998 on settlement finality in</w:t>
      </w:r>
      <w:r>
        <w:t xml:space="preserve"> </w:t>
      </w:r>
      <w:r>
        <w:t xml:space="preserve">payment and securities settlement systems.</w:t>
      </w:r>
      <w:r>
        <w:t xml:space="preserve"> </w:t>
      </w:r>
      <w:r>
        <w:t xml:space="preserve">233 Communication from the Commission to the European Parliament, the European Council, the Council, the</w:t>
      </w:r>
      <w:r>
        <w:t xml:space="preserve"> </w:t>
      </w:r>
      <w:r>
        <w:t xml:space="preserve">European Central Bank, the European Economic and Social Committee and the Committee of Regions, Savings</w:t>
      </w:r>
      <w:r>
        <w:t xml:space="preserve"> </w:t>
      </w:r>
      <w:r>
        <w:t xml:space="preserve">and Investments Union A Strategy to Foster Citizens’ Wealth and Economic Competitiveness in the EU, 19 March</w:t>
      </w:r>
      <w:r>
        <w:t xml:space="preserve"> </w:t>
      </w:r>
      <w:r>
        <w:t xml:space="preserve">2025; https://eur-lex.europa.eu/legal-content/EN/TXT/PDF/?uri=CELEX:52025DC0124.</w:t>
      </w:r>
      <w:r>
        <w:t xml:space="preserve"> </w:t>
      </w:r>
      <w:r>
        <w:t xml:space="preserve">234 European Post-Trade Forum Report, 15 May 2017, p. 15; https://ec.europa.eu/info/publications/170515-eptf-</w:t>
      </w:r>
      <w:r>
        <w:t xml:space="preserve"> </w:t>
      </w:r>
      <w:r>
        <w:t xml:space="preserve">report_en.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</w:t>
      </w:r>
      <w:r>
        <w:t xml:space="preserve"> </w:t>
      </w:r>
      <w:r>
        <w:t xml:space="preserve">settlement, which is the process that allows the completion of a transaction, i.e. discharging</w:t>
      </w:r>
      <w:r>
        <w:t xml:space="preserve"> </w:t>
      </w:r>
      <w:r>
        <w:t xml:space="preserve">the obligations of the parties to that transaction, through the transfer of cash or securities;</w:t>
      </w:r>
      <w:r>
        <w:t xml:space="preserve"> </w:t>
      </w:r>
      <w:r>
        <w:t xml:space="preserve"></w:t>
      </w:r>
      <w:r>
        <w:t xml:space="preserve"> </w:t>
      </w:r>
      <w:r>
        <w:t xml:space="preserve">asset servicing, which encompasses administrative and operational processes that allow</w:t>
      </w:r>
      <w:r>
        <w:t xml:space="preserve"> </w:t>
      </w:r>
      <w:r>
        <w:t xml:space="preserve">investors to benefit from, or exercise, rights tied to a security held over its lifetime (e.g. </w:t>
      </w:r>
      <w:r>
        <w:t xml:space="preserve"> </w:t>
      </w:r>
      <w:r>
        <w:t xml:space="preserve">receiving dividend or coupon payments, voting, etc.);</w:t>
      </w:r>
      <w:r>
        <w:t xml:space="preserve"> </w:t>
      </w:r>
      <w:r>
        <w:t xml:space="preserve"></w:t>
      </w:r>
      <w:r>
        <w:t xml:space="preserve"> </w:t>
      </w:r>
      <w:r>
        <w:t xml:space="preserve">post-trade reporting of individual transactions and/or positions of nominated market</w:t>
      </w:r>
      <w:r>
        <w:t xml:space="preserve"> </w:t>
      </w:r>
      <w:r>
        <w:t xml:space="preserve">participants.</w:t>
      </w:r>
      <w:r>
        <w:t xml:space="preserve"> </w:t>
      </w:r>
      <w:r>
        <w:t xml:space="preserve">Post-trade services are an integral part of the securities industry value chain (see Figure 1).</w:t>
      </w:r>
      <w:r>
        <w:t xml:space="preserve"> </w:t>
      </w:r>
      <w:r>
        <w:t xml:space="preserve">They are provided by post-trading infrastructures (i.e. CCPs, CSDs and trade repositories235)</w:t>
      </w:r>
      <w:r>
        <w:br/>
      </w:r>
      <w:r>
        <w:t xml:space="preserve">as well as by banks and investment firms (e.g. in their role as custodians or brokers).</w:t>
      </w:r>
      <w:r>
        <w:t xml:space="preserve"> </w:t>
      </w:r>
      <w:r>
        <w:t xml:space="preserve">Figure 1: Securities industry value chain</w:t>
      </w:r>
    </w:p>
    <w:p>
      <w:pPr>
        <w:pStyle w:val="BodyText"/>
      </w:pPr>
      <w:r>
        <w:t xml:space="preserve">Source: European Post-Trade Forum Report, p. 15.</w:t>
      </w:r>
      <w:r>
        <w:t xml:space="preserve"> </w:t>
      </w:r>
      <w:r>
        <w:t xml:space="preserve">Safe and efficient post-trading infrastructures are essential for ensuring trust in the financial</w:t>
      </w:r>
      <w:r>
        <w:t xml:space="preserve"> </w:t>
      </w:r>
      <w:r>
        <w:t xml:space="preserve">system, allowing investments to flow into the real economy, increasing competition and</w:t>
      </w:r>
      <w:r>
        <w:t xml:space="preserve"> </w:t>
      </w:r>
      <w:r>
        <w:t xml:space="preserve">thereby further fostering a stronger and more resilient financial system.</w:t>
      </w:r>
      <w:r>
        <w:br/>
      </w:r>
      <w:r>
        <w:t xml:space="preserve">Timely settlement is important as it allows market participants to make contingent plans,</w:t>
      </w:r>
      <w:r>
        <w:t xml:space="preserve"> </w:t>
      </w:r>
      <w:r>
        <w:t xml:space="preserve">contributing to the depth and liquidity of the financial markets and to their smooth functioning.</w:t>
      </w:r>
      <w:r>
        <w:t xml:space="preserve"> </w:t>
      </w:r>
      <w:r>
        <w:t xml:space="preserve">Settlement is normally carried out in a securities settlement system operated by a CSD. In a</w:t>
      </w:r>
      <w:r>
        <w:t xml:space="preserve"> </w:t>
      </w:r>
      <w:r>
        <w:t xml:space="preserve">CSD, buyers’ and sellers’ settlement instructions are matched, verifying the ability of the sellers</w:t>
      </w:r>
      <w:r>
        <w:t xml:space="preserve"> </w:t>
      </w:r>
      <w:r>
        <w:t xml:space="preserve">to deliver the securities and the ability of the buyers to pay; after that the transaction is settled</w:t>
      </w:r>
      <w:r>
        <w:t xml:space="preserve"> </w:t>
      </w:r>
      <w:r>
        <w:t xml:space="preserve">discharging the parties from their obligations. However, if both the buyer and the seller in a</w:t>
      </w:r>
      <w:r>
        <w:t xml:space="preserve"> </w:t>
      </w:r>
      <w:r>
        <w:t xml:space="preserve">securities transaction have accounts at the same intermediary (usually a bank or an investment</w:t>
      </w:r>
      <w:r>
        <w:t xml:space="preserve"> </w:t>
      </w:r>
      <w:r>
        <w:t xml:space="preserve">firm), the transaction can also be settled by an internal transfer between those accounts. In such</w:t>
      </w:r>
      <w:r>
        <w:t xml:space="preserve"> </w:t>
      </w:r>
      <w:r>
        <w:t xml:space="preserve">a case, the intermediary is acting as a settlement internaliser236, which executes transfer orders</w:t>
      </w:r>
      <w:r>
        <w:t xml:space="preserve"> </w:t>
      </w:r>
      <w:r>
        <w:t xml:space="preserve">on behalf of clients or on its own account without going through a securities settlement</w:t>
      </w:r>
      <w:r>
        <w:t xml:space="preserve"> </w:t>
      </w:r>
      <w:r>
        <w:t xml:space="preserve">system.237</w:t>
      </w:r>
    </w:p>
    <w:p>
      <w:pPr>
        <w:pStyle w:val="BodyText"/>
      </w:pPr>
      <w:r>
        <w:t xml:space="preserve">235 Trade repositories are used by market participants for post-trade reporting purposes.</w:t>
      </w:r>
      <w:r>
        <w:t xml:space="preserve"> </w:t>
      </w:r>
      <w:r>
        <w:t xml:space="preserve">236 Article 2(11) of the CSDR.</w:t>
      </w:r>
      <w:r>
        <w:t xml:space="preserve"> </w:t>
      </w:r>
      <w:r>
        <w:t xml:space="preserve">237 A firm internalises settlement if it receives an instruction from a client and transfers securities from one</w:t>
      </w:r>
      <w:r>
        <w:t xml:space="preserve"> </w:t>
      </w:r>
      <w:r>
        <w:t xml:space="preserve">securities account to another in its books rather than forward it to another intermediary or a CSD.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2.2. LEGAL CONTEXT</w:t>
      </w:r>
      <w:r>
        <w:t xml:space="preserve"> </w:t>
      </w:r>
      <w:r>
        <w:t xml:space="preserve">The provision of settlement services is governed by several pieces of EU legislation.</w:t>
      </w:r>
      <w:r>
        <w:br/>
      </w:r>
      <w:r>
        <w:t xml:space="preserve">2.2.1. Central Securities Depositories Regulation</w:t>
      </w:r>
      <w:r>
        <w:t xml:space="preserve"> </w:t>
      </w:r>
      <w:r>
        <w:t xml:space="preserve">The CSDR, which entered into force on 17 September 2014, aimed to harmonise the rules</w:t>
      </w:r>
      <w:r>
        <w:t xml:space="preserve"> </w:t>
      </w:r>
      <w:r>
        <w:t xml:space="preserve">applicable to CSDs and the timing and conduct of securities settlement in the EU. In particular,</w:t>
      </w:r>
      <w:r>
        <w:t xml:space="preserve"> </w:t>
      </w:r>
      <w:r>
        <w:t xml:space="preserve">it introduced:</w:t>
      </w:r>
      <w:r>
        <w:t xml:space="preserve"> </w:t>
      </w:r>
      <w:r>
        <w:t xml:space="preserve"></w:t>
      </w:r>
      <w:r>
        <w:t xml:space="preserve"> </w:t>
      </w:r>
      <w:r>
        <w:t xml:space="preserve">strict organisational, conduct of business and prudential requirements for CSDs;</w:t>
      </w:r>
      <w:r>
        <w:t xml:space="preserve"> </w:t>
      </w:r>
      <w:r>
        <w:t xml:space="preserve"></w:t>
      </w:r>
      <w:r>
        <w:t xml:space="preserve"> </w:t>
      </w:r>
      <w:r>
        <w:t xml:space="preserve">prudential and supervisory requirements for CSDs and other institutions providing</w:t>
      </w:r>
      <w:r>
        <w:t xml:space="preserve"> </w:t>
      </w:r>
      <w:r>
        <w:t xml:space="preserve">banking-type services that support securities settlement;</w:t>
      </w:r>
      <w:r>
        <w:t xml:space="preserve"> </w:t>
      </w:r>
      <w:r>
        <w:t xml:space="preserve"></w:t>
      </w:r>
      <w:r>
        <w:t xml:space="preserve"> </w:t>
      </w:r>
      <w:r>
        <w:t xml:space="preserve">a passport system allowing authorised CSDs to provide their services across the EU;</w:t>
      </w:r>
      <w:r>
        <w:t xml:space="preserve"> </w:t>
      </w:r>
      <w:r>
        <w:t xml:space="preserve"></w:t>
      </w:r>
      <w:r>
        <w:t xml:space="preserve"> </w:t>
      </w:r>
      <w:r>
        <w:t xml:space="preserve">an obligation to record in book-entry form all transferable securities admitted to trading or</w:t>
      </w:r>
      <w:r>
        <w:t xml:space="preserve"> </w:t>
      </w:r>
      <w:r>
        <w:t xml:space="preserve">traded on the trading venues;</w:t>
      </w:r>
      <w:r>
        <w:t xml:space="preserve"> </w:t>
      </w:r>
      <w:r>
        <w:t xml:space="preserve"></w:t>
      </w:r>
      <w:r>
        <w:t xml:space="preserve"> </w:t>
      </w:r>
      <w:r>
        <w:t xml:space="preserve">a settlement discipline regime to deal with settlement failures; and</w:t>
      </w:r>
      <w:r>
        <w:t xml:space="preserve"> </w:t>
      </w:r>
      <w:r>
        <w:t xml:space="preserve"></w:t>
      </w:r>
      <w:r>
        <w:t xml:space="preserve"> </w:t>
      </w:r>
      <w:r>
        <w:t xml:space="preserve">a harmonised settlement period for securities transactions executed on trading venues.</w:t>
      </w:r>
      <w:r>
        <w:br/>
      </w:r>
      <w:r>
        <w:t xml:space="preserve">Many of the provisions in the CSDR are based on the Principles for Financial Market</w:t>
      </w:r>
      <w:r>
        <w:t xml:space="preserve"> </w:t>
      </w:r>
      <w:r>
        <w:t xml:space="preserve">Infrastructures238 developed by the Committee on Payments and Market Infrastructures</w:t>
      </w:r>
      <w:r>
        <w:t xml:space="preserve"> </w:t>
      </w:r>
      <w:r>
        <w:t xml:space="preserve">(CPMI)239 and the International Organization of Securities Commissions (IOSCO).240</w:t>
      </w:r>
      <w:r>
        <w:t xml:space="preserve"> </w:t>
      </w:r>
      <w:r>
        <w:t xml:space="preserve">The CSDR has amended a few times since its entry into force. In 2021, following a review of</w:t>
      </w:r>
      <w:r>
        <w:t xml:space="preserve"> </w:t>
      </w:r>
      <w:r>
        <w:t xml:space="preserve">the functioning of the CSDR, the Commission published a report241 concluding that although</w:t>
      </w:r>
      <w:r>
        <w:t xml:space="preserve"> </w:t>
      </w:r>
      <w:r>
        <w:t xml:space="preserve">the CSDR, in broad terms, achieved its original objectives, targeted changes could improve the</w:t>
      </w:r>
      <w:r>
        <w:t xml:space="preserve"> </w:t>
      </w:r>
      <w:r>
        <w:t xml:space="preserve">Regulation’s efficiency and effectiveness. In line with the conclusions of the report, the</w:t>
      </w:r>
      <w:r>
        <w:t xml:space="preserve"> </w:t>
      </w:r>
      <w:r>
        <w:t xml:space="preserve">Commission proposed certain amendments to the CSDR in the same year. The amending</w:t>
      </w:r>
      <w:r>
        <w:t xml:space="preserve"> </w:t>
      </w:r>
      <w:r>
        <w:t xml:space="preserve">Regulation, known as CSDR Refit242, was adopted by the European Parliament and the Council</w:t>
      </w:r>
      <w:r>
        <w:t xml:space="preserve"> </w:t>
      </w:r>
      <w:r>
        <w:t xml:space="preserve">on 13 December 2023 and entered into force on 17 January 2024. The CSDR Refit aimed to</w:t>
      </w:r>
      <w:r>
        <w:t xml:space="preserve"> </w:t>
      </w:r>
      <w:r>
        <w:t xml:space="preserve">reduce the financial and regulatory burden on CSDs and improve their ability to operate across</w:t>
      </w:r>
      <w:r>
        <w:t xml:space="preserve"> </w:t>
      </w:r>
      <w:r>
        <w:t xml:space="preserve">borders, by: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 a simpler passporting regime to facilitate cross-border settlement and ease</w:t>
      </w:r>
      <w:r>
        <w:t xml:space="preserve"> </w:t>
      </w:r>
      <w:r>
        <w:t xml:space="preserve">the administrative and financial burden of the process;</w:t>
      </w:r>
      <w:r>
        <w:t xml:space="preserve"> </w:t>
      </w:r>
      <w:r>
        <w:t xml:space="preserve"></w:t>
      </w:r>
      <w:r>
        <w:t xml:space="preserve"> </w:t>
      </w:r>
      <w:r>
        <w:t xml:space="preserve">enhancing CSD supervision by setting up mandatory supervisory colleges for CSDs that</w:t>
      </w:r>
      <w:r>
        <w:t xml:space="preserve"> </w:t>
      </w:r>
      <w:r>
        <w:t xml:space="preserve">are of substantial importance to the functioning of the securities markets in at least two</w:t>
      </w:r>
    </w:p>
    <w:p>
      <w:pPr>
        <w:pStyle w:val="BodyText"/>
      </w:pPr>
      <w:r>
        <w:t xml:space="preserve">238 https://www.iosco.org/v2/about/?subSection=cpmi_iosco&amp;subSection1=pfmi</w:t>
      </w:r>
      <w:r>
        <w:br/>
      </w:r>
      <w:r>
        <w:t xml:space="preserve">239 The CPMI is an international standard setter that promotes, monitors and makes recommendations about safety</w:t>
      </w:r>
      <w:r>
        <w:t xml:space="preserve"> </w:t>
      </w:r>
      <w:r>
        <w:t xml:space="preserve">and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payment,</w:t>
      </w:r>
      <w:r>
        <w:t xml:space="preserve"> </w:t>
      </w:r>
      <w:r>
        <w:t xml:space="preserve">clearing,</w:t>
      </w:r>
      <w:r>
        <w:t xml:space="preserve"> </w:t>
      </w:r>
      <w:r>
        <w:t xml:space="preserve">settlement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arrangements.</w:t>
      </w:r>
      <w:r>
        <w:t xml:space="preserve"> </w:t>
      </w:r>
      <w:r>
        <w:t xml:space="preserve">For</w:t>
      </w:r>
      <w:r>
        <w:t xml:space="preserve"> </w:t>
      </w:r>
      <w:r>
        <w:t xml:space="preserve">details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https://www.bis.org/cpmi/about/overview.htm.</w:t>
      </w:r>
      <w:r>
        <w:br/>
      </w:r>
      <w:r>
        <w:t xml:space="preserve">240 IOSCO is an international body that brings together the world’s securities regulators and that sets standards in</w:t>
      </w:r>
      <w:r>
        <w:t xml:space="preserve"> </w:t>
      </w:r>
      <w:r>
        <w:t xml:space="preserve">the area of financial markets regulation. For more details see: https://www.iosco.org.</w:t>
      </w:r>
      <w:r>
        <w:t xml:space="preserve"> </w:t>
      </w:r>
      <w:r>
        <w:t xml:space="preserve">241 “Report from the Commission to the European Parliament and the Council on improving securities settlement</w:t>
      </w:r>
      <w:r>
        <w:t xml:space="preserve"> </w:t>
      </w:r>
      <w:r>
        <w:t xml:space="preserve">in the European Union and on central securities depositories”, COM (2021) 348.</w:t>
      </w:r>
      <w:r>
        <w:t xml:space="preserve"> </w:t>
      </w:r>
      <w:r>
        <w:t xml:space="preserve">242 Regulation (EU) 2023/2845 of the European Parliament and of the Council of 13 December 2023 amending</w:t>
      </w:r>
      <w:r>
        <w:t xml:space="preserve"> </w:t>
      </w:r>
      <w:r>
        <w:t xml:space="preserve">Regulation (EU) No 909/2014 as regards settlement discipline, cross-border provision of services, supervisory</w:t>
      </w:r>
      <w:r>
        <w:t xml:space="preserve"> </w:t>
      </w:r>
      <w:r>
        <w:t xml:space="preserve">cooperation, provision of banking-type ancillary services and requirements for third-country central securities</w:t>
      </w:r>
      <w:r>
        <w:t xml:space="preserve"> </w:t>
      </w:r>
      <w:r>
        <w:t xml:space="preserve">depositories and amending Regulation (EU) No 236/2012.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Member States in order to facilitate cooperation and information exchange between</w:t>
      </w:r>
      <w:r>
        <w:t xml:space="preserve"> </w:t>
      </w:r>
      <w:r>
        <w:t xml:space="preserve">Member States’ authorities;</w:t>
      </w:r>
      <w:r>
        <w:t xml:space="preserve"> </w:t>
      </w:r>
      <w:r>
        <w:t xml:space="preserve"></w:t>
      </w:r>
      <w:r>
        <w:t xml:space="preserve"> </w:t>
      </w:r>
      <w:r>
        <w:t xml:space="preserve">improving the settlement efficiency regime by better specifying its scope; and</w:t>
      </w:r>
      <w:r>
        <w:t xml:space="preserve"> </w:t>
      </w:r>
      <w:r>
        <w:t xml:space="preserve"></w:t>
      </w:r>
      <w:r>
        <w:t xml:space="preserve"> </w:t>
      </w:r>
      <w:r>
        <w:t xml:space="preserve">easing CSDs’ access to banking-type ancillary services, including those provided by</w:t>
      </w:r>
      <w:r>
        <w:t xml:space="preserve"> </w:t>
      </w:r>
      <w:r>
        <w:t xml:space="preserve">other CSDs.</w:t>
      </w:r>
      <w:r>
        <w:br/>
      </w:r>
      <w:r>
        <w:t xml:space="preserve">In 2025, the Commission presented a proposal to amend the CSDR to shorten the time in which</w:t>
      </w:r>
      <w:r>
        <w:t xml:space="preserve"> </w:t>
      </w:r>
      <w:r>
        <w:t xml:space="preserve">a securities transaction executed on a trading venue needs to settle (i.e. the settlement cycle)</w:t>
      </w:r>
      <w:r>
        <w:t xml:space="preserve"> </w:t>
      </w:r>
      <w:r>
        <w:t xml:space="preserve">from no later than two business days following the date of the trade (‘T+2’) to no later than</w:t>
      </w:r>
      <w:r>
        <w:t xml:space="preserve"> </w:t>
      </w:r>
      <w:r>
        <w:t xml:space="preserve">one business day after that date (‘T+1’) by 11 October 2027.243 The move to T+1 is expected</w:t>
      </w:r>
      <w:r>
        <w:t xml:space="preserve"> </w:t>
      </w:r>
      <w:r>
        <w:t xml:space="preserve">to reduce counterparty risk for market participants - and hence reduce the amount of collateral</w:t>
      </w:r>
      <w:r>
        <w:t xml:space="preserve"> </w:t>
      </w:r>
      <w:r>
        <w:t xml:space="preserve">those participants need to provide to guarantee transactions - and incentivise greater</w:t>
      </w:r>
      <w:r>
        <w:t xml:space="preserve"> </w:t>
      </w:r>
      <w:r>
        <w:t xml:space="preserve">harmonisation and automation of post-trade processes. This will improve the efficiency and</w:t>
      </w:r>
      <w:r>
        <w:t xml:space="preserve"> </w:t>
      </w:r>
      <w:r>
        <w:t xml:space="preserve">resilience of EU capital markets thereby contributing to the aims of the Savings and Investment</w:t>
      </w:r>
      <w:r>
        <w:t xml:space="preserve"> </w:t>
      </w:r>
      <w:r>
        <w:t xml:space="preserve">Union (SIU). The European Parliament and the Council reached a political agreement on the</w:t>
      </w:r>
      <w:r>
        <w:t xml:space="preserve"> </w:t>
      </w:r>
      <w:r>
        <w:t xml:space="preserve">amendment on 18 June 2025, with Coreper confirming the text on 27 June and the European</w:t>
      </w:r>
      <w:r>
        <w:t xml:space="preserve"> </w:t>
      </w:r>
      <w:r>
        <w:t xml:space="preserve">Parliament approved it on 10 September 2025.</w:t>
      </w:r>
      <w:r>
        <w:br/>
      </w:r>
      <w:r>
        <w:t xml:space="preserve">CSDs may also be subject to other EU legislation depending on their status, e.g. CSDs</w:t>
      </w:r>
      <w:r>
        <w:t xml:space="preserve"> </w:t>
      </w:r>
      <w:r>
        <w:t xml:space="preserve">operating with a banking licence are also subject to the relevant banking legislation. Moreover,</w:t>
      </w:r>
      <w:r>
        <w:t xml:space="preserve"> </w:t>
      </w:r>
      <w:r>
        <w:t xml:space="preserve">they may have to comply with certain national laws in the Member State in which they are</w:t>
      </w:r>
      <w:r>
        <w:t xml:space="preserve"> </w:t>
      </w:r>
      <w:r>
        <w:t xml:space="preserve">incorporated, e.g. securities, corporate or civil law. CSDs operate securities settlement systems,</w:t>
      </w:r>
      <w:r>
        <w:t xml:space="preserve"> </w:t>
      </w:r>
      <w:r>
        <w:t xml:space="preserve">which qualify as systems under the SFD and are therefore subject to the applicable national</w:t>
      </w:r>
      <w:r>
        <w:t xml:space="preserve"> </w:t>
      </w:r>
      <w:r>
        <w:t xml:space="preserve">transposing laws.</w:t>
      </w:r>
      <w:r>
        <w:br/>
      </w:r>
      <w:r>
        <w:t xml:space="preserve">It can also be noted that the CSDR is complemented by the DLT Pilot Regime Regulation</w:t>
      </w:r>
      <w:r>
        <w:t xml:space="preserve"> </w:t>
      </w:r>
      <w:r>
        <w:t xml:space="preserve">(DLTPRR)244 that enables CSDs to provide notary, maintenance and settlement services using</w:t>
      </w:r>
      <w:r>
        <w:t xml:space="preserve"> </w:t>
      </w:r>
      <w:r>
        <w:t xml:space="preserve">DLT in an experimental context.245</w:t>
      </w:r>
      <w:r>
        <w:br/>
      </w:r>
      <w:r>
        <w:t xml:space="preserve">2.2.2. Settlement Finality Directive</w:t>
      </w:r>
      <w:r>
        <w:t xml:space="preserve"> </w:t>
      </w:r>
      <w:r>
        <w:t xml:space="preserve">The SFD aims to reduce systemic risk arising from the insolvency of participants in payment</w:t>
      </w:r>
      <w:r>
        <w:t xml:space="preserve"> </w:t>
      </w:r>
      <w:r>
        <w:t xml:space="preserve">systems (such as TARGET2246) and securities settlement systems (such as those operated by</w:t>
      </w:r>
      <w:r>
        <w:t xml:space="preserve"> </w:t>
      </w:r>
      <w:r>
        <w:t xml:space="preserve">CCPs and CSDs), hereafter referred to as ‘systems’. It was adopted in 1998 and has been</w:t>
      </w:r>
      <w:r>
        <w:t xml:space="preserve"> </w:t>
      </w:r>
      <w:r>
        <w:t xml:space="preserve">amended six times since.</w:t>
      </w:r>
      <w:r>
        <w:br/>
      </w:r>
      <w:r>
        <w:t xml:space="preserve">The SFD allows payments and securities transactions to be made safely and settled in</w:t>
      </w:r>
      <w:r>
        <w:t xml:space="preserve"> </w:t>
      </w:r>
      <w:r>
        <w:t xml:space="preserve">systemically important systems. In particular, it protects systems by disapplying certain</w:t>
      </w:r>
      <w:r>
        <w:t xml:space="preserve"> </w:t>
      </w:r>
      <w:r>
        <w:t xml:space="preserve">national insolvency rules, if a party to a transaction becomes insolvent. By doing so, the SFD</w:t>
      </w:r>
      <w:r>
        <w:t xml:space="preserve"> </w:t>
      </w:r>
      <w:r>
        <w:t xml:space="preserve">ensures that payments and security transfer orders become final (i.e. it ensures ‘settlement</w:t>
      </w:r>
      <w:r>
        <w:t xml:space="preserve"> </w:t>
      </w:r>
      <w:r>
        <w:t xml:space="preserve">finality’) and netting arrangements are enforceable, even if the instructing party becomes</w:t>
      </w:r>
      <w:r>
        <w:t xml:space="preserve"> </w:t>
      </w:r>
      <w:r>
        <w:t xml:space="preserve">insolvent. The SFD also protects collateral given by the insolvent party and clarifies which law</w:t>
      </w:r>
      <w:r>
        <w:t xml:space="preserve"> </w:t>
      </w:r>
      <w:r>
        <w:t xml:space="preserve">applies in certain cross-border situations. The SFD applies to systems designated by a Member</w:t>
      </w:r>
      <w:r>
        <w:t xml:space="preserve"> </w:t>
      </w:r>
      <w:r>
        <w:t xml:space="preserve">State. While the scope of the SFD is limited to systems governed by the law of a Member State,</w:t>
      </w:r>
    </w:p>
    <w:p>
      <w:pPr>
        <w:pStyle w:val="BodyText"/>
      </w:pPr>
      <w:r>
        <w:t xml:space="preserve">243 Proposal for a Regulation of the European Parliament and of the Council amending Regulation (EU) No</w:t>
      </w:r>
      <w:r>
        <w:t xml:space="preserve"> </w:t>
      </w:r>
      <w:r>
        <w:t xml:space="preserve">909/2014 as regards a shorter settlement cycle in the Union, COM/2025/38 final, 12.2.2025.</w:t>
      </w:r>
      <w:r>
        <w:t xml:space="preserve"> </w:t>
      </w:r>
      <w:r>
        <w:t xml:space="preserve">244 Regulation (EU) 2022/858 of the European Parliament and of the Council of 30 May 2022 on a pilot regime</w:t>
      </w:r>
      <w:r>
        <w:t xml:space="preserve"> </w:t>
      </w:r>
      <w:r>
        <w:t xml:space="preserve">for market infrastructures based on distributed ledger technology, and amending Regulations (EU) No 600/2014</w:t>
      </w:r>
      <w:r>
        <w:t xml:space="preserve"> </w:t>
      </w:r>
      <w:r>
        <w:t xml:space="preserve">and (EU) No 909/2014 and Directive 2014/65/EU.</w:t>
      </w:r>
      <w:r>
        <w:t xml:space="preserve"> </w:t>
      </w:r>
      <w:r>
        <w:t xml:space="preserve">245 See Sections 3.1.3 and 4.2.3 as well as Annex 10 on the DLT Pilot Regime.</w:t>
      </w:r>
      <w:r>
        <w:t xml:space="preserve"> </w:t>
      </w:r>
      <w:r>
        <w:t xml:space="preserve">246 TARGET2 is the real-time gross settlement system for payments owned and operated by the Eurosystem.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Member States may extend SFD-like protections, as described above, to domestic entities that</w:t>
      </w:r>
      <w:r>
        <w:t xml:space="preserve"> </w:t>
      </w:r>
      <w:r>
        <w:t xml:space="preserve">participate in third-country systems.247 Moreover, participation in SFD-designated systems</w:t>
      </w:r>
      <w:r>
        <w:br/>
      </w:r>
      <w:r>
        <w:t xml:space="preserve">is also limited (mainly to banks, investment firms and system operators248).</w:t>
      </w:r>
      <w:r>
        <w:t xml:space="preserve"> </w:t>
      </w:r>
      <w:r>
        <w:t xml:space="preserve">2.2.3. Financial Collateral Directive</w:t>
      </w:r>
      <w:r>
        <w:t xml:space="preserve"> </w:t>
      </w:r>
      <w:r>
        <w:t xml:space="preserve">The smooth and safe exchange of collateral is essential for the well-functioning and stability</w:t>
      </w:r>
      <w:r>
        <w:t xml:space="preserve"> </w:t>
      </w:r>
      <w:r>
        <w:t xml:space="preserve">of financial markets and the SIU. The FCD was adopted on 6 June 2002 and has been amended</w:t>
      </w:r>
      <w:r>
        <w:t xml:space="preserve"> </w:t>
      </w:r>
      <w:r>
        <w:t xml:space="preserve">three times since. It introduced a harmonised framework for the use of financial collateral</w:t>
      </w:r>
      <w:r>
        <w:br/>
      </w:r>
      <w:r>
        <w:t xml:space="preserve">to secure transactions and thus contributed to enhancing cross-border use of financial collateral.</w:t>
      </w:r>
      <w:r>
        <w:t xml:space="preserve"> </w:t>
      </w:r>
      <w:r>
        <w:t xml:space="preserve">The comprehensive approach introduced by the FCD was deemed necessary because of</w:t>
      </w:r>
      <w:r>
        <w:t xml:space="preserve"> </w:t>
      </w:r>
      <w:r>
        <w:t xml:space="preserve">divergent national rules applicable to financial collateral which were frequently impractical</w:t>
      </w:r>
      <w:r>
        <w:t xml:space="preserve"> </w:t>
      </w:r>
      <w:r>
        <w:t xml:space="preserve">and often opaque. Also, a clarification was introduced in the SFD249 which explicitly refers</w:t>
      </w:r>
      <w:r>
        <w:br/>
      </w:r>
      <w:r>
        <w:t xml:space="preserve">to the FCD when defining ‘collateral security’ and specifies that, without limitations, financial</w:t>
      </w:r>
      <w:r>
        <w:t xml:space="preserve"> </w:t>
      </w:r>
      <w:r>
        <w:t xml:space="preserve">collateral eligible under the FCD is eligible under the SFD as well.</w:t>
      </w:r>
      <w:r>
        <w:t xml:space="preserve"> </w:t>
      </w:r>
      <w:r>
        <w:t xml:space="preserve">The FCD does not aim to fully harmonise national laws applicable to financial collateral</w:t>
      </w:r>
      <w:r>
        <w:t xml:space="preserve"> </w:t>
      </w:r>
      <w:r>
        <w:t xml:space="preserve">arrangements. Rather, it aims to remove barriers to the timely cross-border creation</w:t>
      </w:r>
      <w:r>
        <w:br/>
      </w:r>
      <w:r>
        <w:t xml:space="preserve">and operation of such collateral arrangements. This aim is achieved by providing protection to</w:t>
      </w:r>
      <w:r>
        <w:t xml:space="preserve"> </w:t>
      </w:r>
      <w:r>
        <w:t xml:space="preserve">collateral takers notably by: (i) ensuring that financial collateral arrangements can be mobilised</w:t>
      </w:r>
      <w:r>
        <w:t xml:space="preserve"> </w:t>
      </w:r>
      <w:r>
        <w:t xml:space="preserve">and are usable without delay due to national formalities; (ii) ensuring close-out netting250</w:t>
      </w:r>
      <w:r>
        <w:t xml:space="preserve"> </w:t>
      </w:r>
      <w:r>
        <w:t xml:space="preserve">provisions are enforceable in accordance with their terms; and (iii) ring-fencing the operation</w:t>
      </w:r>
      <w:r>
        <w:t xml:space="preserve"> </w:t>
      </w:r>
      <w:r>
        <w:t xml:space="preserve">of financial collateral arrangements should one of the parties become insolvent.</w:t>
      </w:r>
      <w:r>
        <w:br/>
      </w:r>
      <w:r>
        <w:t xml:space="preserve">While these protections constitute exceptions to the principles of equal treatment of creditors</w:t>
      </w:r>
      <w:r>
        <w:t xml:space="preserve"> </w:t>
      </w:r>
      <w:r>
        <w:t xml:space="preserve">upon the opening of insolvency proceedings and universality of insolvency proceedings they</w:t>
      </w:r>
      <w:r>
        <w:t xml:space="preserve"> </w:t>
      </w:r>
      <w:r>
        <w:t xml:space="preserve">are needed to help to avoid systemic contagion risks throughout the EU.</w:t>
      </w:r>
      <w:r>
        <w:t xml:space="preserve"> </w:t>
      </w:r>
      <w:r>
        <w:t xml:space="preserve">2.3. THE ROLE OF CSDS</w:t>
      </w:r>
      <w:r>
        <w:t xml:space="preserve"> </w:t>
      </w:r>
      <w:r>
        <w:t xml:space="preserve">The three ‘core’ services under the CSDR are:</w:t>
      </w:r>
      <w:r>
        <w:br/>
      </w:r>
      <w:r>
        <w:t xml:space="preserve"> the ‘settlement service’: the operation of a securities settlement system through which</w:t>
      </w:r>
      <w:r>
        <w:t xml:space="preserve"> </w:t>
      </w:r>
      <w:r>
        <w:t xml:space="preserve">securities are delivered, or are exchanged against cash or other securities, between</w:t>
      </w:r>
      <w:r>
        <w:t xml:space="preserve"> </w:t>
      </w:r>
      <w:r>
        <w:t xml:space="preserve">buyer and sellers (via participants to the securities settlement system);</w:t>
      </w:r>
      <w:r>
        <w:br/>
      </w:r>
      <w:r>
        <w:t xml:space="preserve"> the ‘notary service’: initial recording of securities in a book-entry system;251</w:t>
      </w:r>
    </w:p>
    <w:p>
      <w:pPr>
        <w:pStyle w:val="BodyText"/>
      </w:pPr>
      <w:r>
        <w:t xml:space="preserve">247 For more details see Recital 7 of the SFD as well as Section 3.2.9 of this annex.</w:t>
      </w:r>
      <w:r>
        <w:t xml:space="preserve"> </w:t>
      </w:r>
      <w:r>
        <w:t xml:space="preserve">248 For more details see Article 2, point (f), of the SFD and Section 3.2.9 of this annex.</w:t>
      </w:r>
      <w:r>
        <w:t xml:space="preserve"> </w:t>
      </w:r>
      <w:r>
        <w:t xml:space="preserve">249 This was introduced in 2009 by Directive 2009/44/EC of the European Parliament and of the Council of 6 May</w:t>
      </w:r>
      <w:r>
        <w:t xml:space="preserve"> </w:t>
      </w:r>
      <w:r>
        <w:t xml:space="preserve">2009 amending Directive 98/26/EC on settlement finality in payment and securities settlement systems and</w:t>
      </w:r>
      <w:r>
        <w:t xml:space="preserve"> </w:t>
      </w:r>
      <w:r>
        <w:t xml:space="preserve">Directive 2002/47/EC on financial collateral arrangements as regards linked systems and credit claims (Text with</w:t>
      </w:r>
      <w:r>
        <w:t xml:space="preserve"> </w:t>
      </w:r>
      <w:r>
        <w:t xml:space="preserve">EEA relevance, OJ L 146, 10.6.2009, pp. 37–43.</w:t>
      </w:r>
      <w:r>
        <w:t xml:space="preserve"> </w:t>
      </w:r>
      <w:r>
        <w:t xml:space="preserve">250 Close-out netting is an arrangement commonly used in financial markets, to set off and replace all agreed but</w:t>
      </w:r>
      <w:r>
        <w:t xml:space="preserve"> </w:t>
      </w:r>
      <w:r>
        <w:t xml:space="preserve">not yet due liabilities and claims vis-à-vis a counterparty by one single claim/liability. It ordinarily covers</w:t>
      </w:r>
      <w:r>
        <w:t xml:space="preserve"> </w:t>
      </w:r>
      <w:r>
        <w:t xml:space="preserve">instances where a counterparty defaults or becomes insolvent.</w:t>
      </w:r>
      <w:r>
        <w:t xml:space="preserve"> </w:t>
      </w:r>
      <w:r>
        <w:t xml:space="preserve">251 A mechanism that enables firms to transfer assets (e.g. securities) without physically moving paper documents</w:t>
      </w:r>
      <w:r>
        <w:t xml:space="preserve"> </w:t>
      </w:r>
      <w:r>
        <w:t xml:space="preserve">or certificates. Bank for International Settlement, Committee on Payments and Market Infrastructures – Glossary,</w:t>
      </w:r>
      <w:r>
        <w:t xml:space="preserve"> </w:t>
      </w:r>
      <w:r>
        <w:t xml:space="preserve">https://www.bis.org/cpmi/glossary_030301.pdf .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 the ‘central maintenance service’ – maintaining securities accounts at the top tier</w:t>
      </w:r>
      <w:r>
        <w:t xml:space="preserve"> </w:t>
      </w:r>
      <w:r>
        <w:t xml:space="preserve">level.252</w:t>
      </w:r>
      <w:r>
        <w:t xml:space="preserve"> </w:t>
      </w:r>
      <w:r>
        <w:t xml:space="preserve">The CSDR defines253 a CSD as a legal person that operates a securities settlement system</w:t>
      </w:r>
      <w:r>
        <w:br/>
      </w:r>
      <w:r>
        <w:t xml:space="preserve">(i.e. provides a settlement service) and provides at least one other core service. Notary services</w:t>
      </w:r>
      <w:r>
        <w:t xml:space="preserve"> </w:t>
      </w:r>
      <w:r>
        <w:t xml:space="preserve">and central maintenance services are only operated by CSDs except for the cases where a</w:t>
      </w:r>
      <w:r>
        <w:t xml:space="preserve"> </w:t>
      </w:r>
      <w:r>
        <w:t xml:space="preserve">Member State specifically allows for other parties to do so. Settlement can also be undertaken</w:t>
      </w:r>
      <w:r>
        <w:t xml:space="preserve"> </w:t>
      </w:r>
      <w:r>
        <w:t xml:space="preserve">by settlement internalisers.254</w:t>
      </w:r>
      <w:r>
        <w:br/>
      </w:r>
      <w:r>
        <w:t xml:space="preserve">Settlement in CSDs is normally carried out electronically.255 To facilitate this, CSDs offer</w:t>
      </w:r>
      <w:r>
        <w:t xml:space="preserve"> </w:t>
      </w:r>
      <w:r>
        <w:t xml:space="preserve">holding securities centrally in book-entry (i.e. electronic) form. When securities are exchanged</w:t>
      </w:r>
      <w:r>
        <w:t xml:space="preserve"> </w:t>
      </w:r>
      <w:r>
        <w:t xml:space="preserve">against cash, CSDs offer a procedure known as delivery versus payment (DvP), which ensures</w:t>
      </w:r>
      <w:r>
        <w:t xml:space="preserve"> </w:t>
      </w:r>
      <w:r>
        <w:t xml:space="preserve">that neither party ends up with both the securities and the cash, and the other party with nothing.</w:t>
      </w:r>
      <w:r>
        <w:t xml:space="preserve"> </w:t>
      </w:r>
      <w:r>
        <w:t xml:space="preserve">To allow for cross-border settlement, CSDs will often have links with other CSDs. Cross-</w:t>
      </w:r>
      <w:r>
        <w:t xml:space="preserve"> </w:t>
      </w:r>
      <w:r>
        <w:t xml:space="preserve">border securities settlement is sometimes complex, involving at least two CSDs and multiple</w:t>
      </w:r>
      <w:r>
        <w:t xml:space="preserve"> </w:t>
      </w:r>
      <w:r>
        <w:t xml:space="preserve">intermediaries.256</w:t>
      </w:r>
      <w:r>
        <w:br/>
      </w:r>
      <w:r>
        <w:t xml:space="preserve">CSDs also play a crucial role in the initial recording of newly issued securities (notary service).</w:t>
      </w:r>
      <w:r>
        <w:t xml:space="preserve"> </w:t>
      </w:r>
      <w:r>
        <w:t xml:space="preserve">The initial recording generally occurs at the same time as the initial issuance of the securities</w:t>
      </w:r>
      <w:r>
        <w:t xml:space="preserve"> </w:t>
      </w:r>
      <w:r>
        <w:t xml:space="preserve">by the issuer. Once created, securities are usually recorded and deposited in a single CSD,</w:t>
      </w:r>
      <w:r>
        <w:t xml:space="preserve"> </w:t>
      </w:r>
      <w:r>
        <w:t xml:space="preserve">called the ‘issuer CSD’. The notary service is essential as it ensures that there are not more</w:t>
      </w:r>
      <w:r>
        <w:t xml:space="preserve"> </w:t>
      </w:r>
      <w:r>
        <w:t xml:space="preserve">securities circulating than were actually issued and entered in the issuer CSD’s account (i.e. </w:t>
      </w:r>
      <w:r>
        <w:t xml:space="preserve"> </w:t>
      </w:r>
      <w:r>
        <w:t xml:space="preserve">they ensure the integrity of the issue).</w:t>
      </w:r>
      <w:r>
        <w:t xml:space="preserve"> </w:t>
      </w:r>
      <w:r>
        <w:t xml:space="preserve">Finally, CSDs ensure the maintenance of securities accounts that record how many securities</w:t>
      </w:r>
      <w:r>
        <w:t xml:space="preserve"> </w:t>
      </w:r>
      <w:r>
        <w:t xml:space="preserve">have been issued by whom and each change in who holds those securities. Securities accounts</w:t>
      </w:r>
      <w:r>
        <w:t xml:space="preserve"> </w:t>
      </w:r>
      <w:r>
        <w:t xml:space="preserve">are closely linked to the key mission of CSDs, which is to ensure - through their position at the</w:t>
      </w:r>
      <w:r>
        <w:t xml:space="preserve"> </w:t>
      </w:r>
      <w:r>
        <w:t xml:space="preserve">top of the holding chain257 - that no more securities are settled than were actually issued.</w:t>
      </w:r>
      <w:r>
        <w:br/>
      </w:r>
      <w:r>
        <w:t xml:space="preserve">CSDs play a crucial role for the financing of the economy. Apart from the issuance process,</w:t>
      </w:r>
      <w:r>
        <w:t xml:space="preserve"> </w:t>
      </w:r>
      <w:r>
        <w:t xml:space="preserve">securities posted as collateral by non-financial companies, banks and other financial</w:t>
      </w:r>
      <w:r>
        <w:t xml:space="preserve"> </w:t>
      </w:r>
      <w:r>
        <w:t xml:space="preserve">institutions in financing transactions flows through securities settlement systems operated by</w:t>
      </w:r>
      <w:r>
        <w:t xml:space="preserve"> </w:t>
      </w:r>
      <w:r>
        <w:t xml:space="preserve">CSDs. CSDs also play an essential role for the implementation of monetary policy by central</w:t>
      </w:r>
      <w:r>
        <w:t xml:space="preserve"> </w:t>
      </w:r>
      <w:r>
        <w:t xml:space="preserve">banks as they settle securities provided as collateral in central bank monetary policy operations.</w:t>
      </w:r>
      <w:r>
        <w:t xml:space="preserve"> </w:t>
      </w:r>
      <w:r>
        <w:t xml:space="preserve">In addition to their core services, some CSDs provide non-banking ancillary services,258 such</w:t>
      </w:r>
      <w:r>
        <w:t xml:space="preserve"> </w:t>
      </w:r>
      <w:r>
        <w:t xml:space="preserve">as collateral management services, maintaining shareholder registers or supporting corporate</w:t>
      </w:r>
      <w:r>
        <w:t xml:space="preserve"> </w:t>
      </w:r>
      <w:r>
        <w:t xml:space="preserve">actions,259 that contribute to enhancing the safety, efficiency and transparency of securities</w:t>
      </w:r>
    </w:p>
    <w:p>
      <w:pPr>
        <w:pStyle w:val="BodyText"/>
      </w:pPr>
      <w:r>
        <w:t xml:space="preserve">252 This allows CSDs to track all holdings, i.e. who owns it, in a given financial instrument, by a CSD participant,</w:t>
      </w:r>
      <w:r>
        <w:t xml:space="preserve"> </w:t>
      </w:r>
      <w:r>
        <w:t xml:space="preserve">are ultimately kept in a securities account at the CSD.</w:t>
      </w:r>
      <w:r>
        <w:t xml:space="preserve"> </w:t>
      </w:r>
      <w:r>
        <w:t xml:space="preserve">253 Article 2(1) of CSDR.</w:t>
      </w:r>
      <w:r>
        <w:t xml:space="preserve"> </w:t>
      </w:r>
      <w:r>
        <w:t xml:space="preserve">254 See Section 2.4.2.3, provision of cross-border CSD-services.</w:t>
      </w:r>
      <w:r>
        <w:t xml:space="preserve"> </w:t>
      </w:r>
      <w:r>
        <w:t xml:space="preserve">255 Physical settlement is also possible and is still used for securities that are held in physical form, although this</w:t>
      </w:r>
      <w:r>
        <w:t xml:space="preserve"> </w:t>
      </w:r>
      <w:r>
        <w:t xml:space="preserve">form of settlement is rare nowadays.</w:t>
      </w:r>
      <w:r>
        <w:t xml:space="preserve"> </w:t>
      </w:r>
      <w:r>
        <w:t xml:space="preserve">256 “Post-trade explained – The role of post-trade services in the financial sector”, Association for Financial</w:t>
      </w:r>
      <w:r>
        <w:t xml:space="preserve"> </w:t>
      </w:r>
      <w:r>
        <w:t xml:space="preserve">Markets in Europe, February 2015.</w:t>
      </w:r>
      <w:r>
        <w:t xml:space="preserve"> </w:t>
      </w:r>
      <w:r>
        <w:t xml:space="preserve">257 All tradeable securities are held on the books of various intermediaries, between the ultimate owner and the</w:t>
      </w:r>
      <w:r>
        <w:t xml:space="preserve"> </w:t>
      </w:r>
      <w:r>
        <w:t xml:space="preserve">CSD, creating a security holding chain.</w:t>
      </w:r>
      <w:r>
        <w:br/>
      </w:r>
      <w:r>
        <w:t xml:space="preserve">258 For a non-exhaustive of ancillary services provided by CSD’s list see Section B of the Annex to the CSDR.</w:t>
      </w:r>
      <w:r>
        <w:t xml:space="preserve"> </w:t>
      </w:r>
      <w:r>
        <w:t xml:space="preserve">259 A corporate action is an event initiated by a public company that brings or could bring an actual change to the</w:t>
      </w:r>
      <w:r>
        <w:t xml:space="preserve"> </w:t>
      </w:r>
      <w:r>
        <w:t xml:space="preserve">securities - equity or debt - issued by the company, such as stock splits, mergers and dividend or coupon payments.</w:t>
      </w:r>
      <w:r>
        <w:t xml:space="preserve"> </w:t>
      </w:r>
      <w:r>
        <w:t xml:space="preserve">The role of a CSD is to inform its participants holding the respective share or bond in custody about the upcoming</w:t>
      </w:r>
      <w:r>
        <w:t xml:space="preserve"> </w:t>
      </w:r>
      <w:r>
        <w:t xml:space="preserve">corporate action.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markets. These services do not expose CSDs to credit or liquidity risk. The CSDR also allows</w:t>
      </w:r>
      <w:r>
        <w:t xml:space="preserve"> </w:t>
      </w:r>
      <w:r>
        <w:t xml:space="preserve">CSDs to provide banking-type ancillary services260 related to core or ancillary services, i.e. </w:t>
      </w:r>
      <w:r>
        <w:t xml:space="preserve"> </w:t>
      </w:r>
      <w:r>
        <w:t xml:space="preserve">providing cash accounts and accepting deposits from participants to a securities settlement</w:t>
      </w:r>
      <w:r>
        <w:t xml:space="preserve"> </w:t>
      </w:r>
      <w:r>
        <w:t xml:space="preserve">system, providing cash credit, guarantees and commitments or payment services.</w:t>
      </w:r>
      <w:r>
        <w:br/>
      </w:r>
      <w:r>
        <w:t xml:space="preserve">These services expose CSDs to credit or liquidity risk.</w:t>
      </w:r>
      <w:r>
        <w:t xml:space="preserve"> </w:t>
      </w:r>
      <w:r>
        <w:t xml:space="preserve">Given the importance of CSDs as financial market infrastructures they are required to designate</w:t>
      </w:r>
      <w:r>
        <w:t xml:space="preserve"> </w:t>
      </w:r>
      <w:r>
        <w:t xml:space="preserve">the securities settlement systems they operate under the SFD in order to enhance financial</w:t>
      </w:r>
      <w:r>
        <w:t xml:space="preserve"> </w:t>
      </w:r>
      <w:r>
        <w:t xml:space="preserve">market stability.</w:t>
      </w:r>
      <w:r>
        <w:br/>
      </w:r>
      <w:r>
        <w:t xml:space="preserve">2.4. CSDS IN THE EUROPEAN UNION</w:t>
      </w:r>
      <w:r>
        <w:t xml:space="preserve"> </w:t>
      </w:r>
      <w:r>
        <w:t xml:space="preserve">2.4.1. Market structure</w:t>
      </w:r>
      <w:r>
        <w:t xml:space="preserve"> </w:t>
      </w:r>
      <w:r>
        <w:t xml:space="preserve">Historically, CSDs were established along national lines to provide a local venue for the</w:t>
      </w:r>
      <w:r>
        <w:t xml:space="preserve"> </w:t>
      </w:r>
      <w:r>
        <w:t xml:space="preserve">issuance and settlement of securities. Today, this fragmentation remains with 25 CSDs</w:t>
      </w:r>
      <w:r>
        <w:t xml:space="preserve"> </w:t>
      </w:r>
      <w:r>
        <w:t xml:space="preserve">currently authorised in the EU under Article 16 of the CSDR.261 With the addition of the</w:t>
      </w:r>
      <w:r>
        <w:t xml:space="preserve"> </w:t>
      </w:r>
      <w:r>
        <w:t xml:space="preserve">Icelandic and Norwegian CSDs, 27 CSDs operate in the EEA. In contrast, the US market is</w:t>
      </w:r>
      <w:r>
        <w:t xml:space="preserve"> </w:t>
      </w:r>
      <w:r>
        <w:t xml:space="preserve">more concentrated and specialised with 2 CSDs. 262</w:t>
      </w:r>
      <w:r>
        <w:t xml:space="preserve"> </w:t>
      </w:r>
      <w:r>
        <w:t xml:space="preserve">Of the 25 EU CSDs, two are international CSDs (ICSDs): Clearstream Banking in Luxembourg</w:t>
      </w:r>
      <w:r>
        <w:t xml:space="preserve"> </w:t>
      </w:r>
      <w:r>
        <w:t xml:space="preserve">and Euroclear Bank in Belgium. ICSDs settle trades in international and domestic securities,</w:t>
      </w:r>
      <w:r>
        <w:t xml:space="preserve"> </w:t>
      </w:r>
      <w:r>
        <w:t xml:space="preserve">usually through direct and indirect links (i.e. through agents established in local markets) with</w:t>
      </w:r>
      <w:r>
        <w:t xml:space="preserve"> </w:t>
      </w:r>
      <w:r>
        <w:t xml:space="preserve">other CSDs. Originally, ICSDs focused on settling securities transactions denominated in</w:t>
      </w:r>
      <w:r>
        <w:t xml:space="preserve"> </w:t>
      </w:r>
      <w:r>
        <w:t xml:space="preserve">currencies from countries other than the country in which the issuer is based263 and CSDs</w:t>
      </w:r>
      <w:r>
        <w:t xml:space="preserve"> </w:t>
      </w:r>
      <w:r>
        <w:t xml:space="preserve">focused on national markets. Today, the settlement activities of ICSDs and CSDs are more</w:t>
      </w:r>
      <w:r>
        <w:t xml:space="preserve"> </w:t>
      </w:r>
      <w:r>
        <w:t xml:space="preserve">similar and there are no differences in legal status or requirements applying to ICSDs and</w:t>
      </w:r>
      <w:r>
        <w:t xml:space="preserve"> </w:t>
      </w:r>
      <w:r>
        <w:t xml:space="preserve">CSDs.[1] Thus, the term ‘ICSD’ denotes a business strategy (scope of services) rather than</w:t>
      </w:r>
      <w:r>
        <w:t xml:space="preserve"> </w:t>
      </w:r>
      <w:r>
        <w:t xml:space="preserve">legal or regulatory difference. From a regulatory standpoint Clearstream Banking Luxembourg</w:t>
      </w:r>
      <w:r>
        <w:t xml:space="preserve"> </w:t>
      </w:r>
      <w:r>
        <w:t xml:space="preserve">is a CSD established in Luxembourg and Euroclear Bank is a CSD established in Belgium.264</w:t>
      </w:r>
      <w:r>
        <w:br/>
      </w:r>
      <w:r>
        <w:t xml:space="preserve">CSDs operate different business models, depending on the core and ancillary services they</w:t>
      </w:r>
      <w:r>
        <w:t xml:space="preserve"> </w:t>
      </w:r>
      <w:r>
        <w:t xml:space="preserve">provide. To settle trades in international and domestic currencies, five CSDs265, including the</w:t>
      </w:r>
      <w:r>
        <w:t xml:space="preserve"> </w:t>
      </w:r>
      <w:r>
        <w:t xml:space="preserve">two ICSDs, are authorised to provide ancillary banking services. All EU CSDs authorised under</w:t>
      </w:r>
      <w:r>
        <w:t xml:space="preserve"> </w:t>
      </w:r>
      <w:r>
        <w:t xml:space="preserve">the CSDR settle equities transactions and corporate debt. A significant majority of CSDs settle</w:t>
      </w:r>
      <w:r>
        <w:t xml:space="preserve"> </w:t>
      </w:r>
      <w:r>
        <w:t xml:space="preserve">government debt.266 EU CSDs have a variety of corporate structures and ownership models.</w:t>
      </w:r>
    </w:p>
    <w:p>
      <w:pPr>
        <w:pStyle w:val="BodyText"/>
      </w:pPr>
      <w:r>
        <w:t xml:space="preserve">260 For an exhaustive list see Section C of the Annex to the CSDR.</w:t>
      </w:r>
      <w:r>
        <w:t xml:space="preserve"> </w:t>
      </w:r>
      <w:r>
        <w:t xml:space="preserve">261 ESMA CSD Register, https://www.esma.europa.eu/sites/default/files/library/esma70-155-11635_csds_register_-</w:t>
      </w:r>
      <w:r>
        <w:t xml:space="preserve"> </w:t>
      </w:r>
      <w:r>
        <w:t xml:space="preserve">_art_21.pdf , ESMA70-155-11635. Please note that in addition to the 25 authorised CSDs, there are 7 CSDs that</w:t>
      </w:r>
      <w:r>
        <w:t xml:space="preserve"> </w:t>
      </w:r>
      <w:r>
        <w:t xml:space="preserve">are exempted from the authorisation and supervision requirements under the CSDR, in accordance with Article</w:t>
      </w:r>
      <w:r>
        <w:t xml:space="preserve"> </w:t>
      </w:r>
      <w:r>
        <w:t xml:space="preserve">1(4) thereof: 6 of them are operated by central banks while one is a public body charged with or intervening in</w:t>
      </w:r>
      <w:r>
        <w:t xml:space="preserve"> </w:t>
      </w:r>
      <w:r>
        <w:t xml:space="preserve">the management of the public debt.</w:t>
      </w:r>
      <w:r>
        <w:t xml:space="preserve"> </w:t>
      </w:r>
      <w:r>
        <w:t xml:space="preserve">262 In the US corporate bonds and equities are settled through the Depository Trust and Clearing Corporation</w:t>
      </w:r>
      <w:r>
        <w:t xml:space="preserve"> </w:t>
      </w:r>
      <w:r>
        <w:t xml:space="preserve">(DTCC) while government securities and related entities are settled through Fedwire Securities Service, which is</w:t>
      </w:r>
      <w:r>
        <w:t xml:space="preserve"> </w:t>
      </w:r>
      <w:r>
        <w:t xml:space="preserve">operated by the Federal Reserve System.</w:t>
      </w:r>
      <w:r>
        <w:t xml:space="preserve"> </w:t>
      </w:r>
      <w:r>
        <w:t xml:space="preserve">263 ICSDs were established to serve the Eurobond market – that is, bonds issued by corporate issuers for</w:t>
      </w:r>
      <w:r>
        <w:t xml:space="preserve"> </w:t>
      </w:r>
      <w:r>
        <w:t xml:space="preserve">international investors, typically in a non-domestic currency.</w:t>
      </w:r>
      <w:r>
        <w:br/>
      </w:r>
      <w:r>
        <w:t xml:space="preserve">264 See ECSDA FAQ: Frequently Asked Questions - ECSDA.</w:t>
      </w:r>
      <w:r>
        <w:t xml:space="preserve"> </w:t>
      </w:r>
      <w:r>
        <w:t xml:space="preserve">265 KELER Central Depository Ltd, OeKB CSD GmbH, Clearstream Banking AG, Clearstream Banking S.A and</w:t>
      </w:r>
      <w:r>
        <w:t xml:space="preserve"> </w:t>
      </w:r>
      <w:r>
        <w:t xml:space="preserve">Euroclear Bank.</w:t>
      </w:r>
      <w:r>
        <w:t xml:space="preserve"> </w:t>
      </w:r>
      <w:r>
        <w:t xml:space="preserve">266 European Central Securities Depositories Association (ECSDA) Members Database 2023. Source:</w:t>
      </w:r>
      <w:r>
        <w:t xml:space="preserve"> </w:t>
      </w:r>
      <w:r>
        <w:t xml:space="preserve">https://ecsda.eu/ecsda-members-database-2023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Only the Croatian, Cypriot and Maltese CSDs are majority owned by the national government,</w:t>
      </w:r>
      <w:r>
        <w:t xml:space="preserve"> </w:t>
      </w:r>
      <w:r>
        <w:t xml:space="preserve">while in Hungary the central bank is the majority owner. In the case of other EU CSDs,</w:t>
      </w:r>
      <w:r>
        <w:t xml:space="preserve"> </w:t>
      </w:r>
      <w:r>
        <w:t xml:space="preserve">shareholders include stock exchanges, banks, national governments, central banks and other</w:t>
      </w:r>
      <w:r>
        <w:t xml:space="preserve"> </w:t>
      </w:r>
      <w:r>
        <w:t xml:space="preserve">private institutions.267</w:t>
      </w:r>
      <w:r>
        <w:br/>
      </w:r>
      <w:r>
        <w:t xml:space="preserve">There are indications268,269 that EU market infrastructures enjoy stable market conditions, with</w:t>
      </w:r>
      <w:r>
        <w:t xml:space="preserve"> </w:t>
      </w:r>
      <w:r>
        <w:t xml:space="preserve">high margins, high barriers to entry (for regulated activities) and switching costs for users270 as</w:t>
      </w:r>
      <w:r>
        <w:t xml:space="preserve"> </w:t>
      </w:r>
      <w:r>
        <w:t xml:space="preserve">well as countercyclical features which provide for a robust business model, in particular in the</w:t>
      </w:r>
      <w:r>
        <w:t xml:space="preserve"> </w:t>
      </w:r>
      <w:r>
        <w:t xml:space="preserve">case of ICSDs.271 With few exceptions, CSDs are profit-making entities.272</w:t>
      </w:r>
      <w:r>
        <w:t xml:space="preserve"> </w:t>
      </w:r>
      <w:r>
        <w:t xml:space="preserve">2.4.2. Growing settlement market</w:t>
      </w:r>
      <w:r>
        <w:t xml:space="preserve"> </w:t>
      </w:r>
      <w:r>
        <w:t xml:space="preserve">EU CSDs serve a large securities market. As of end-2024, EU securities were traded on</w:t>
      </w:r>
      <w:r>
        <w:t xml:space="preserve"> </w:t>
      </w:r>
      <w:r>
        <w:t xml:space="preserve">314 trading venues,273 including 119 regulated markets, 30 organised trading facilities and 170</w:t>
      </w:r>
      <w:r>
        <w:t xml:space="preserve"> </w:t>
      </w:r>
      <w:r>
        <w:t xml:space="preserve">multilateral trading facilities. At that point in time, 189 974 equity instruments274 were</w:t>
      </w:r>
      <w:r>
        <w:t xml:space="preserve"> </w:t>
      </w:r>
      <w:r>
        <w:t xml:space="preserve">available for trading in the EU. Close to 130 000 bonds were available for trading in the EU.</w:t>
      </w:r>
      <w:r>
        <w:br/>
      </w:r>
      <w:r>
        <w:t xml:space="preserve">EU CSDs serve the growing EU capital market by handling increasing amounts of trading.</w:t>
      </w:r>
      <w:r>
        <w:br/>
      </w:r>
      <w:r>
        <w:t xml:space="preserve">In 2024, EU CSDs handled approximately 606 million delivery instructions worth over</w:t>
      </w:r>
      <w:r>
        <w:t xml:space="preserve"> </w:t>
      </w:r>
      <w:r>
        <w:t xml:space="preserve">EUR 70 trillion of securities and representing a total turnover of almost EUR 1 690 trillion. In</w:t>
      </w:r>
      <w:r>
        <w:t xml:space="preserve"> </w:t>
      </w:r>
      <w:r>
        <w:t xml:space="preserve">2020, EUR 56 trillion worth of securities were held in EU securities settlement systems, which</w:t>
      </w:r>
      <w:r>
        <w:t xml:space="preserve"> </w:t>
      </w:r>
      <w:r>
        <w:t xml:space="preserve">handled over 506 million delivery instructions for a total of turnover of over EUR 1</w:t>
      </w:r>
      <w:r>
        <w:t xml:space="preserve"> </w:t>
      </w:r>
      <w:r>
        <w:t xml:space="preserve">349 trillion. This is a growth of 25% in value of securities held, 20% in number of delivery</w:t>
      </w:r>
      <w:r>
        <w:t xml:space="preserve"> </w:t>
      </w:r>
      <w:r>
        <w:t xml:space="preserve">instructions and 25% in turnover in the period between 2020 and 2024.275 While the size of EU</w:t>
      </w:r>
      <w:r>
        <w:t xml:space="preserve"> </w:t>
      </w:r>
      <w:r>
        <w:t xml:space="preserve">capital market has grown significantly as illustrated previously, it should be noted that it</w:t>
      </w:r>
      <w:r>
        <w:t xml:space="preserve"> </w:t>
      </w:r>
      <w:r>
        <w:t xml:space="preserve">represents a constantly decreasing share of global capital markets; in 2009, the EU represented</w:t>
      </w:r>
      <w:r>
        <w:t xml:space="preserve"> </w:t>
      </w:r>
      <w:r>
        <w:t xml:space="preserve">17% of global markets but only 11% in 2022.276</w:t>
      </w:r>
    </w:p>
    <w:p>
      <w:pPr>
        <w:pStyle w:val="BodyText"/>
      </w:pPr>
      <w:r>
        <w:t xml:space="preserve">267 European Central Securities Depositories Association (ECSDA) Members Database 2023. Source:</w:t>
      </w:r>
      <w:r>
        <w:t xml:space="preserve"> </w:t>
      </w:r>
      <w:r>
        <w:t xml:space="preserve">https://ecsda.eu/ecsda-members-database-2023</w:t>
      </w:r>
      <w:r>
        <w:t xml:space="preserve"> </w:t>
      </w:r>
      <w:r>
        <w:t xml:space="preserve">268 “Financial Market Infrastructure Sector View 2025”, S&amp;P Global Ratings, 27 January 2025.</w:t>
      </w:r>
      <w:r>
        <w:t xml:space="preserve"> </w:t>
      </w:r>
      <w:r>
        <w:t xml:space="preserve">269 “Analysis of CSD fees in major European markets”, AFME, October 2025.</w:t>
      </w:r>
      <w:r>
        <w:t xml:space="preserve"> </w:t>
      </w:r>
      <w:r>
        <w:t xml:space="preserve">270 For users, the costs of repositioning cash and securities between CSDs point to the benefit of consolidating</w:t>
      </w:r>
      <w:r>
        <w:t xml:space="preserve"> </w:t>
      </w:r>
      <w:r>
        <w:t xml:space="preserve">each security in a single CSD. Source: “Study on consolidation and reducing fragmentation in trading and post-</w:t>
      </w:r>
      <w:r>
        <w:t xml:space="preserve"> </w:t>
      </w:r>
      <w:r>
        <w:t xml:space="preserve">trading infrastructures in Europe”, Final Report, Bourse Consult &amp; Civitta, September 2025 (forthcoming).</w:t>
      </w:r>
      <w:r>
        <w:t xml:space="preserve"> </w:t>
      </w:r>
      <w:r>
        <w:t xml:space="preserve">271 Global Financial Market Infrastructure Companies Outlook 2025, Outlook Report, Fitch Ratings, 02 December</w:t>
      </w:r>
      <w:r>
        <w:t xml:space="preserve"> </w:t>
      </w:r>
      <w:r>
        <w:t xml:space="preserve">2024.</w:t>
      </w:r>
      <w:r>
        <w:t xml:space="preserve"> </w:t>
      </w:r>
      <w:r>
        <w:t xml:space="preserve">272 “Study on consolidation and reducing fragmentation in trading and post-trading infrastructures in Europe”,</w:t>
      </w:r>
      <w:r>
        <w:t xml:space="preserve"> </w:t>
      </w:r>
      <w:r>
        <w:t xml:space="preserve">Bourse Consult &amp; Civitta, 2025: https://op.europa.eu/en/publication/doi/10.2874/2649452 .</w:t>
      </w:r>
      <w:r>
        <w:t xml:space="preserve"> </w:t>
      </w:r>
      <w:r>
        <w:t xml:space="preserve">273 A trading venue includes Regulated Markets, Multilateral Trading Facilities and Organised Trading Facilities.</w:t>
      </w:r>
      <w:r>
        <w:t xml:space="preserve"> </w:t>
      </w:r>
      <w:r>
        <w:t xml:space="preserve">MiFID dashboard 2024.</w:t>
      </w:r>
      <w:r>
        <w:t xml:space="preserve"> </w:t>
      </w:r>
      <w:r>
        <w:t xml:space="preserve">274 MiFID dashboard 2024.</w:t>
      </w:r>
      <w:r>
        <w:t xml:space="preserve"> </w:t>
      </w:r>
      <w:r>
        <w:t xml:space="preserve">275 For comparison, the value of securities held by the UK CSD (Euroclear UK &amp; International) fell by 8%, from</w:t>
      </w:r>
      <w:r>
        <w:t xml:space="preserve"> </w:t>
      </w:r>
      <w:r>
        <w:t xml:space="preserve">EUR 6 257 billion in 2019 to EUR 5 783 billion in 2023. The value of delivery instructions also fell, by 4%, from</w:t>
      </w:r>
      <w:r>
        <w:t xml:space="preserve"> </w:t>
      </w:r>
      <w:r>
        <w:t xml:space="preserve">EUR 361 323 billion in 2019 to EUR 348 606 billion in 2023. In the US, the value of securities held by the two</w:t>
      </w:r>
      <w:r>
        <w:t xml:space="preserve"> </w:t>
      </w:r>
      <w:r>
        <w:t xml:space="preserve">CSDs (DTC and Fedwire Securities Service) rose by 25%, from EUR 130 083 billion in 2019 to EUR 167 054</w:t>
      </w:r>
      <w:r>
        <w:t xml:space="preserve"> </w:t>
      </w:r>
      <w:r>
        <w:t xml:space="preserve">billion in 2023, the number of delivery instructions processed increased by 45%, from 578 822 000 in 2019 to</w:t>
      </w:r>
      <w:r>
        <w:t xml:space="preserve"> </w:t>
      </w:r>
      <w:r>
        <w:t xml:space="preserve">842 345 000 in 2023 (+45%), and the value of instructions processed increased by 88%, from EUR 497 trillion in</w:t>
      </w:r>
      <w:r>
        <w:t xml:space="preserve"> </w:t>
      </w:r>
      <w:r>
        <w:t xml:space="preserve">2019 to EUR 938 trillion in 2023. Source: Bank for International Settlement, Red Book Statistics, Payment and</w:t>
      </w:r>
      <w:r>
        <w:t xml:space="preserve"> </w:t>
      </w:r>
      <w:r>
        <w:t xml:space="preserve">financial market infrastructures. BIS data converted at fixed exchange rate.</w:t>
      </w:r>
      <w:r>
        <w:br/>
      </w:r>
      <w:r>
        <w:t xml:space="preserve">276 See https://www.sifma.org/resources/research/statistics/research-quarterly-equity-and-related/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Despite the large number of CSDs operating in the EU, in 2024 the four277 largest CSDs held</w:t>
      </w:r>
      <w:r>
        <w:t xml:space="preserve"> </w:t>
      </w:r>
      <w:r>
        <w:t xml:space="preserve">over 75% of all securities held in EU CSDs.</w:t>
      </w:r>
      <w:r>
        <w:br/>
      </w:r>
      <w:r>
        <w:t xml:space="preserve">Consolidation of the sector</w:t>
      </w:r>
      <w:r>
        <w:t xml:space="preserve"> </w:t>
      </w:r>
      <w:r>
        <w:t xml:space="preserve">Although there are 25278 CSDs authorised under the CSDR to operate in the EU and most of</w:t>
      </w:r>
      <w:r>
        <w:t xml:space="preserve"> </w:t>
      </w:r>
      <w:r>
        <w:t xml:space="preserve">them remain organised along national lines, there has been some competition, integration and</w:t>
      </w:r>
      <w:r>
        <w:t xml:space="preserve"> </w:t>
      </w:r>
      <w:r>
        <w:t xml:space="preserve">consolidation in the sector, spurred by several factors, namely regulatory changes aimed</w:t>
      </w:r>
      <w:r>
        <w:br/>
      </w:r>
      <w:r>
        <w:t xml:space="preserve">at facilitating cross-border activity, as well as economies of scale and scope.</w:t>
      </w:r>
      <w:r>
        <w:br/>
      </w:r>
      <w:r>
        <w:t xml:space="preserve">Economies of scope may be achieved by consolidating service providers along the value chain</w:t>
      </w:r>
      <w:r>
        <w:t xml:space="preserve"> </w:t>
      </w:r>
      <w:r>
        <w:t xml:space="preserve">of securities transactions, i.e. by combining trading, clearing and settlement into one</w:t>
      </w:r>
      <w:r>
        <w:t xml:space="preserve"> </w:t>
      </w:r>
      <w:r>
        <w:t xml:space="preserve">conglomerate. In the last 25 years, consolidation between CCPs, CSDs and stock exchanges</w:t>
      </w:r>
      <w:r>
        <w:t xml:space="preserve"> </w:t>
      </w:r>
      <w:r>
        <w:t xml:space="preserve">has created EU financial market infrastructure conglomerates. For example, the merger</w:t>
      </w:r>
      <w:r>
        <w:t xml:space="preserve"> </w:t>
      </w:r>
      <w:r>
        <w:t xml:space="preserve">between Cedel International and Deutsche Börse Clearing in 2000 led to the formation of</w:t>
      </w:r>
      <w:r>
        <w:t xml:space="preserve"> </w:t>
      </w:r>
      <w:r>
        <w:t xml:space="preserve">Clearstream. The latter is part of Deutsche Börse Group, which now operates three (I)CSDs</w:t>
      </w:r>
      <w:r>
        <w:t xml:space="preserve"> </w:t>
      </w:r>
      <w:r>
        <w:t xml:space="preserve">(Clearstream Banking SA, Clearstream Banking AG and LuxCSD), several CCPs and several</w:t>
      </w:r>
      <w:r>
        <w:t xml:space="preserve"> </w:t>
      </w:r>
      <w:r>
        <w:t xml:space="preserve">exchanges. Similarly, through acquisitions of the Lisbon Stock Exchange in 2002, of Oslo Børs</w:t>
      </w:r>
      <w:r>
        <w:t xml:space="preserve"> </w:t>
      </w:r>
      <w:r>
        <w:t xml:space="preserve">in 2019, of VP Securities (the Danish CSD) in 2020 and of Borsa Italiana in 2021, Euronext</w:t>
      </w:r>
      <w:r>
        <w:t xml:space="preserve"> </w:t>
      </w:r>
      <w:r>
        <w:t xml:space="preserve">now operates exchanges in seven EEA countries, a CCP (Euronext Clearing) and four CSDs</w:t>
      </w:r>
      <w:r>
        <w:t xml:space="preserve"> </w:t>
      </w:r>
      <w:r>
        <w:t xml:space="preserve">under the Euronext Securities umbrella (in Denmark, Italy, Norway and Portugal).279 In March</w:t>
      </w:r>
      <w:r>
        <w:t xml:space="preserve"> </w:t>
      </w:r>
      <w:r>
        <w:t xml:space="preserve">2025, Euronext announced that Euronext Securities Milan would become the CSD for the</w:t>
      </w:r>
      <w:r>
        <w:t xml:space="preserve"> </w:t>
      </w:r>
      <w:r>
        <w:t xml:space="preserve">settlement of Euronext Amsterdam, Brussels and Paris equity trades by the second semester of</w:t>
      </w:r>
      <w:r>
        <w:t xml:space="preserve"> </w:t>
      </w:r>
      <w:r>
        <w:t xml:space="preserve">2026.280 In July 2025, Euronext launched the acquisition of the Greek trade and post-trade</w:t>
      </w:r>
      <w:r>
        <w:t xml:space="preserve"> </w:t>
      </w:r>
      <w:r>
        <w:t xml:space="preserve">vertical silo, Athens Exchange Group (including the stock exchange, the CCP and the CSD).281</w:t>
      </w:r>
      <w:r>
        <w:t xml:space="preserve"> </w:t>
      </w:r>
      <w:r>
        <w:t xml:space="preserve">Lastly, Nasdaq Baltic operates stock exchanges in Estonia, Latvia and Lithuania while Nasdaq</w:t>
      </w:r>
      <w:r>
        <w:t xml:space="preserve"> </w:t>
      </w:r>
      <w:r>
        <w:t xml:space="preserve">CSD, being part of the same corporate group, provides post-trade services for the Baltic region</w:t>
      </w:r>
      <w:r>
        <w:t xml:space="preserve"> </w:t>
      </w:r>
      <w:r>
        <w:t xml:space="preserve">(and Iceland).</w:t>
      </w:r>
      <w:r>
        <w:t xml:space="preserve"> </w:t>
      </w:r>
      <w:r>
        <w:t xml:space="preserve">Euroclear Group has meanwhile pursued a strategy of horizontal consolidation by combining</w:t>
      </w:r>
      <w:r>
        <w:t xml:space="preserve"> </w:t>
      </w:r>
      <w:r>
        <w:t xml:space="preserve">an ICSD (Euroclear Bank) with 6 domestic CSDs (in Belgium, Finland, France, the</w:t>
      </w:r>
      <w:r>
        <w:t xml:space="preserve"> </w:t>
      </w:r>
      <w:r>
        <w:t xml:space="preserve">Netherlands, Sweden and the UK). Since 2009, Euroclear operates ESES, a common settlement</w:t>
      </w:r>
      <w:r>
        <w:t xml:space="preserve"> </w:t>
      </w:r>
      <w:r>
        <w:t xml:space="preserve">platform and single access point with harmonised rules and practices, for three of its CSDs:</w:t>
      </w:r>
      <w:r>
        <w:t xml:space="preserve"> </w:t>
      </w:r>
      <w:r>
        <w:t xml:space="preserve">Euroclear Belgium, Euroclear France and Euroclear Nederland. Despite this level of</w:t>
      </w:r>
      <w:r>
        <w:t xml:space="preserve"> </w:t>
      </w:r>
      <w:r>
        <w:t xml:space="preserve">integration, the three CSDs remain separate legal entities and maintain three securities</w:t>
      </w:r>
      <w:r>
        <w:t xml:space="preserve"> </w:t>
      </w:r>
      <w:r>
        <w:t xml:space="preserve">settlement systems to account for different laws in the respective Member States.</w:t>
      </w:r>
      <w:r>
        <w:br/>
      </w:r>
      <w:r>
        <w:t xml:space="preserve">As a result of this consolidation, several CSDs, particularly in Member States with the largest</w:t>
      </w:r>
      <w:r>
        <w:t xml:space="preserve"> </w:t>
      </w:r>
      <w:r>
        <w:t xml:space="preserve">settlement volumes, are now part of pan-European corporate groups. The three largest groups</w:t>
      </w:r>
      <w:r>
        <w:t xml:space="preserve"> </w:t>
      </w:r>
      <w:r>
        <w:t xml:space="preserve">(Euroclear, Euronext and Deutsche Börse) represent 96% of EU CSD settlement activity and</w:t>
      </w:r>
      <w:r>
        <w:t xml:space="preserve"> </w:t>
      </w:r>
      <w:r>
        <w:t xml:space="preserve">93% of assets under custody.282</w:t>
      </w:r>
    </w:p>
    <w:p>
      <w:pPr>
        <w:pStyle w:val="BodyText"/>
      </w:pPr>
      <w:r>
        <w:t xml:space="preserve">277 Euroclear Bank (28%), Clearstream Banking Frankfurt (18%), Clearstream Banking Luxembourg (15%) and</w:t>
      </w:r>
      <w:r>
        <w:t xml:space="preserve"> </w:t>
      </w:r>
      <w:r>
        <w:t xml:space="preserve">Euroclear France (14%).</w:t>
      </w:r>
      <w:r>
        <w:t xml:space="preserve"> </w:t>
      </w:r>
      <w:r>
        <w:t xml:space="preserve">278 Cf. footnote 47. This number does not include CSDs operated by a public body.</w:t>
      </w:r>
      <w:r>
        <w:br/>
      </w:r>
      <w:r>
        <w:t xml:space="preserve">279 Euronext has recently announced that its exchanges in Amsterdam, Brussels and Paris will designate Euronext</w:t>
      </w:r>
      <w:r>
        <w:t xml:space="preserve"> </w:t>
      </w:r>
      <w:r>
        <w:t xml:space="preserve">Securities as the CSD for the settlement of equity trades from September 2026. See “Euronext consolidates</w:t>
      </w:r>
      <w:r>
        <w:t xml:space="preserve"> </w:t>
      </w:r>
      <w:r>
        <w:t xml:space="preserve">settlement on its markets to improve European capital markets’ competitiveness”, Euronext Press Release, 12</w:t>
      </w:r>
      <w:r>
        <w:t xml:space="preserve"> </w:t>
      </w:r>
      <w:r>
        <w:t xml:space="preserve">March 2025.</w:t>
      </w:r>
      <w:r>
        <w:t xml:space="preserve"> </w:t>
      </w:r>
      <w:r>
        <w:t xml:space="preserve">280 Euronext consolidates settlement on its markets to improve European.</w:t>
      </w:r>
      <w:r>
        <w:t xml:space="preserve"> </w:t>
      </w:r>
      <w:r>
        <w:t xml:space="preserve">281 31072025_Euronext_PR_ATHEX announcement.pdf</w:t>
      </w:r>
      <w:r>
        <w:t xml:space="preserve"> </w:t>
      </w:r>
      <w:r>
        <w:t xml:space="preserve">282 “Unlocking scale and competitiveness in Europe’s markets”, Euroclear, September 2024.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Technological innovation</w:t>
      </w:r>
      <w:r>
        <w:br/>
      </w:r>
      <w:r>
        <w:t xml:space="preserve">In the post-trade market, distributed ledger technology283 (DLT) is currently considered the</w:t>
      </w:r>
      <w:r>
        <w:t xml:space="preserve"> </w:t>
      </w:r>
      <w:r>
        <w:t xml:space="preserve">most promising way to simplify processes, reduce costs, and increase efficiency and security</w:t>
      </w:r>
      <w:r>
        <w:t xml:space="preserve"> </w:t>
      </w:r>
      <w:r>
        <w:t xml:space="preserve">of transactions.284 It therefore has the potential to alter the post-trade landscape, potentially</w:t>
      </w:r>
      <w:r>
        <w:t xml:space="preserve"> </w:t>
      </w:r>
      <w:r>
        <w:t xml:space="preserve">leading to lower costs and faster settlement, and transform how securities are held and</w:t>
      </w:r>
      <w:r>
        <w:t xml:space="preserve"> </w:t>
      </w:r>
      <w:r>
        <w:t xml:space="preserve">recorded.285</w:t>
      </w:r>
      <w:r>
        <w:t xml:space="preserve"> </w:t>
      </w:r>
      <w:r>
        <w:t xml:space="preserve">In a report published in 2024, the Association for Financial Markets in Europe (AFME) focuses</w:t>
      </w:r>
      <w:r>
        <w:t xml:space="preserve"> </w:t>
      </w:r>
      <w:r>
        <w:t xml:space="preserve">on the size and growth of the global DLT wholesale market286 noting that in 2024, EUR 3</w:t>
      </w:r>
      <w:r>
        <w:t xml:space="preserve"> </w:t>
      </w:r>
      <w:r>
        <w:t xml:space="preserve">billion of DLT fixed income instruments287 were issued globally, a 260% increase from the year</w:t>
      </w:r>
      <w:r>
        <w:t xml:space="preserve"> </w:t>
      </w:r>
      <w:r>
        <w:t xml:space="preserve">before.</w:t>
      </w:r>
      <w:r>
        <w:br/>
      </w:r>
      <w:r>
        <w:t xml:space="preserve">Most of the realised projects so far experimenting with DLT point to the potential for financial</w:t>
      </w:r>
      <w:r>
        <w:t xml:space="preserve"> </w:t>
      </w:r>
      <w:r>
        <w:t xml:space="preserve">infrastructures to move towards real-time settlement, flatter structures, continuous operations</w:t>
      </w:r>
      <w:r>
        <w:t xml:space="preserve"> </w:t>
      </w:r>
      <w:r>
        <w:t xml:space="preserve">and global reach.288 This is reflected in the growing application of DLT in post-trade processes,</w:t>
      </w:r>
      <w:r>
        <w:t xml:space="preserve"> </w:t>
      </w:r>
      <w:r>
        <w:t xml:space="preserve">i.e. issuance and settlement of shares and bonds, data recording or the use of tokens to represent</w:t>
      </w:r>
      <w:r>
        <w:t xml:space="preserve"> </w:t>
      </w:r>
      <w:r>
        <w:t xml:space="preserve">shares.289 A report290 published in 2023 noted that DLT could unlock transformative cost-saving</w:t>
      </w:r>
      <w:r>
        <w:t xml:space="preserve"> </w:t>
      </w:r>
      <w:r>
        <w:t xml:space="preserve">and operational efficiency benefits (e.g. approximately USD 20 billion annually in global</w:t>
      </w:r>
      <w:r>
        <w:t xml:space="preserve"> </w:t>
      </w:r>
      <w:r>
        <w:t xml:space="preserve">clearing and settlement costs), innovation-led growth, broader market access and new liquidity</w:t>
      </w:r>
      <w:r>
        <w:t xml:space="preserve"> </w:t>
      </w:r>
      <w:r>
        <w:t xml:space="preserve">pools when operating at scale (e.g. an approximately USD 16 trillion global market for</w:t>
      </w:r>
      <w:r>
        <w:t xml:space="preserve"> </w:t>
      </w:r>
      <w:r>
        <w:t xml:space="preserve">tokenised illiquid assets by 2030).</w:t>
      </w:r>
      <w:r>
        <w:br/>
      </w:r>
      <w:r>
        <w:t xml:space="preserve">One important aspect of the developments in relation to the use of DLT in the post-trade market</w:t>
      </w:r>
      <w:r>
        <w:t xml:space="preserve"> </w:t>
      </w:r>
      <w:r>
        <w:t xml:space="preserve">in the EU was the establishment of the DLTPRR (adopted in 2022). Its aim was to establish a</w:t>
      </w:r>
      <w:r>
        <w:t xml:space="preserve"> </w:t>
      </w:r>
      <w:r>
        <w:t xml:space="preserve">flexible regulatory framework that would enable the industry to use DLT to introduce</w:t>
      </w:r>
      <w:r>
        <w:t xml:space="preserve"> </w:t>
      </w:r>
      <w:r>
        <w:t xml:space="preserve">experiment to gain efficiencies in, for example, issuance and transfer of financial instruments</w:t>
      </w:r>
      <w:r>
        <w:t xml:space="preserve"> </w:t>
      </w:r>
      <w:r>
        <w:t xml:space="preserve">and aspired to create a flexible framework that would allow certain derogations from the</w:t>
      </w:r>
      <w:r>
        <w:t xml:space="preserve"> </w:t>
      </w:r>
      <w:r>
        <w:t xml:space="preserve">standard rulebook (i.e. the CSDR) to make it easier for participants to the pilot regime to</w:t>
      </w:r>
      <w:r>
        <w:t xml:space="preserve"> </w:t>
      </w:r>
      <w:r>
        <w:t xml:space="preserve">experiment with DLT for CSD services.291</w:t>
      </w:r>
      <w:r>
        <w:t xml:space="preserve"> </w:t>
      </w:r>
      <w:r>
        <w:t xml:space="preserve">Another, important aspect of the developments of the use of DLT in settlement markets is</w:t>
      </w:r>
      <w:r>
        <w:t xml:space="preserve"> </w:t>
      </w:r>
      <w:r>
        <w:t xml:space="preserve">allowing for cash settlement on DLT-based structures. The ECB has engaged in initiatives to</w:t>
      </w:r>
      <w:r>
        <w:t xml:space="preserve"> </w:t>
      </w:r>
      <w:r>
        <w:t xml:space="preserve">test and consider the potential of using DLT in the post-trade market. Between May and</w:t>
      </w:r>
    </w:p>
    <w:p>
      <w:pPr>
        <w:pStyle w:val="BodyText"/>
      </w:pPr>
      <w:r>
        <w:t xml:space="preserve">283 The DLTPRR defines ‘DLT’ as “a technology that enables the operation and use of distributed ledgers” and</w:t>
      </w:r>
      <w:r>
        <w:t xml:space="preserve"> </w:t>
      </w:r>
      <w:r>
        <w:t xml:space="preserve">‘distributed ledger’ as “an information repository that keeps records of transactions and that is shared across, and</w:t>
      </w:r>
      <w:r>
        <w:t xml:space="preserve"> </w:t>
      </w:r>
      <w:r>
        <w:t xml:space="preserve">synchronised between, a set of DLT network nodes using a consensus mechanism”.</w:t>
      </w:r>
      <w:r>
        <w:br/>
      </w:r>
      <w:r>
        <w:t xml:space="preserve">284 Benos, Evangelos &amp; Garratt, Rod &amp; Gurrola Perez, Pedro, ‘The economics of distributed ledger technology</w:t>
      </w:r>
      <w:r>
        <w:t xml:space="preserve"> </w:t>
      </w:r>
      <w:r>
        <w:t xml:space="preserve">for securities settlement’ (2019). Ledger. 4. 10.5195/ledger.2019.144.</w:t>
      </w:r>
      <w:r>
        <w:t xml:space="preserve"> </w:t>
      </w:r>
      <w:r>
        <w:t xml:space="preserve">285 In 2015 an estimated EUR 17-24 billion was spent annually on trade processing globally; Bech, J. Hancock,</w:t>
      </w:r>
      <w:r>
        <w:t xml:space="preserve"> </w:t>
      </w:r>
      <w:r>
        <w:t xml:space="preserve">T. Rice &amp; A. Wadsworth, ‘On the future of securities settlement’, Bank for International Settlement, BIS Quarterly</w:t>
      </w:r>
      <w:r>
        <w:t xml:space="preserve"> </w:t>
      </w:r>
      <w:r>
        <w:t xml:space="preserve">Review, March 2020.</w:t>
      </w:r>
      <w:r>
        <w:t xml:space="preserve"> </w:t>
      </w:r>
      <w:r>
        <w:t xml:space="preserve">286 DLT-based Capital Market Report, Size and Growth of the Global DLT Wholesale Market 2024.</w:t>
      </w:r>
      <w:r>
        <w:br/>
      </w:r>
      <w:r>
        <w:t xml:space="preserve">287 Fixed income issuance includes bonds, bills, commercial paper, covered bonds, and structured notes.</w:t>
      </w:r>
      <w:r>
        <w:t xml:space="preserve"> </w:t>
      </w:r>
      <w:r>
        <w:t xml:space="preserve">288 Shabsigh, G., Khiaonarong, T. Leinonen H., ‘Distributed ledger technology experiments in payments and</w:t>
      </w:r>
      <w:r>
        <w:t xml:space="preserve"> </w:t>
      </w:r>
      <w:r>
        <w:t xml:space="preserve">settlements’, International Monetary Fund, June 2020.</w:t>
      </w:r>
      <w:r>
        <w:t xml:space="preserve"> </w:t>
      </w:r>
      <w:r>
        <w:t xml:space="preserve">289 See ‘The use of DLT in post-trade processes’, Annex 1, Advisory Groups on Market Infrastructures for</w:t>
      </w:r>
      <w:r>
        <w:t xml:space="preserve"> </w:t>
      </w:r>
      <w:r>
        <w:t xml:space="preserve">Securities and Collateral and for Payments, European Central Bank, April 2021.</w:t>
      </w:r>
      <w:r>
        <w:t xml:space="preserve"> </w:t>
      </w:r>
      <w:r>
        <w:t xml:space="preserve">290 The Impact of Distributed Ledger Technology in Global Capital Markets, published by the Global Financial</w:t>
      </w:r>
      <w:r>
        <w:t xml:space="preserve"> </w:t>
      </w:r>
      <w:r>
        <w:t xml:space="preserve">Markets Association (GFMA) together with Boston Consulting Group (BCG), Clifford Chance and Cravath,</w:t>
      </w:r>
      <w:r>
        <w:t xml:space="preserve"> </w:t>
      </w:r>
      <w:r>
        <w:t xml:space="preserve">Swaine &amp; Moore LLP, May 2023, impact-of-dlt-on-global-capital-markets-full-report.pdf (accessed 25 May</w:t>
      </w:r>
      <w:r>
        <w:t xml:space="preserve"> </w:t>
      </w:r>
      <w:r>
        <w:t xml:space="preserve">2025).</w:t>
      </w:r>
      <w:r>
        <w:t xml:space="preserve"> </w:t>
      </w:r>
      <w:r>
        <w:t xml:space="preserve">291 The DLTPRR has been in application since March 2023 and is subject to review under the SIU. Details as to</w:t>
      </w:r>
      <w:r>
        <w:t xml:space="preserve"> </w:t>
      </w:r>
      <w:r>
        <w:t xml:space="preserve">such review can be found in Annex 10 – Innovation (DLT).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November 2024, the Eurosystem engaged with 64 market participants292 across different</w:t>
      </w:r>
      <w:r>
        <w:t xml:space="preserve"> </w:t>
      </w:r>
      <w:r>
        <w:t xml:space="preserve">sectors and countries in conducting trials293 involving real transactions as well as experiments</w:t>
      </w:r>
      <w:r>
        <w:t xml:space="preserve"> </w:t>
      </w:r>
      <w:r>
        <w:t xml:space="preserve">using mock scenarios with nearly EUR 1.6 billion in central bank money being settled as part</w:t>
      </w:r>
      <w:r>
        <w:t xml:space="preserve"> </w:t>
      </w:r>
      <w:r>
        <w:t xml:space="preserve">of this work. Following its decision, taken in February 2025,294 to expand its initiative to settle</w:t>
      </w:r>
      <w:r>
        <w:t xml:space="preserve"> </w:t>
      </w:r>
      <w:r>
        <w:t xml:space="preserve">transactions recorded on DLT in central bank money, the ECB Governing Council in June 2025,</w:t>
      </w:r>
      <w:r>
        <w:t xml:space="preserve"> </w:t>
      </w:r>
      <w:r>
        <w:t xml:space="preserve">approved a plan that will enable settling DLT transactions using central bank money. The</w:t>
      </w:r>
      <w:r>
        <w:t xml:space="preserve"> </w:t>
      </w:r>
      <w:r>
        <w:t xml:space="preserve">initiative follows a two-track approach where the first track, named Pontes,295 provides a short-</w:t>
      </w:r>
      <w:r>
        <w:t xml:space="preserve"> </w:t>
      </w:r>
      <w:r>
        <w:t xml:space="preserve">term offering to the market – including a pilot phase – and the second track, named Appia,296</w:t>
      </w:r>
      <w:r>
        <w:t xml:space="preserve"> </w:t>
      </w:r>
      <w:r>
        <w:t xml:space="preserve">focuses on a potential long-term solution and is in line with the Eurosystem’s commitment to</w:t>
      </w:r>
      <w:r>
        <w:t xml:space="preserve"> </w:t>
      </w:r>
      <w:r>
        <w:t xml:space="preserve">supporting innovation without compromising on safety and efficiency in financial market</w:t>
      </w:r>
      <w:r>
        <w:t xml:space="preserve"> </w:t>
      </w:r>
      <w:r>
        <w:t xml:space="preserve">infrastructures.297</w:t>
      </w:r>
      <w:r>
        <w:br/>
      </w:r>
      <w:r>
        <w:t xml:space="preserve">The ECB has engaged in collaborative projects with several third-country central banks (e.g. </w:t>
      </w:r>
      <w:r>
        <w:t xml:space="preserve"> </w:t>
      </w:r>
      <w:r>
        <w:t xml:space="preserve">Bank of Japan, Bank of England) and also participates in global central bank initiatives</w:t>
      </w:r>
      <w:r>
        <w:t xml:space="preserve"> </w:t>
      </w:r>
      <w:r>
        <w:t xml:space="preserve">coordinated by the BIS.</w:t>
      </w:r>
      <w:r>
        <w:t xml:space="preserve"> </w:t>
      </w:r>
      <w:r>
        <w:t xml:space="preserve">Several EU CSDs have also started to use the new technology, some within the current</w:t>
      </w:r>
      <w:r>
        <w:t xml:space="preserve"> </w:t>
      </w:r>
      <w:r>
        <w:t xml:space="preserve">framework set out under the CSDR, others within the framework set out under the DLTPRR.</w:t>
      </w:r>
      <w:r>
        <w:t xml:space="preserve"> </w:t>
      </w:r>
      <w:r>
        <w:t xml:space="preserve">Examples include:</w:t>
      </w:r>
      <w:r>
        <w:t xml:space="preserve"> </w:t>
      </w:r>
      <w:r>
        <w:t xml:space="preserve"> In 2023, Euroclear298 launched its Digital Securities Issuance (D-SI) service. The service</w:t>
      </w:r>
      <w:r>
        <w:t xml:space="preserve"> </w:t>
      </w:r>
      <w:r>
        <w:t xml:space="preserve">enables the issuance, distribution and settlement of fully digital international securities -</w:t>
      </w:r>
      <w:r>
        <w:t xml:space="preserve"> </w:t>
      </w:r>
      <w:r>
        <w:t xml:space="preserve">Digitally Native Notes (DNN) - on DLT. The D-SI service operates under the CSDR as part</w:t>
      </w:r>
      <w:r>
        <w:t xml:space="preserve"> </w:t>
      </w:r>
      <w:r>
        <w:t xml:space="preserve">of Euroclear’s D-FMI DLT platform which is connected to the conventional settlement</w:t>
      </w:r>
      <w:r>
        <w:t xml:space="preserve"> </w:t>
      </w:r>
      <w:r>
        <w:t xml:space="preserve">platform of Euroclear for secondary market operations in DNN, granting investors full</w:t>
      </w:r>
      <w:r>
        <w:t xml:space="preserve"> </w:t>
      </w:r>
      <w:r>
        <w:t xml:space="preserve">access to trading venues and liquidity management facilities. In 2024, Euroclear</w:t>
      </w:r>
      <w:r>
        <w:t xml:space="preserve"> </w:t>
      </w:r>
      <w:r>
        <w:t xml:space="preserve">participated in an experiment to tokenise gilts, Eurobonds and gold to circulate these</w:t>
      </w:r>
      <w:r>
        <w:t xml:space="preserve"> </w:t>
      </w:r>
      <w:r>
        <w:t xml:space="preserve">‘digital twins’ in a novel collateral management system.</w:t>
      </w:r>
    </w:p>
    <w:p>
      <w:pPr>
        <w:pStyle w:val="BodyText"/>
      </w:pPr>
      <w:r>
        <w:t xml:space="preserve">292 https://www.ecb.europa.eu/paym/pdf/participants_eurosystem_exploratory_work.pdf.</w:t>
      </w:r>
      <w:r>
        <w:t xml:space="preserve"> </w:t>
      </w:r>
      <w:r>
        <w:t xml:space="preserve">293 Exploratory work on new technologies for wholesale central bank money settlement</w:t>
      </w:r>
      <w:r>
        <w:t xml:space="preserve"> </w:t>
      </w:r>
      <w:r>
        <w:t xml:space="preserve">294 Eurosystem expands initiative to settle DLT-based transactions in central bank money, 20 February and</w:t>
      </w:r>
      <w:r>
        <w:t xml:space="preserve"> </w:t>
      </w:r>
      <w:r>
        <w:t xml:space="preserve">https://www.ecb.europa.eu/press/pubbydate/2025/html/ecb.exploratoryworknewtechnologies202506.en.html#toc11</w:t>
      </w:r>
      <w:r>
        <w:br/>
      </w:r>
      <w:r>
        <w:t xml:space="preserve">295 Pontes will offer a Eurosystem DLT-based solution, linking DLT platforms and TARGET Services to settle</w:t>
      </w:r>
      <w:r>
        <w:t xml:space="preserve"> </w:t>
      </w:r>
      <w:r>
        <w:t xml:space="preserve">transactions in central bank money. The Eurosystem plans to launch a pilot for Pontes by the end of the third</w:t>
      </w:r>
      <w:r>
        <w:t xml:space="preserve"> </w:t>
      </w:r>
      <w:r>
        <w:t xml:space="preserve">quarter of 2026. It will offer a single Eurosystem solution which incorporates features used in the Eurosystem’s</w:t>
      </w:r>
      <w:r>
        <w:t xml:space="preserve"> </w:t>
      </w:r>
      <w:r>
        <w:t xml:space="preserve">exploratory work on DLT in 2024. During the pilot, the Eurosystem will also explore the feasibility of further</w:t>
      </w:r>
      <w:r>
        <w:t xml:space="preserve"> </w:t>
      </w:r>
      <w:r>
        <w:t xml:space="preserve">enhancements in line with the TARGET Services operational, legal and technical standards. Between now and</w:t>
      </w:r>
      <w:r>
        <w:t xml:space="preserve"> </w:t>
      </w:r>
      <w:r>
        <w:t xml:space="preserve">the launch of the Pontes pilot, the Eurosystem will consider requests for further DLT-related trials and</w:t>
      </w:r>
      <w:r>
        <w:t xml:space="preserve"> </w:t>
      </w:r>
      <w:r>
        <w:t xml:space="preserve">experiments.</w:t>
      </w:r>
      <w:r>
        <w:t xml:space="preserve"> </w:t>
      </w:r>
      <w:r>
        <w:t xml:space="preserve">296 Appia focuses on a long-term approach for an innovative and integrated ecosystem in Europe that also</w:t>
      </w:r>
      <w:r>
        <w:t xml:space="preserve"> </w:t>
      </w:r>
      <w:r>
        <w:t xml:space="preserve">facilitates safe and efficient operations at the global level. The Eurosystem will actively continue to analyse DLT-</w:t>
      </w:r>
      <w:r>
        <w:t xml:space="preserve"> </w:t>
      </w:r>
      <w:r>
        <w:t xml:space="preserve">based solutions and collaborate with public and private stakeholders.</w:t>
      </w:r>
      <w:r>
        <w:br/>
      </w:r>
      <w:r>
        <w:t xml:space="preserve">297 Eurosystem expands initiative to settle DLT-based transactions in central bank money, 20 February:</w:t>
      </w:r>
      <w:r>
        <w:t xml:space="preserve"> </w:t>
      </w:r>
      <w:r>
        <w:t xml:space="preserve">https://www.ecb.europa.eu/press/pubbydate/2025/html/ecb.exploratoryworknewtechnologies202506.en.html#toc11.</w:t>
      </w:r>
      <w:r>
        <w:t xml:space="preserve"> </w:t>
      </w:r>
      <w:r>
        <w:t xml:space="preserve">298 https://www.euroclear.com/services/en/primary-issuance/digital-financial-market-</w:t>
      </w:r>
      <w:r>
        <w:t xml:space="preserve"> </w:t>
      </w:r>
      <w:r>
        <w:t xml:space="preserve">infrastructure.html#:~:text=D-</w:t>
      </w:r>
      <w:r>
        <w:t xml:space="preserve"> </w:t>
      </w:r>
      <w:r>
        <w:t xml:space="preserve">SI%20is%20the%20first%20service%20offering%20available%20on,settlement%20platform%20%E2%80%93</w:t>
      </w:r>
      <w:r>
        <w:t xml:space="preserve"> </w:t>
      </w:r>
      <w:r>
        <w:t xml:space="preserve">%20all%20in%20compliance%20with%20CSDR.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 In 2024, CSD Prague became the first CSD to gain an authorisation for a DLT settlement</w:t>
      </w:r>
      <w:r>
        <w:t xml:space="preserve"> </w:t>
      </w:r>
      <w:r>
        <w:t xml:space="preserve">system under the DLTPRR.299 As a result, the CSD offers issuers of book-entry securities</w:t>
      </w:r>
      <w:r>
        <w:t xml:space="preserve"> </w:t>
      </w:r>
      <w:r>
        <w:t xml:space="preserve">registration of issues in a newly created DLT-based registry, which allows the maintenance</w:t>
      </w:r>
      <w:r>
        <w:t xml:space="preserve"> </w:t>
      </w:r>
      <w:r>
        <w:t xml:space="preserve">of a securities account, the crediting of shares or bonds to this account as part of a primary</w:t>
      </w:r>
      <w:r>
        <w:t xml:space="preserve"> </w:t>
      </w:r>
      <w:r>
        <w:t xml:space="preserve">subscription, an issue increase or a transfer from another account based on an agreement</w:t>
      </w:r>
      <w:r>
        <w:t xml:space="preserve"> </w:t>
      </w:r>
      <w:r>
        <w:t xml:space="preserve">with the counterparty.</w:t>
      </w:r>
      <w:r>
        <w:br/>
      </w:r>
      <w:r>
        <w:t xml:space="preserve"> In 2024, Deutsche Börse Group’s Clearstream established its next-generation digital</w:t>
      </w:r>
      <w:r>
        <w:t xml:space="preserve"> </w:t>
      </w:r>
      <w:r>
        <w:t xml:space="preserve">issuance platform D7, that provides a fully digital alternative to conventional physical</w:t>
      </w:r>
      <w:r>
        <w:t xml:space="preserve"> </w:t>
      </w:r>
      <w:r>
        <w:t xml:space="preserve">issuance and processing of securities. The platform covers all retail structured products</w:t>
      </w:r>
      <w:r>
        <w:t xml:space="preserve"> </w:t>
      </w:r>
      <w:r>
        <w:t xml:space="preserve">issued in Germany as well as a range of debt capital market products. D7 participated as a</w:t>
      </w:r>
      <w:r>
        <w:t xml:space="preserve"> </w:t>
      </w:r>
      <w:r>
        <w:t xml:space="preserve">DLT market operator in the ECB’s trials and experiments.300</w:t>
      </w:r>
      <w:r>
        <w:br/>
      </w:r>
      <w:r>
        <w:t xml:space="preserve">Provision of cross-border CSD-services</w:t>
      </w:r>
      <w:r>
        <w:br/>
      </w:r>
      <w:r>
        <w:t xml:space="preserve">The three ‘core’ CSD services described in Section 2.3, i.e. notary, central maintenance and</w:t>
      </w:r>
      <w:r>
        <w:t xml:space="preserve"> </w:t>
      </w:r>
      <w:r>
        <w:t xml:space="preserve">settlement services, can be provided cross-border in the EU. To do so, CSDs must comply in</w:t>
      </w:r>
      <w:r>
        <w:t xml:space="preserve"> </w:t>
      </w:r>
      <w:r>
        <w:t xml:space="preserve">certain cases with a passport system allowing them to provide their services across the EU, as</w:t>
      </w:r>
      <w:r>
        <w:t xml:space="preserve"> </w:t>
      </w:r>
      <w:r>
        <w:t xml:space="preserve">well as with rules on the establishment of various types of links between CSDs. CSDs offer</w:t>
      </w:r>
      <w:r>
        <w:t xml:space="preserve"> </w:t>
      </w:r>
      <w:r>
        <w:t xml:space="preserve">EU notary services cross-border when they cater for the issuance of financial instruments by</w:t>
      </w:r>
      <w:r>
        <w:t xml:space="preserve"> </w:t>
      </w:r>
      <w:r>
        <w:t xml:space="preserve">an issuer from a Member State that is different from the Member State the CSD is authorised</w:t>
      </w:r>
      <w:r>
        <w:t xml:space="preserve"> </w:t>
      </w:r>
      <w:r>
        <w:t xml:space="preserve">in. Similarly, CSDs offer EU central maintenance services when they maintain at top tier level</w:t>
      </w:r>
      <w:r>
        <w:t xml:space="preserve"> </w:t>
      </w:r>
      <w:r>
        <w:t xml:space="preserve">the accounts of participants that are established in a Member States that is different from the</w:t>
      </w:r>
      <w:r>
        <w:t xml:space="preserve"> </w:t>
      </w:r>
      <w:r>
        <w:t xml:space="preserve">Member State the CSD is authorised in. Under the CSDR, for the purposes of passporting rules,</w:t>
      </w:r>
      <w:r>
        <w:t xml:space="preserve"> </w:t>
      </w:r>
      <w:r>
        <w:t xml:space="preserve">CSDs are considered to offer notary and central maintenance services cross-border where they</w:t>
      </w:r>
      <w:r>
        <w:t xml:space="preserve"> </w:t>
      </w:r>
      <w:r>
        <w:t xml:space="preserve">offer such services with respect to financial instruments constituted under the law of another</w:t>
      </w:r>
      <w:r>
        <w:t xml:space="preserve"> </w:t>
      </w:r>
      <w:r>
        <w:t xml:space="preserve">Member State, as defined under the CSDR. As regards settlement services, those services are</w:t>
      </w:r>
      <w:r>
        <w:t xml:space="preserve"> </w:t>
      </w:r>
      <w:r>
        <w:t xml:space="preserve">notably considered cross-border at CSD level when the Member State301 where the securities</w:t>
      </w:r>
      <w:r>
        <w:t xml:space="preserve"> </w:t>
      </w:r>
      <w:r>
        <w:t xml:space="preserve">were issued is different from the Member State302 where the securities are settled. The latter is</w:t>
      </w:r>
      <w:r>
        <w:t xml:space="preserve"> </w:t>
      </w:r>
      <w:r>
        <w:t xml:space="preserve">only possible when a link303 between the CSD of issuance and the CSD of settlement is</w:t>
      </w:r>
      <w:r>
        <w:t xml:space="preserve"> </w:t>
      </w:r>
      <w:r>
        <w:t xml:space="preserve">established.</w:t>
      </w:r>
      <w:r>
        <w:br/>
      </w:r>
      <w:r>
        <w:t xml:space="preserve">One way of measuring cross-border activity is to look at the number of links between CSDs,</w:t>
      </w:r>
      <w:r>
        <w:t xml:space="preserve"> </w:t>
      </w:r>
      <w:r>
        <w:t xml:space="preserve">the volume (i.e. number) and value of settlement instructions settled through those links. There</w:t>
      </w:r>
      <w:r>
        <w:t xml:space="preserve"> </w:t>
      </w:r>
      <w:r>
        <w:t xml:space="preserve">are different types of links (e.g. standard, indirect304). The introduction of the CSDR in 2014</w:t>
      </w:r>
      <w:r>
        <w:t xml:space="preserve"> </w:t>
      </w:r>
      <w:r>
        <w:t xml:space="preserve">led to the creation of a large number of links between CSDs in the EEA, although their number</w:t>
      </w:r>
      <w:r>
        <w:t xml:space="preserve"> </w:t>
      </w:r>
      <w:r>
        <w:t xml:space="preserve">declined slightly between 2020 and 2022 from 174 to 161, numbers rose again to 180 in 2025.</w:t>
      </w:r>
      <w:r>
        <w:t xml:space="preserve"> </w:t>
      </w:r>
      <w:r>
        <w:t xml:space="preserve">The CSDs with the highest number of links established with other CSDs from the EEA are the</w:t>
      </w:r>
      <w:r>
        <w:t xml:space="preserve"> </w:t>
      </w:r>
      <w:r>
        <w:t xml:space="preserve">two ICSDs (26 for Clearstream Banking SA and 21 for Euroclear Bank). Among the members</w:t>
      </w:r>
      <w:r>
        <w:t xml:space="preserve"> </w:t>
      </w:r>
      <w:r>
        <w:t xml:space="preserve">of ECSDA (40 national and international CSDs that go beyond the EU), there are a total of 372</w:t>
      </w:r>
    </w:p>
    <w:p>
      <w:pPr>
        <w:pStyle w:val="BodyText"/>
      </w:pPr>
      <w:r>
        <w:t xml:space="preserve">299 https://www.cdcp.cz/csd-prague-receives-first-european-dlt-register-</w:t>
      </w:r>
      <w:r>
        <w:t xml:space="preserve"> </w:t>
      </w:r>
      <w:r>
        <w:t xml:space="preserve">approval/?lang=en#:~:text=The%20CSD%20was%20the%20very%20first%20institution%20in,Bank%20with</w:t>
      </w:r>
      <w:r>
        <w:t xml:space="preserve"> </w:t>
      </w:r>
      <w:r>
        <w:t xml:space="preserve">%20notification%20from%20the%20European%20regulator%20ESMA.</w:t>
      </w:r>
      <w:r>
        <w:t xml:space="preserve"> </w:t>
      </w:r>
      <w:r>
        <w:t xml:space="preserve">300 https://www.clearstream.com/clearstream-en/securities-services/issuance-1-/electronic-securities.</w:t>
      </w:r>
      <w:r>
        <w:t xml:space="preserve"> </w:t>
      </w:r>
      <w:r>
        <w:t xml:space="preserve">301 i.e. the Member State of the issuer CSD.</w:t>
      </w:r>
      <w:r>
        <w:br/>
      </w:r>
      <w:r>
        <w:t xml:space="preserve">302 i.e. the Member State of the investor CSD.</w:t>
      </w:r>
      <w:r>
        <w:br/>
      </w:r>
      <w:r>
        <w:t xml:space="preserve">303 See Glossary for definition.</w:t>
      </w:r>
      <w:r>
        <w:br/>
      </w:r>
      <w:r>
        <w:t xml:space="preserve">304 See Glossary for definitions.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links, 46% of which are direct links, 37% are relayed links and 17% are indirect links. More</w:t>
      </w:r>
      <w:r>
        <w:t xml:space="preserve"> </w:t>
      </w:r>
      <w:r>
        <w:t xml:space="preserve">than half of these links are used on a daily basis.305</w:t>
      </w:r>
      <w:r>
        <w:br/>
      </w:r>
      <w:r>
        <w:t xml:space="preserve">Although the number of links between EEA CSDs decreased between 2020 and 2022, the total</w:t>
      </w:r>
      <w:r>
        <w:t xml:space="preserve"> </w:t>
      </w:r>
      <w:r>
        <w:t xml:space="preserve">volume and value of instructions settled through those links has almost doubled during the</w:t>
      </w:r>
      <w:r>
        <w:t xml:space="preserve"> </w:t>
      </w:r>
      <w:r>
        <w:t xml:space="preserve">same period, going from 23.6 million instructions for a total value of EUR 131.2 trillion to 44.1</w:t>
      </w:r>
      <w:r>
        <w:t xml:space="preserve"> </w:t>
      </w:r>
      <w:r>
        <w:t xml:space="preserve">million transactions for a total value of EUR 261.8 trillion.306 The share of cross-border</w:t>
      </w:r>
      <w:r>
        <w:t xml:space="preserve"> </w:t>
      </w:r>
      <w:r>
        <w:t xml:space="preserve">settlement in total settlement also grew, from approximately 12.3% in 2017 to 19% in 2022.307</w:t>
      </w:r>
      <w:r>
        <w:t xml:space="preserve"> </w:t>
      </w:r>
      <w:r>
        <w:t xml:space="preserve">This increase in cross-border activity was mainly through ICSDs. Indeed, the average value of</w:t>
      </w:r>
      <w:r>
        <w:t xml:space="preserve"> </w:t>
      </w:r>
      <w:r>
        <w:t xml:space="preserve">instructions settled through links is more than 9 times higher in ICSDs than in other CSDs. In</w:t>
      </w:r>
      <w:r>
        <w:t xml:space="preserve"> </w:t>
      </w:r>
      <w:r>
        <w:t xml:space="preserve">terms of financial instruments settled through links, the majority are shares (19%), closely</w:t>
      </w:r>
      <w:r>
        <w:t xml:space="preserve"> </w:t>
      </w:r>
      <w:r>
        <w:t xml:space="preserve">followed by sovereign and corporate bonds (17% each), and other types of transferable</w:t>
      </w:r>
      <w:r>
        <w:t xml:space="preserve"> </w:t>
      </w:r>
      <w:r>
        <w:t xml:space="preserve">securities (16%).308</w:t>
      </w:r>
      <w:r>
        <w:t xml:space="preserve"> </w:t>
      </w:r>
      <w:r>
        <w:t xml:space="preserve">A similar picture emerges when one looks at the volume and value of cross-CSD settlement</w:t>
      </w:r>
      <w:r>
        <w:t xml:space="preserve"> </w:t>
      </w:r>
      <w:r>
        <w:t xml:space="preserve">instructions settled in T2S. One of the objectives of T2S was to make settlement between</w:t>
      </w:r>
      <w:r>
        <w:t xml:space="preserve"> </w:t>
      </w:r>
      <w:r>
        <w:t xml:space="preserve">accounts in different CSDs simpler. Indeed, between 2020 and 2024, the volume of instructions</w:t>
      </w:r>
      <w:r>
        <w:t xml:space="preserve"> </w:t>
      </w:r>
      <w:r>
        <w:t xml:space="preserve">settled in T2S increased approximately 64%, from 1.75 to 2.9 million, while the value of those</w:t>
      </w:r>
      <w:r>
        <w:t xml:space="preserve"> </w:t>
      </w:r>
      <w:r>
        <w:t xml:space="preserve">instructions increased by approximately 46%, from 4.7 to 6.9 trillion (see Figure 2 below).309</w:t>
      </w:r>
      <w:r>
        <w:t xml:space="preserve"> </w:t>
      </w:r>
      <w:r>
        <w:t xml:space="preserve">However, as shown in Figures 3 and 4, while the increase was material, the volume and value</w:t>
      </w:r>
      <w:r>
        <w:t xml:space="preserve"> </w:t>
      </w:r>
      <w:r>
        <w:t xml:space="preserve">of cross-CSD settlement represents only a fraction of the overall volume and value settled in</w:t>
      </w:r>
      <w:r>
        <w:t xml:space="preserve"> </w:t>
      </w:r>
      <w:r>
        <w:t xml:space="preserve">T2S. Indeed, in 2024, the volume and value of cross-CSD settlement represented, respectively,</w:t>
      </w:r>
      <w:r>
        <w:t xml:space="preserve"> </w:t>
      </w:r>
      <w:r>
        <w:t xml:space="preserve">3.7% and 3.8% of the total volume and value of settlement in T2S.310</w:t>
      </w:r>
    </w:p>
    <w:p>
      <w:pPr>
        <w:pStyle w:val="BodyText"/>
      </w:pPr>
      <w:r>
        <w:t xml:space="preserve">305 “CSD Links Report”, ECSDA, October 2025.</w:t>
      </w:r>
      <w:r>
        <w:t xml:space="preserve"> </w:t>
      </w:r>
      <w:r>
        <w:t xml:space="preserve">306 See “Provision of cross-border services by CSDs and handling of applications under Article 23 of CSDR from</w:t>
      </w:r>
      <w:r>
        <w:t xml:space="preserve"> </w:t>
      </w:r>
      <w:r>
        <w:t xml:space="preserve">2020 to 2022“, European Securities and Markets Authority ESMA74-2119945925-1568, 31 January 2024. See</w:t>
      </w:r>
      <w:r>
        <w:t xml:space="preserve"> </w:t>
      </w:r>
      <w:r>
        <w:t xml:space="preserve">paragraph 92.</w:t>
      </w:r>
      <w:r>
        <w:br/>
      </w:r>
      <w:r>
        <w:t xml:space="preserve">307 Based on own calculations, by combining ESMA data for cross-border activity (See ESMA Reports ESMA70-</w:t>
      </w:r>
      <w:r>
        <w:t xml:space="preserve"> </w:t>
      </w:r>
      <w:r>
        <w:t xml:space="preserve">156-3569 &amp; ESMA74-2119945925-1568) with total value of settlement instructions from the ECB securities</w:t>
      </w:r>
      <w:r>
        <w:t xml:space="preserve"> </w:t>
      </w:r>
      <w:r>
        <w:t xml:space="preserve">trading, clearing and settlement data base.</w:t>
      </w:r>
      <w:r>
        <w:br/>
      </w:r>
      <w:r>
        <w:t xml:space="preserve">308 “Provision of cross-border services by CSDs and handling of applications under Article 23 of CSDR from</w:t>
      </w:r>
      <w:r>
        <w:t xml:space="preserve"> </w:t>
      </w:r>
      <w:r>
        <w:t xml:space="preserve">2020 to 2022“, European Securities and Markets Authority, ESMA74-2119945925-1568, 31 January 2024. See</w:t>
      </w:r>
      <w:r>
        <w:t xml:space="preserve"> </w:t>
      </w:r>
      <w:r>
        <w:t xml:space="preserve">paragraph 94.</w:t>
      </w:r>
      <w:r>
        <w:br/>
      </w:r>
      <w:r>
        <w:t xml:space="preserve">309 Please note that the numbers differ from those provided in the ESMA report due to the different scope: not all</w:t>
      </w:r>
      <w:r>
        <w:t xml:space="preserve"> </w:t>
      </w:r>
      <w:r>
        <w:t xml:space="preserve">CSDs participate in T2S. In particular, the main driver behind this is that both ICSDs, Euroclear Bank and</w:t>
      </w:r>
      <w:r>
        <w:t xml:space="preserve"> </w:t>
      </w:r>
      <w:r>
        <w:t xml:space="preserve">Clearstream Banking SA, do not settle their transactions through T2S: the former is a participant in T2S, but has</w:t>
      </w:r>
      <w:r>
        <w:t xml:space="preserve"> </w:t>
      </w:r>
      <w:r>
        <w:t xml:space="preserve">yet to start settling its transactions through the platform, while the latter is not a participant. The absence of the</w:t>
      </w:r>
      <w:r>
        <w:t xml:space="preserve"> </w:t>
      </w:r>
      <w:r>
        <w:t xml:space="preserve">two ICSDs has a particularly strong impact on the cross-border settlement numbers, as those two account for the</w:t>
      </w:r>
      <w:r>
        <w:t xml:space="preserve"> </w:t>
      </w:r>
      <w:r>
        <w:t xml:space="preserve">majority of cross-border settlement in the EU.</w:t>
      </w:r>
      <w:r>
        <w:t xml:space="preserve"> </w:t>
      </w:r>
      <w:r>
        <w:t xml:space="preserve">310 “TARGET Services Annual Report 2024”, European Central Bank, July 2025. See chapter ”Intra-CSD, cross-</w:t>
      </w:r>
      <w:r>
        <w:t xml:space="preserve"> </w:t>
      </w:r>
      <w:r>
        <w:t xml:space="preserve">CSD and external CSD settlement”.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Figure 2: Total volume and value of all</w:t>
      </w:r>
      <w:r>
        <w:t xml:space="preserve"> </w:t>
      </w:r>
      <w:r>
        <w:t xml:space="preserve">settlement instructions settled in T2S</w:t>
      </w:r>
    </w:p>
    <w:p>
      <w:pPr>
        <w:pStyle w:val="BodyText"/>
      </w:pPr>
      <w:r>
        <w:t xml:space="preserve">Source: TARGET Services Annual Report 2024. See</w:t>
      </w:r>
      <w:r>
        <w:t xml:space="preserve"> </w:t>
      </w:r>
      <w:r>
        <w:t xml:space="preserve">Chart 18 and Chart 22.</w:t>
      </w:r>
      <w:r>
        <w:t xml:space="preserve"> </w:t>
      </w:r>
      <w:r>
        <w:t xml:space="preserve">Figure 3: Total volume and value of cross-</w:t>
      </w:r>
      <w:r>
        <w:t xml:space="preserve"> </w:t>
      </w:r>
      <w:r>
        <w:t xml:space="preserve">CSD settlement instructions settled in T2S</w:t>
      </w:r>
    </w:p>
    <w:p>
      <w:pPr>
        <w:pStyle w:val="BodyText"/>
      </w:pPr>
      <w:r>
        <w:t xml:space="preserve">Source: TARGET Services Annual Report 2024. See</w:t>
      </w:r>
      <w:r>
        <w:t xml:space="preserve"> </w:t>
      </w:r>
      <w:r>
        <w:t xml:space="preserve">Chart 35 and Chart 36.</w:t>
      </w:r>
      <w:r>
        <w:br/>
      </w:r>
      <w:r>
        <w:t xml:space="preserve">Figure 4: Share of cross-CSD settlement instructions in total volume and value of settlement</w:t>
      </w:r>
      <w:r>
        <w:t xml:space="preserve"> </w:t>
      </w:r>
      <w:r>
        <w:t xml:space="preserve">instructions settled in T2S</w:t>
      </w:r>
    </w:p>
    <w:p>
      <w:pPr>
        <w:pStyle w:val="BodyText"/>
      </w:pPr>
      <w:r>
        <w:t xml:space="preserve">Box 1: TARGET2-Securities (T2S)</w:t>
      </w:r>
      <w:r>
        <w:t xml:space="preserve"> </w:t>
      </w:r>
      <w:r>
        <w:t xml:space="preserve">T2S was launched in 2015. It is a common platform that offers settlement of securities in</w:t>
      </w:r>
      <w:r>
        <w:t xml:space="preserve"> </w:t>
      </w:r>
      <w:r>
        <w:t xml:space="preserve">central bank money. It is operated by the Eurosystem. At present, 24 CSDs311 are connected</w:t>
      </w:r>
      <w:r>
        <w:t xml:space="preserve"> </w:t>
      </w:r>
      <w:r>
        <w:t xml:space="preserve">to T2S, including all euro area CSDs authorised under the CSDR, with the exception of</w:t>
      </w:r>
      <w:r>
        <w:t xml:space="preserve"> </w:t>
      </w:r>
      <w:r>
        <w:t xml:space="preserve">Clearstream Banking SA (Luxembourg), AthexCSD (Greece) and CDCR (Cyprus). CSDs</w:t>
      </w:r>
      <w:r>
        <w:t xml:space="preserve"> </w:t>
      </w:r>
      <w:r>
        <w:t xml:space="preserve">connected to T2S include 3 CSDs operated by central banks (Belgium, Bulgaria and Greece),</w:t>
      </w:r>
    </w:p>
    <w:p>
      <w:pPr>
        <w:pStyle w:val="BodyText"/>
      </w:pPr>
      <w:r>
        <w:t xml:space="preserve">311 One of those CSDs is Euroclear Bank. As explained in footnote 90, the latter is connected to T2S but has yet</w:t>
      </w:r>
      <w:r>
        <w:t xml:space="preserve"> </w:t>
      </w:r>
      <w:r>
        <w:t xml:space="preserve">to start settling its transactions in T2S.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160</w:t>
      </w:r>
      <w:r>
        <w:t xml:space="preserve"> </w:t>
      </w:r>
      <w:r>
        <w:t xml:space="preserve">170</w:t>
      </w:r>
      <w:r>
        <w:t xml:space="preserve"> </w:t>
      </w:r>
      <w:r>
        <w:t xml:space="preserve">180</w:t>
      </w:r>
      <w:r>
        <w:t xml:space="preserve"> </w:t>
      </w:r>
      <w:r>
        <w:t xml:space="preserve">190</w:t>
      </w:r>
      <w:r>
        <w:t xml:space="preserve"> </w:t>
      </w:r>
      <w:r>
        <w:t xml:space="preserve">200</w:t>
      </w:r>
      <w:r>
        <w:t xml:space="preserve"> </w:t>
      </w:r>
      <w:r>
        <w:t xml:space="preserve">210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EUR trillion</w:t>
      </w:r>
      <w:r>
        <w:t xml:space="preserve"> </w:t>
      </w:r>
      <w:r>
        <w:t xml:space="preserve">million</w:t>
      </w:r>
      <w:r>
        <w:t xml:space="preserve"> </w:t>
      </w:r>
      <w:r>
        <w:t xml:space="preserve">Volume (lhs)</w:t>
      </w:r>
      <w:r>
        <w:t xml:space="preserve"> </w:t>
      </w:r>
      <w:r>
        <w:t xml:space="preserve">Value (rhs)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EUR trillion</w:t>
      </w:r>
      <w:r>
        <w:t xml:space="preserve"> </w:t>
      </w:r>
      <w:r>
        <w:t xml:space="preserve">million</w:t>
      </w:r>
      <w:r>
        <w:t xml:space="preserve"> </w:t>
      </w:r>
      <w:r>
        <w:t xml:space="preserve">Volume (lhs)</w:t>
      </w:r>
      <w:r>
        <w:t xml:space="preserve"> </w:t>
      </w:r>
      <w:r>
        <w:t xml:space="preserve">Value (rhs)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Volume</w:t>
      </w:r>
      <w:r>
        <w:t xml:space="preserve"> </w:t>
      </w:r>
      <w:r>
        <w:t xml:space="preserve">Value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2 CSDs from non-euro area Member States (Denmark and Romania) and one non-EU CSD</w:t>
      </w:r>
      <w:r>
        <w:t xml:space="preserve"> </w:t>
      </w:r>
      <w:r>
        <w:t xml:space="preserve">(Switzerland).312 T2S offers settlement in Euro and in Danish Krone.</w:t>
      </w:r>
      <w:r>
        <w:t xml:space="preserve"> </w:t>
      </w:r>
      <w:r>
        <w:t xml:space="preserve">Through its goal to make cross-border securities settlement operations as seamless as</w:t>
      </w:r>
      <w:r>
        <w:t xml:space="preserve"> </w:t>
      </w:r>
      <w:r>
        <w:t xml:space="preserve">domestic ones, T2S has contributed to removing some of the barriers in cross-border</w:t>
      </w:r>
      <w:r>
        <w:t xml:space="preserve"> </w:t>
      </w:r>
      <w:r>
        <w:t xml:space="preserve">settlement. This has been accomplished by the effective outsourcing of settlement from</w:t>
      </w:r>
      <w:r>
        <w:t xml:space="preserve"> </w:t>
      </w:r>
      <w:r>
        <w:t xml:space="preserve">CSDs to T2S (central maintenance and notary services remain in national CSDs).313 T2S has</w:t>
      </w:r>
      <w:r>
        <w:t xml:space="preserve"> </w:t>
      </w:r>
      <w:r>
        <w:t xml:space="preserve">i) harmonised business hours and calendars, ii) addressed the absence of, or differences in,</w:t>
      </w:r>
      <w:r>
        <w:t xml:space="preserve"> </w:t>
      </w:r>
      <w:r>
        <w:t xml:space="preserve">intraday settlement finality affecting cross-border transactions, iii) put in place common</w:t>
      </w:r>
      <w:r>
        <w:t xml:space="preserve"> </w:t>
      </w:r>
      <w:r>
        <w:t xml:space="preserve">communication and messaging standards, and iv) made idiosyncratic technological</w:t>
      </w:r>
      <w:r>
        <w:t xml:space="preserve"> </w:t>
      </w:r>
      <w:r>
        <w:t xml:space="preserve">infrastructure redundant. In addition, T2S enabled cash pooling, allowing market</w:t>
      </w:r>
      <w:r>
        <w:t xml:space="preserve"> </w:t>
      </w:r>
      <w:r>
        <w:t xml:space="preserve">participants to consolidate their cash balances into one single account at a central bank</w:t>
      </w:r>
      <w:r>
        <w:t xml:space="preserve"> </w:t>
      </w:r>
      <w:r>
        <w:t xml:space="preserve">connected to the platform and to benefit from liquidity optimisation as well as netting tools.</w:t>
      </w:r>
      <w:r>
        <w:t xml:space="preserve"> </w:t>
      </w:r>
      <w:r>
        <w:t xml:space="preserve">Finally, it also contributed to the efforts aimed at adopting harmonised market standards,</w:t>
      </w:r>
      <w:r>
        <w:t xml:space="preserve"> </w:t>
      </w:r>
      <w:r>
        <w:t xml:space="preserve">including for corporate actions.</w:t>
      </w:r>
      <w:r>
        <w:t xml:space="preserve"> </w:t>
      </w:r>
      <w:r>
        <w:t xml:space="preserve">Participation in T2S is not sufficient to allow for cross-CSD settlement of securities; for that</w:t>
      </w:r>
      <w:r>
        <w:t xml:space="preserve"> </w:t>
      </w:r>
      <w:r>
        <w:t xml:space="preserve">to happen, links need to be established between CSDs that are connected to T2S. Once links</w:t>
      </w:r>
      <w:r>
        <w:t xml:space="preserve"> </w:t>
      </w:r>
      <w:r>
        <w:t xml:space="preserve">are established in accordance with the requirements and procedures set out in the CSDR,314</w:t>
      </w:r>
      <w:r>
        <w:t xml:space="preserve"> </w:t>
      </w:r>
      <w:r>
        <w:t xml:space="preserve">cross-CSD settlement via T2S becomes possible. T2S has helped to reduce the costs of</w:t>
      </w:r>
      <w:r>
        <w:t xml:space="preserve"> </w:t>
      </w:r>
      <w:r>
        <w:t xml:space="preserve">settlement for cross-border transactions. In addition, the streamlining of processes and</w:t>
      </w:r>
      <w:r>
        <w:t xml:space="preserve"> </w:t>
      </w:r>
      <w:r>
        <w:t xml:space="preserve">standardisation fostered by T2S has reduced the cost of establishing direct standard links</w:t>
      </w:r>
      <w:r>
        <w:t xml:space="preserve"> </w:t>
      </w:r>
      <w:r>
        <w:t xml:space="preserve">between CSDs connected to T2S compared to those not connected to T2S. Finally, T2S has</w:t>
      </w:r>
      <w:r>
        <w:t xml:space="preserve"> </w:t>
      </w:r>
      <w:r>
        <w:t xml:space="preserve">also reduced the costs of cross-border settlement via banks, since they now only need one</w:t>
      </w:r>
      <w:r>
        <w:t xml:space="preserve"> </w:t>
      </w:r>
      <w:r>
        <w:t xml:space="preserve">cash account at a central bank connected to T2S.</w:t>
      </w:r>
    </w:p>
    <w:p>
      <w:pPr>
        <w:pStyle w:val="BodyText"/>
      </w:pPr>
      <w:r>
        <w:t xml:space="preserve">Another way of measuring the evolution of cross-border services provided by CSDs is to look</w:t>
      </w:r>
      <w:r>
        <w:t xml:space="preserve"> </w:t>
      </w:r>
      <w:r>
        <w:t xml:space="preserve">how important the services provided by a CSD established in a Member State are for</w:t>
      </w:r>
      <w:r>
        <w:t xml:space="preserve"> </w:t>
      </w:r>
      <w:r>
        <w:t xml:space="preserve">participants and issuers from other Member States.</w:t>
      </w:r>
      <w:r>
        <w:br/>
      </w:r>
      <w:r>
        <w:t xml:space="preserve">As shown in Figures 5 and 6, the number of host Member States in which the activities of CSDs</w:t>
      </w:r>
      <w:r>
        <w:t xml:space="preserve"> </w:t>
      </w:r>
      <w:r>
        <w:t xml:space="preserve">from other Member States are of substantial importance has remained stable since 2020. Most</w:t>
      </w:r>
      <w:r>
        <w:t xml:space="preserve"> </w:t>
      </w:r>
      <w:r>
        <w:t xml:space="preserve">CSDs have no substantially important activity in any host Member State, i.e. most CSDs mainly</w:t>
      </w:r>
      <w:r>
        <w:t xml:space="preserve"> </w:t>
      </w:r>
      <w:r>
        <w:t xml:space="preserve">provide their services to domestic participants. Although the extent of cross-border provision</w:t>
      </w:r>
      <w:r>
        <w:t xml:space="preserve"> </w:t>
      </w:r>
      <w:r>
        <w:t xml:space="preserve">of notary and central maintenance services can be measured in various ways, it is evident that</w:t>
      </w:r>
      <w:r>
        <w:t xml:space="preserve"> </w:t>
      </w:r>
      <w:r>
        <w:t xml:space="preserve">apart from the two ICSDs, the vast majority of CSDs are serving national markets. While most</w:t>
      </w:r>
      <w:r>
        <w:t xml:space="preserve"> </w:t>
      </w:r>
      <w:r>
        <w:t xml:space="preserve">CSDs provide between 5%-20% of notary and central maintenance services in relation to</w:t>
      </w:r>
      <w:r>
        <w:t xml:space="preserve"> </w:t>
      </w:r>
      <w:r>
        <w:t xml:space="preserve">securities issued by issuers from other EEA states, 3 of them provide almost all their services</w:t>
      </w:r>
      <w:r>
        <w:t xml:space="preserve"> </w:t>
      </w:r>
      <w:r>
        <w:t xml:space="preserve">in respect of such instruments: the two ICSDs and Nasdaq CSD.315</w:t>
      </w:r>
    </w:p>
    <w:p>
      <w:pPr>
        <w:pStyle w:val="BodyText"/>
      </w:pPr>
      <w:r>
        <w:t xml:space="preserve">312 For a list of CSDs participating to T2S see: https://www.ecb.europa.eu/paym/target/target-professional-use-</w:t>
      </w:r>
      <w:r>
        <w:t xml:space="preserve"> </w:t>
      </w:r>
      <w:r>
        <w:t xml:space="preserve">documents-links/t2s/shared/pdf/List_of_CSDs_connected_to_T2S.pdf</w:t>
      </w:r>
      <w:r>
        <w:br/>
      </w:r>
      <w:r>
        <w:t xml:space="preserve">313 T2S is therefore not considered a CSD under the CSDR. Please note that T2S only performs the technical</w:t>
      </w:r>
      <w:r>
        <w:t xml:space="preserve"> </w:t>
      </w:r>
      <w:r>
        <w:t xml:space="preserve">settlement; from a legal perspective, settlement takes places in the securities accounts of the CSDs connected to</w:t>
      </w:r>
      <w:r>
        <w:t xml:space="preserve"> </w:t>
      </w:r>
      <w:r>
        <w:t xml:space="preserve">T2S.</w:t>
      </w:r>
      <w:r>
        <w:t xml:space="preserve"> </w:t>
      </w:r>
      <w:r>
        <w:t xml:space="preserve">314 See Section 2.4.2.3 and Section 3.1.1.</w:t>
      </w:r>
      <w:r>
        <w:t xml:space="preserve"> </w:t>
      </w:r>
      <w:r>
        <w:t xml:space="preserve">315 “Provision of cross-border services by CSDs and handling of applications under Article 23 of CSDR from</w:t>
      </w:r>
      <w:r>
        <w:t xml:space="preserve"> </w:t>
      </w:r>
      <w:r>
        <w:t xml:space="preserve">2020 to 2022“, European Securities and Markets Authority, ESMA74-2119945925-1568, 31 January 2024. See</w:t>
      </w:r>
      <w:r>
        <w:t xml:space="preserve"> </w:t>
      </w:r>
      <w:r>
        <w:t xml:space="preserve">paragraph 79.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Figure 5: Number of CSDs by bucket of</w:t>
      </w:r>
      <w:r>
        <w:t xml:space="preserve"> </w:t>
      </w:r>
      <w:r>
        <w:t xml:space="preserve">number of other EEA states for which a</w:t>
      </w:r>
      <w:r>
        <w:t xml:space="preserve"> </w:t>
      </w:r>
      <w:r>
        <w:t xml:space="preserve">CSD is of substantial importance</w:t>
      </w:r>
      <w:r>
        <w:t xml:space="preserve"> </w:t>
      </w:r>
      <w:r>
        <w:t xml:space="preserve">Figure 6: Number of CSDs by bucket of</w:t>
      </w:r>
      <w:r>
        <w:t xml:space="preserve"> </w:t>
      </w:r>
      <w:r>
        <w:t xml:space="preserve">share in other EEA states of the value of</w:t>
      </w:r>
      <w:r>
        <w:t xml:space="preserve"> </w:t>
      </w:r>
      <w:r>
        <w:t xml:space="preserve">financial instruments that are initially</w:t>
      </w:r>
      <w:r>
        <w:t xml:space="preserve"> </w:t>
      </w:r>
      <w:r>
        <w:t xml:space="preserve">recorded or centrally maintained in securities</w:t>
      </w:r>
      <w:r>
        <w:t xml:space="preserve"> </w:t>
      </w:r>
      <w:r>
        <w:t xml:space="preserve">accounts by the CSD for participants from</w:t>
      </w:r>
      <w:r>
        <w:t xml:space="preserve"> </w:t>
      </w:r>
      <w:r>
        <w:t xml:space="preserve">other Member States.</w:t>
      </w:r>
    </w:p>
    <w:p>
      <w:pPr>
        <w:pStyle w:val="BodyText"/>
      </w:pPr>
      <w:r>
        <w:t xml:space="preserve">Source: “Provision of cross border services by CSDs and handling of applications under Article 23 of CSDR</w:t>
      </w:r>
      <w:r>
        <w:t xml:space="preserve"> </w:t>
      </w:r>
      <w:r>
        <w:t xml:space="preserve">from 2020 to 2022”, ESMA74,2119945925-1568, paragraphs 73 and 80.</w:t>
      </w:r>
      <w:r>
        <w:t xml:space="preserve"> </w:t>
      </w:r>
      <w:r>
        <w:t xml:space="preserve">A similar picture emerges when the share of securities that a CSD holds in other CSDs are</w:t>
      </w:r>
      <w:r>
        <w:t xml:space="preserve"> </w:t>
      </w:r>
      <w:r>
        <w:t xml:space="preserve">looked at as a share of total securities it holds. As Figure 7 shows, only three EU CSDs (i.e. the</w:t>
      </w:r>
      <w:r>
        <w:t xml:space="preserve"> </w:t>
      </w:r>
      <w:r>
        <w:t xml:space="preserve">two ICSDs and the Luxembourgish CSD) have a share of more than 20%, while a large majority</w:t>
      </w:r>
      <w:r>
        <w:t xml:space="preserve"> </w:t>
      </w:r>
      <w:r>
        <w:t xml:space="preserve">of CSDs has less than 5%. This shows the challenges that investors in smaller markets face in</w:t>
      </w:r>
      <w:r>
        <w:t xml:space="preserve"> </w:t>
      </w:r>
      <w:r>
        <w:t xml:space="preserve">accessing investment opportunities (and providing liquidity) throughout the EU. While a</w:t>
      </w:r>
      <w:r>
        <w:t xml:space="preserve"> </w:t>
      </w:r>
      <w:r>
        <w:t xml:space="preserve">smaller CSD (as an investor-CSD) can theoretically rely on a single link to another CSD with</w:t>
      </w:r>
      <w:r>
        <w:t xml:space="preserve"> </w:t>
      </w:r>
      <w:r>
        <w:t xml:space="preserve">multiple links to gain relayed access to a large number of issuer-CSDs, in practice, among</w:t>
      </w:r>
      <w:r>
        <w:t xml:space="preserve"> </w:t>
      </w:r>
      <w:r>
        <w:t xml:space="preserve">CSDs with one or two links, the ability to establish broad access appears to be lacking.316</w:t>
      </w:r>
      <w:r>
        <w:t xml:space="preserve"> </w:t>
      </w:r>
      <w:r>
        <w:t xml:space="preserve">Therefore, these low figures can, more generally, be a sign of the low level of cross-border</w:t>
      </w:r>
      <w:r>
        <w:t xml:space="preserve"> </w:t>
      </w:r>
      <w:r>
        <w:t xml:space="preserve">investment in the EU, and not only a sign of low use of links.</w:t>
      </w:r>
    </w:p>
    <w:p>
      <w:pPr>
        <w:pStyle w:val="BodyText"/>
      </w:pPr>
      <w:r>
        <w:t xml:space="preserve">316 See Advisory Group on Market Infrastructures for Securities and Collateral (Ami-Seco), “Remaining barriers</w:t>
      </w:r>
      <w:r>
        <w:t xml:space="preserve"> </w:t>
      </w:r>
      <w:r>
        <w:t xml:space="preserve">to integration in securities post-trade services – issues and recommendations”, Chapter 5.2.1, September 2025.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Figure 7: Securities held at another CSD 2015 and 2023</w:t>
      </w:r>
      <w:r>
        <w:t xml:space="preserve"> </w:t>
      </w:r>
      <w:r>
        <w:t xml:space="preserve">Source: Calculations based on ECB Securities Settlement Statistics, see:</w:t>
      </w:r>
      <w:r>
        <w:t xml:space="preserve"> </w:t>
      </w:r>
      <w:r>
        <w:t xml:space="preserve">https://www.ecb.europa.eu/stats/payment_statistics/securities/html/index.en.html</w:t>
      </w:r>
      <w:r>
        <w:br/>
      </w:r>
      <w:r>
        <w:t xml:space="preserve">Based on the CSD data provided above, one could conclude that while cross-border provision</w:t>
      </w:r>
      <w:r>
        <w:t xml:space="preserve"> </w:t>
      </w:r>
      <w:r>
        <w:t xml:space="preserve">of services in the area of post trade has increased since the introduction of the CSDR, the</w:t>
      </w:r>
      <w:r>
        <w:t xml:space="preserve"> </w:t>
      </w:r>
      <w:r>
        <w:t xml:space="preserve">increase has been relatively limited. However, looking only at CSD data can provide a</w:t>
      </w:r>
      <w:r>
        <w:t xml:space="preserve"> </w:t>
      </w:r>
      <w:r>
        <w:t xml:space="preserve">misleading picture. Indeed, as regards settlement services, there is growing recognition317 that</w:t>
      </w:r>
      <w:r>
        <w:t xml:space="preserve"> </w:t>
      </w:r>
      <w:r>
        <w:t xml:space="preserve">a large share of cross-border settlement, in particular in terms of volume, is executed outside</w:t>
      </w:r>
      <w:r>
        <w:t xml:space="preserve"> </w:t>
      </w:r>
      <w:r>
        <w:t xml:space="preserve">of CSDs via a process referred to as internalised settlement. Internalised settlement is the</w:t>
      </w:r>
      <w:r>
        <w:t xml:space="preserve"> </w:t>
      </w:r>
      <w:r>
        <w:t xml:space="preserve">process under which an intermediary (a bank or an investment firm) settles securities</w:t>
      </w:r>
      <w:r>
        <w:t xml:space="preserve"> </w:t>
      </w:r>
      <w:r>
        <w:t xml:space="preserve">transactions in its own accounts, outside of a CSD’s securities settlement system.</w:t>
      </w:r>
      <w:r>
        <w:br/>
      </w:r>
      <w:r>
        <w:t xml:space="preserve">This is possible where both parties to a transaction have an account with the same intermediary;</w:t>
      </w:r>
      <w:r>
        <w:t xml:space="preserve"> </w:t>
      </w:r>
      <w:r>
        <w:t xml:space="preserve">in such cases the transaction is settled in the accounts of the institution without triggering</w:t>
      </w:r>
      <w:r>
        <w:br/>
      </w:r>
      <w:r>
        <w:t xml:space="preserve">a corresponding change in the CSD’s accounts. In a report318 published in 2020, ESMA already</w:t>
      </w:r>
      <w:r>
        <w:t xml:space="preserve"> </w:t>
      </w:r>
      <w:r>
        <w:t xml:space="preserve">emphasised “the extremely high values and volumes of internalised settlement”.</w:t>
      </w:r>
    </w:p>
    <w:p>
      <w:pPr>
        <w:pStyle w:val="BodyText"/>
      </w:pPr>
      <w:r>
        <w:t xml:space="preserve">317 See ESMA Report on Trends, Risks and Vulnerabilities No. 2, 2025, ESMA50-1949966494-3846, 9 September</w:t>
      </w:r>
      <w:r>
        <w:t xml:space="preserve"> </w:t>
      </w:r>
      <w:r>
        <w:t xml:space="preserve">2025. ESMA50-1949966494-3846 Trends, Risks and Vulnerabilities (TRV) Report, No. 2, 2025.</w:t>
      </w:r>
      <w:r>
        <w:t xml:space="preserve"> </w:t>
      </w:r>
      <w:r>
        <w:t xml:space="preserve">318 “CSDR Internalised Settlement”, European Securities and Markets Authority, ESMA70-156-3729, 05</w:t>
      </w:r>
      <w:r>
        <w:t xml:space="preserve"> </w:t>
      </w:r>
      <w:r>
        <w:t xml:space="preserve">November 2020.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Figure 8: Activity of CSDs (in blue) vs. settlement internalisers (in green) – value (left; in EUR</w:t>
      </w:r>
      <w:r>
        <w:t xml:space="preserve"> </w:t>
      </w:r>
      <w:r>
        <w:t xml:space="preserve">trillion) and volume (right; in million) of settlement instructions. Average over 2024.</w:t>
      </w:r>
    </w:p>
    <w:p>
      <w:pPr>
        <w:pStyle w:val="BodyText"/>
      </w:pPr>
      <w:r>
        <w:t xml:space="preserve">Source: TRV Risk Monitor. ESMA Report on Trends, Risks and Vulnerabilities No. 2, 2025, ESMA50-1949966494-3846, 9</w:t>
      </w:r>
      <w:r>
        <w:t xml:space="preserve"> </w:t>
      </w:r>
      <w:r>
        <w:t xml:space="preserve">September 2025. TRV Statistical Annex. ESMA Report on Trends, Risks, and Vulnerabilities No. 2, 2025, ESMA50-</w:t>
      </w:r>
      <w:r>
        <w:t xml:space="preserve"> </w:t>
      </w:r>
      <w:r>
        <w:t xml:space="preserve">1949966494-3847, 9 September 2025.</w:t>
      </w:r>
      <w:r>
        <w:t xml:space="preserve"> </w:t>
      </w:r>
      <w:r>
        <w:t xml:space="preserve">Recent data319 confirms this: as shown in Figure 8, ESMA’s observation holds particularly true</w:t>
      </w:r>
      <w:r>
        <w:t xml:space="preserve"> </w:t>
      </w:r>
      <w:r>
        <w:t xml:space="preserve">for equities, where internalised settlement volumes in 2024 were almost double than the total</w:t>
      </w:r>
      <w:r>
        <w:t xml:space="preserve"> </w:t>
      </w:r>
      <w:r>
        <w:t xml:space="preserve">settlement volumes of CSDs. In terms of value, settlement internalisers processed</w:t>
      </w:r>
      <w:r>
        <w:t xml:space="preserve"> </w:t>
      </w:r>
      <w:r>
        <w:t xml:space="preserve">approximately two-thirds of what was processed by CSDs. For exchange-traded funds, the role</w:t>
      </w:r>
      <w:r>
        <w:t xml:space="preserve"> </w:t>
      </w:r>
      <w:r>
        <w:t xml:space="preserve">of settlement internalisers over the same period was less important, though still significant:</w:t>
      </w:r>
      <w:r>
        <w:t xml:space="preserve"> </w:t>
      </w:r>
      <w:r>
        <w:t xml:space="preserve">transactions settled by settlement internalisers were approximately 80% of those settled by</w:t>
      </w:r>
      <w:r>
        <w:t xml:space="preserve"> </w:t>
      </w:r>
      <w:r>
        <w:t xml:space="preserve">CSDs, both in terms of volumes and values. Settlement carried out by settlement internalisers</w:t>
      </w:r>
      <w:r>
        <w:t xml:space="preserve"> </w:t>
      </w:r>
      <w:r>
        <w:t xml:space="preserve">has also increased over time. In terms of volume, as of end-2024, settlement internalisers</w:t>
      </w:r>
      <w:r>
        <w:t xml:space="preserve"> </w:t>
      </w:r>
      <w:r>
        <w:t xml:space="preserve">accounted for approximately almost 50% of total settlement in the EU, up from approximately</w:t>
      </w:r>
      <w:r>
        <w:t xml:space="preserve"> </w:t>
      </w:r>
      <w:r>
        <w:t xml:space="preserve">40% in Q1 2023. In terms of value, that number was around 18% of total settlement, up from</w:t>
      </w:r>
      <w:r>
        <w:t xml:space="preserve"> </w:t>
      </w:r>
      <w:r>
        <w:t xml:space="preserve">roughly 12% over the same period. In addition, while there are several thousand settlement</w:t>
      </w:r>
      <w:r>
        <w:t xml:space="preserve"> </w:t>
      </w:r>
      <w:r>
        <w:t xml:space="preserve">internalisers active in the EU, this activity is highly concentrated: the top five entities account</w:t>
      </w:r>
      <w:r>
        <w:t xml:space="preserve"> </w:t>
      </w:r>
      <w:r>
        <w:t xml:space="preserve">for over 90% of total internalised settlement. Nevertheless, it should also be noted that the fail</w:t>
      </w:r>
      <w:r>
        <w:t xml:space="preserve"> </w:t>
      </w:r>
      <w:r>
        <w:t xml:space="preserve">rates associated with this activity are noticeably lower than those in CSDs. As of Q1 2025, in</w:t>
      </w:r>
      <w:r>
        <w:t xml:space="preserve"> </w:t>
      </w:r>
      <w:r>
        <w:t xml:space="preserve">terms of volume, fail rates associated with internalised settlement were just under 3%, in</w:t>
      </w:r>
      <w:r>
        <w:t xml:space="preserve"> </w:t>
      </w:r>
      <w:r>
        <w:t xml:space="preserve">contrast to the 6% fail rate for settlement at EU CSDs. In terms of value, settlement fail rates</w:t>
      </w:r>
      <w:r>
        <w:t xml:space="preserve"> </w:t>
      </w:r>
      <w:r>
        <w:t xml:space="preserve">at settlement internalisers and CSDs amounted equally to approximately 2.5%. Fail rates,</w:t>
      </w:r>
      <w:r>
        <w:t xml:space="preserve"> </w:t>
      </w:r>
      <w:r>
        <w:t xml:space="preserve">however, are heterogeneous across different asset classes and can vary drastically. For example,</w:t>
      </w:r>
      <w:r>
        <w:t xml:space="preserve"> </w:t>
      </w:r>
      <w:r>
        <w:t xml:space="preserve">in terms of volume, settlement internalisers had higher fail rates than CSDs for UCITS and</w:t>
      </w:r>
      <w:r>
        <w:t xml:space="preserve"> </w:t>
      </w:r>
      <w:r>
        <w:t xml:space="preserve">money market instruments. In terms of value, settlement internalisers had higher fail rates than</w:t>
      </w:r>
      <w:r>
        <w:t xml:space="preserve"> </w:t>
      </w:r>
      <w:r>
        <w:t xml:space="preserve">CSDs for UCITS, sovereigns, bonds, and money market instruments.</w:t>
      </w:r>
    </w:p>
    <w:p>
      <w:pPr>
        <w:pStyle w:val="BodyText"/>
      </w:pPr>
      <w:r>
        <w:t xml:space="preserve">319 Figures provided by ESMA using information reported under Article 9 of the CSDR.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3. ASSESSMENT OF PROBLEMS AND NEED TO ACT</w:t>
      </w:r>
      <w:r>
        <w:t xml:space="preserve"> </w:t>
      </w:r>
      <w:r>
        <w:t xml:space="preserve">3.1. PROBLEM DEFINITION AND DESCRIPTION OF CURRENT STATE-OF-PLAY</w:t>
      </w:r>
      <w:r>
        <w:br/>
      </w:r>
      <w:r>
        <w:t xml:space="preserve">3.1.1. Lack of market integration and scale</w:t>
      </w:r>
      <w:r>
        <w:t xml:space="preserve"> </w:t>
      </w:r>
      <w:r>
        <w:t xml:space="preserve">The settlement landscape in the EU is highly fragmented. Fragmentation forces market</w:t>
      </w:r>
      <w:r>
        <w:t xml:space="preserve"> </w:t>
      </w:r>
      <w:r>
        <w:t xml:space="preserve">participants to route trades and settle through multiple CSDs or intermediaries, leading</w:t>
      </w:r>
      <w:r>
        <w:br/>
      </w:r>
      <w:r>
        <w:t xml:space="preserve">to a patchwork of fees, duplicative operational set-ups and costs, as well as complex back-</w:t>
      </w:r>
      <w:r>
        <w:t xml:space="preserve"> </w:t>
      </w:r>
      <w:r>
        <w:t xml:space="preserve">office arrangements for managing accounts, procedures, and navigating disparate legal</w:t>
      </w:r>
      <w:r>
        <w:t xml:space="preserve"> </w:t>
      </w:r>
      <w:r>
        <w:t xml:space="preserve">regimes. This also has implications for the operational, legal, and business risks borne by a</w:t>
      </w:r>
      <w:r>
        <w:t xml:space="preserve"> </w:t>
      </w:r>
      <w:r>
        <w:t xml:space="preserve">given firm. Fragmented custody of securities can also impede a market participant’s ability to</w:t>
      </w:r>
      <w:r>
        <w:t xml:space="preserve"> </w:t>
      </w:r>
      <w:r>
        <w:t xml:space="preserve">mobilise collateral for covering exposures from financial transactions and can even have an</w:t>
      </w:r>
      <w:r>
        <w:t xml:space="preserve"> </w:t>
      </w:r>
      <w:r>
        <w:t xml:space="preserve">effect on funding markets, in which highly liquid securities play a critical role. Costs for core</w:t>
      </w:r>
      <w:r>
        <w:t xml:space="preserve"> </w:t>
      </w:r>
      <w:r>
        <w:t xml:space="preserve">services can also vary widely across the EU settlement ecosystem with smaller infrastructures</w:t>
      </w:r>
      <w:r>
        <w:t xml:space="preserve"> </w:t>
      </w:r>
      <w:r>
        <w:t xml:space="preserve">serving smaller markets sometimes charging comparatively higher costs. For example, one</w:t>
      </w:r>
      <w:r>
        <w:t xml:space="preserve"> </w:t>
      </w:r>
      <w:r>
        <w:t xml:space="preserve">market participant indicated that, on average, it pays almost four times more in settlement fees</w:t>
      </w:r>
      <w:r>
        <w:t xml:space="preserve"> </w:t>
      </w:r>
      <w:r>
        <w:t xml:space="preserve">at the EU CSD that demands the highest premium versus the one to which it pays the lowest</w:t>
      </w:r>
      <w:r>
        <w:t xml:space="preserve"> </w:t>
      </w:r>
      <w:r>
        <w:t xml:space="preserve">fees. Safekeeping fees on the other hand could be up to seven or eight times more depending</w:t>
      </w:r>
      <w:r>
        <w:t xml:space="preserve"> </w:t>
      </w:r>
      <w:r>
        <w:t xml:space="preserve">on the market and the type of instrument.320</w:t>
      </w:r>
      <w:r>
        <w:t xml:space="preserve"> </w:t>
      </w:r>
      <w:r>
        <w:t xml:space="preserve">In order for the SIU to deliver on its objectives, the fragmentation of the market for post-trading</w:t>
      </w:r>
      <w:r>
        <w:t xml:space="preserve"> </w:t>
      </w:r>
      <w:r>
        <w:t xml:space="preserve">services needs to be addressed. This fragmentation is due to persistent barriers to cross-border</w:t>
      </w:r>
      <w:r>
        <w:t xml:space="preserve"> </w:t>
      </w:r>
      <w:r>
        <w:t xml:space="preserve">operations, which are either legal or regulatory in nature – both at EU and national levels – or</w:t>
      </w:r>
      <w:r>
        <w:t xml:space="preserve"> </w:t>
      </w:r>
      <w:r>
        <w:t xml:space="preserve">due to an entrenched, legacy market structure and practices that reinforce the lack of seamless</w:t>
      </w:r>
      <w:r>
        <w:t xml:space="preserve"> </w:t>
      </w:r>
      <w:r>
        <w:t xml:space="preserve">settlement across borders within the Union. This fragmentation prevents both infrastructure</w:t>
      </w:r>
      <w:r>
        <w:t xml:space="preserve"> </w:t>
      </w:r>
      <w:r>
        <w:t xml:space="preserve">providers and their users from benefitting from economies of scale, i.e. access to greater</w:t>
      </w:r>
      <w:r>
        <w:t xml:space="preserve"> </w:t>
      </w:r>
      <w:r>
        <w:t xml:space="preserve">liquidity, lower costs of trading and settlement, etc. For example, one CSD has noted that while</w:t>
      </w:r>
      <w:r>
        <w:t xml:space="preserve"> </w:t>
      </w:r>
      <w:r>
        <w:t xml:space="preserve">some activities (i.e. finance, compliance, regulatory management, audit, and risk management,</w:t>
      </w:r>
      <w:r>
        <w:t xml:space="preserve"> </w:t>
      </w:r>
      <w:r>
        <w:t xml:space="preserve">among others) have been able to be consolidated into a single entity within the group, other</w:t>
      </w:r>
      <w:r>
        <w:t xml:space="preserve"> </w:t>
      </w:r>
      <w:r>
        <w:t xml:space="preserve">key activities – such as operations and management functions – have remained siloed due to</w:t>
      </w:r>
      <w:r>
        <w:t xml:space="preserve"> </w:t>
      </w:r>
      <w:r>
        <w:t xml:space="preserve">legal, fiscal and operational constraints that act as barriers in the post-trade space, e.g. disparate</w:t>
      </w:r>
      <w:r>
        <w:t xml:space="preserve"> </w:t>
      </w:r>
      <w:r>
        <w:t xml:space="preserve">legal frameworks across Member States in the EU.</w:t>
      </w:r>
      <w:r>
        <w:t xml:space="preserve"> </w:t>
      </w:r>
      <w:r>
        <w:t xml:space="preserve">CSDs that wish to operate across borders, and issuers that wish to issue their securities in other</w:t>
      </w:r>
      <w:r>
        <w:t xml:space="preserve"> </w:t>
      </w:r>
      <w:r>
        <w:t xml:space="preserve">Member States, still face significant compliance, operational and adaptation costs linked</w:t>
      </w:r>
      <w:r>
        <w:br/>
      </w:r>
      <w:r>
        <w:t xml:space="preserve">to a complex, non-fully harmonised regulatory landscape, and supplementary, often diverging,</w:t>
      </w:r>
      <w:r>
        <w:t xml:space="preserve"> </w:t>
      </w:r>
      <w:r>
        <w:t xml:space="preserve">national rules and specificities. As a result, cross-border issuance remains low. According to a</w:t>
      </w:r>
      <w:r>
        <w:t xml:space="preserve"> </w:t>
      </w:r>
      <w:r>
        <w:t xml:space="preserve">recent report by Oliver Wyman, between 2021 and 2025, 90% of EU companies with smaller</w:t>
      </w:r>
      <w:r>
        <w:t xml:space="preserve"> </w:t>
      </w:r>
      <w:r>
        <w:t xml:space="preserve">issuances (below EUR 50 million) issued within their home markets. For larger issuances, that</w:t>
      </w:r>
      <w:r>
        <w:t xml:space="preserve"> </w:t>
      </w:r>
      <w:r>
        <w:t xml:space="preserve">number remained relatively high at 75%. However, those that did issue abroad, typically chose</w:t>
      </w:r>
      <w:r>
        <w:t xml:space="preserve"> </w:t>
      </w:r>
      <w:r>
        <w:t xml:space="preserve">to do so in the US.321</w:t>
      </w:r>
      <w:r>
        <w:br/>
      </w:r>
      <w:r>
        <w:t xml:space="preserve">The current passporting regime, although simplified by CSDR Refit, remains subject</w:t>
      </w:r>
      <w:r>
        <w:br/>
      </w:r>
      <w:r>
        <w:t xml:space="preserve">to national corporate and securities law obligations (in accordance with Articles 23(3) and 49(1)</w:t>
      </w:r>
    </w:p>
    <w:p>
      <w:pPr>
        <w:pStyle w:val="BodyText"/>
      </w:pPr>
      <w:r>
        <w:t xml:space="preserve">320 Confidential information provided to DG FISMA services.</w:t>
      </w:r>
      <w:r>
        <w:t xml:space="preserve"> </w:t>
      </w:r>
      <w:r>
        <w:t xml:space="preserve">321 “The Liquidity Matrix – Rebalancing European Fragmentation: Addressing fragmentation in European Equity</w:t>
      </w:r>
      <w:r>
        <w:t xml:space="preserve"> </w:t>
      </w:r>
      <w:r>
        <w:t xml:space="preserve">Markets”, Oliver Wyman, July 2025.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of the CSDR), and creates uncertainty for CSDs wishing to operate in other Member States,</w:t>
      </w:r>
      <w:r>
        <w:t xml:space="preserve"> </w:t>
      </w:r>
      <w:r>
        <w:t xml:space="preserve">limiting their ability to fully utilise the freedoms of establishment and provision of services.</w:t>
      </w:r>
      <w:r>
        <w:br/>
      </w:r>
      <w:r>
        <w:t xml:space="preserve">As an example, one small CSD indicated that setting up notary and central maintenance</w:t>
      </w:r>
      <w:r>
        <w:t xml:space="preserve"> </w:t>
      </w:r>
      <w:r>
        <w:t xml:space="preserve">services for a single asset class in another Member State took almost five months with a cost</w:t>
      </w:r>
      <w:r>
        <w:t xml:space="preserve"> </w:t>
      </w:r>
      <w:r>
        <w:t xml:space="preserve">of EUR 30 000 and involved, among other things, legal and risk assessments, regular</w:t>
      </w:r>
      <w:r>
        <w:t xml:space="preserve"> </w:t>
      </w:r>
      <w:r>
        <w:t xml:space="preserve">communication with local authorities, and changes to rulebooks and procedures. This, in</w:t>
      </w:r>
      <w:r>
        <w:t xml:space="preserve"> </w:t>
      </w:r>
      <w:r>
        <w:t xml:space="preserve">parallel, also limits issuers’ freedom to issue in any CSD in the EU. As a result, the freedom</w:t>
      </w:r>
      <w:r>
        <w:t xml:space="preserve"> </w:t>
      </w:r>
      <w:r>
        <w:t xml:space="preserve">for issuers to use a CSD of their choice is little used in practice. Issuers prefer their “home”</w:t>
      </w:r>
      <w:r>
        <w:t xml:space="preserve"> </w:t>
      </w:r>
      <w:r>
        <w:t xml:space="preserve">CSD, where the legal framework is aligned.322. Groups operating several CSDs across multiple</w:t>
      </w:r>
      <w:r>
        <w:t xml:space="preserve"> </w:t>
      </w:r>
      <w:r>
        <w:t xml:space="preserve">Member States face regulatory barriers in allocating resources optimally and are not able to</w:t>
      </w:r>
      <w:r>
        <w:t xml:space="preserve"> </w:t>
      </w:r>
      <w:r>
        <w:t xml:space="preserve">fully leverage the synergies that can be drawn from consolidation.323 As a result, the</w:t>
      </w:r>
      <w:r>
        <w:t xml:space="preserve"> </w:t>
      </w:r>
      <w:r>
        <w:t xml:space="preserve">opportunities afforded by the Single Market are not being fully exploited, leading to suboptimal</w:t>
      </w:r>
      <w:r>
        <w:t xml:space="preserve"> </w:t>
      </w:r>
      <w:r>
        <w:t xml:space="preserve">outcomes.</w:t>
      </w:r>
      <w:r>
        <w:t xml:space="preserve"> </w:t>
      </w:r>
      <w:r>
        <w:t xml:space="preserve">For intermediaries that wish to provide cross-border services to their clients, the fragmentation</w:t>
      </w:r>
      <w:r>
        <w:t xml:space="preserve"> </w:t>
      </w:r>
      <w:r>
        <w:t xml:space="preserve">of the post-trading infrastructure means they must connect to several CSDs or use other</w:t>
      </w:r>
      <w:r>
        <w:t xml:space="preserve"> </w:t>
      </w:r>
      <w:r>
        <w:t xml:space="preserve">intermediaries, including sub-custodians, that are connected to those CSDs (the latter</w:t>
      </w:r>
      <w:r>
        <w:t xml:space="preserve"> </w:t>
      </w:r>
      <w:r>
        <w:t xml:space="preserve">intermediaries benefit from this status quo as they offer, at a cost, a single point of access that</w:t>
      </w:r>
      <w:r>
        <w:t xml:space="preserve"> </w:t>
      </w:r>
      <w:r>
        <w:t xml:space="preserve">is otherwise not possible with a fragmented EU market infrastructure landscape). According to</w:t>
      </w:r>
      <w:r>
        <w:t xml:space="preserve"> </w:t>
      </w:r>
      <w:r>
        <w:t xml:space="preserve">one firm connection costs vary between EUR 4 million and 10 million, depending on the</w:t>
      </w:r>
      <w:r>
        <w:t xml:space="preserve"> </w:t>
      </w:r>
      <w:r>
        <w:t xml:space="preserve">CSD.324 The costs of maintaining those connections also vary, between EUR 0.5 million</w:t>
      </w:r>
      <w:r>
        <w:t xml:space="preserve"> </w:t>
      </w:r>
      <w:r>
        <w:t xml:space="preserve">and 3 million annually. According to the information received, the highest part of the costs is</w:t>
      </w:r>
      <w:r>
        <w:t xml:space="preserve"> </w:t>
      </w:r>
      <w:r>
        <w:t xml:space="preserve">due to national specificities that need to be accommodated, and not by the existence of the CSD</w:t>
      </w:r>
      <w:r>
        <w:t xml:space="preserve"> </w:t>
      </w:r>
      <w:r>
        <w:t xml:space="preserve">itself.325</w:t>
      </w:r>
      <w:r>
        <w:br/>
      </w:r>
      <w:r>
        <w:t xml:space="preserve">This entails higher costs, and hence higher fees, for cross-border transactions compared to</w:t>
      </w:r>
      <w:r>
        <w:t xml:space="preserve"> </w:t>
      </w:r>
      <w:r>
        <w:t xml:space="preserve">domestic transactions, which in turn translates into less cross-border investment in securities</w:t>
      </w:r>
      <w:r>
        <w:t xml:space="preserve"> </w:t>
      </w:r>
      <w:r>
        <w:t xml:space="preserve">(including because the high costs may prevent the creation of connections between markets).</w:t>
      </w:r>
      <w:r>
        <w:t xml:space="preserve"> </w:t>
      </w:r>
      <w:r>
        <w:t xml:space="preserve">The average total settlement cost to a CSD client in Europe is EUR 0.53 per transaction, of</w:t>
      </w:r>
      <w:r>
        <w:t xml:space="preserve"> </w:t>
      </w:r>
      <w:r>
        <w:t xml:space="preserve">which roughly EUR 0.10 is pass-through of T2S charges. For T2S CSDs, the average</w:t>
      </w:r>
      <w:r>
        <w:t xml:space="preserve"> </w:t>
      </w:r>
      <w:r>
        <w:t xml:space="preserve">settlement instruction fee is EUR 0.34, including T2S charges.326 This compares unfavourably</w:t>
      </w:r>
      <w:r>
        <w:t xml:space="preserve"> </w:t>
      </w:r>
      <w:r>
        <w:t xml:space="preserve">with North America, where the average total settlement cost per transaction is EUR 0.25.327</w:t>
      </w:r>
      <w:r>
        <w:t xml:space="preserve"> </w:t>
      </w:r>
      <w:r>
        <w:t xml:space="preserve">Another source indicates that settling in a European CSD is on average 65% more expensive</w:t>
      </w:r>
      <w:r>
        <w:t xml:space="preserve"> </w:t>
      </w:r>
      <w:r>
        <w:t xml:space="preserve">than a North American (US and Canada) CSD with a weighted average of EUR 0.38 across 9</w:t>
      </w:r>
      <w:r>
        <w:t xml:space="preserve"> </w:t>
      </w:r>
      <w:r>
        <w:t xml:space="preserve">European CSDs. Furthermore, every EU-based CSD included in the analysis exhibited a higher</w:t>
      </w:r>
      <w:r>
        <w:t xml:space="preserve"> </w:t>
      </w:r>
      <w:r>
        <w:t xml:space="preserve">fee per settlement than the two North American CSDs. Including the ICSDs, this means that if</w:t>
      </w:r>
      <w:r>
        <w:t xml:space="preserve"> </w:t>
      </w:r>
      <w:r>
        <w:t xml:space="preserve">European markets applied the same prices for CSD services as those in North America, this</w:t>
      </w:r>
      <w:r>
        <w:t xml:space="preserve"> </w:t>
      </w:r>
      <w:r>
        <w:t xml:space="preserve">would yield a cost savings of approximately EUR 947 million.328 This has ultimately negative</w:t>
      </w:r>
      <w:r>
        <w:t xml:space="preserve"> </w:t>
      </w:r>
      <w:r>
        <w:t xml:space="preserve">consequences for the international competitiveness of the EU capital market.</w:t>
      </w:r>
    </w:p>
    <w:p>
      <w:pPr>
        <w:pStyle w:val="BodyText"/>
      </w:pPr>
      <w:r>
        <w:t xml:space="preserve">322 “Study on consolidation and reducing fragmentation in trading and post-trading infrastructures in Europe”,</w:t>
      </w:r>
      <w:r>
        <w:t xml:space="preserve"> </w:t>
      </w:r>
      <w:r>
        <w:t xml:space="preserve">Final Report, Bourse Consult &amp; Civitta, September 2025:</w:t>
      </w:r>
      <w:r>
        <w:t xml:space="preserve"> </w:t>
      </w:r>
      <w:r>
        <w:t xml:space="preserve">https://op.europa.eu/en/publication/doi/10.2874/2649452</w:t>
      </w:r>
      <w:r>
        <w:br/>
      </w:r>
      <w:r>
        <w:t xml:space="preserve">323 See Section 3.2.2.</w:t>
      </w:r>
      <w:r>
        <w:t xml:space="preserve"> </w:t>
      </w:r>
      <w:r>
        <w:t xml:space="preserve">324 Confidential information provided to DG FISMA services.</w:t>
      </w:r>
      <w:r>
        <w:t xml:space="preserve"> </w:t>
      </w:r>
      <w:r>
        <w:t xml:space="preserve">325 Confidential information provided to DG FISMA services.</w:t>
      </w:r>
      <w:r>
        <w:t xml:space="preserve"> </w:t>
      </w:r>
      <w:r>
        <w:t xml:space="preserve">326 “Analysis of CSD fees in major European markets”, AFME, October 2025.</w:t>
      </w:r>
      <w:r>
        <w:t xml:space="preserve"> </w:t>
      </w:r>
      <w:r>
        <w:t xml:space="preserve">327 “Study on consolidation and reducing fragmentation in trading and post-trading infrastructures in Europe”,</w:t>
      </w:r>
      <w:r>
        <w:t xml:space="preserve"> </w:t>
      </w:r>
      <w:r>
        <w:t xml:space="preserve">Final Report, Bourse Consult &amp; Civitta, September 2025 (forthcoming).</w:t>
      </w:r>
      <w:r>
        <w:t xml:space="preserve"> </w:t>
      </w:r>
      <w:r>
        <w:t xml:space="preserve">328 “Analysis of CSD fees in major European markets”, AFME, October 2025.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3.1.2. Fragmented, less efficient and ineffective supervision</w:t>
      </w:r>
      <w:r>
        <w:br/>
      </w:r>
      <w:r>
        <w:t xml:space="preserve">Please refer to the Annex 11 on supervision, Section 3b.</w:t>
      </w:r>
      <w:r>
        <w:br/>
      </w:r>
      <w:r>
        <w:t xml:space="preserve">3.1.3. Obstacles to innovation and uptake of new technologies329</w:t>
      </w:r>
      <w:r>
        <w:t xml:space="preserve"> </w:t>
      </w:r>
      <w:r>
        <w:t xml:space="preserve">A combination of EU legislation, such as the CSDR, the SFD and the FCD, that was not initially</w:t>
      </w:r>
      <w:r>
        <w:t xml:space="preserve"> </w:t>
      </w:r>
      <w:r>
        <w:t xml:space="preserve">drafted with the specific characteristics of new technologies, in particular DLT, creates legal</w:t>
      </w:r>
      <w:r>
        <w:t xml:space="preserve"> </w:t>
      </w:r>
      <w:r>
        <w:t xml:space="preserve">uncertainty for market participants. Oliver Wyman noted that such new technologies have the</w:t>
      </w:r>
      <w:r>
        <w:t xml:space="preserve"> </w:t>
      </w:r>
      <w:r>
        <w:t xml:space="preserve">potential to increase the efficiency and resilience of the back-office processes that underpin</w:t>
      </w:r>
      <w:r>
        <w:t xml:space="preserve"> </w:t>
      </w:r>
      <w:r>
        <w:t xml:space="preserve">settlement. In addition, DLT-based systems can improve the security and transparency of</w:t>
      </w:r>
      <w:r>
        <w:t xml:space="preserve"> </w:t>
      </w:r>
      <w:r>
        <w:t xml:space="preserve">transaction reporting and help reduce the cost of sometimes complex reconciliation</w:t>
      </w:r>
      <w:r>
        <w:t xml:space="preserve"> </w:t>
      </w:r>
      <w:r>
        <w:t xml:space="preserve">exercises.330 However, while this technology is promising, as noted in a recent publication by</w:t>
      </w:r>
      <w:r>
        <w:t xml:space="preserve"> </w:t>
      </w:r>
      <w:r>
        <w:t xml:space="preserve">the Deutsche Bundesbank,331 it still suffers from “limited scalability and technical maturity”,</w:t>
      </w:r>
      <w:r>
        <w:t xml:space="preserve"> </w:t>
      </w:r>
      <w:r>
        <w:t xml:space="preserve">which currently hinders its widespread use and adoption. These limitations include high latency</w:t>
      </w:r>
      <w:r>
        <w:t xml:space="preserve"> </w:t>
      </w:r>
      <w:r>
        <w:t xml:space="preserve">– i.e. the time it takes for a transaction to be finalised – as well as interoperability with other</w:t>
      </w:r>
      <w:r>
        <w:t xml:space="preserve"> </w:t>
      </w:r>
      <w:r>
        <w:t xml:space="preserve">systems, including traditional infrastructure.</w:t>
      </w:r>
      <w:r>
        <w:t xml:space="preserve"> </w:t>
      </w:r>
      <w:r>
        <w:t xml:space="preserve">Respondents to the targeted consultation noted that legal uncertainty on the applicability of</w:t>
      </w:r>
      <w:r>
        <w:t xml:space="preserve"> </w:t>
      </w:r>
      <w:r>
        <w:t xml:space="preserve">concepts, such as book-entry form and securities accounts, are faced by market participants</w:t>
      </w:r>
      <w:r>
        <w:t xml:space="preserve"> </w:t>
      </w:r>
      <w:r>
        <w:t xml:space="preserve">seeking to apply new technologies as well as those who simply want to engage in cross-border</w:t>
      </w:r>
      <w:r>
        <w:t xml:space="preserve"> </w:t>
      </w:r>
      <w:r>
        <w:t xml:space="preserve">activity. Divergent national approaches across the EU to DLT-based post-trade services,</w:t>
      </w:r>
      <w:r>
        <w:t xml:space="preserve"> </w:t>
      </w:r>
      <w:r>
        <w:t xml:space="preserve">including settlement services, is also noted in the targeted consultation as it creates legal</w:t>
      </w:r>
      <w:r>
        <w:t xml:space="preserve"> </w:t>
      </w:r>
      <w:r>
        <w:t xml:space="preserve">uncertainty and hurdles in the provision of cross-border provision of services both for new and</w:t>
      </w:r>
      <w:r>
        <w:t xml:space="preserve"> </w:t>
      </w:r>
      <w:r>
        <w:t xml:space="preserve">traditional operators. The lack of clear rules makes the cross-border deployment of new</w:t>
      </w:r>
      <w:r>
        <w:t xml:space="preserve"> </w:t>
      </w:r>
      <w:r>
        <w:t xml:space="preserve">technologies (e.g. DLT) considerably more complex, time-consuming, expensive and resource-</w:t>
      </w:r>
      <w:r>
        <w:t xml:space="preserve"> </w:t>
      </w:r>
      <w:r>
        <w:t xml:space="preserve">intensive than necessary or desirable.</w:t>
      </w:r>
      <w:r>
        <w:br/>
      </w:r>
      <w:r>
        <w:t xml:space="preserve">This in turn limits innovation by new providers and/or existing post-trade services providers,</w:t>
      </w:r>
      <w:r>
        <w:t xml:space="preserve"> </w:t>
      </w:r>
      <w:r>
        <w:t xml:space="preserve">as it hinders the development of new business models using DLT in the provision of post-trade</w:t>
      </w:r>
      <w:r>
        <w:t xml:space="preserve"> </w:t>
      </w:r>
      <w:r>
        <w:t xml:space="preserve">services and in particular settlement services, and the development of a more integrated and</w:t>
      </w:r>
      <w:r>
        <w:t xml:space="preserve"> </w:t>
      </w:r>
      <w:r>
        <w:t xml:space="preserve">technologically advanced EU capital market. It also stifles competition among providers of</w:t>
      </w:r>
      <w:r>
        <w:t xml:space="preserve"> </w:t>
      </w:r>
      <w:r>
        <w:t xml:space="preserve">CSD services, irrespective of the technology they operate with, such as notary, maintenance</w:t>
      </w:r>
      <w:r>
        <w:t xml:space="preserve"> </w:t>
      </w:r>
      <w:r>
        <w:t xml:space="preserve">and settlement (both traditional and DLT-based) as some national regimes may facilitate it, and</w:t>
      </w:r>
      <w:r>
        <w:t xml:space="preserve"> </w:t>
      </w:r>
      <w:r>
        <w:t xml:space="preserve">others not, fragmenting the market, preventing cross-border activity and potentially putting the</w:t>
      </w:r>
      <w:r>
        <w:t xml:space="preserve"> </w:t>
      </w:r>
      <w:r>
        <w:t xml:space="preserve">EU capital market at a competitive disadvantage internationally.</w:t>
      </w:r>
      <w:r>
        <w:t xml:space="preserve"> </w:t>
      </w:r>
      <w:r>
        <w:t xml:space="preserve">3.2. PROBLEM DRIVERS</w:t>
      </w:r>
      <w:r>
        <w:t xml:space="preserve"> </w:t>
      </w:r>
      <w:r>
        <w:t xml:space="preserve">The aforementioned problems are driven by two main drivers: (1) barriers to cross-border</w:t>
      </w:r>
      <w:r>
        <w:t xml:space="preserve"> </w:t>
      </w:r>
      <w:r>
        <w:t xml:space="preserve">activities and innovation; and (2) limited tools and powers at EU level to ensure convergent</w:t>
      </w:r>
      <w:r>
        <w:t xml:space="preserve"> </w:t>
      </w:r>
      <w:r>
        <w:t xml:space="preserve">supervision and effective oversight. This section focused on the first of those drivers. For more</w:t>
      </w:r>
      <w:r>
        <w:t xml:space="preserve"> </w:t>
      </w:r>
      <w:r>
        <w:t xml:space="preserve">information on second driver, please see Section 3 of Annex 11 on supervision. It is important</w:t>
      </w:r>
      <w:r>
        <w:t xml:space="preserve"> </w:t>
      </w:r>
      <w:r>
        <w:t xml:space="preserve">to note that, although they are analysed in separate annexes, these two drivers are closely</w:t>
      </w:r>
    </w:p>
    <w:p>
      <w:pPr>
        <w:pStyle w:val="BodyText"/>
      </w:pPr>
      <w:r>
        <w:t xml:space="preserve">329 Please see Annex 10 – Innovation (DLT) for further details on DLT aspects and on the DLTPRR in particular.</w:t>
      </w:r>
      <w:r>
        <w:t xml:space="preserve"> </w:t>
      </w:r>
      <w:r>
        <w:t xml:space="preserve">330 “The Liquidity Matrix – Rebalancing European Fragmentation: Addressing fragmentation in European Equity</w:t>
      </w:r>
      <w:r>
        <w:t xml:space="preserve"> </w:t>
      </w:r>
      <w:r>
        <w:t xml:space="preserve">Markets”, Oliver Wyman, July 2025.</w:t>
      </w:r>
      <w:r>
        <w:t xml:space="preserve"> </w:t>
      </w:r>
      <w:r>
        <w:t xml:space="preserve">331 “Digital money: options for large-value payments in central bank money”, Deutsche Bundesbank, Monthly</w:t>
      </w:r>
      <w:r>
        <w:t xml:space="preserve"> </w:t>
      </w:r>
      <w:r>
        <w:t xml:space="preserve">Report, September 2025.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related, interacting to reinforce and exacerbate each other, thus creating market fragmentation,</w:t>
      </w:r>
      <w:r>
        <w:t xml:space="preserve"> </w:t>
      </w:r>
      <w:r>
        <w:t xml:space="preserve">preventing or deterring market efficiencies and consolidation.</w:t>
      </w:r>
      <w:r>
        <w:t xml:space="preserve"> </w:t>
      </w:r>
      <w:r>
        <w:t xml:space="preserve">The drivers identified below have been identified through a range of sources including,</w:t>
      </w:r>
      <w:r>
        <w:br/>
      </w:r>
      <w:r>
        <w:t xml:space="preserve">but not limited to the targeted consultation, discussions with stakeholders, experience</w:t>
      </w:r>
      <w:r>
        <w:br/>
      </w:r>
      <w:r>
        <w:t xml:space="preserve">of the design and implementation of the relevant legislation.</w:t>
      </w:r>
      <w:r>
        <w:t xml:space="preserve"> </w:t>
      </w:r>
      <w:r>
        <w:t xml:space="preserve">3.2.1. Barriers to freedom of issuance, passporting and cross-border provision</w:t>
      </w:r>
      <w:r>
        <w:t xml:space="preserve"> </w:t>
      </w:r>
      <w:r>
        <w:t xml:space="preserve">of services</w:t>
      </w:r>
      <w:r>
        <w:br/>
      </w:r>
      <w:r>
        <w:t xml:space="preserve">Freedom of issuance, i.e. the right for companies to record their securities in any EU CSD</w:t>
      </w:r>
      <w:r>
        <w:br/>
      </w:r>
      <w:r>
        <w:t xml:space="preserve">of their choice is enshrined in Article 49 of the CSDR. However, this right is without prejudice</w:t>
      </w:r>
      <w:r>
        <w:t xml:space="preserve"> </w:t>
      </w:r>
      <w:r>
        <w:t xml:space="preserve">to the “corporate or similar law of the Member State under which the securities are</w:t>
      </w:r>
      <w:r>
        <w:t xml:space="preserve"> </w:t>
      </w:r>
      <w:r>
        <w:t xml:space="preserve">constituted”. Inconsistent and disparate national laws on securities ownership, corporate</w:t>
      </w:r>
      <w:r>
        <w:t xml:space="preserve"> </w:t>
      </w:r>
      <w:r>
        <w:t xml:space="preserve">registration, and tax procedures create frictions, which limit cross-border issuance</w:t>
      </w:r>
      <w:r>
        <w:br/>
      </w:r>
      <w:r>
        <w:t xml:space="preserve">(e.g. a requirement to appoint a local tax agent, which may be difficult to find and add another</w:t>
      </w:r>
      <w:r>
        <w:t xml:space="preserve"> </w:t>
      </w:r>
      <w:r>
        <w:t xml:space="preserve">layer of cost). As highlighted by several respondents to the targeted consultation, the wording</w:t>
      </w:r>
      <w:r>
        <w:t xml:space="preserve"> </w:t>
      </w:r>
      <w:r>
        <w:t xml:space="preserve">of Article 49 has proven insufficient to ensure freedom of issuance in the EU, particularly in</w:t>
      </w:r>
      <w:r>
        <w:t xml:space="preserve"> </w:t>
      </w:r>
      <w:r>
        <w:t xml:space="preserve">light of the divergent understanding by Member States of the concept of “corporate or similar</w:t>
      </w:r>
      <w:r>
        <w:t xml:space="preserve"> </w:t>
      </w:r>
      <w:r>
        <w:t xml:space="preserve">law of the Member State under which the securities are constituted.” This has enabled some</w:t>
      </w:r>
      <w:r>
        <w:t xml:space="preserve"> </w:t>
      </w:r>
      <w:r>
        <w:t xml:space="preserve">Member States’ laws to even contain restrictions that, in practice, prevent or make difficult the</w:t>
      </w:r>
      <w:r>
        <w:t xml:space="preserve"> </w:t>
      </w:r>
      <w:r>
        <w:t xml:space="preserve">issuance of securities in another Member State. For example, several respondents to the</w:t>
      </w:r>
      <w:r>
        <w:t xml:space="preserve"> </w:t>
      </w:r>
      <w:r>
        <w:t xml:space="preserve">targeted consultation pointed out that national securities laws of certain Member States directly</w:t>
      </w:r>
      <w:r>
        <w:t xml:space="preserve"> </w:t>
      </w:r>
      <w:r>
        <w:t xml:space="preserve">or indirectly only allow dematerialised issuance of securities in the domestic CSD. In particular,</w:t>
      </w:r>
      <w:r>
        <w:t xml:space="preserve"> </w:t>
      </w:r>
      <w:r>
        <w:t xml:space="preserve">some respondents highlighted that national provisions governing the recording of issuance,</w:t>
      </w:r>
      <w:r>
        <w:t xml:space="preserve"> </w:t>
      </w:r>
      <w:r>
        <w:t xml:space="preserve">dematerialisation and securities lifecycles require structures or solutions that are not feasible</w:t>
      </w:r>
      <w:r>
        <w:t xml:space="preserve"> </w:t>
      </w:r>
      <w:r>
        <w:t xml:space="preserve">for non-local CSDs. Other respondents noted that, even where national rules do not explicitly</w:t>
      </w:r>
      <w:r>
        <w:t xml:space="preserve"> </w:t>
      </w:r>
      <w:r>
        <w:t xml:space="preserve">mandate the use of domestic CSDs, the fragmentation of national regimes and the different</w:t>
      </w:r>
      <w:r>
        <w:t xml:space="preserve"> </w:t>
      </w:r>
      <w:r>
        <w:t xml:space="preserve">national interpretations of certain CSDR concepts (such as that of “corporate laws under which</w:t>
      </w:r>
      <w:r>
        <w:t xml:space="preserve"> </w:t>
      </w:r>
      <w:r>
        <w:t xml:space="preserve">securities are constituted”) directly affect the possibility for a CSD to offer services to foreign</w:t>
      </w:r>
      <w:r>
        <w:t xml:space="preserve"> </w:t>
      </w:r>
      <w:r>
        <w:t xml:space="preserve">issuers and hence for EU issuers to freely issue securities in any EU CSD. In other jurisdictions,</w:t>
      </w:r>
      <w:r>
        <w:t xml:space="preserve"> </w:t>
      </w:r>
      <w:r>
        <w:t xml:space="preserve">corporate law is embedded in other domestic financial law (e.g. securities law), which makes</w:t>
      </w:r>
      <w:r>
        <w:t xml:space="preserve"> </w:t>
      </w:r>
      <w:r>
        <w:t xml:space="preserve">identifying relevant corporate law aspects legally challenging.</w:t>
      </w:r>
      <w:r>
        <w:br/>
      </w:r>
      <w:r>
        <w:t xml:space="preserve">Furthermore, although the CSDR requires Member States to “compile a list of key relevant</w:t>
      </w:r>
      <w:r>
        <w:t xml:space="preserve"> </w:t>
      </w:r>
      <w:r>
        <w:t xml:space="preserve">provisions of their corporate or similar law” and communicate this information to ESMA for</w:t>
      </w:r>
      <w:r>
        <w:t xml:space="preserve"> </w:t>
      </w:r>
      <w:r>
        <w:t xml:space="preserve">publication, the list332 is not considered by CSDs and issuers to be compiled in a way that is</w:t>
      </w:r>
      <w:r>
        <w:t xml:space="preserve"> </w:t>
      </w:r>
      <w:r>
        <w:t xml:space="preserve">conducive to identifying the relevant requirements, despite efforts in CSDR Refit to provide</w:t>
      </w:r>
      <w:r>
        <w:t xml:space="preserve"> </w:t>
      </w:r>
      <w:r>
        <w:t xml:space="preserve">clarity. For example, stakeholders note that in some cases the list only provides high-level</w:t>
      </w:r>
      <w:r>
        <w:t xml:space="preserve"> </w:t>
      </w:r>
      <w:r>
        <w:t xml:space="preserve">references to national laws, which are oftentimes only available in the local language and</w:t>
      </w:r>
      <w:r>
        <w:t xml:space="preserve"> </w:t>
      </w:r>
      <w:r>
        <w:t xml:space="preserve">without further information and no clear indication of how these are linked to the CSDR</w:t>
      </w:r>
      <w:r>
        <w:t xml:space="preserve"> </w:t>
      </w:r>
      <w:r>
        <w:t xml:space="preserve">requirements.</w:t>
      </w:r>
      <w:r>
        <w:br/>
      </w:r>
      <w:r>
        <w:t xml:space="preserve">These barriers restrict an issuer’s freedom of choice and increase the costs of, and deter the</w:t>
      </w:r>
      <w:r>
        <w:t xml:space="preserve"> </w:t>
      </w:r>
      <w:r>
        <w:t xml:space="preserve">provision of, cross-border issuance services by CSDs thereby undermining the objectives of</w:t>
      </w:r>
      <w:r>
        <w:t xml:space="preserve"> </w:t>
      </w:r>
      <w:r>
        <w:t xml:space="preserve">the SIU.</w:t>
      </w:r>
    </w:p>
    <w:p>
      <w:pPr>
        <w:pStyle w:val="BodyText"/>
      </w:pPr>
      <w:r>
        <w:t xml:space="preserve">332 The list can be found on ESMA’s website: ESMA70-155-11634 Key relevant provisions of national corporate</w:t>
      </w:r>
      <w:r>
        <w:t xml:space="preserve"> </w:t>
      </w:r>
      <w:r>
        <w:t xml:space="preserve">or similar law - Article 49 CSDR.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Relatedly, passporting under the CSDR – i.e. the possibility for a CSD from one Member State</w:t>
      </w:r>
      <w:r>
        <w:t xml:space="preserve"> </w:t>
      </w:r>
      <w:r>
        <w:t xml:space="preserve">to provide its notary and central maintenance services in another Member State – remains</w:t>
      </w:r>
      <w:r>
        <w:t xml:space="preserve"> </w:t>
      </w:r>
      <w:r>
        <w:t xml:space="preserve">incomplete, as described in the first paragraph of this section. According to stakeholders’</w:t>
      </w:r>
      <w:r>
        <w:t xml:space="preserve"> </w:t>
      </w:r>
      <w:r>
        <w:t xml:space="preserve">responses to the targeted consultation national authorities sometimes impose specific</w:t>
      </w:r>
      <w:r>
        <w:t xml:space="preserve"> </w:t>
      </w:r>
      <w:r>
        <w:t xml:space="preserve">requirements that restrict the ability of CSDs to offer services across borders. Article 23 of the</w:t>
      </w:r>
      <w:r>
        <w:t xml:space="preserve"> </w:t>
      </w:r>
      <w:r>
        <w:t xml:space="preserve">CSDR, as amended by CSDR Refit, allows an authorised CSD to provide core services – or set</w:t>
      </w:r>
      <w:r>
        <w:t xml:space="preserve"> </w:t>
      </w:r>
      <w:r>
        <w:t xml:space="preserve">up a branch – in another Member State subject to certain conditions. These conditions primarily</w:t>
      </w:r>
      <w:r>
        <w:t xml:space="preserve"> </w:t>
      </w:r>
      <w:r>
        <w:t xml:space="preserve">relate to the provision of certain information to the home Member State’s competent authority,</w:t>
      </w:r>
      <w:r>
        <w:t xml:space="preserve"> </w:t>
      </w:r>
      <w:r>
        <w:t xml:space="preserve">namely where in the EU the services are to be provided, the services that are to be provided,</w:t>
      </w:r>
      <w:r>
        <w:t xml:space="preserve"> </w:t>
      </w:r>
      <w:r>
        <w:t xml:space="preserve">the type of involved financial instruments, the currencies to be processed, the organisational</w:t>
      </w:r>
      <w:r>
        <w:t xml:space="preserve"> </w:t>
      </w:r>
      <w:r>
        <w:t xml:space="preserve">structure of the branch (if applicable) and an assessment of how the CSD intends to allow its</w:t>
      </w:r>
      <w:r>
        <w:t xml:space="preserve"> </w:t>
      </w:r>
      <w:r>
        <w:t xml:space="preserve">users to comply with the law in the host Member State (the latter information only needs to be</w:t>
      </w:r>
      <w:r>
        <w:t xml:space="preserve"> </w:t>
      </w:r>
      <w:r>
        <w:t xml:space="preserve">provided in relation to shares). The home Member State’s competent authority is required to</w:t>
      </w:r>
      <w:r>
        <w:t xml:space="preserve"> </w:t>
      </w:r>
      <w:r>
        <w:t xml:space="preserve">transmit this information to the host Member State’s competent authority within two months,</w:t>
      </w:r>
      <w:r>
        <w:t xml:space="preserve"> </w:t>
      </w:r>
      <w:r>
        <w:t xml:space="preserve">unless the former competent authority does not wish to allow the CSD to provide these services</w:t>
      </w:r>
      <w:r>
        <w:t xml:space="preserve"> </w:t>
      </w:r>
      <w:r>
        <w:t xml:space="preserve">(or to set up a branch) as it has reasons to doubt the adequacy of the administrative structure or</w:t>
      </w:r>
      <w:r>
        <w:t xml:space="preserve"> </w:t>
      </w:r>
      <w:r>
        <w:t xml:space="preserve">the financial situation of the CSD intending to provide services in the host Member State or the</w:t>
      </w:r>
      <w:r>
        <w:t xml:space="preserve"> </w:t>
      </w:r>
      <w:r>
        <w:t xml:space="preserve">adequacy of the measures the CSD intends to take to allow its users to comply with the law in</w:t>
      </w:r>
      <w:r>
        <w:t xml:space="preserve"> </w:t>
      </w:r>
      <w:r>
        <w:t xml:space="preserve">the host Member State (in relation to shares). The CSD may then provide its services – or set</w:t>
      </w:r>
      <w:r>
        <w:t xml:space="preserve"> </w:t>
      </w:r>
      <w:r>
        <w:t xml:space="preserve">up a branch – in the host Member State at the earliest fifteen calendar days following this</w:t>
      </w:r>
      <w:r>
        <w:t xml:space="preserve"> </w:t>
      </w:r>
      <w:r>
        <w:t xml:space="preserve">transmission of information. This means that the home Member State’s competent authority</w:t>
      </w:r>
      <w:r>
        <w:t xml:space="preserve"> </w:t>
      </w:r>
      <w:r>
        <w:t xml:space="preserve">can deny the CSD the possibility to provide services in a host Member State, on the basis of an</w:t>
      </w:r>
      <w:r>
        <w:t xml:space="preserve"> </w:t>
      </w:r>
      <w:r>
        <w:t xml:space="preserve">assessment of how the CSD intends to allow its users to comply with the national law</w:t>
      </w:r>
      <w:r>
        <w:t xml:space="preserve"> </w:t>
      </w:r>
      <w:r>
        <w:t xml:space="preserve">provisions in the host Member State. This contrasts the Commission’s original proposal on</w:t>
      </w:r>
      <w:r>
        <w:t xml:space="preserve"> </w:t>
      </w:r>
      <w:r>
        <w:t xml:space="preserve">CSDR Refit, which limited the possibility for Member States to refuse passporting to only</w:t>
      </w:r>
      <w:r>
        <w:t xml:space="preserve"> </w:t>
      </w:r>
      <w:r>
        <w:t xml:space="preserve">where the home Member State’s competent authority had reasons to doubt the adequacy of the</w:t>
      </w:r>
      <w:r>
        <w:t xml:space="preserve"> </w:t>
      </w:r>
      <w:r>
        <w:t xml:space="preserve">administrative structure or the financial situation of the CSD.</w:t>
      </w:r>
      <w:r>
        <w:br/>
      </w:r>
      <w:r>
        <w:t xml:space="preserve">Moreover, the CSD must wait a minimum of two months plus fifteen days following the</w:t>
      </w:r>
      <w:r>
        <w:t xml:space="preserve"> </w:t>
      </w:r>
      <w:r>
        <w:t xml:space="preserve">provision of the required information to its competent authority before it can provide its</w:t>
      </w:r>
      <w:r>
        <w:t xml:space="preserve"> </w:t>
      </w:r>
      <w:r>
        <w:t xml:space="preserve">services – or set up a branch – in another Member State or make changes to the range of services</w:t>
      </w:r>
      <w:r>
        <w:t xml:space="preserve"> </w:t>
      </w:r>
      <w:r>
        <w:t xml:space="preserve">provided, or before it is informed by the home Member State’s competent authority of its</w:t>
      </w:r>
      <w:r>
        <w:t xml:space="preserve"> </w:t>
      </w:r>
      <w:r>
        <w:t xml:space="preserve">decision not to transmit the information to the host Member State’s competent authority. This</w:t>
      </w:r>
      <w:r>
        <w:t xml:space="preserve"> </w:t>
      </w:r>
      <w:r>
        <w:t xml:space="preserve">process, as has been highlighted by several respondents to the SIU targeted consultation, is</w:t>
      </w:r>
      <w:r>
        <w:t xml:space="preserve"> </w:t>
      </w:r>
      <w:r>
        <w:t xml:space="preserve">unnecessarily cumbersome, complicated, and costly, and undermines the ability of EU CSDs</w:t>
      </w:r>
      <w:r>
        <w:t xml:space="preserve"> </w:t>
      </w:r>
      <w:r>
        <w:t xml:space="preserve">to passport their services in the EU.</w:t>
      </w:r>
      <w:r>
        <w:br/>
      </w:r>
      <w:r>
        <w:t xml:space="preserve">CSDs operated by public bodies are not subject to the passporting requirements. This create an</w:t>
      </w:r>
      <w:r>
        <w:t xml:space="preserve"> </w:t>
      </w:r>
      <w:r>
        <w:t xml:space="preserve">unlevel playing field between public CSDs and CSDs authorised under the CSDR that is</w:t>
      </w:r>
      <w:r>
        <w:t xml:space="preserve"> </w:t>
      </w:r>
      <w:r>
        <w:t xml:space="preserve">particularly acute for the provision of cross-border services, which necessitate the passporting</w:t>
      </w:r>
      <w:r>
        <w:t xml:space="preserve"> </w:t>
      </w:r>
      <w:r>
        <w:t xml:space="preserve">of central maintenance services for CSDs establishing links, or for the issuance of securities</w:t>
      </w:r>
      <w:r>
        <w:t xml:space="preserve"> </w:t>
      </w:r>
      <w:r>
        <w:t xml:space="preserve">under the law of another Member State. Exempted from the burdensome processes pertaining</w:t>
      </w:r>
      <w:r>
        <w:t xml:space="preserve"> </w:t>
      </w:r>
      <w:r>
        <w:t xml:space="preserve">to passporting, public CSDs can thus provide those services more easily.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According to estimates provided in the CSDR Refit impact assessment,333 obtaining a passport</w:t>
      </w:r>
      <w:r>
        <w:t xml:space="preserve"> </w:t>
      </w:r>
      <w:r>
        <w:t xml:space="preserve">costs, on average, approximately EUR 30 000 and requires one person to work full time</w:t>
      </w:r>
      <w:r>
        <w:t xml:space="preserve"> </w:t>
      </w:r>
      <w:r>
        <w:t xml:space="preserve">between 1 and 3 months to prepare the application. According to one CSD, obtaining a legal</w:t>
      </w:r>
      <w:r>
        <w:t xml:space="preserve"> </w:t>
      </w:r>
      <w:r>
        <w:t xml:space="preserve">opinion related to compliance with the legal framework of a particular country has a cost of,</w:t>
      </w:r>
      <w:r>
        <w:t xml:space="preserve"> </w:t>
      </w:r>
      <w:r>
        <w:t xml:space="preserve">on average, EUR 20 000 to EUR 25 000. Legal costs therefore comprise a substantial</w:t>
      </w:r>
      <w:r>
        <w:t xml:space="preserve"> </w:t>
      </w:r>
      <w:r>
        <w:t xml:space="preserve">proportion of the total cost associated with setting up a passporting regime. In fact, one CSD</w:t>
      </w:r>
      <w:r>
        <w:t xml:space="preserve"> </w:t>
      </w:r>
      <w:r>
        <w:t xml:space="preserve">noted that it had spent almost EUR 1 000 000 solely on legal fees in an effort to set up</w:t>
      </w:r>
      <w:r>
        <w:t xml:space="preserve"> </w:t>
      </w:r>
      <w:r>
        <w:t xml:space="preserve">passporting arrangement across a large number of Member States. Relatedly, according to one</w:t>
      </w:r>
      <w:r>
        <w:t xml:space="preserve"> </w:t>
      </w:r>
      <w:r>
        <w:t xml:space="preserve">source, even arranging for extending the scope of services provided to an additional instrument</w:t>
      </w:r>
      <w:r>
        <w:t xml:space="preserve"> </w:t>
      </w:r>
      <w:r>
        <w:t xml:space="preserve">type could cost between EUR 10 000 and EUR 15 000. In certain cases, passporting requests</w:t>
      </w:r>
      <w:r>
        <w:t xml:space="preserve"> </w:t>
      </w:r>
      <w:r>
        <w:t xml:space="preserve">were not met due to incompatibilities in legal frameworks.334 In addition, according to those</w:t>
      </w:r>
      <w:r>
        <w:t xml:space="preserve"> </w:t>
      </w:r>
      <w:r>
        <w:t xml:space="preserve">estimates, the monitoring needed to ensure the continued compliance with the requirements for</w:t>
      </w:r>
      <w:r>
        <w:t xml:space="preserve"> </w:t>
      </w:r>
      <w:r>
        <w:t xml:space="preserve">the passport costs, on average, approximately EUR 2 000 per year. So a CSD that wants to</w:t>
      </w:r>
      <w:r>
        <w:t xml:space="preserve"> </w:t>
      </w:r>
      <w:r>
        <w:t xml:space="preserve">provide its services for financial instruments constituted under the law of all other (i.e. 26) EU</w:t>
      </w:r>
      <w:r>
        <w:t xml:space="preserve"> </w:t>
      </w:r>
      <w:r>
        <w:t xml:space="preserve">Member States would have to pay approximately EUR 780 000 to obtain all the necessary</w:t>
      </w:r>
      <w:r>
        <w:t xml:space="preserve"> </w:t>
      </w:r>
      <w:r>
        <w:t xml:space="preserve">passports, would need between 26 and 78 months to prepare the applications (assuming only</w:t>
      </w:r>
      <w:r>
        <w:t xml:space="preserve"> </w:t>
      </w:r>
      <w:r>
        <w:t xml:space="preserve">one person would work on the process full time) and would have to pay EUR 52 000 per year</w:t>
      </w:r>
      <w:r>
        <w:t xml:space="preserve"> </w:t>
      </w:r>
      <w:r>
        <w:t xml:space="preserve">to monitor compliance with the requirements for the different passports. It should be noted in</w:t>
      </w:r>
      <w:r>
        <w:t xml:space="preserve"> </w:t>
      </w:r>
      <w:r>
        <w:t xml:space="preserve">particular that CSDs are required to provide an assessment of the measures the CSDs intend to</w:t>
      </w:r>
      <w:r>
        <w:t xml:space="preserve"> </w:t>
      </w:r>
      <w:r>
        <w:t xml:space="preserve">take to allow their users to comply with the law in the host Member State, in relation to shares,</w:t>
      </w:r>
      <w:r>
        <w:t xml:space="preserve"> </w:t>
      </w:r>
      <w:r>
        <w:t xml:space="preserve">meaning that a separate assessment needs to be provided for each Member State in which the</w:t>
      </w:r>
      <w:r>
        <w:t xml:space="preserve"> </w:t>
      </w:r>
      <w:r>
        <w:t xml:space="preserve">CSD intends to provide services. In its latest report on the issue ESMA assessed that the</w:t>
      </w:r>
      <w:r>
        <w:t xml:space="preserve"> </w:t>
      </w:r>
      <w:r>
        <w:t xml:space="preserve">disproportionate length of time to get a “green light” for the passport as well unpredictability</w:t>
      </w:r>
      <w:r>
        <w:t xml:space="preserve"> </w:t>
      </w:r>
      <w:r>
        <w:t xml:space="preserve">with regards to duration of the processing time remain some of the main obstacles for the CSDR</w:t>
      </w:r>
      <w:r>
        <w:t xml:space="preserve"> </w:t>
      </w:r>
      <w:r>
        <w:t xml:space="preserve">passporting regime.335</w:t>
      </w:r>
      <w:r>
        <w:t xml:space="preserve"> </w:t>
      </w:r>
      <w:r>
        <w:t xml:space="preserve">As CSDR Refit simplified the passporting procedure, the abovementioned estimates may no</w:t>
      </w:r>
      <w:r>
        <w:t xml:space="preserve"> </w:t>
      </w:r>
      <w:r>
        <w:t xml:space="preserve">longer be entirely accurate. However, many respondents to the SIU targeted consultation</w:t>
      </w:r>
      <w:r>
        <w:t xml:space="preserve"> </w:t>
      </w:r>
      <w:r>
        <w:t xml:space="preserve">highlighted how even after those simplifications, the passporting procedure remains</w:t>
      </w:r>
      <w:r>
        <w:t xml:space="preserve"> </w:t>
      </w:r>
      <w:r>
        <w:t xml:space="preserve">excessively burdensome due to the need for CSDs to undertake complex and divergent</w:t>
      </w:r>
      <w:r>
        <w:t xml:space="preserve"> </w:t>
      </w:r>
      <w:r>
        <w:t xml:space="preserve">assessments. These issues serve to deter or increase the cost of cross-border operations and the</w:t>
      </w:r>
      <w:r>
        <w:t xml:space="preserve"> </w:t>
      </w:r>
      <w:r>
        <w:t xml:space="preserve">cross-border provision of services in contrast to the objectives of EU legislation and the SIU.</w:t>
      </w:r>
      <w:r>
        <w:t xml:space="preserve"> </w:t>
      </w:r>
      <w:r>
        <w:t xml:space="preserve">Nevertheless, ESMA analysis336 shows that Clearstream Banking SA as well as CSDs from the</w:t>
      </w:r>
      <w:r>
        <w:t xml:space="preserve"> </w:t>
      </w:r>
      <w:r>
        <w:t xml:space="preserve">Euroclear group have been granted passports in nearly all EEA Member States, indicating the</w:t>
      </w:r>
      <w:r>
        <w:t xml:space="preserve"> </w:t>
      </w:r>
      <w:r>
        <w:t xml:space="preserve">potential of CSD passports for cross-border integration.</w:t>
      </w:r>
      <w:r>
        <w:t xml:space="preserve"> </w:t>
      </w:r>
      <w:r>
        <w:t xml:space="preserve">3.2.2. Barriers to intra-group outsourcing</w:t>
      </w:r>
      <w:r>
        <w:br/>
      </w:r>
      <w:r>
        <w:t xml:space="preserve">The CSDR treats intra-group outsourcing – e.g. outsourcing services to a subsidiary or sister</w:t>
      </w:r>
      <w:r>
        <w:t xml:space="preserve"> </w:t>
      </w:r>
      <w:r>
        <w:t xml:space="preserve">entity within the same corporate group – the same way as it treats outsourcing to a third party;</w:t>
      </w:r>
      <w:r>
        <w:t xml:space="preserve"> </w:t>
      </w:r>
      <w:r>
        <w:t xml:space="preserve">in other words, it applies the same requirements to both types of outsourcing. This imposes</w:t>
      </w:r>
      <w:r>
        <w:t xml:space="preserve"> </w:t>
      </w:r>
      <w:r>
        <w:t xml:space="preserve">unnecessary burdens and stifles operational efficiencies that could be realised by groups</w:t>
      </w:r>
      <w:r>
        <w:t xml:space="preserve"> </w:t>
      </w:r>
      <w:r>
        <w:t xml:space="preserve">operating across borders. This has, in turn, important implications for competition in the sector.</w:t>
      </w:r>
    </w:p>
    <w:p>
      <w:pPr>
        <w:pStyle w:val="BodyText"/>
      </w:pPr>
      <w:r>
        <w:t xml:space="preserve">333 See Section 2.3.1 of the CSDR Refit impact assessment, available at 220316-csdr-review-impact-</w:t>
      </w:r>
      <w:r>
        <w:t xml:space="preserve"> </w:t>
      </w:r>
      <w:r>
        <w:t xml:space="preserve">assessment_en.pdf. This data only refers to the cost of obtaining a passport and does not include the cost for</w:t>
      </w:r>
      <w:r>
        <w:t xml:space="preserve"> </w:t>
      </w:r>
      <w:r>
        <w:t xml:space="preserve">obtaining a CSD authorisation.</w:t>
      </w:r>
      <w:r>
        <w:br/>
      </w:r>
      <w:r>
        <w:t xml:space="preserve">334 Confidential data provided to DG FISMA services.</w:t>
      </w:r>
      <w:r>
        <w:t xml:space="preserve"> </w:t>
      </w:r>
      <w:r>
        <w:t xml:space="preserve">335 ”Provision of cross-border services by CSDs and handling of applications under Article 23 of CSDR from</w:t>
      </w:r>
      <w:r>
        <w:t xml:space="preserve"> </w:t>
      </w:r>
      <w:r>
        <w:t xml:space="preserve">2020 to 2022”, European Securities and Markets Authority, ESMA74-2119945925-1568, 31 January 2024.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A healthy competitive landscape would allow for any consolidation to benefit from economies</w:t>
      </w:r>
      <w:r>
        <w:t xml:space="preserve"> </w:t>
      </w:r>
      <w:r>
        <w:t xml:space="preserve">of scale and integration of technical systems and processes. Instead, groups of CSDs are</w:t>
      </w:r>
      <w:r>
        <w:t xml:space="preserve"> </w:t>
      </w:r>
      <w:r>
        <w:t xml:space="preserve">prevented from designing their organisational structure, including through staff-sharing and</w:t>
      </w:r>
      <w:r>
        <w:t xml:space="preserve"> </w:t>
      </w:r>
      <w:r>
        <w:t xml:space="preserve">other arrangements, that best suits their objectives. This prevents them, and the settlement</w:t>
      </w:r>
      <w:r>
        <w:t xml:space="preserve"> </w:t>
      </w:r>
      <w:r>
        <w:t xml:space="preserve">sector more in general, from reaping the rewards stemming from competition and</w:t>
      </w:r>
      <w:r>
        <w:t xml:space="preserve"> </w:t>
      </w:r>
      <w:r>
        <w:t xml:space="preserve">consolidation.</w:t>
      </w:r>
      <w:r>
        <w:br/>
      </w:r>
      <w:r>
        <w:t xml:space="preserve">Articles 19 of the CSDR includes an obligation for a CSD to seek authorisation in case it wishes</w:t>
      </w:r>
      <w:r>
        <w:t xml:space="preserve"> </w:t>
      </w:r>
      <w:r>
        <w:t xml:space="preserve">to outsource a core service to a third party. Article 30 of the CSDR sets out the requirements</w:t>
      </w:r>
      <w:r>
        <w:t xml:space="preserve"> </w:t>
      </w:r>
      <w:r>
        <w:t xml:space="preserve">that need to be fulfilled when the CSD outsources any activities and services (core and non-</w:t>
      </w:r>
      <w:r>
        <w:t xml:space="preserve"> </w:t>
      </w:r>
      <w:r>
        <w:t xml:space="preserve">core). The procedures to be followed are set out irrespective of whether the third party is part</w:t>
      </w:r>
      <w:r>
        <w:t xml:space="preserve"> </w:t>
      </w:r>
      <w:r>
        <w:t xml:space="preserve">of the same corporate group. This prevents CSD groups from taking full advantage of the</w:t>
      </w:r>
      <w:r>
        <w:t xml:space="preserve"> </w:t>
      </w:r>
      <w:r>
        <w:t xml:space="preserve">possible benefits from corporate synergies (e.g. allowing settlement, asset servicing, cash</w:t>
      </w:r>
      <w:r>
        <w:t xml:space="preserve"> </w:t>
      </w:r>
      <w:r>
        <w:t xml:space="preserve">settlement, IT, or human resources to be handled by a single entity in the group), including the</w:t>
      </w:r>
      <w:r>
        <w:t xml:space="preserve"> </w:t>
      </w:r>
      <w:r>
        <w:t xml:space="preserve">outsourcing of key services and is contrary to the Commission’s objective of promoting</w:t>
      </w:r>
      <w:r>
        <w:t xml:space="preserve"> </w:t>
      </w:r>
      <w:r>
        <w:t xml:space="preserve">consolidation in the post-trade space as stated in the SIU Communication. An example that has</w:t>
      </w:r>
      <w:r>
        <w:t xml:space="preserve"> </w:t>
      </w:r>
      <w:r>
        <w:t xml:space="preserve">been highlighted by a CSD relates to the treatment of staff sharing arrangements between CSDs</w:t>
      </w:r>
      <w:r>
        <w:t xml:space="preserve"> </w:t>
      </w:r>
      <w:r>
        <w:t xml:space="preserve">that are part of the same group, which under the current CSDR framework is treated in the</w:t>
      </w:r>
      <w:r>
        <w:t xml:space="preserve"> </w:t>
      </w:r>
      <w:r>
        <w:t xml:space="preserve">same way as outsourcing with third-party providers. A national authority also highlighted that</w:t>
      </w:r>
      <w:r>
        <w:t xml:space="preserve"> </w:t>
      </w:r>
      <w:r>
        <w:t xml:space="preserve">the CSDR framework does not sufficiently cater for intra-group outsourcing. Other respondents</w:t>
      </w:r>
      <w:r>
        <w:t xml:space="preserve"> </w:t>
      </w:r>
      <w:r>
        <w:t xml:space="preserve">to the targeted consultation (including CSDs and a national authority) generally mentioned that</w:t>
      </w:r>
      <w:r>
        <w:t xml:space="preserve"> </w:t>
      </w:r>
      <w:r>
        <w:t xml:space="preserve">the approach to the qualification of outsourcing is not harmonised between national competent</w:t>
      </w:r>
      <w:r>
        <w:t xml:space="preserve"> </w:t>
      </w:r>
      <w:r>
        <w:t xml:space="preserve">authorities. Even where a college of supervisors is in place, there are separate rulebooks for</w:t>
      </w:r>
      <w:r>
        <w:t xml:space="preserve"> </w:t>
      </w:r>
      <w:r>
        <w:t xml:space="preserve">each of the entities and strict requirements for outsourcing or sharing resources between group</w:t>
      </w:r>
      <w:r>
        <w:t xml:space="preserve"> </w:t>
      </w:r>
      <w:r>
        <w:t xml:space="preserve">entities. As a result, commercial efforts to consolidate market infrastructures have not been able</w:t>
      </w:r>
      <w:r>
        <w:t xml:space="preserve"> </w:t>
      </w:r>
      <w:r>
        <w:t xml:space="preserve">to deliver their full benefits.337</w:t>
      </w:r>
      <w:r>
        <w:br/>
      </w:r>
      <w:r>
        <w:t xml:space="preserve">It should be noted that considerations from an ICT risk perspective as regards outsourcing</w:t>
      </w:r>
      <w:r>
        <w:t xml:space="preserve"> </w:t>
      </w:r>
      <w:r>
        <w:t xml:space="preserve">intragroup versus outsourcing to an external third party are included in other relevant</w:t>
      </w:r>
      <w:r>
        <w:t xml:space="preserve"> </w:t>
      </w:r>
      <w:r>
        <w:t xml:space="preserve">regulations such as Regulation (EU) 2022/2554 (‘DORA’). The latter acknowledges the</w:t>
      </w:r>
      <w:r>
        <w:t xml:space="preserve"> </w:t>
      </w:r>
      <w:r>
        <w:t xml:space="preserve">relevance of intragroup outsourcing and maintains a uniform regulatory framework, applying</w:t>
      </w:r>
      <w:r>
        <w:t xml:space="preserve"> </w:t>
      </w:r>
      <w:r>
        <w:t xml:space="preserve">the same requirements regardless of whether the outsourcing provider is part of the same group</w:t>
      </w:r>
      <w:r>
        <w:t xml:space="preserve"> </w:t>
      </w:r>
      <w:r>
        <w:t xml:space="preserve">as the outsourcer.338</w:t>
      </w:r>
      <w:r>
        <w:br/>
      </w:r>
      <w:r>
        <w:t xml:space="preserve">3.2.3. Barriers related to cash settlement</w:t>
      </w:r>
      <w:r>
        <w:t xml:space="preserve"> </w:t>
      </w:r>
      <w:r>
        <w:t xml:space="preserve">In general, there are two types of barriers relating to cash settlement: (1) restrictions to the</w:t>
      </w:r>
      <w:r>
        <w:t xml:space="preserve"> </w:t>
      </w:r>
      <w:r>
        <w:t xml:space="preserve">designation of a credit institution for the provision of banking type ancillary services and (2)</w:t>
      </w:r>
      <w:r>
        <w:t xml:space="preserve"> </w:t>
      </w:r>
      <w:r>
        <w:t xml:space="preserve">issues related to settlement with tokenised forms of money.</w:t>
      </w:r>
      <w:r>
        <w:t xml:space="preserve"> </w:t>
      </w:r>
      <w:r>
        <w:t xml:space="preserve">As regards the first barrier, Article 40(1) of the CSDR requires CSDs to settle the cash leg of a</w:t>
      </w:r>
      <w:r>
        <w:t xml:space="preserve"> </w:t>
      </w:r>
      <w:r>
        <w:t xml:space="preserve">securities transaction in central bank money where practical and available. Where this is not</w:t>
      </w:r>
    </w:p>
    <w:p>
      <w:pPr>
        <w:pStyle w:val="BodyText"/>
      </w:pPr>
      <w:r>
        <w:t xml:space="preserve">337 “Study on consolidation and reducing fragmentation in trading and post-trading infrastructures in Europe”,</w:t>
      </w:r>
      <w:r>
        <w:t xml:space="preserve"> </w:t>
      </w:r>
      <w:r>
        <w:t xml:space="preserve">Final Report, Bourse Consult &amp; Civitta, September 2025:</w:t>
      </w:r>
      <w:r>
        <w:t xml:space="preserve"> </w:t>
      </w:r>
      <w:r>
        <w:t xml:space="preserve">https://op.europa.eu/en/publication/doi/10.2874/2649452</w:t>
      </w:r>
      <w:r>
        <w:br/>
      </w:r>
      <w:r>
        <w:t xml:space="preserve">338 See Recital 31 of DORA: “While intra-group provision of ICT services entails specific risks and benefits, it</w:t>
      </w:r>
      <w:r>
        <w:t xml:space="preserve"> </w:t>
      </w:r>
      <w:r>
        <w:t xml:space="preserve">should not be automatically considered less risky than the provision of ICT services by providers outside of a</w:t>
      </w:r>
      <w:r>
        <w:t xml:space="preserve"> </w:t>
      </w:r>
      <w:r>
        <w:t xml:space="preserve">financial group and should therefore be subject to the same regulatory framework. However, when ICT services</w:t>
      </w:r>
      <w:r>
        <w:t xml:space="preserve"> </w:t>
      </w:r>
      <w:r>
        <w:t xml:space="preserve">are provided from within the same financial group, financial entities might have a higher level of control over</w:t>
      </w:r>
      <w:r>
        <w:t xml:space="preserve"> </w:t>
      </w:r>
      <w:r>
        <w:t xml:space="preserve">intra-group providers, which ought to be taken into account in the overall risk assessment.”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the case, it allows CSDs to the use commercial bank money to settle the cash leg of a securities</w:t>
      </w:r>
      <w:r>
        <w:t xml:space="preserve"> </w:t>
      </w:r>
      <w:r>
        <w:t xml:space="preserve">transaction. In the latter case, the CSD can provide the commercial bank money itself (for that</w:t>
      </w:r>
      <w:r>
        <w:t xml:space="preserve"> </w:t>
      </w:r>
      <w:r>
        <w:t xml:space="preserve">it needs to obtain a banking licence) or use the services of a credit institution or a CSD with a</w:t>
      </w:r>
      <w:r>
        <w:t xml:space="preserve"> </w:t>
      </w:r>
      <w:r>
        <w:t xml:space="preserve">banking licence. Articles 54 and 55 of the CSDR detail, respectively, the requirements that need</w:t>
      </w:r>
      <w:r>
        <w:t xml:space="preserve"> </w:t>
      </w:r>
      <w:r>
        <w:t xml:space="preserve">to be fulfilled under all three of those scenarios and the procedures for obtaining the relevant</w:t>
      </w:r>
      <w:r>
        <w:t xml:space="preserve"> </w:t>
      </w:r>
      <w:r>
        <w:t xml:space="preserve">authorisations to provide banking-type ancillary services – e.g. providing cash accounts to, and</w:t>
      </w:r>
      <w:r>
        <w:t xml:space="preserve"> </w:t>
      </w:r>
      <w:r>
        <w:t xml:space="preserve">accepting deposits from, participants, providing cash credit, engaging in treasury activities etc.</w:t>
      </w:r>
      <w:r>
        <w:t xml:space="preserve"> </w:t>
      </w:r>
      <w:r>
        <w:t xml:space="preserve">– under those scenarios. A recent international review of the EU’s implementation of the</w:t>
      </w:r>
      <w:r>
        <w:t xml:space="preserve"> </w:t>
      </w:r>
      <w:r>
        <w:t xml:space="preserve">internationally agreed principles for financial market infrastructures339 noted that central bank</w:t>
      </w:r>
      <w:r>
        <w:t xml:space="preserve"> </w:t>
      </w:r>
      <w:r>
        <w:t xml:space="preserve">money should be the default settlement asset but recognised the EU framework’s additional</w:t>
      </w:r>
      <w:r>
        <w:t xml:space="preserve"> </w:t>
      </w:r>
      <w:r>
        <w:t xml:space="preserve">requirements for commercial bank settlement and thus considered the ‘gap’ to be minor.340</w:t>
      </w:r>
      <w:r>
        <w:br/>
      </w:r>
      <w:r>
        <w:t xml:space="preserve">If a CSD wishes to avail itself of the services of a credit institution, certain conditions apply.</w:t>
      </w:r>
      <w:r>
        <w:t xml:space="preserve"> </w:t>
      </w:r>
      <w:r>
        <w:t xml:space="preserve">For example, the credit institution must have a limited banking licence that allows it to provide</w:t>
      </w:r>
      <w:r>
        <w:t xml:space="preserve"> </w:t>
      </w:r>
      <w:r>
        <w:t xml:space="preserve">only accounts for the cash payments341 of securities transactions or the banking-type ancillary</w:t>
      </w:r>
      <w:r>
        <w:t xml:space="preserve"> </w:t>
      </w:r>
      <w:r>
        <w:t xml:space="preserve">services listed in Annex C to the CSDR. That credit institution must also comply with</w:t>
      </w:r>
      <w:r>
        <w:t xml:space="preserve"> </w:t>
      </w:r>
      <w:r>
        <w:t xml:space="preserve">additional capital, reporting and disclosure requirements. As an exception, if the total value of</w:t>
      </w:r>
      <w:r>
        <w:t xml:space="preserve"> </w:t>
      </w:r>
      <w:r>
        <w:t xml:space="preserve">cash settlement through the accounts opened with such credit institution is below a certain</w:t>
      </w:r>
      <w:r>
        <w:t xml:space="preserve"> </w:t>
      </w:r>
      <w:r>
        <w:t xml:space="preserve">threshold, the CSD can designate any credit institution. Among the 25 CSDs authorised under</w:t>
      </w:r>
      <w:r>
        <w:t xml:space="preserve"> </w:t>
      </w:r>
      <w:r>
        <w:t xml:space="preserve">the CSDR, five CSDs are authorised to offer banking-type ancillary services. So far, one CSD,</w:t>
      </w:r>
      <w:r>
        <w:t xml:space="preserve"> </w:t>
      </w:r>
      <w:r>
        <w:t xml:space="preserve">Euronext Securities Porto, has designated a credit institution that falls under the</w:t>
      </w:r>
      <w:r>
        <w:t xml:space="preserve"> </w:t>
      </w:r>
      <w:r>
        <w:t xml:space="preserve">abovementioned exception. According to ESMA’s CSD register,342 no CSD has designated a</w:t>
      </w:r>
      <w:r>
        <w:t xml:space="preserve"> </w:t>
      </w:r>
      <w:r>
        <w:t xml:space="preserve">credit institution with a limited banking licence as apparently no such credit institution</w:t>
      </w:r>
      <w:r>
        <w:t xml:space="preserve"> </w:t>
      </w:r>
      <w:r>
        <w:t xml:space="preserve">currently exists. One respondent to the targeted consultation noted that credit institutions that</w:t>
      </w:r>
      <w:r>
        <w:t xml:space="preserve"> </w:t>
      </w:r>
      <w:r>
        <w:t xml:space="preserve">wish to designate them for the provision of banking-type ancillary services do not because it is</w:t>
      </w:r>
      <w:r>
        <w:t xml:space="preserve"> </w:t>
      </w:r>
      <w:r>
        <w:t xml:space="preserve">not viable to create a subsidiary with a limited banking licence to provide such services.</w:t>
      </w:r>
      <w:r>
        <w:t xml:space="preserve"> </w:t>
      </w:r>
      <w:r>
        <w:t xml:space="preserve">This limits a CSD’s available options for settlement in commercial bank money in a foreign</w:t>
      </w:r>
      <w:r>
        <w:t xml:space="preserve"> </w:t>
      </w:r>
      <w:r>
        <w:t xml:space="preserve">currency (i.e. a currency other that the one available in the CSD’s Member State of</w:t>
      </w:r>
      <w:r>
        <w:t xml:space="preserve"> </w:t>
      </w:r>
      <w:r>
        <w:t xml:space="preserve">establishment). In principle, the CSD still has plenty of options to choose from: it can (i) obtain</w:t>
      </w:r>
      <w:r>
        <w:t xml:space="preserve"> </w:t>
      </w:r>
      <w:r>
        <w:t xml:space="preserve">itself a banking licence, (ii) avail itself of the services of a CSD with a banking licence, or (iii)</w:t>
      </w:r>
      <w:r>
        <w:t xml:space="preserve"> </w:t>
      </w:r>
      <w:r>
        <w:t xml:space="preserve">attempt to gain access to the central bank of the foreign currency. In reality, option (iii)is</w:t>
      </w:r>
      <w:r>
        <w:t xml:space="preserve"> </w:t>
      </w:r>
      <w:r>
        <w:t xml:space="preserve">theoretically possible, but it can be challenging to pursue for a CSD that is not domiciled in the</w:t>
      </w:r>
      <w:r>
        <w:t xml:space="preserve"> </w:t>
      </w:r>
      <w:r>
        <w:t xml:space="preserve">jurisdiction of the central bank that issues the foreign currency or economically unviable, and</w:t>
      </w:r>
      <w:r>
        <w:t xml:space="preserve"> </w:t>
      </w:r>
      <w:r>
        <w:t xml:space="preserve">option (ii) may also prove not economically viable, in particular when the settlement volumes</w:t>
      </w:r>
      <w:r>
        <w:t xml:space="preserve"> </w:t>
      </w:r>
      <w:r>
        <w:t xml:space="preserve">may at first be small. This can make the provision of settlement services for certain instruments</w:t>
      </w:r>
      <w:r>
        <w:t xml:space="preserve"> </w:t>
      </w:r>
      <w:r>
        <w:t xml:space="preserve">difficult, if not impossible. For example, this is particularly an issue for the settlement of</w:t>
      </w:r>
      <w:r>
        <w:t xml:space="preserve"> </w:t>
      </w:r>
      <w:r>
        <w:t xml:space="preserve">exchange-traded funds (ETFs), which are composite instruments with underlying assets</w:t>
      </w:r>
      <w:r>
        <w:t xml:space="preserve"> </w:t>
      </w:r>
      <w:r>
        <w:t xml:space="preserve">denominated in multiple, often non-EU (hence difficult to access for those CSDs), currencies</w:t>
      </w:r>
      <w:r>
        <w:t xml:space="preserve"> </w:t>
      </w:r>
      <w:r>
        <w:t xml:space="preserve">as the CSD may be unable to offer the settlement in the currency of the denomination of the</w:t>
      </w:r>
      <w:r>
        <w:t xml:space="preserve"> </w:t>
      </w:r>
      <w:r>
        <w:t xml:space="preserve">financial instrument.</w:t>
      </w:r>
    </w:p>
    <w:p>
      <w:pPr>
        <w:pStyle w:val="BodyText"/>
      </w:pPr>
      <w:r>
        <w:t xml:space="preserve">339 Principles for Financial Market Infrastructures.</w:t>
      </w:r>
      <w:r>
        <w:br/>
      </w:r>
      <w:r>
        <w:t xml:space="preserve">340 Implementation monitoring of PFMI: Level 2 assessment report for the European Union – PSs and CSDs/SSSs</w:t>
      </w:r>
      <w:r>
        <w:t xml:space="preserve"> </w:t>
      </w:r>
      <w:r>
        <w:t xml:space="preserve">341 Those cash payments can only be in currencies that are not issued in the country where the CSD is established.</w:t>
      </w:r>
      <w:r>
        <w:br/>
      </w:r>
      <w:r>
        <w:t xml:space="preserve">342 ESMA70-155-11635 CSD Register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This issue was also raised, albeit in a broader context, under CSDR Refit,343 which noted that</w:t>
      </w:r>
      <w:r>
        <w:t xml:space="preserve"> </w:t>
      </w:r>
      <w:r>
        <w:t xml:space="preserve">apart from being authorised themselves to provide banking services, CSDs may also use a</w:t>
      </w:r>
      <w:r>
        <w:t xml:space="preserve"> </w:t>
      </w:r>
      <w:r>
        <w:t xml:space="preserve">designated credit institution for such services. That impact assessment also noted that the</w:t>
      </w:r>
      <w:r>
        <w:t xml:space="preserve"> </w:t>
      </w:r>
      <w:r>
        <w:t xml:space="preserve">conditions set out in the CSDR for such institutions are very strict.</w:t>
      </w:r>
      <w:r>
        <w:t xml:space="preserve"> </w:t>
      </w:r>
      <w:r>
        <w:t xml:space="preserve">As regards the second barrier, as noted previously, the CSDR, in line with international</w:t>
      </w:r>
      <w:r>
        <w:t xml:space="preserve"> </w:t>
      </w:r>
      <w:r>
        <w:t xml:space="preserve">standards, requires the settlement of transactions in central bank money where practical and</w:t>
      </w:r>
      <w:r>
        <w:t xml:space="preserve"> </w:t>
      </w:r>
      <w:r>
        <w:t xml:space="preserve">available. Where the settlement of cash payments in central bank money is not practical and</w:t>
      </w:r>
      <w:r>
        <w:t xml:space="preserve"> </w:t>
      </w:r>
      <w:r>
        <w:t xml:space="preserve">available, settlement may be undertaken in commercial bank money. For a CSD operating a</w:t>
      </w:r>
      <w:r>
        <w:t xml:space="preserve"> </w:t>
      </w:r>
      <w:r>
        <w:t xml:space="preserve">DLT-based securities settlement system that wishes to use an asset that is directly compatible</w:t>
      </w:r>
      <w:r>
        <w:t xml:space="preserve"> </w:t>
      </w:r>
      <w:r>
        <w:t xml:space="preserve">with the technology underpinning that system to settle the cash leg of a transaction, settlement</w:t>
      </w:r>
      <w:r>
        <w:t xml:space="preserve"> </w:t>
      </w:r>
      <w:r>
        <w:t xml:space="preserve">in central bank money is currently not an option because currently EU central banks do not</w:t>
      </w:r>
      <w:r>
        <w:t xml:space="preserve"> </w:t>
      </w:r>
      <w:r>
        <w:t xml:space="preserve">offer digital central bank money344 for settlement on DLT platforms outside of trial</w:t>
      </w:r>
      <w:r>
        <w:t xml:space="preserve"> </w:t>
      </w:r>
      <w:r>
        <w:t xml:space="preserve">environments (although the ECB recently announced a plan that will enable settling DLT</w:t>
      </w:r>
      <w:r>
        <w:t xml:space="preserve"> </w:t>
      </w:r>
      <w:r>
        <w:t xml:space="preserve">transactions using central bank money345). While theoretically, technology could be used to</w:t>
      </w:r>
      <w:r>
        <w:t xml:space="preserve"> </w:t>
      </w:r>
      <w:r>
        <w:t xml:space="preserve">bridge the gap between settlement via DLT and central bank money, it would involve creating</w:t>
      </w:r>
      <w:r>
        <w:t xml:space="preserve"> </w:t>
      </w:r>
      <w:r>
        <w:t xml:space="preserve">an additional layer, entailing costs and complexity, as well as reducing the potential benefits of</w:t>
      </w:r>
      <w:r>
        <w:t xml:space="preserve"> </w:t>
      </w:r>
      <w:r>
        <w:t xml:space="preserve">settlement via DLT. As such, at present, although some experimentation346 has taken place, no</w:t>
      </w:r>
      <w:r>
        <w:t xml:space="preserve"> </w:t>
      </w:r>
      <w:r>
        <w:t xml:space="preserve">such system exists. Such CSDs therefore need to use commercial bank money. However, while</w:t>
      </w:r>
      <w:r>
        <w:t xml:space="preserve"> </w:t>
      </w:r>
      <w:r>
        <w:t xml:space="preserve">the DLTPRR allows for settlement to take place through tokenised forms of commercial bank</w:t>
      </w:r>
      <w:r>
        <w:t xml:space="preserve"> </w:t>
      </w:r>
      <w:r>
        <w:t xml:space="preserve">money, or e-money tokens, at present, the concept of ‘cash’ used in the CSDR (and also in the</w:t>
      </w:r>
      <w:r>
        <w:t xml:space="preserve"> </w:t>
      </w:r>
      <w:r>
        <w:t xml:space="preserve">SFD and the FCD)347 lacks clarity on its scope, in particular in terms of new tokenised forms</w:t>
      </w:r>
      <w:r>
        <w:t xml:space="preserve"> </w:t>
      </w:r>
      <w:r>
        <w:t xml:space="preserve">of money.</w:t>
      </w:r>
      <w:r>
        <w:br/>
      </w:r>
      <w:r>
        <w:t xml:space="preserve">Respondents to the targeted consultation noted that CSDs wishing to operate DLT-based</w:t>
      </w:r>
      <w:r>
        <w:t xml:space="preserve"> </w:t>
      </w:r>
      <w:r>
        <w:t xml:space="preserve">systems within the CSDR framework348 cannot use any form of tokenised money as a</w:t>
      </w:r>
      <w:r>
        <w:t xml:space="preserve"> </w:t>
      </w:r>
      <w:r>
        <w:t xml:space="preserve">settlement asset without legal ambiguity. 29 out of 33 of the respondents to these questions in</w:t>
      </w:r>
      <w:r>
        <w:t xml:space="preserve"> </w:t>
      </w:r>
      <w:r>
        <w:t xml:space="preserve">the targeted consultation underlined the need to update the definition of cash to include certain</w:t>
      </w:r>
      <w:r>
        <w:t xml:space="preserve"> </w:t>
      </w:r>
      <w:r>
        <w:t xml:space="preserve">forms of tokenised money. They argued that making use of the infrastructure for the variety of</w:t>
      </w:r>
      <w:r>
        <w:t xml:space="preserve"> </w:t>
      </w:r>
      <w:r>
        <w:t xml:space="preserve">settlement assets, such as crypto-assets, would help pooling of assets, leveraging the existing</w:t>
      </w:r>
      <w:r>
        <w:t xml:space="preserve"> </w:t>
      </w:r>
      <w:r>
        <w:t xml:space="preserve">market connectivity for bigger scalability for all relevant actors, further integration of diverse</w:t>
      </w:r>
      <w:r>
        <w:t xml:space="preserve"> </w:t>
      </w:r>
      <w:r>
        <w:t xml:space="preserve">markets, injecting further safety and investor protection in these markets and would support</w:t>
      </w:r>
      <w:r>
        <w:t xml:space="preserve"> </w:t>
      </w:r>
      <w:r>
        <w:t xml:space="preserve">the modernisation and positioning of European markets as global financial champions. Another</w:t>
      </w:r>
      <w:r>
        <w:t xml:space="preserve"> </w:t>
      </w:r>
      <w:r>
        <w:t xml:space="preserve">respondent noted that the lack of a harmonised EU-level definition or regulatory framework</w:t>
      </w:r>
      <w:r>
        <w:t xml:space="preserve"> </w:t>
      </w:r>
      <w:r>
        <w:t xml:space="preserve">explicitly recognising tokenised forms of money as cash represents a regulatory gap that limits</w:t>
      </w:r>
      <w:r>
        <w:t xml:space="preserve"> </w:t>
      </w:r>
      <w:r>
        <w:t xml:space="preserve">the seamless integration of these instruments in DLT-based settlement infrastructures, stifling</w:t>
      </w:r>
    </w:p>
    <w:p>
      <w:pPr>
        <w:pStyle w:val="BodyText"/>
      </w:pPr>
      <w:r>
        <w:t xml:space="preserve">343 Commission Staff Working Document, Impact Assessment Report accompanying the Proposal for a</w:t>
      </w:r>
      <w:r>
        <w:t xml:space="preserve"> </w:t>
      </w:r>
      <w:r>
        <w:t xml:space="preserve">Regulation of the European Parliament and of the Council amending Regulation (EU) No 909/2014, 16.3.2022,</w:t>
      </w:r>
      <w:r>
        <w:t xml:space="preserve"> </w:t>
      </w:r>
      <w:r>
        <w:t xml:space="preserve">SWD(2022) 75 final.</w:t>
      </w:r>
      <w:r>
        <w:t xml:space="preserve"> </w:t>
      </w:r>
      <w:r>
        <w:t xml:space="preserve">344 Central bank digital currency or CBDC is used interchangeable in this IA as referring to money issued digitally</w:t>
      </w:r>
      <w:r>
        <w:t xml:space="preserve"> </w:t>
      </w:r>
      <w:r>
        <w:t xml:space="preserve">by a central bank immediately compatible to use with DLT technology and DLT based systems.</w:t>
      </w:r>
      <w:r>
        <w:br/>
      </w:r>
      <w:r>
        <w:t xml:space="preserve">345 ECB commits to distributed ledger technology settlement plans with dual-track strategy</w:t>
      </w:r>
      <w:r>
        <w:t xml:space="preserve"> </w:t>
      </w:r>
      <w:r>
        <w:t xml:space="preserve">346 See, for example, https://www.bundesbank.de/en/tasks/payment-systems/trigger-solution/trigger-solution-</w:t>
      </w:r>
      <w:r>
        <w:t xml:space="preserve"> </w:t>
      </w:r>
      <w:r>
        <w:t xml:space="preserve">920174</w:t>
      </w:r>
      <w:r>
        <w:br/>
      </w:r>
      <w:r>
        <w:t xml:space="preserve">347 Of the three pieces of legislation, only the FCD contains a definition of ‘cash’; it defines it as money credited</w:t>
      </w:r>
      <w:r>
        <w:t xml:space="preserve"> </w:t>
      </w:r>
      <w:r>
        <w:t xml:space="preserve">to an account in any currency, or similar claims for the repayment of money, such as money market deposits.</w:t>
      </w:r>
      <w:r>
        <w:t xml:space="preserve"> </w:t>
      </w:r>
      <w:r>
        <w:t xml:space="preserve">348 As explained above, they can use certain tokenised forms of money in the context of the framework of the</w:t>
      </w:r>
      <w:r>
        <w:t xml:space="preserve"> </w:t>
      </w:r>
      <w:r>
        <w:t xml:space="preserve">DLTPRR.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innovation and risking unregulated activity proliferating without the appropriate safeguards in</w:t>
      </w:r>
      <w:r>
        <w:t xml:space="preserve"> </w:t>
      </w:r>
      <w:r>
        <w:t xml:space="preserve">place.</w:t>
      </w:r>
      <w:r>
        <w:t xml:space="preserve"> </w:t>
      </w:r>
      <w:r>
        <w:t xml:space="preserve">3.2.4. Underuse of T2S and the fragmented settlement landscape</w:t>
      </w:r>
      <w:r>
        <w:t xml:space="preserve"> </w:t>
      </w:r>
      <w:r>
        <w:t xml:space="preserve">Although settlement via T2S is growing, the platform continues to be underused by market</w:t>
      </w:r>
      <w:r>
        <w:t xml:space="preserve"> </w:t>
      </w:r>
      <w:r>
        <w:t xml:space="preserve">participants. Despite 23 EU CSDs being connected to T2S, transactions settled through it</w:t>
      </w:r>
      <w:r>
        <w:t xml:space="preserve"> </w:t>
      </w:r>
      <w:r>
        <w:t xml:space="preserve">represent less than 30% of the value of securities transactions settled in all CSDs.349. This is in</w:t>
      </w:r>
      <w:r>
        <w:t xml:space="preserve"> </w:t>
      </w:r>
      <w:r>
        <w:t xml:space="preserve">part because two of the largest CSDs, namely the two ICSDs are still not settling through T2S;</w:t>
      </w:r>
      <w:r>
        <w:t xml:space="preserve"> </w:t>
      </w:r>
      <w:r>
        <w:t xml:space="preserve">of the two, Euroclear Bank350 is expected to start settling euro-denominated securities through</w:t>
      </w:r>
      <w:r>
        <w:t xml:space="preserve"> </w:t>
      </w:r>
      <w:r>
        <w:t xml:space="preserve">T2S in Q2 2026 (this could lead to a substantial increase in the percentage of the total value of</w:t>
      </w:r>
      <w:r>
        <w:t xml:space="preserve"> </w:t>
      </w:r>
      <w:r>
        <w:t xml:space="preserve">securities settled in T2S), while it remains unclear if and when Clearstream Bank SA intends</w:t>
      </w:r>
      <w:r>
        <w:t xml:space="preserve"> </w:t>
      </w:r>
      <w:r>
        <w:t xml:space="preserve">to join. In addition, an important share of settlement, in particular over 80% in terms of volume</w:t>
      </w:r>
      <w:r>
        <w:t xml:space="preserve"> </w:t>
      </w:r>
      <w:r>
        <w:t xml:space="preserve">and approximately 70% in terms of value of equity instruments, happens “outside” of CSDs at</w:t>
      </w:r>
      <w:r>
        <w:t xml:space="preserve"> </w:t>
      </w:r>
      <w:r>
        <w:t xml:space="preserve">the level of settlement internalisers hence “outside” of T2S (see Section 2.4.2.3 and Section</w:t>
      </w:r>
      <w:r>
        <w:t xml:space="preserve"> </w:t>
      </w:r>
      <w:r>
        <w:t xml:space="preserve">3.2.5).</w:t>
      </w:r>
      <w:r>
        <w:t xml:space="preserve"> </w:t>
      </w:r>
      <w:r>
        <w:t xml:space="preserve">As regards the volume of transactions, T2S represents slightly less than half of the volume</w:t>
      </w:r>
      <w:r>
        <w:t xml:space="preserve"> </w:t>
      </w:r>
      <w:r>
        <w:t xml:space="preserve">(number) of transactions settled in EU CSDs. The relatively low settlement volumes have an</w:t>
      </w:r>
      <w:r>
        <w:t xml:space="preserve"> </w:t>
      </w:r>
      <w:r>
        <w:t xml:space="preserve">impact on the fees charged by T2S: given the latter’s pricing strategy, which is based on the</w:t>
      </w:r>
      <w:r>
        <w:t xml:space="preserve"> </w:t>
      </w:r>
      <w:r>
        <w:t xml:space="preserve">full recovery of the Eurosystem’s expenses for operating the platform (including the original</w:t>
      </w:r>
      <w:r>
        <w:t xml:space="preserve"> </w:t>
      </w:r>
      <w:r>
        <w:t xml:space="preserve">investment for its development),351 lower settlement volumes therefore automatically mean a</w:t>
      </w:r>
      <w:r>
        <w:t xml:space="preserve"> </w:t>
      </w:r>
      <w:r>
        <w:t xml:space="preserve">higher fee352 per transaction settled. . The total fees charged to participating CSDs in 2023</w:t>
      </w:r>
      <w:r>
        <w:t xml:space="preserve"> </w:t>
      </w:r>
      <w:r>
        <w:t xml:space="preserve">amounted to EUR 121 million, which remains insufficient to cover the T2S operating costs of</w:t>
      </w:r>
      <w:r>
        <w:t xml:space="preserve"> </w:t>
      </w:r>
      <w:r>
        <w:t xml:space="preserve">EUR 133 million.353 In general, settlement costs (both within and outside T2S) remain a</w:t>
      </w:r>
      <w:r>
        <w:t xml:space="preserve"> </w:t>
      </w:r>
      <w:r>
        <w:t xml:space="preserve">concern, with almost all stakeholder participating in the targeted consultation noting that these</w:t>
      </w:r>
      <w:r>
        <w:t xml:space="preserve"> </w:t>
      </w:r>
      <w:r>
        <w:t xml:space="preserve">costs should be reduced to improve competitiveness of EU capital markets. Nevertheless, some</w:t>
      </w:r>
      <w:r>
        <w:t xml:space="preserve"> </w:t>
      </w:r>
      <w:r>
        <w:t xml:space="preserve">EU stakeholders354 estimate that T2S can help by contributing to the harmonisation of</w:t>
      </w:r>
      <w:r>
        <w:t xml:space="preserve"> </w:t>
      </w:r>
      <w:r>
        <w:t xml:space="preserve">settlement processes and standards but only to a limited extent given the specific (notably</w:t>
      </w:r>
      <w:r>
        <w:t xml:space="preserve"> </w:t>
      </w:r>
      <w:r>
        <w:t xml:space="preserve">domestic) requirements stemming from cross-border, cross-CSD settlement and given the fact</w:t>
      </w:r>
      <w:r>
        <w:t xml:space="preserve"> </w:t>
      </w:r>
      <w:r>
        <w:t xml:space="preserve">that not all CSDs or currencies are connected to or available on T2S. Nevertheless, some</w:t>
      </w:r>
      <w:r>
        <w:t xml:space="preserve"> </w:t>
      </w:r>
      <w:r>
        <w:t xml:space="preserve">estimates indicate that using T2S could potentially reduce transaction costs by 30% when</w:t>
      </w:r>
      <w:r>
        <w:t xml:space="preserve"> </w:t>
      </w:r>
      <w:r>
        <w:t xml:space="preserve">compared to settling in a CSD not connected to the platform.355 This would translate to a saving</w:t>
      </w:r>
      <w:r>
        <w:t xml:space="preserve"> </w:t>
      </w:r>
      <w:r>
        <w:t xml:space="preserve">of at least EUR 0.15 per transaction and a settlement cost of EUR 0.37. In addition, further</w:t>
      </w:r>
      <w:r>
        <w:t xml:space="preserve"> </w:t>
      </w:r>
      <w:r>
        <w:t xml:space="preserve">costs savings generated by T2S would help further bridge the gap to US settlement costs of</w:t>
      </w:r>
      <w:r>
        <w:t xml:space="preserve"> </w:t>
      </w:r>
      <w:r>
        <w:t xml:space="preserve">EUR 0.25 Euro per transaction. A user directly connected to T2S noted that once the T2S</w:t>
      </w:r>
      <w:r>
        <w:t xml:space="preserve"> </w:t>
      </w:r>
      <w:r>
        <w:t xml:space="preserve">investment costs are fully amortised (in the near future), T2S settlement costs should decrease</w:t>
      </w:r>
      <w:r>
        <w:t xml:space="preserve"> </w:t>
      </w:r>
      <w:r>
        <w:t xml:space="preserve">significantly.356 These costs however can be substantial. Joining T2S has cost CSDs anywhere</w:t>
      </w:r>
      <w:r>
        <w:t xml:space="preserve"> </w:t>
      </w:r>
      <w:r>
        <w:t xml:space="preserve">between EUR 23 million and EUR 113 million, more than half of which can be attributed to IT</w:t>
      </w:r>
    </w:p>
    <w:p>
      <w:pPr>
        <w:pStyle w:val="BodyText"/>
      </w:pPr>
      <w:r>
        <w:t xml:space="preserve">349 Estimates based on the data from ECB Securities Settlement Statistics, see:</w:t>
      </w:r>
      <w:r>
        <w:t xml:space="preserve"> </w:t>
      </w:r>
      <w:r>
        <w:t xml:space="preserve">https://www.ecb.europa.eu/stats/payment_statistics/securities/html/index.en.html</w:t>
      </w:r>
      <w:r>
        <w:br/>
      </w:r>
      <w:r>
        <w:t xml:space="preserve">350 Euroclear Bank settlement represents approximately half of EU settlement value.</w:t>
      </w:r>
      <w:r>
        <w:br/>
      </w:r>
      <w:r>
        <w:t xml:space="preserve">351 The initial investment is expected to be fully amortised by 2029, at which point the settlement fees are expected</w:t>
      </w:r>
      <w:r>
        <w:t xml:space="preserve"> </w:t>
      </w:r>
      <w:r>
        <w:t xml:space="preserve">to decrease.</w:t>
      </w:r>
      <w:r>
        <w:t xml:space="preserve"> </w:t>
      </w:r>
      <w:r>
        <w:t xml:space="preserve">352 T2S charges a single fee per transaction, irrespective of the volume of transactions settled through it by a CSD</w:t>
      </w:r>
      <w:r>
        <w:t xml:space="preserve"> </w:t>
      </w:r>
      <w:r>
        <w:t xml:space="preserve">participant.</w:t>
      </w:r>
      <w:r>
        <w:t xml:space="preserve"> </w:t>
      </w:r>
      <w:r>
        <w:t xml:space="preserve">353 ”Study in consolidation and reducing fragmentation in trading and post-trading infrastructures in Europe”</w:t>
      </w:r>
      <w:r>
        <w:t xml:space="preserve"> </w:t>
      </w:r>
      <w:r>
        <w:t xml:space="preserve">Bourse Consult &amp; Civitta, 2025: https://op.europa.eu/en/publication/doi/10.2874/2649452</w:t>
      </w:r>
      <w:r>
        <w:br/>
      </w:r>
      <w:r>
        <w:t xml:space="preserve">354 Confidential data provided to DG FISMA services.</w:t>
      </w:r>
      <w:r>
        <w:br/>
      </w:r>
      <w:r>
        <w:t xml:space="preserve">355 Confidential data provided to DG FISMA services.</w:t>
      </w:r>
      <w:r>
        <w:t xml:space="preserve"> </w:t>
      </w:r>
      <w:r>
        <w:t xml:space="preserve">356 Confidential data provided to DG FISMA services.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development costs, followed by testing, and staff support. In addition, maintenance costs can</w:t>
      </w:r>
      <w:r>
        <w:t xml:space="preserve"> </w:t>
      </w:r>
      <w:r>
        <w:t xml:space="preserve">be up to EUR 1 million per year.357</w:t>
      </w:r>
      <w:r>
        <w:t xml:space="preserve"> </w:t>
      </w:r>
      <w:r>
        <w:t xml:space="preserve">The existing barriers that relate to market structure have also reinforced the high level of</w:t>
      </w:r>
      <w:r>
        <w:t xml:space="preserve"> </w:t>
      </w:r>
      <w:r>
        <w:t xml:space="preserve">fragmentation in the market for CSD services. While T2S has centralised settlement</w:t>
      </w:r>
      <w:r>
        <w:t xml:space="preserve"> </w:t>
      </w:r>
      <w:r>
        <w:t xml:space="preserve">infrastructure in the markets served by participating CSDs, its introduction was not sufficient</w:t>
      </w:r>
      <w:r>
        <w:t xml:space="preserve"> </w:t>
      </w:r>
      <w:r>
        <w:t xml:space="preserve">to support seamless operations across borders.</w:t>
      </w:r>
      <w:r>
        <w:br/>
      </w:r>
      <w:r>
        <w:t xml:space="preserve">As mentioned earlier, one way in which the CSDR tried to address this fragmentation was by</w:t>
      </w:r>
      <w:r>
        <w:t xml:space="preserve"> </w:t>
      </w:r>
      <w:r>
        <w:t xml:space="preserve">facilitating the establishment of links between CSDs. However, as explained in Section 2.4.2.3,</w:t>
      </w:r>
      <w:r>
        <w:t xml:space="preserve"> </w:t>
      </w:r>
      <w:r>
        <w:t xml:space="preserve">while links between CSDs in the EU have become more numerous, they are underutilised and</w:t>
      </w:r>
      <w:r>
        <w:t xml:space="preserve"> </w:t>
      </w:r>
      <w:r>
        <w:t xml:space="preserve">with very few exceptions, most CSDs maintain only a small number of links (i.e. four or fewer).</w:t>
      </w:r>
      <w:r>
        <w:t xml:space="preserve"> </w:t>
      </w:r>
      <w:r>
        <w:t xml:space="preserve">Furthermore, the existence of a link between two CSDs does not mean that a participant in</w:t>
      </w:r>
      <w:r>
        <w:t xml:space="preserve"> </w:t>
      </w:r>
      <w:r>
        <w:t xml:space="preserve">either CSD can settle transactions in securities issued in the other. This depends on the type of</w:t>
      </w:r>
      <w:r>
        <w:t xml:space="preserve"> </w:t>
      </w:r>
      <w:r>
        <w:t xml:space="preserve">financial instruments supported by a link (e.g. many of the existing links only support the</w:t>
      </w:r>
      <w:r>
        <w:t xml:space="preserve"> </w:t>
      </w:r>
      <w:r>
        <w:t xml:space="preserve">settlement of bonds, but not shares), as well as on whether the link is unidirectional or two</w:t>
      </w:r>
      <w:r>
        <w:t xml:space="preserve"> </w:t>
      </w:r>
      <w:r>
        <w:t xml:space="preserve">reciprocal links (i.e. a ‘bidirectional link’) have been established. When a link is unidirectional,</w:t>
      </w:r>
      <w:r>
        <w:t xml:space="preserve"> </w:t>
      </w:r>
      <w:r>
        <w:t xml:space="preserve">the CSD requesting the link (known as an ‘investor CSD’) opens an account at a recipient CSD</w:t>
      </w:r>
      <w:r>
        <w:t xml:space="preserve"> </w:t>
      </w:r>
      <w:r>
        <w:t xml:space="preserve">(i.e. an issuer CSD). When such a link is established, only participants in the investor CSD may</w:t>
      </w:r>
      <w:r>
        <w:t xml:space="preserve"> </w:t>
      </w:r>
      <w:r>
        <w:t xml:space="preserve">settle a security held at an issuer CSD. In order to allow for the reciprocal scenario, a</w:t>
      </w:r>
      <w:r>
        <w:t xml:space="preserve"> </w:t>
      </w:r>
      <w:r>
        <w:t xml:space="preserve">bidirectional link is needed, i.e. the two CSDs need to open an account at the other CSD to</w:t>
      </w:r>
      <w:r>
        <w:t xml:space="preserve"> </w:t>
      </w:r>
      <w:r>
        <w:t xml:space="preserve">which the link is being established. As a result, although there are numerous links in place, the</w:t>
      </w:r>
      <w:r>
        <w:t xml:space="preserve"> </w:t>
      </w:r>
      <w:r>
        <w:t xml:space="preserve">network they create is not complete and therefore the participants in all CSDs cannot settle,</w:t>
      </w:r>
      <w:r>
        <w:t xml:space="preserve"> </w:t>
      </w:r>
      <w:r>
        <w:t xml:space="preserve">directly or indirectly, their transactions in all other CSDs. This is a particular obstacle for the</w:t>
      </w:r>
      <w:r>
        <w:t xml:space="preserve"> </w:t>
      </w:r>
      <w:r>
        <w:t xml:space="preserve">growth and tapping into a European liquidity pool for smaller markets. Using as a case study358</w:t>
      </w:r>
      <w:r>
        <w:t xml:space="preserve"> </w:t>
      </w:r>
      <w:r>
        <w:t xml:space="preserve">the operation of Nasdaq CSD in the Baltic states, the study on post-trade integration notes the</w:t>
      </w:r>
      <w:r>
        <w:t xml:space="preserve"> </w:t>
      </w:r>
      <w:r>
        <w:t xml:space="preserve">limited connectivity with Euroclear and partial links to Clearstream as a factor deterring</w:t>
      </w:r>
      <w:r>
        <w:t xml:space="preserve"> </w:t>
      </w:r>
      <w:r>
        <w:t xml:space="preserve">international investors from participating in IPOs in the Baltic states.</w:t>
      </w:r>
      <w:r>
        <w:t xml:space="preserve"> </w:t>
      </w:r>
      <w:r>
        <w:t xml:space="preserve">In order for a CSD to establish a link with another CSD, it must comply with EU regulatory</w:t>
      </w:r>
      <w:r>
        <w:t xml:space="preserve"> </w:t>
      </w:r>
      <w:r>
        <w:t xml:space="preserve">requirements (Article 48 of the CSDR and the related regulatory technical standards)359 and</w:t>
      </w:r>
      <w:r>
        <w:t xml:space="preserve"> </w:t>
      </w:r>
      <w:r>
        <w:t xml:space="preserve">idiosyncratic national legal regimes (e.g. corporate, insolvency and tax laws), conduct risk</w:t>
      </w:r>
      <w:r>
        <w:t xml:space="preserve"> </w:t>
      </w:r>
      <w:r>
        <w:t xml:space="preserve">assessments and technical verifications, set up internal procedures and appropriate IT</w:t>
      </w:r>
      <w:r>
        <w:t xml:space="preserve"> </w:t>
      </w:r>
      <w:r>
        <w:t xml:space="preserve">infrastructure (e.g. to facilitate reconciliation and ensure secure compatibility and data</w:t>
      </w:r>
      <w:r>
        <w:t xml:space="preserve"> </w:t>
      </w:r>
      <w:r>
        <w:t xml:space="preserve">integrity, among other things), establish contractual arrangements and service level agreements</w:t>
      </w:r>
      <w:r>
        <w:t xml:space="preserve"> </w:t>
      </w:r>
      <w:r>
        <w:t xml:space="preserve">with the CSD it is connecting to and ensure compliance with the membership and operational</w:t>
      </w:r>
      <w:r>
        <w:t xml:space="preserve"> </w:t>
      </w:r>
      <w:r>
        <w:t xml:space="preserve">requirements of that CSD. In addition, it has to perform ongoing due diligence in order to</w:t>
      </w:r>
      <w:r>
        <w:t xml:space="preserve"> </w:t>
      </w:r>
      <w:r>
        <w:t xml:space="preserve">ensure ongoing compliance with all those elements, as well as part of the periodic CSD review</w:t>
      </w:r>
      <w:r>
        <w:t xml:space="preserve"> </w:t>
      </w:r>
      <w:r>
        <w:t xml:space="preserve">and evaluation. As such, there are both one-off, initial costs related to the establishment of links</w:t>
      </w:r>
      <w:r>
        <w:t xml:space="preserve"> </w:t>
      </w:r>
      <w:r>
        <w:t xml:space="preserve">(e.g. those related to IT setups, account setup and management, administrative work,</w:t>
      </w:r>
      <w:r>
        <w:t xml:space="preserve"> </w:t>
      </w:r>
      <w:r>
        <w:t xml:space="preserve">coordination, and legal and risk assessments, among others), as well as ongoing maintenance</w:t>
      </w:r>
      <w:r>
        <w:t xml:space="preserve"> </w:t>
      </w:r>
      <w:r>
        <w:t xml:space="preserve">costs to ensure, e.g. up-to-date legal opinions. According to several sources, the establishment</w:t>
      </w:r>
    </w:p>
    <w:p>
      <w:pPr>
        <w:pStyle w:val="BodyText"/>
      </w:pPr>
      <w:r>
        <w:t xml:space="preserve">357 Confidential data provided to DG FISMA services.</w:t>
      </w:r>
      <w:r>
        <w:t xml:space="preserve"> </w:t>
      </w:r>
      <w:r>
        <w:t xml:space="preserve">358 “Study on consolidation and reducing fragmentation in trading and post-trading infrastructures in Europe”,</w:t>
      </w:r>
      <w:r>
        <w:t xml:space="preserve"> </w:t>
      </w:r>
      <w:r>
        <w:t xml:space="preserve">Final Report, Bourse Consult &amp; Civitta, September 2025:</w:t>
      </w:r>
      <w:r>
        <w:t xml:space="preserve"> </w:t>
      </w:r>
      <w:r>
        <w:t xml:space="preserve">https://op.europa.eu/en/publication/doi/10.2874/2649452 .</w:t>
      </w:r>
      <w:r>
        <w:t xml:space="preserve"> </w:t>
      </w:r>
      <w:r>
        <w:t xml:space="preserve">359 For example, a CSD wishing to establish a standard link must either submit an application for authorisation to</w:t>
      </w:r>
      <w:r>
        <w:t xml:space="preserve"> </w:t>
      </w:r>
      <w:r>
        <w:t xml:space="preserve">its competent authority (for interoperable links) or notify that authority (for standard links), manage risks</w:t>
      </w:r>
      <w:r>
        <w:t xml:space="preserve"> </w:t>
      </w:r>
      <w:r>
        <w:t xml:space="preserve">stemming from links etc.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of an inbound link can vary widely in terms of cost. On the low end, two CSDs with similar IT</w:t>
      </w:r>
      <w:r>
        <w:t xml:space="preserve"> </w:t>
      </w:r>
      <w:r>
        <w:t xml:space="preserve">systems, harmonised messaging standards and minimal divergences in legal frameworks that</w:t>
      </w:r>
      <w:r>
        <w:t xml:space="preserve"> </w:t>
      </w:r>
      <w:r>
        <w:t xml:space="preserve">wish to establish a link for a narrow set of instruments and straightforward services (e.g. for</w:t>
      </w:r>
      <w:r>
        <w:t xml:space="preserve"> </w:t>
      </w:r>
      <w:r>
        <w:t xml:space="preserve">settling government bonds with standard interest payments) could do so for a one-time</w:t>
      </w:r>
      <w:r>
        <w:t xml:space="preserve"> </w:t>
      </w:r>
      <w:r>
        <w:t xml:space="preserve">establishment cost of EUR 30 000 to EUR 60 000 and EUR 30 000 to EUR 50 000 in annual</w:t>
      </w:r>
      <w:r>
        <w:t xml:space="preserve"> </w:t>
      </w:r>
      <w:r>
        <w:t xml:space="preserve">maintenance costs. More complex arrangements involving, for example, new markets and</w:t>
      </w:r>
      <w:r>
        <w:t xml:space="preserve"> </w:t>
      </w:r>
      <w:r>
        <w:t xml:space="preserve">setting up bespoke services could cost between EUR 670 000 and EUR 1 330 000, especially</w:t>
      </w:r>
      <w:r>
        <w:t xml:space="preserve"> </w:t>
      </w:r>
      <w:r>
        <w:t xml:space="preserve">in the case that changes would be needed to IT infrastructure and with ongoing maintenance</w:t>
      </w:r>
      <w:r>
        <w:t xml:space="preserve"> </w:t>
      </w:r>
      <w:r>
        <w:t xml:space="preserve">costs of up to 2 bps in the most expensive markets. In any event, the establishment of a link</w:t>
      </w:r>
      <w:r>
        <w:t xml:space="preserve"> </w:t>
      </w:r>
      <w:r>
        <w:t xml:space="preserve">could take up to six months. Altering an existing settlement arrangement could cost well over</w:t>
      </w:r>
      <w:r>
        <w:t xml:space="preserve"> </w:t>
      </w:r>
      <w:r>
        <w:t xml:space="preserve">EUR 1 000 000 to complete, depending on the level of complexity and simply adding a new</w:t>
      </w:r>
      <w:r>
        <w:t xml:space="preserve"> </w:t>
      </w:r>
      <w:r>
        <w:t xml:space="preserve">instrument category to the range of those covered by an existing link could cost almost EUR</w:t>
      </w:r>
      <w:r>
        <w:t xml:space="preserve"> </w:t>
      </w:r>
      <w:r>
        <w:t xml:space="preserve">200 000.360 Over 85% of entities that provided a response to the question on links in the targeted</w:t>
      </w:r>
      <w:r>
        <w:t xml:space="preserve"> </w:t>
      </w:r>
      <w:r>
        <w:t xml:space="preserve">consultation361 indicated that there are barriers to the establishment of links, citing in particular</w:t>
      </w:r>
      <w:r>
        <w:t xml:space="preserve"> </w:t>
      </w:r>
      <w:r>
        <w:t xml:space="preserve">issues with respect to compliance with EU regulatory requirements (notably the CSDR) and</w:t>
      </w:r>
      <w:r>
        <w:t xml:space="preserve"> </w:t>
      </w:r>
      <w:r>
        <w:t xml:space="preserve">national laws, as well as market practices (i.e. lack of harmonisation in operational aspects</w:t>
      </w:r>
      <w:r>
        <w:t xml:space="preserve"> </w:t>
      </w:r>
      <w:r>
        <w:t xml:space="preserve">including settlement cut-offs or corporate actions processing).</w:t>
      </w:r>
      <w:r>
        <w:t xml:space="preserve"> </w:t>
      </w:r>
      <w:r>
        <w:t xml:space="preserve">Although the CSDR has facilitated the establishment of cross-CSD links, this has not resulted</w:t>
      </w:r>
      <w:r>
        <w:t xml:space="preserve"> </w:t>
      </w:r>
      <w:r>
        <w:t xml:space="preserve">in a fully integrated market for CSD services. Furthermore, existing barriers and frictions in</w:t>
      </w:r>
      <w:r>
        <w:t xml:space="preserve"> </w:t>
      </w:r>
      <w:r>
        <w:t xml:space="preserve">cross-border settlement have spawned other avenues through which settlement can take place.</w:t>
      </w:r>
      <w:r>
        <w:t xml:space="preserve"> </w:t>
      </w:r>
      <w:r>
        <w:t xml:space="preserve">In particular, settlement outside CSDs is growing through internalised settlement (see next</w:t>
      </w:r>
      <w:r>
        <w:t xml:space="preserve"> </w:t>
      </w:r>
      <w:r>
        <w:t xml:space="preserve">section). Such developments raise level playing field considerations as well as growing</w:t>
      </w:r>
      <w:r>
        <w:t xml:space="preserve"> </w:t>
      </w:r>
      <w:r>
        <w:t xml:space="preserve">challenges to the creation of an integrated and well-functioning EU settlement market, while</w:t>
      </w:r>
      <w:r>
        <w:t xml:space="preserve"> </w:t>
      </w:r>
      <w:r>
        <w:t xml:space="preserve">also potentially creating increasing risks to transparency and systemic stability.</w:t>
      </w:r>
      <w:r>
        <w:t xml:space="preserve"> </w:t>
      </w:r>
      <w:r>
        <w:t xml:space="preserve">3.2.5. Internalised settlement</w:t>
      </w:r>
      <w:r>
        <w:t xml:space="preserve"> </w:t>
      </w:r>
      <w:r>
        <w:t xml:space="preserve">The barriers to settling across borders between CSDs have facilitated the entrance of</w:t>
      </w:r>
      <w:r>
        <w:t xml:space="preserve"> </w:t>
      </w:r>
      <w:r>
        <w:t xml:space="preserve">intermediaries that act as a single entry-point within the fragmented settlement landscape.</w:t>
      </w:r>
      <w:r>
        <w:t xml:space="preserve"> </w:t>
      </w:r>
      <w:r>
        <w:t xml:space="preserve">These intermediaries are connected to multiple CSDs and provide custody and settlement</w:t>
      </w:r>
      <w:r>
        <w:t xml:space="preserve"> </w:t>
      </w:r>
      <w:r>
        <w:t xml:space="preserve">services to clients who wish to invest in securities issued in those CSDs. By virtue of their role,</w:t>
      </w:r>
      <w:r>
        <w:t xml:space="preserve"> </w:t>
      </w:r>
      <w:r>
        <w:t xml:space="preserve">these intermediaries usually also act as settlement internalisers.</w:t>
      </w:r>
      <w:r>
        <w:t xml:space="preserve"> </w:t>
      </w:r>
      <w:r>
        <w:t xml:space="preserve">On the one hand, settlement internalisers play an important role in cross-border settlement: the</w:t>
      </w:r>
      <w:r>
        <w:t xml:space="preserve"> </w:t>
      </w:r>
      <w:r>
        <w:t xml:space="preserve">networks created by these intermediaries help bridge gaps in the interconnectedness among</w:t>
      </w:r>
      <w:r>
        <w:t xml:space="preserve"> </w:t>
      </w:r>
      <w:r>
        <w:t xml:space="preserve">CSDs (particularly in equity markets) thus reducing the costs of fragmentation of settlement</w:t>
      </w:r>
      <w:r>
        <w:t xml:space="preserve"> </w:t>
      </w:r>
      <w:r>
        <w:t xml:space="preserve">infrastructure362 and hence facilitate trading of financial instruments across the EU; they also</w:t>
      </w:r>
      <w:r>
        <w:t xml:space="preserve"> </w:t>
      </w:r>
      <w:r>
        <w:t xml:space="preserve">provide custodial (and related) services and are a form of competition for CSDs in the provision</w:t>
      </w:r>
      <w:r>
        <w:t xml:space="preserve"> </w:t>
      </w:r>
      <w:r>
        <w:t xml:space="preserve">of service to the benefit of market participants. On the other hand, these networks are opaque,</w:t>
      </w:r>
      <w:r>
        <w:t xml:space="preserve"> </w:t>
      </w:r>
      <w:r>
        <w:t xml:space="preserve">contribute to maintaining the existing fragmentation of settlement infrastructure, as they reduce</w:t>
      </w:r>
      <w:r>
        <w:t xml:space="preserve"> </w:t>
      </w:r>
      <w:r>
        <w:t xml:space="preserve">the economies of scale that could be achieved through the establishment of CSD links, thereby</w:t>
      </w:r>
      <w:r>
        <w:t xml:space="preserve"> </w:t>
      </w:r>
      <w:r>
        <w:t xml:space="preserve">undermining the business case for those links. The concentration of activity in a systemic</w:t>
      </w:r>
      <w:r>
        <w:t xml:space="preserve"> </w:t>
      </w:r>
      <w:r>
        <w:t xml:space="preserve">internaliser may bear risks if the settlement internaliser frequently facilitates timing</w:t>
      </w:r>
    </w:p>
    <w:p>
      <w:pPr>
        <w:pStyle w:val="BodyText"/>
      </w:pPr>
      <w:r>
        <w:t xml:space="preserve">360 Confidential information provided to DG FISMA services.</w:t>
      </w:r>
      <w:r>
        <w:t xml:space="preserve"> </w:t>
      </w:r>
      <w:r>
        <w:t xml:space="preserve">361 Thirty responses were received on this question.</w:t>
      </w:r>
      <w:r>
        <w:t xml:space="preserve"> </w:t>
      </w:r>
      <w:r>
        <w:t xml:space="preserve">362 This is because using intermediaries avoids clients the need to connect to multiple CSDs themselves and thus</w:t>
      </w:r>
      <w:r>
        <w:t xml:space="preserve"> </w:t>
      </w:r>
      <w:r>
        <w:t xml:space="preserve">incur the related costs. Anecdotal evidence points to cost savings for clients of up to 60%.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mismatches by providing intraday credit or own inventory363 and may lead to higher costs for</w:t>
      </w:r>
      <w:r>
        <w:t xml:space="preserve"> </w:t>
      </w:r>
      <w:r>
        <w:t xml:space="preserve">end-investors than would be the case if the level of integration of settlement infrastructure(s)</w:t>
      </w:r>
      <w:r>
        <w:t xml:space="preserve"> </w:t>
      </w:r>
      <w:r>
        <w:t xml:space="preserve">were higher. These additional costs make it more difficult for those end-investors to take</w:t>
      </w:r>
      <w:r>
        <w:t xml:space="preserve"> </w:t>
      </w:r>
      <w:r>
        <w:t xml:space="preserve">advantage of investment opportunities or of capital flows pooling, thus affecting the efficient</w:t>
      </w:r>
      <w:r>
        <w:t xml:space="preserve"> </w:t>
      </w:r>
      <w:r>
        <w:t xml:space="preserve">allocation of capital.</w:t>
      </w:r>
      <w:r>
        <w:br/>
      </w:r>
      <w:r>
        <w:t xml:space="preserve">The growth of internalised settlement raises the question of whether all entities involved in</w:t>
      </w:r>
      <w:r>
        <w:t xml:space="preserve"> </w:t>
      </w:r>
      <w:r>
        <w:t xml:space="preserve">settlement operate on a level playing field as CSDs face requirements under the CSDR when</w:t>
      </w:r>
      <w:r>
        <w:t xml:space="preserve"> </w:t>
      </w:r>
      <w:r>
        <w:t xml:space="preserve">carrying out their activities, while settlement internalisers face much lighter requirements under</w:t>
      </w:r>
      <w:r>
        <w:t xml:space="preserve"> </w:t>
      </w:r>
      <w:r>
        <w:t xml:space="preserve">the CSDR when carrying out those same activities. Indeed, the only requirement settlement</w:t>
      </w:r>
      <w:r>
        <w:t xml:space="preserve"> </w:t>
      </w:r>
      <w:r>
        <w:t xml:space="preserve">internalisers are currently subject to under the CSDR (see Article 9 thereof) is to report to their</w:t>
      </w:r>
      <w:r>
        <w:t xml:space="preserve"> </w:t>
      </w:r>
      <w:r>
        <w:t xml:space="preserve">competent authorities, on a quarterly basis, the aggregate volume and value of all securities</w:t>
      </w:r>
      <w:r>
        <w:t xml:space="preserve"> </w:t>
      </w:r>
      <w:r>
        <w:t xml:space="preserve">transactions that they settle outside of a securities settlement system. This is because most</w:t>
      </w:r>
      <w:r>
        <w:t xml:space="preserve"> </w:t>
      </w:r>
      <w:r>
        <w:t xml:space="preserve">settlement internalisers are supervised as banks and investment firms. However, although most</w:t>
      </w:r>
      <w:r>
        <w:t xml:space="preserve"> </w:t>
      </w:r>
      <w:r>
        <w:t xml:space="preserve">settlement internalisers are also credit institutions and therefore face broader prudential</w:t>
      </w:r>
      <w:r>
        <w:t xml:space="preserve"> </w:t>
      </w:r>
      <w:r>
        <w:t xml:space="preserve">requirements under the relevant banking legislation, the CSDR has additional requirements,</w:t>
      </w:r>
      <w:r>
        <w:t xml:space="preserve"> </w:t>
      </w:r>
      <w:r>
        <w:t xml:space="preserve">e.g. for the provision of intraday credit, and other requirements, e.g. settlement discipline to</w:t>
      </w:r>
      <w:r>
        <w:t xml:space="preserve"> </w:t>
      </w:r>
      <w:r>
        <w:t xml:space="preserve">which internalised settlement is not subject. Furthermore, ESMA’s 2020 report on settlement</w:t>
      </w:r>
      <w:r>
        <w:t xml:space="preserve"> </w:t>
      </w:r>
      <w:r>
        <w:t xml:space="preserve">internalisation noted that the main risks introduced by settlement internalisers are legal and</w:t>
      </w:r>
      <w:r>
        <w:t xml:space="preserve"> </w:t>
      </w:r>
      <w:r>
        <w:t xml:space="preserve">operational.364</w:t>
      </w:r>
      <w:r>
        <w:t xml:space="preserve"> </w:t>
      </w:r>
      <w:r>
        <w:t xml:space="preserve">The responders to the targeted consultation did not call, with the exception of CSDs and a few</w:t>
      </w:r>
      <w:r>
        <w:t xml:space="preserve"> </w:t>
      </w:r>
      <w:r>
        <w:t xml:space="preserve">Member States, for additional regulatory requirements. Still, the lack of transparency concerns</w:t>
      </w:r>
      <w:r>
        <w:t xml:space="preserve"> </w:t>
      </w:r>
      <w:r>
        <w:t xml:space="preserve">authorities and raises the question of how the prominence of this activity impacts the</w:t>
      </w:r>
      <w:r>
        <w:t xml:space="preserve"> </w:t>
      </w:r>
      <w:r>
        <w:t xml:space="preserve">integration and efficiency of post-trade processes. In the conclusions of the abovementioned</w:t>
      </w:r>
      <w:r>
        <w:t xml:space="preserve"> </w:t>
      </w:r>
      <w:r>
        <w:t xml:space="preserve">report on settlement internalisers, ESMA highlighted the importance of continuing to monitor</w:t>
      </w:r>
      <w:r>
        <w:t xml:space="preserve"> </w:t>
      </w:r>
      <w:r>
        <w:t xml:space="preserve">this activity to assess whether it should be regulated in the future. ESMA stated that this</w:t>
      </w:r>
      <w:r>
        <w:t xml:space="preserve"> </w:t>
      </w:r>
      <w:r>
        <w:t xml:space="preserve">monitoring is particularly important due to the high, and increasing, values and volumes of</w:t>
      </w:r>
      <w:r>
        <w:t xml:space="preserve"> </w:t>
      </w:r>
      <w:r>
        <w:t xml:space="preserve">internalised settlement activity, as well as the high level of concentration in this space.</w:t>
      </w:r>
      <w:r>
        <w:t xml:space="preserve"> </w:t>
      </w:r>
      <w:r>
        <w:t xml:space="preserve">3.2.6. Lack of transparency on prices charged, and service provided, by CSDs</w:t>
      </w:r>
      <w:r>
        <w:t xml:space="preserve"> </w:t>
      </w:r>
      <w:r>
        <w:t xml:space="preserve">The CPMI-IOSCO Principles for Financial Market Infrastructures state that “transparency</w:t>
      </w:r>
      <w:r>
        <w:t xml:space="preserve"> </w:t>
      </w:r>
      <w:r>
        <w:t xml:space="preserve">helps ensure that relevant information is provided to an FMI’s participants, and the public to</w:t>
      </w:r>
      <w:r>
        <w:t xml:space="preserve"> </w:t>
      </w:r>
      <w:r>
        <w:t xml:space="preserve">inform sound decision making and foster confidence”. One of the key aspects related to this is</w:t>
      </w:r>
      <w:r>
        <w:t xml:space="preserve"> </w:t>
      </w:r>
      <w:r>
        <w:t xml:space="preserve">transparency of prices and fees for services offered by CSDs. While the CSDR requires that</w:t>
      </w:r>
      <w:r>
        <w:t xml:space="preserve"> </w:t>
      </w:r>
      <w:r>
        <w:t xml:space="preserve">CSDs publicly disclose their prices and fees and provide clients with information that allows</w:t>
      </w:r>
      <w:r>
        <w:t xml:space="preserve"> </w:t>
      </w:r>
      <w:r>
        <w:t xml:space="preserve">them to reconcile invoices, this is not often accomplished in a very clear and straightforward</w:t>
      </w:r>
      <w:r>
        <w:t xml:space="preserve"> </w:t>
      </w:r>
      <w:r>
        <w:t xml:space="preserve">way.365 The total fee schedules of all EU CSDs are estimated to amount to 1000 pages,</w:t>
      </w:r>
      <w:r>
        <w:t xml:space="preserve"> </w:t>
      </w:r>
      <w:r>
        <w:t xml:space="preserve">underlining both the lack of standardisation in terms of terminology and categorisation as well</w:t>
      </w:r>
    </w:p>
    <w:p>
      <w:pPr>
        <w:pStyle w:val="BodyText"/>
      </w:pPr>
      <w:r>
        <w:t xml:space="preserve">363 Feedback from the targeted consultation.</w:t>
      </w:r>
      <w:r>
        <w:t xml:space="preserve"> </w:t>
      </w:r>
      <w:r>
        <w:t xml:space="preserve">364 2020 ESMA Report on Internalised Settlement. See also Section 2.4.2.3 on provision of cross-border CSD</w:t>
      </w:r>
      <w:r>
        <w:t xml:space="preserve"> </w:t>
      </w:r>
      <w:r>
        <w:t xml:space="preserve">services.</w:t>
      </w:r>
      <w:r>
        <w:br/>
      </w:r>
      <w:r>
        <w:t xml:space="preserve">365 In a survey on CSD fee schedules 13 market participants (out of 14) indicated that CSD fees schedules are</w:t>
      </w:r>
      <w:r>
        <w:t xml:space="preserve"> </w:t>
      </w:r>
      <w:r>
        <w:t xml:space="preserve">too complex. Source: “Study on consolidation and reducing fragmentation in trading and post-trading</w:t>
      </w:r>
      <w:r>
        <w:t xml:space="preserve"> </w:t>
      </w:r>
      <w:r>
        <w:t xml:space="preserve">infrastructures in Europe”, Final Report, Bourse Consult &amp; Civitta, September 2025:</w:t>
      </w:r>
      <w:r>
        <w:t xml:space="preserve"> </w:t>
      </w:r>
      <w:r>
        <w:t xml:space="preserve">https://op.europa.eu/en/publication/doi/10.2874/2649452 .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as opaque disclosure of tariffs.366,367 A lack of consistent price transparency across the</w:t>
      </w:r>
      <w:r>
        <w:t xml:space="preserve"> </w:t>
      </w:r>
      <w:r>
        <w:t xml:space="preserve">settlement landscape hinders competition by preventing market participants from making</w:t>
      </w:r>
      <w:r>
        <w:t xml:space="preserve"> </w:t>
      </w:r>
      <w:r>
        <w:t xml:space="preserve">effective comparisons between CSDs and thus making informed decisions on where to settle</w:t>
      </w:r>
      <w:r>
        <w:t xml:space="preserve"> </w:t>
      </w:r>
      <w:r>
        <w:t xml:space="preserve">transactions. It also creates additional costs for market participants in reconciling fees across</w:t>
      </w:r>
      <w:r>
        <w:t xml:space="preserve"> </w:t>
      </w:r>
      <w:r>
        <w:t xml:space="preserve">multiple CSDs. This is particularly relevant in the context of settlement in T2S. As CSDs have</w:t>
      </w:r>
      <w:r>
        <w:t xml:space="preserve"> </w:t>
      </w:r>
      <w:r>
        <w:t xml:space="preserve">different practices in terms of how they pass on T2S charges and what fees they charge in order</w:t>
      </w:r>
      <w:r>
        <w:t xml:space="preserve"> </w:t>
      </w:r>
      <w:r>
        <w:t xml:space="preserve">to facilitate settlement in T2S, it is important for the participant to have transparency on these</w:t>
      </w:r>
      <w:r>
        <w:t xml:space="preserve"> </w:t>
      </w:r>
      <w:r>
        <w:t xml:space="preserve">practices in order to make informed decision on where to execute settlement for their trades.</w:t>
      </w:r>
      <w:r>
        <w:br/>
      </w:r>
      <w:r>
        <w:t xml:space="preserve">A related issue is transparency with respect to the services provided by individual CSDs. The</w:t>
      </w:r>
      <w:r>
        <w:t xml:space="preserve"> </w:t>
      </w:r>
      <w:r>
        <w:t xml:space="preserve">CSDR requires that ESMA publish a register368 that includes the name of each CSD operating</w:t>
      </w:r>
      <w:r>
        <w:t xml:space="preserve"> </w:t>
      </w:r>
      <w:r>
        <w:t xml:space="preserve">in the Union, the services provided, as well as information related to cash settlement and the</w:t>
      </w:r>
      <w:r>
        <w:t xml:space="preserve"> </w:t>
      </w:r>
      <w:r>
        <w:t xml:space="preserve">provision of banking-type ancillary services. However, the information is currently provided</w:t>
      </w:r>
      <w:r>
        <w:t xml:space="preserve"> </w:t>
      </w:r>
      <w:r>
        <w:t xml:space="preserve">by CSDs in an unclear and complex manner, making it difficult for market participants to have</w:t>
      </w:r>
      <w:r>
        <w:t xml:space="preserve"> </w:t>
      </w:r>
      <w:r>
        <w:t xml:space="preserve">clarity on the services provided by CSDs. For example, in the case of links between CSDs, it</w:t>
      </w:r>
      <w:r>
        <w:t xml:space="preserve"> </w:t>
      </w:r>
      <w:r>
        <w:t xml:space="preserve">is not straightforward to identify the instruments that can be settled via those links.</w:t>
      </w:r>
      <w:r>
        <w:t xml:space="preserve"> </w:t>
      </w:r>
      <w:r>
        <w:t xml:space="preserve">3.2.7. Insufficient compatibility of existing rules with DLT369</w:t>
      </w:r>
      <w:r>
        <w:t xml:space="preserve"> </w:t>
      </w:r>
      <w:r>
        <w:t xml:space="preserve">Even though legislation aims to cater for technology available at the time when it is drafted, it</w:t>
      </w:r>
      <w:r>
        <w:t xml:space="preserve"> </w:t>
      </w:r>
      <w:r>
        <w:t xml:space="preserve">cannot predict how technology will develop in the future, and hence cannot ex ante ensure its</w:t>
      </w:r>
      <w:r>
        <w:t xml:space="preserve"> </w:t>
      </w:r>
      <w:r>
        <w:t xml:space="preserve">future compatibility with new technology. When new technology does appear, the application</w:t>
      </w:r>
      <w:r>
        <w:t xml:space="preserve"> </w:t>
      </w:r>
      <w:r>
        <w:t xml:space="preserve">and interpretation of existing law can be such that the law itself becomes a barrier to the</w:t>
      </w:r>
      <w:r>
        <w:t xml:space="preserve"> </w:t>
      </w:r>
      <w:r>
        <w:t xml:space="preserve">adoption of the technology.370</w:t>
      </w:r>
      <w:r>
        <w:br/>
      </w:r>
      <w:r>
        <w:t xml:space="preserve">Current EU legislation in the settlement area predates DLT and was therefore not designed with</w:t>
      </w:r>
      <w:r>
        <w:t xml:space="preserve"> </w:t>
      </w:r>
      <w:r>
        <w:t xml:space="preserve">it in mind. Indeed, given that the current rules are designed to cater for centralised structures,</w:t>
      </w:r>
      <w:r>
        <w:t xml:space="preserve"> </w:t>
      </w:r>
      <w:r>
        <w:t xml:space="preserve">which are, in many aspects, fundamentally different371 from the decentralised structures</w:t>
      </w:r>
      <w:r>
        <w:t xml:space="preserve"> </w:t>
      </w:r>
      <w:r>
        <w:t xml:space="preserve">introduced by DLT, many of the definitions and concepts relevant to the provision of post-trade</w:t>
      </w:r>
      <w:r>
        <w:t xml:space="preserve"> </w:t>
      </w:r>
      <w:r>
        <w:t xml:space="preserve">services and in particular settlement services - and consequently the corresponding</w:t>
      </w:r>
      <w:r>
        <w:t xml:space="preserve"> </w:t>
      </w:r>
      <w:r>
        <w:t xml:space="preserve">requirements - are not (fully) compatible with DLT.372 This gives rise to legal uncertainty or, in</w:t>
      </w:r>
      <w:r>
        <w:t xml:space="preserve"> </w:t>
      </w:r>
      <w:r>
        <w:t xml:space="preserve">extreme cases, may prevent DLT-based structures to comply with certain requirements.</w:t>
      </w:r>
    </w:p>
    <w:p>
      <w:pPr>
        <w:pStyle w:val="BodyText"/>
      </w:pPr>
      <w:r>
        <w:t xml:space="preserve">366 “Study on consolidation and reducing fragmentation in trading and post-trading infrastructures in Europe”,</w:t>
      </w:r>
      <w:r>
        <w:t xml:space="preserve"> </w:t>
      </w:r>
      <w:r>
        <w:t xml:space="preserve">Bourse Consult &amp; Civitta, 2025.</w:t>
      </w:r>
      <w:r>
        <w:t xml:space="preserve"> </w:t>
      </w:r>
      <w:r>
        <w:t xml:space="preserve">367 “Analysis of CSD fees in major European markets”, AFME, October 2025</w:t>
      </w:r>
      <w:r>
        <w:t xml:space="preserve"> </w:t>
      </w:r>
      <w:r>
        <w:t xml:space="preserve">368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https://www.esma.europa.eu/sites/default/files/library/esma70-155-</w:t>
      </w:r>
      <w:r>
        <w:t xml:space="preserve"> </w:t>
      </w:r>
      <w:r>
        <w:t xml:space="preserve">11635_csds_register_-_art_21.pdf.</w:t>
      </w:r>
      <w:r>
        <w:br/>
      </w:r>
      <w:r>
        <w:t xml:space="preserve">369 See Annex 10 – Innovation (DLT) for further details on DLT aspects and on the DLTPRR in particular.</w:t>
      </w:r>
      <w:r>
        <w:br/>
      </w:r>
      <w:r>
        <w:t xml:space="preserve">370 “Distributed ledger technology for securities clearing and settlement: benefits, risks, and regulatory</w:t>
      </w:r>
      <w:r>
        <w:t xml:space="preserve"> </w:t>
      </w:r>
      <w:r>
        <w:t xml:space="preserve">implications”, R. Priem, Financial Innovation 6, 11 (2020).</w:t>
      </w:r>
      <w:r>
        <w:t xml:space="preserve"> </w:t>
      </w:r>
      <w:r>
        <w:t xml:space="preserve">371 As a respondent to the targeted consultation noted, “[t]he emergence of DLT-based tokenised financial</w:t>
      </w:r>
      <w:r>
        <w:t xml:space="preserve"> </w:t>
      </w:r>
      <w:r>
        <w:t xml:space="preserve">instruments challenges the traditional roles and mandatory use of CSDs. In a DLT environment, core CSD</w:t>
      </w:r>
      <w:r>
        <w:t xml:space="preserve"> </w:t>
      </w:r>
      <w:r>
        <w:t xml:space="preserve">functions such as notary services, safekeeping, and settlement can be fulfilled by registrars, custodians, or wallet</w:t>
      </w:r>
      <w:r>
        <w:t xml:space="preserve"> </w:t>
      </w:r>
      <w:r>
        <w:t xml:space="preserve">operators. The integrity of the issue is ensured through recording on the distributed ledger itself, with smart</w:t>
      </w:r>
      <w:r>
        <w:t xml:space="preserve"> </w:t>
      </w:r>
      <w:r>
        <w:t xml:space="preserve">contracts governing the issuance. This makes a separate book-entry system operated by a CSD non-essential for</w:t>
      </w:r>
      <w:r>
        <w:t xml:space="preserve"> </w:t>
      </w:r>
      <w:r>
        <w:t xml:space="preserve">creation or transfer of the asset. Settlement can occur directly on-chain between custodians or even between</w:t>
      </w:r>
      <w:r>
        <w:t xml:space="preserve"> </w:t>
      </w:r>
      <w:r>
        <w:t xml:space="preserve">investors, eliminating the need for CSD-operated settlement accounts.”</w:t>
      </w:r>
      <w:r>
        <w:t xml:space="preserve"> </w:t>
      </w:r>
      <w:r>
        <w:t xml:space="preserve">372 This is why the DLTPRR was introduced: to create an environment that would enable the use and</w:t>
      </w:r>
      <w:r>
        <w:t xml:space="preserve"> </w:t>
      </w:r>
      <w:r>
        <w:t xml:space="preserve">experimentation with DLT in this area.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According to some stakeholders,373 this hinders the introduction of new business models using</w:t>
      </w:r>
      <w:r>
        <w:t xml:space="preserve"> </w:t>
      </w:r>
      <w:r>
        <w:t xml:space="preserve">DLT, which could achieve greater connectivity, innovation and competition.</w:t>
      </w:r>
      <w:r>
        <w:t xml:space="preserve"> </w:t>
      </w:r>
      <w:r>
        <w:t xml:space="preserve">One example of a concept that creates legal uncertainty is that of ‘book-entry form’. The CSDR</w:t>
      </w:r>
      <w:r>
        <w:t xml:space="preserve"> </w:t>
      </w:r>
      <w:r>
        <w:t xml:space="preserve">requires issuers to ensure that the securities admitted to trading, or traded, on a trading venue</w:t>
      </w:r>
      <w:r>
        <w:t xml:space="preserve"> </w:t>
      </w:r>
      <w:r>
        <w:t xml:space="preserve">are recorded in book-entry form and specifies that the method for such an initial book-entry</w:t>
      </w:r>
      <w:r>
        <w:t xml:space="preserve"> </w:t>
      </w:r>
      <w:r>
        <w:t xml:space="preserve">recording should not be imposed by the Regulation.374 In addition, the CSDR requires that for</w:t>
      </w:r>
      <w:r>
        <w:t xml:space="preserve"> </w:t>
      </w:r>
      <w:r>
        <w:t xml:space="preserve">a transaction in transferable securities, the transferable security is previously recorded in a</w:t>
      </w:r>
      <w:r>
        <w:t xml:space="preserve"> </w:t>
      </w:r>
      <w:r>
        <w:t xml:space="preserve">CSD. Respondents to the targeted consultation pointed out that, for some DLT-based structures,</w:t>
      </w:r>
      <w:r>
        <w:t xml:space="preserve"> </w:t>
      </w:r>
      <w:r>
        <w:t xml:space="preserve">ensuring compliance with the requirement (for a transferable security to be recorded in a CSD)</w:t>
      </w:r>
      <w:r>
        <w:t xml:space="preserve"> </w:t>
      </w:r>
      <w:r>
        <w:t xml:space="preserve">is not straightforward and may require a significant level of legal interpretation. This can raise</w:t>
      </w:r>
      <w:r>
        <w:t xml:space="preserve"> </w:t>
      </w:r>
      <w:r>
        <w:t xml:space="preserve">uncertainty as to whether certain DLT-based securities can be recorded and represented in</w:t>
      </w:r>
      <w:r>
        <w:t xml:space="preserve"> </w:t>
      </w:r>
      <w:r>
        <w:t xml:space="preserve">book-entry form in a CSD and hence whether they can be admitted to trading, or be traded, on</w:t>
      </w:r>
      <w:r>
        <w:t xml:space="preserve"> </w:t>
      </w:r>
      <w:r>
        <w:t xml:space="preserve">trading venues. This can lead to costs for developing legal opinions in different jurisdictions.</w:t>
      </w:r>
      <w:r>
        <w:t xml:space="preserve"> </w:t>
      </w:r>
      <w:r>
        <w:t xml:space="preserve">Those who responded to questions on this subject in the targeted consultation as well as</w:t>
      </w:r>
      <w:r>
        <w:t xml:space="preserve"> </w:t>
      </w:r>
      <w:r>
        <w:t xml:space="preserve">stakeholders375 noted that the</w:t>
      </w:r>
      <w:r>
        <w:t xml:space="preserve"> </w:t>
      </w:r>
      <w:r>
        <w:t xml:space="preserve">“book-entry form”</w:t>
      </w:r>
      <w:r>
        <w:t xml:space="preserve"> </w:t>
      </w:r>
      <w:r>
        <w:t xml:space="preserve">requirement in Article 3(2) of the CSDR is</w:t>
      </w:r>
      <w:r>
        <w:t xml:space="preserve"> </w:t>
      </w:r>
      <w:r>
        <w:t xml:space="preserve">seen as a barrier and that the entry in the books of a CSD is not compatible with DLT. While</w:t>
      </w:r>
      <w:r>
        <w:t xml:space="preserve"> </w:t>
      </w:r>
      <w:r>
        <w:t xml:space="preserve">national laws offer legal certainty within a Member State, they may also create fragmentation</w:t>
      </w:r>
      <w:r>
        <w:t xml:space="preserve"> </w:t>
      </w:r>
      <w:r>
        <w:t xml:space="preserve">across the EU. Given that many definitions and requirements in the CSDR, as well as the SFD</w:t>
      </w:r>
      <w:r>
        <w:t xml:space="preserve"> </w:t>
      </w:r>
      <w:r>
        <w:t xml:space="preserve">and the FCD, incorporate, directly or indirectly, the concept of book-entry, the legal uncertainty</w:t>
      </w:r>
      <w:r>
        <w:t xml:space="preserve"> </w:t>
      </w:r>
      <w:r>
        <w:t xml:space="preserve">related to that concept has wider knock-on effects for legal certainty when those definitions</w:t>
      </w:r>
      <w:r>
        <w:t xml:space="preserve"> </w:t>
      </w:r>
      <w:r>
        <w:t xml:space="preserve">and requirements are applied to DLT-based structures. Examples are the definitions of</w:t>
      </w:r>
      <w:r>
        <w:t xml:space="preserve"> </w:t>
      </w:r>
      <w:r>
        <w:t xml:space="preserve">‘immobilisation’376 and ‘dematerialised form’377 in the CSDR, the definition of ‘transfer</w:t>
      </w:r>
      <w:r>
        <w:t xml:space="preserve"> </w:t>
      </w:r>
      <w:r>
        <w:t xml:space="preserve">order’378 in the SFD and the definition of ‘book entry securities collateral’379 in the FCD.</w:t>
      </w:r>
      <w:r>
        <w:br/>
      </w:r>
      <w:r>
        <w:t xml:space="preserve">The consequences extend beyond the abovementioned EU acquis. For example, under the</w:t>
      </w:r>
      <w:r>
        <w:t xml:space="preserve"> </w:t>
      </w:r>
      <w:r>
        <w:t xml:space="preserve">Eurosystem’s rules securities need to be recorded in book-entry form in an eligible securities</w:t>
      </w:r>
    </w:p>
    <w:p>
      <w:pPr>
        <w:pStyle w:val="BodyText"/>
      </w:pPr>
      <w:r>
        <w:t xml:space="preserve">373 See for example, “Use of DLT and Tokenisation in Financial Markets”, November 2024, 20241104_AFME</w:t>
      </w:r>
      <w:r>
        <w:t xml:space="preserve"> </w:t>
      </w:r>
      <w:r>
        <w:t xml:space="preserve">Submission to EC_Final.pdf</w:t>
      </w:r>
      <w:r>
        <w:t xml:space="preserve"> </w:t>
      </w:r>
      <w:r>
        <w:t xml:space="preserve">374 Recital 11, Regulation No. 909/2014 of 23 July 2014 on improving securities settlement in the European Union</w:t>
      </w:r>
      <w:r>
        <w:t xml:space="preserve"> </w:t>
      </w:r>
      <w:r>
        <w:t xml:space="preserve">and on central securities depositories. OJ L257, 28.8.2014.</w:t>
      </w:r>
      <w:r>
        <w:t xml:space="preserve"> </w:t>
      </w:r>
      <w:r>
        <w:t xml:space="preserve">375 “The law and regulation of TradFi has developed over hundreds of years and may operate in a way which is</w:t>
      </w:r>
      <w:r>
        <w:t xml:space="preserve"> </w:t>
      </w:r>
      <w:r>
        <w:t xml:space="preserve">incompatible with DLT technology. Legislation and regulation should be technology agnostic based on</w:t>
      </w:r>
      <w:r>
        <w:t xml:space="preserve"> </w:t>
      </w:r>
      <w:r>
        <w:t xml:space="preserve">“same</w:t>
      </w:r>
      <w:r>
        <w:t xml:space="preserve"> </w:t>
      </w:r>
      <w:r>
        <w:t xml:space="preserve">activity, same risk, same regulatory outcome”</w:t>
      </w:r>
      <w:r>
        <w:t xml:space="preserve">. For example: A clear advantage of a DLT blockchain is its ability</w:t>
      </w:r>
      <w:r>
        <w:t xml:space="preserve"> </w:t>
      </w:r>
      <w:r>
        <w:t xml:space="preserve">to keep immutable and dematerialized records. Under EU law (the Central Securities Depositories Regulation</w:t>
      </w:r>
      <w:r>
        <w:t xml:space="preserve"> </w:t>
      </w:r>
      <w:r>
        <w:t xml:space="preserve">(CSDR)) it is a requirement that for a security to be traded on a trading venue (an exchange or a multilateral</w:t>
      </w:r>
      <w:r>
        <w:t xml:space="preserve"> </w:t>
      </w:r>
      <w:r>
        <w:t xml:space="preserve">system) it must be recorded in book-entry form in a centralized securities depository (CSD). Whilst these</w:t>
      </w:r>
      <w:r>
        <w:t xml:space="preserve"> </w:t>
      </w:r>
      <w:r>
        <w:t xml:space="preserve">obligations do not actually prohibit the issuance of DLT-based financial instruments they are a fetter on DLT’s</w:t>
      </w:r>
      <w:r>
        <w:t xml:space="preserve"> </w:t>
      </w:r>
      <w:r>
        <w:t xml:space="preserve">development and the ability to harness its many advantages including the development of a secondary market.”</w:t>
      </w:r>
      <w:r>
        <w:t xml:space="preserve"> </w:t>
      </w:r>
      <w:r>
        <w:t xml:space="preserve">The Impact of Distributed Ledger Technology in Capital Markets Ready for Adoption, Time to Act, August 2025,</w:t>
      </w:r>
      <w:r>
        <w:t xml:space="preserve"> </w:t>
      </w:r>
      <w:r>
        <w:t xml:space="preserve">https://www.gfma.org/policies-resources/joint-trades-publish-report-on-the-impact-of-dlt-in-capital-markets/</w:t>
      </w:r>
      <w:r>
        <w:br/>
      </w:r>
      <w:r>
        <w:t xml:space="preserve">376 Defined as the act of concentrating the location of physical securities in a CSD in a way that enables subsequent</w:t>
      </w:r>
      <w:r>
        <w:t xml:space="preserve"> </w:t>
      </w:r>
      <w:r>
        <w:t xml:space="preserve">transfers to be made by book entry.</w:t>
      </w:r>
      <w:r>
        <w:t xml:space="preserve"> </w:t>
      </w:r>
      <w:r>
        <w:t xml:space="preserve">377 Defined as the fact that financial instruments exist only as book entry records.</w:t>
      </w:r>
      <w:r>
        <w:t xml:space="preserve"> </w:t>
      </w:r>
      <w:r>
        <w:t xml:space="preserve">378 Defined as i) any instruction by a participant to place at the disposal of a recipient an amount of money by</w:t>
      </w:r>
      <w:r>
        <w:t xml:space="preserve"> </w:t>
      </w:r>
      <w:r>
        <w:t xml:space="preserve">means of a book entry on the accounts of a credit institution, a central bank, a central counterparty or a settlement</w:t>
      </w:r>
      <w:r>
        <w:t xml:space="preserve"> </w:t>
      </w:r>
      <w:r>
        <w:t xml:space="preserve">agent, or any instruction which results in the assumption or discharge of a payment obligation as defined by the</w:t>
      </w:r>
      <w:r>
        <w:t xml:space="preserve"> </w:t>
      </w:r>
      <w:r>
        <w:t xml:space="preserve">rules of the system, or ii) an instruction by a participant to transfer the title to, or interest in, a security or securities</w:t>
      </w:r>
      <w:r>
        <w:t xml:space="preserve"> </w:t>
      </w:r>
      <w:r>
        <w:t xml:space="preserve">by means of a book entry on a register, or otherwise.</w:t>
      </w:r>
      <w:r>
        <w:t xml:space="preserve"> </w:t>
      </w:r>
      <w:r>
        <w:t xml:space="preserve">379 Defined as financial collateral provided under a financial collateral arrangement which consists of financial</w:t>
      </w:r>
      <w:r>
        <w:t xml:space="preserve"> </w:t>
      </w:r>
      <w:r>
        <w:t xml:space="preserve">instruments, title to which is evidenced by entries in a register or account maintained by or on behalf of an</w:t>
      </w:r>
      <w:r>
        <w:t xml:space="preserve"> </w:t>
      </w:r>
      <w:r>
        <w:t xml:space="preserve">intermediary.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settlement system in order to be eligible as marketable-assets collateral for Eurosystem credit</w:t>
      </w:r>
      <w:r>
        <w:t xml:space="preserve"> </w:t>
      </w:r>
      <w:r>
        <w:t xml:space="preserve">operations, meaning that where a DLT platform is not a securities settlement system, assets</w:t>
      </w:r>
      <w:r>
        <w:t xml:space="preserve"> </w:t>
      </w:r>
      <w:r>
        <w:t xml:space="preserve">may be considered ineligible for classification as marketable assets for collateral purposes.380</w:t>
      </w:r>
      <w:r>
        <w:br/>
      </w:r>
      <w:r>
        <w:t xml:space="preserve">A qualified majority of the respondents, covering different categories of respondents, to the</w:t>
      </w:r>
      <w:r>
        <w:t xml:space="preserve"> </w:t>
      </w:r>
      <w:r>
        <w:t xml:space="preserve">question in the targeted consultation also pointed to some difficulties with the definition of</w:t>
      </w:r>
      <w:r>
        <w:t xml:space="preserve"> </w:t>
      </w:r>
      <w:r>
        <w:t xml:space="preserve">‘CSD’381 as provided in the CSDR, raising questions about whether it restricts new market</w:t>
      </w:r>
      <w:r>
        <w:t xml:space="preserve"> </w:t>
      </w:r>
      <w:r>
        <w:t xml:space="preserve">entrants focusing on only one core service as well as whether they could provide other services</w:t>
      </w:r>
      <w:r>
        <w:t xml:space="preserve"> </w:t>
      </w:r>
      <w:r>
        <w:t xml:space="preserve">at the same time and nearly all (with the exception of some CSDs) of the respondents noted</w:t>
      </w:r>
      <w:r>
        <w:t xml:space="preserve"> </w:t>
      </w:r>
      <w:r>
        <w:t xml:space="preserve">that functions reserved for CSDs may be safely, securely and effectively performed by other</w:t>
      </w:r>
      <w:r>
        <w:t xml:space="preserve"> </w:t>
      </w:r>
      <w:r>
        <w:t xml:space="preserve">participants in a DLT environment.</w:t>
      </w:r>
      <w:r>
        <w:br/>
      </w:r>
      <w:r>
        <w:t xml:space="preserve">As the scope of the protections granted under the FCD and the SFD depends on several</w:t>
      </w:r>
      <w:r>
        <w:t xml:space="preserve"> </w:t>
      </w:r>
      <w:r>
        <w:t xml:space="preserve">concepts and definitions specified therein, legal uncertainty as regards the compatibility of</w:t>
      </w:r>
      <w:r>
        <w:t xml:space="preserve"> </w:t>
      </w:r>
      <w:r>
        <w:t xml:space="preserve">those concepts and definitions to, or their outright incompatibility with, certain DLT-based</w:t>
      </w:r>
      <w:r>
        <w:t xml:space="preserve"> </w:t>
      </w:r>
      <w:r>
        <w:t xml:space="preserve">structures results in those structures not being able to benefit from the protections provided</w:t>
      </w:r>
      <w:r>
        <w:t xml:space="preserve"> </w:t>
      </w:r>
      <w:r>
        <w:t xml:space="preserve">under the two Directives (e.g. settlement finality, netting and enforcement of collateral). In</w:t>
      </w:r>
      <w:r>
        <w:t xml:space="preserve"> </w:t>
      </w:r>
      <w:r>
        <w:t xml:space="preserve">addition to the definition of ‘transfer order’ and ‘cash’382 mentioned above, the following</w:t>
      </w:r>
      <w:r>
        <w:t xml:space="preserve"> </w:t>
      </w:r>
      <w:r>
        <w:t xml:space="preserve">definitions and concepts play an important role in determining the protections under the two</w:t>
      </w:r>
      <w:r>
        <w:t xml:space="preserve"> </w:t>
      </w:r>
      <w:r>
        <w:t xml:space="preserve">Directives:</w:t>
      </w:r>
      <w:r>
        <w:t xml:space="preserve"> </w:t>
      </w:r>
      <w:r>
        <w:t xml:space="preserve"> ‘settlement account’: as noted by respondent to the targeted consultation,383 settlement via</w:t>
      </w:r>
      <w:r>
        <w:t xml:space="preserve"> </w:t>
      </w:r>
      <w:r>
        <w:t xml:space="preserve">a DLT-based settlement system is concluded in a decentralised manner,384 (i.e. there is no</w:t>
      </w:r>
      <w:r>
        <w:t xml:space="preserve"> </w:t>
      </w:r>
      <w:r>
        <w:t xml:space="preserve">real registration on an account);</w:t>
      </w:r>
      <w:r>
        <w:br/>
      </w:r>
      <w:r>
        <w:t xml:space="preserve"> ‘settlement finality’: stakeholders385 as well as nearly all of the respondents386 to the</w:t>
      </w:r>
      <w:r>
        <w:t xml:space="preserve"> </w:t>
      </w:r>
      <w:r>
        <w:t xml:space="preserve">question in the targeted consultation pointed out that a general understanding on how</w:t>
      </w:r>
      <w:r>
        <w:t xml:space="preserve"> </w:t>
      </w:r>
      <w:r>
        <w:t xml:space="preserve">different DLT-based systems can achieve finality is needed and the importance of DLT</w:t>
      </w:r>
      <w:r>
        <w:t xml:space="preserve"> </w:t>
      </w:r>
      <w:r>
        <w:t xml:space="preserve">settlement systems being able to benefit from settlement finality under the SFD. At present,</w:t>
      </w:r>
      <w:r>
        <w:t xml:space="preserve"> </w:t>
      </w:r>
      <w:r>
        <w:t xml:space="preserve">it is not clear whether it is possible to identify certain finality moments for certain type of</w:t>
      </w:r>
    </w:p>
    <w:p>
      <w:pPr>
        <w:pStyle w:val="BodyText"/>
      </w:pPr>
      <w:r>
        <w:t xml:space="preserve">380 “Scaling DLT Capital Markets Enabling Central Bank Money Settlement and Collateral Eligibility for DLT-</w:t>
      </w:r>
      <w:r>
        <w:t xml:space="preserve"> </w:t>
      </w:r>
      <w:r>
        <w:t xml:space="preserve">based Securities”, May 2025 Enabling Central Bank Money Settlement and Collateral Eligibility for DLT-based</w:t>
      </w:r>
      <w:r>
        <w:t xml:space="preserve"> </w:t>
      </w:r>
      <w:r>
        <w:t xml:space="preserve">Securities Final-1.pdf and “Scaling DLT-based Capital Markets, A Policy Roadmap for the EU”, July 2024</w:t>
      </w:r>
      <w:r>
        <w:t xml:space="preserve"> </w:t>
      </w:r>
      <w:r>
        <w:t xml:space="preserve">AFME_DLT_SSA_Bonds_Policymaker_EU_05.pdf</w:t>
      </w:r>
      <w:r>
        <w:t xml:space="preserve"> </w:t>
      </w:r>
      <w:r>
        <w:t xml:space="preserve">381 Defined as a legal person that operates a securities settlement system and provides at least one other core</w:t>
      </w:r>
      <w:r>
        <w:t xml:space="preserve"> </w:t>
      </w:r>
      <w:r>
        <w:t xml:space="preserve">service listed in Section A of the Annex to the CSDR.</w:t>
      </w:r>
      <w:r>
        <w:t xml:space="preserve"> </w:t>
      </w:r>
      <w:r>
        <w:t xml:space="preserve">382 See Section 3.2.7.</w:t>
      </w:r>
      <w:r>
        <w:t xml:space="preserve"> </w:t>
      </w:r>
      <w:r>
        <w:t xml:space="preserve">383 A few respondents noted the need to clarify the definition explicitly, whilst all respondents answering a</w:t>
      </w:r>
      <w:r>
        <w:t xml:space="preserve"> </w:t>
      </w:r>
      <w:r>
        <w:t xml:space="preserve">question if the definitions create barriers, where they all noted that the definitions should already be technology</w:t>
      </w:r>
      <w:r>
        <w:t xml:space="preserve"> </w:t>
      </w:r>
      <w:r>
        <w:t xml:space="preserve">neutral but a clarification to this effect would be beneficial and this request can also be found in many of the</w:t>
      </w:r>
      <w:r>
        <w:t xml:space="preserve"> </w:t>
      </w:r>
      <w:r>
        <w:t xml:space="preserve">responses to other questions related to post-trade.</w:t>
      </w:r>
      <w:r>
        <w:br/>
      </w:r>
      <w:r>
        <w:t xml:space="preserve">384 For example, a respondent to the targeted consultation noted that under the definition of ‘securities account’ in</w:t>
      </w:r>
      <w:r>
        <w:t xml:space="preserve"> </w:t>
      </w:r>
      <w:r>
        <w:t xml:space="preserve">the CSDR, it is unclear whether DLT addresses could be considered as accounts.</w:t>
      </w:r>
      <w:r>
        <w:br/>
      </w:r>
      <w:r>
        <w:t xml:space="preserve">385 The report “The Impact of Distributed Ledger Technology in Capital Markets Ready for Adoption, Time to</w:t>
      </w:r>
      <w:r>
        <w:t xml:space="preserve"> </w:t>
      </w:r>
      <w:r>
        <w:t xml:space="preserve">Act” call for the establishment of clear and consistent legal and regulatory frameworks for tokenized financial</w:t>
      </w:r>
      <w:r>
        <w:t xml:space="preserve"> </w:t>
      </w:r>
      <w:r>
        <w:t xml:space="preserve">instruments, focusing on asset classification, settlement finality, contract enforceability, consumer protection, and</w:t>
      </w:r>
      <w:r>
        <w:t xml:space="preserve"> </w:t>
      </w:r>
      <w:r>
        <w:t xml:space="preserve">cross-border recognition and states “Clarify the application of settlement finality frameworks to DLT-based</w:t>
      </w:r>
      <w:r>
        <w:t xml:space="preserve"> </w:t>
      </w:r>
      <w:r>
        <w:t xml:space="preserve">systems, including permissionless networks where risk controls and validator governance are robust, August 2025,</w:t>
      </w:r>
      <w:r>
        <w:t xml:space="preserve"> </w:t>
      </w:r>
      <w:r>
        <w:t xml:space="preserve">https://www.gfma.org/policies-resources/joint-trades-publish-report-on-the-impact-of-dlt-in-capital-markets/.</w:t>
      </w:r>
      <w:r>
        <w:t xml:space="preserve"> </w:t>
      </w:r>
      <w:r>
        <w:t xml:space="preserve">386 Among the 22 respondents to the question if SFD protection is important for settlement systems based on DLT</w:t>
      </w:r>
      <w:r>
        <w:t xml:space="preserve"> </w:t>
      </w:r>
      <w:r>
        <w:t xml:space="preserve">that settle trades instantly and atomically, and not on a deferred net basis or in settlement batches, there was a very</w:t>
      </w:r>
      <w:r>
        <w:t xml:space="preserve"> </w:t>
      </w:r>
      <w:r>
        <w:t xml:space="preserve">strong support for the ability to designate DLT systems under SFD.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DLT-based settlement systems, including the moment of entry of a transfer order into that</w:t>
      </w:r>
      <w:r>
        <w:t xml:space="preserve"> </w:t>
      </w:r>
      <w:r>
        <w:t xml:space="preserve">system;387,388</w:t>
      </w:r>
      <w:r>
        <w:t xml:space="preserve"> </w:t>
      </w:r>
      <w:r>
        <w:t xml:space="preserve"> ‘settlement agent’389: a DLT-based settlement system would not necessarily qualify as a</w:t>
      </w:r>
      <w:r>
        <w:t xml:space="preserve"> </w:t>
      </w:r>
      <w:r>
        <w:t xml:space="preserve">system due to its participants and because the definition assumes traditional CSD features,</w:t>
      </w:r>
      <w:r>
        <w:t xml:space="preserve"> </w:t>
      </w:r>
      <w:r>
        <w:t xml:space="preserve">for example it refers to settlement accounts used for settlement (see above) thereby</w:t>
      </w:r>
      <w:r>
        <w:t xml:space="preserve"> </w:t>
      </w:r>
      <w:r>
        <w:t xml:space="preserve">potentially limiting the uptake of DLT-native solutions;</w:t>
      </w:r>
      <w:r>
        <w:br/>
      </w:r>
      <w:r>
        <w:t xml:space="preserve"> ‘financial instrument’ and ‘securities’: the CSDR, the FCD and the SFD contain different</w:t>
      </w:r>
      <w:r>
        <w:t xml:space="preserve"> </w:t>
      </w:r>
      <w:r>
        <w:t xml:space="preserve">definitions of those terms: the CSDR uses a definition that treats those terms as</w:t>
      </w:r>
      <w:r>
        <w:t xml:space="preserve"> </w:t>
      </w:r>
      <w:r>
        <w:t xml:space="preserve">synonymous,390 the FCD defines the former term as a set list of instruments,391 whereas the</w:t>
      </w:r>
      <w:r>
        <w:t xml:space="preserve"> </w:t>
      </w:r>
      <w:r>
        <w:t xml:space="preserve">SFD defines the latter term.392 Of the three definitions, the one in the CSDR refers to DLT-</w:t>
      </w:r>
      <w:r>
        <w:t xml:space="preserve"> </w:t>
      </w:r>
      <w:r>
        <w:t xml:space="preserve">based financial instruments with most legal clarity albeit via a reference to Directive</w:t>
      </w:r>
      <w:r>
        <w:t xml:space="preserve"> </w:t>
      </w:r>
      <w:r>
        <w:t xml:space="preserve">2014/65/EU (‘MiFID II’), which is transposed by Member States. The divergent</w:t>
      </w:r>
      <w:r>
        <w:t xml:space="preserve"> </w:t>
      </w:r>
      <w:r>
        <w:t xml:space="preserve">approaches and different formulations393 result in legal uncertainty as regards whether and</w:t>
      </w:r>
      <w:r>
        <w:t xml:space="preserve"> </w:t>
      </w:r>
      <w:r>
        <w:t xml:space="preserve">how</w:t>
      </w:r>
      <w:r>
        <w:t xml:space="preserve"> </w:t>
      </w:r>
      <w:r>
        <w:t xml:space="preserve">tokenised</w:t>
      </w:r>
      <w:r>
        <w:t xml:space="preserve"> </w:t>
      </w:r>
      <w:r>
        <w:t xml:space="preserve">financial</w:t>
      </w:r>
      <w:r>
        <w:t xml:space="preserve"> </w:t>
      </w:r>
      <w:r>
        <w:t xml:space="preserve">instruments/securities</w:t>
      </w:r>
      <w:r>
        <w:t xml:space="preserve"> </w:t>
      </w:r>
      <w:r>
        <w:t xml:space="preserve">are</w:t>
      </w:r>
      <w:r>
        <w:t xml:space="preserve"> </w:t>
      </w:r>
      <w:r>
        <w:t xml:space="preserve">recognised</w:t>
      </w:r>
      <w:r>
        <w:t xml:space="preserve"> </w:t>
      </w:r>
      <w:r>
        <w:t xml:space="preserve">as</w:t>
      </w:r>
      <w:r>
        <w:t xml:space="preserve"> </w:t>
      </w:r>
      <w:r>
        <w:t xml:space="preserve">‘financial</w:t>
      </w:r>
      <w:r>
        <w:t xml:space="preserve"> </w:t>
      </w:r>
      <w:r>
        <w:t xml:space="preserve">instruments’/‘securities’, how their ownership is defined, and when their settlement</w:t>
      </w:r>
      <w:r>
        <w:t xml:space="preserve"> </w:t>
      </w:r>
      <w:r>
        <w:t xml:space="preserve">becomes legally final in a DLT-based system. The lack of legal certainty as to the</w:t>
      </w:r>
      <w:r>
        <w:t xml:space="preserve"> </w:t>
      </w:r>
      <w:r>
        <w:t xml:space="preserve">applicability of specific SFD concepts for certain DLT-based systems might prevent</w:t>
      </w:r>
      <w:r>
        <w:t xml:space="preserve"> </w:t>
      </w:r>
      <w:r>
        <w:t xml:space="preserve">Member States from designating DLT-based systems which limits competition with</w:t>
      </w:r>
      <w:r>
        <w:t xml:space="preserve"> </w:t>
      </w:r>
      <w:r>
        <w:t xml:space="preserve">conventional systems (e.g. because large or institutional customers are not willing to use</w:t>
      </w:r>
      <w:r>
        <w:t xml:space="preserve"> </w:t>
      </w:r>
      <w:r>
        <w:t xml:space="preserve">systems that do not benefit from SFD protections (see Section 3.2.12). This is likely to</w:t>
      </w:r>
      <w:r>
        <w:t xml:space="preserve"> </w:t>
      </w:r>
      <w:r>
        <w:t xml:space="preserve">hinder competition, innovation, and the development of a more integrated and</w:t>
      </w:r>
      <w:r>
        <w:t xml:space="preserve"> </w:t>
      </w:r>
      <w:r>
        <w:t xml:space="preserve">technologically advanced financial market in the EU. In addition, the lack of legal certainty</w:t>
      </w:r>
      <w:r>
        <w:t xml:space="preserve"> </w:t>
      </w:r>
      <w:r>
        <w:t xml:space="preserve">as to the applicability of the protections granted by the FCD can reduce the attractiveness</w:t>
      </w:r>
      <w:r>
        <w:t xml:space="preserve"> </w:t>
      </w:r>
      <w:r>
        <w:t xml:space="preserve">of DLT-based assets for investors as in the case of lack of eligibility for central bank credit</w:t>
      </w:r>
      <w:r>
        <w:t xml:space="preserve"> </w:t>
      </w:r>
      <w:r>
        <w:t xml:space="preserve">operations (see above). This reduces collateral mobility, a key efficiency aspect for an</w:t>
      </w:r>
      <w:r>
        <w:t xml:space="preserve"> </w:t>
      </w:r>
      <w:r>
        <w:t xml:space="preserve">integrated market. However, it should also be noted that the diverging definitions of</w:t>
      </w:r>
      <w:r>
        <w:t xml:space="preserve"> </w:t>
      </w:r>
      <w:r>
        <w:t xml:space="preserve">financial instruments and securities are also due to the different scope and purpose of the</w:t>
      </w:r>
      <w:r>
        <w:t xml:space="preserve"> </w:t>
      </w:r>
      <w:r>
        <w:t xml:space="preserve">cited legislation (CSDR, SFD, FCD). See also Section 3.2.11 on the harmonisation of</w:t>
      </w:r>
      <w:r>
        <w:t xml:space="preserve"> </w:t>
      </w:r>
      <w:r>
        <w:t xml:space="preserve">eligible securities under the SFD.</w:t>
      </w:r>
      <w:r>
        <w:t xml:space="preserve"> </w:t>
      </w:r>
      <w:r>
        <w:t xml:space="preserve">Aside from the issues related to definitions and concepts described above, respondents to the</w:t>
      </w:r>
      <w:r>
        <w:t xml:space="preserve"> </w:t>
      </w:r>
      <w:r>
        <w:t xml:space="preserve">targeted consultation also flagged issues related to specific requirements set out in EU</w:t>
      </w:r>
      <w:r>
        <w:t xml:space="preserve"> </w:t>
      </w:r>
      <w:r>
        <w:t xml:space="preserve">legislation. One respondent pointed to certain requirements in the CSDR that create legal</w:t>
      </w:r>
    </w:p>
    <w:p>
      <w:pPr>
        <w:pStyle w:val="BodyText"/>
      </w:pPr>
      <w:r>
        <w:t xml:space="preserve">387 There are different views presented among the respondents to the question if settlement systems that achieve</w:t>
      </w:r>
      <w:r>
        <w:t xml:space="preserve"> </w:t>
      </w:r>
      <w:r>
        <w:t xml:space="preserve">probabilistic (operational) settlement finality should be designated and benefit from SFD protections.</w:t>
      </w:r>
      <w:r>
        <w:br/>
      </w:r>
      <w:r>
        <w:t xml:space="preserve">388 A respondent to the targeted consultation noted that cross-border transactions within the EU face uncertainty</w:t>
      </w:r>
      <w:r>
        <w:t xml:space="preserve"> </w:t>
      </w:r>
      <w:r>
        <w:t xml:space="preserve">regarding which national laws apply, especially when DLT-based assets are involved, and that the conflict of laws</w:t>
      </w:r>
      <w:r>
        <w:t xml:space="preserve"> </w:t>
      </w:r>
      <w:r>
        <w:t xml:space="preserve">between different jurisdictions can hinder the finality of transactions.</w:t>
      </w:r>
      <w:r>
        <w:t xml:space="preserve"> </w:t>
      </w:r>
      <w:r>
        <w:t xml:space="preserve">389 Defined as an entity providing to institutions and/or a central counterparty participating in systems, settlement</w:t>
      </w:r>
      <w:r>
        <w:t xml:space="preserve"> </w:t>
      </w:r>
      <w:r>
        <w:t xml:space="preserve">accounts through which transfer orders within such systems are settled and, as the case may be, extending credit</w:t>
      </w:r>
      <w:r>
        <w:t xml:space="preserve"> </w:t>
      </w:r>
      <w:r>
        <w:t xml:space="preserve">to those institutions and/or central counterparties for settlement purposes.</w:t>
      </w:r>
      <w:r>
        <w:t xml:space="preserve"> </w:t>
      </w:r>
      <w:r>
        <w:t xml:space="preserve">390 It defines ‘financial instruments’ or ‘securities’ as financial instruments as defined in point (15) of Article 4(1)</w:t>
      </w:r>
      <w:r>
        <w:t xml:space="preserve"> </w:t>
      </w:r>
      <w:r>
        <w:t xml:space="preserve">of Directive 2014/65/EU. The latter Directive defines ‘financial instruments’ as instruments specified in Section</w:t>
      </w:r>
      <w:r>
        <w:t xml:space="preserve"> </w:t>
      </w:r>
      <w:r>
        <w:t xml:space="preserve">C of Annex I, including such instruments issued by means of distributed ledger technology.</w:t>
      </w:r>
      <w:r>
        <w:t xml:space="preserve"> </w:t>
      </w:r>
      <w:r>
        <w:t xml:space="preserve">391 Shares in companies and other securities equivalent to shares in companies and bonds and other forms of debt</w:t>
      </w:r>
      <w:r>
        <w:t xml:space="preserve"> </w:t>
      </w:r>
      <w:r>
        <w:t xml:space="preserve">instruments if these are negotiable on the capital market, and any other securities which are normally dealt in and</w:t>
      </w:r>
      <w:r>
        <w:t xml:space="preserve"> </w:t>
      </w:r>
      <w:r>
        <w:t xml:space="preserve">which give the right to acquire any such shares, bonds or other securities by subscription, purchase or exchange</w:t>
      </w:r>
      <w:r>
        <w:t xml:space="preserve"> </w:t>
      </w:r>
      <w:r>
        <w:t xml:space="preserve">or which give rise to a cash settlement (excluding instruments of payment), including units in collective investment</w:t>
      </w:r>
      <w:r>
        <w:t xml:space="preserve"> </w:t>
      </w:r>
      <w:r>
        <w:t xml:space="preserve">undertakings, money market instruments and claims relating to or rights in or in respect of any of the foregoing.</w:t>
      </w:r>
      <w:r>
        <w:t xml:space="preserve"> </w:t>
      </w:r>
      <w:r>
        <w:t xml:space="preserve">392 ‘Securities’ is defined as all instruments referred to in Section C of Annex I to Directive 2004/39/EC.</w:t>
      </w:r>
      <w:r>
        <w:t xml:space="preserve"> </w:t>
      </w:r>
      <w:r>
        <w:t xml:space="preserve">393 This issue can be further exacerbated by divergent transpositions of the FCD, the SFD and MiFID II.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uncertainty including how: i) requirements on outsourcing create legal uncertainty as to</w:t>
      </w:r>
      <w:r>
        <w:t xml:space="preserve"> </w:t>
      </w:r>
      <w:r>
        <w:t xml:space="preserve">whether the use of certain distributed validation models are considered as outsourcing, ii)</w:t>
      </w:r>
      <w:r>
        <w:t xml:space="preserve"> </w:t>
      </w:r>
      <w:r>
        <w:t xml:space="preserve">requirements on messaging-based communication relate to DLT-based systems that rely on</w:t>
      </w:r>
      <w:r>
        <w:t xml:space="preserve"> </w:t>
      </w:r>
      <w:r>
        <w:t xml:space="preserve">direct ledger interactions or smart contract triggers, and iii) requirements on account</w:t>
      </w:r>
      <w:r>
        <w:t xml:space="preserve"> </w:t>
      </w:r>
      <w:r>
        <w:t xml:space="preserve">segregation result in legal uncertainty as to how segregation requirements are met when using</w:t>
      </w:r>
      <w:r>
        <w:t xml:space="preserve"> </w:t>
      </w:r>
      <w:r>
        <w:t xml:space="preserve">DLT-based infrastructures, particularly regarding how on-ledger addresses should be treated</w:t>
      </w:r>
      <w:r>
        <w:t xml:space="preserve"> </w:t>
      </w:r>
      <w:r>
        <w:t xml:space="preserve">for regulatory purposes.</w:t>
      </w:r>
      <w:r>
        <w:t xml:space="preserve"> </w:t>
      </w:r>
      <w:r>
        <w:t xml:space="preserve">3.2.8. Lack of harmonised conflict-of-law rules</w:t>
      </w:r>
      <w:r>
        <w:t xml:space="preserve"> </w:t>
      </w:r>
      <w:r>
        <w:t xml:space="preserve">In the absence of harmonisation of securities law at EU level, different interpretations of the</w:t>
      </w:r>
      <w:r>
        <w:t xml:space="preserve"> </w:t>
      </w:r>
      <w:r>
        <w:t xml:space="preserve">existing conflict-of-law rule in the SFD and the FCD may create legal uncertainty, which is</w:t>
      </w:r>
      <w:r>
        <w:t xml:space="preserve"> </w:t>
      </w:r>
      <w:r>
        <w:t xml:space="preserve">detrimental to cross-border investment.</w:t>
      </w:r>
      <w:r>
        <w:t xml:space="preserve"> </w:t>
      </w:r>
      <w:r>
        <w:t xml:space="preserve">The existing conflict-of-law rule in the SFD referring to the rights in relation to collateral in</w:t>
      </w:r>
      <w:r>
        <w:t xml:space="preserve"> </w:t>
      </w:r>
      <w:r>
        <w:t xml:space="preserve">the system states that the law determining the rights of holders of a collateral security is the</w:t>
      </w:r>
      <w:r>
        <w:t xml:space="preserve"> </w:t>
      </w:r>
      <w:r>
        <w:t xml:space="preserve">law of the Member State where that right “is legally recorded in a register, account or</w:t>
      </w:r>
      <w:r>
        <w:t xml:space="preserve"> </w:t>
      </w:r>
      <w:r>
        <w:t xml:space="preserve">centralised deposit system”. However, the SFD does not provide further details to help identify</w:t>
      </w:r>
      <w:r>
        <w:t xml:space="preserve"> </w:t>
      </w:r>
      <w:r>
        <w:t xml:space="preserve">more precisely the country where the right is recorded. As noted in the Commission</w:t>
      </w:r>
      <w:r>
        <w:t xml:space="preserve"> </w:t>
      </w:r>
      <w:r>
        <w:t xml:space="preserve">Communication on the applicable law to the proprietary effects of transactions in securities,394</w:t>
      </w:r>
      <w:r>
        <w:t xml:space="preserve"> </w:t>
      </w:r>
      <w:r>
        <w:t xml:space="preserve">Member States have interpreted and/or developed the above conflict-of-law rule in different</w:t>
      </w:r>
      <w:r>
        <w:t xml:space="preserve"> </w:t>
      </w:r>
      <w:r>
        <w:t xml:space="preserve">ways to be able to apply them in practice. Even if a Member State did not clarify in its national</w:t>
      </w:r>
      <w:r>
        <w:t xml:space="preserve"> </w:t>
      </w:r>
      <w:r>
        <w:t xml:space="preserve">laws implementing the relevant provisions of the SFD, other elements in that Member State</w:t>
      </w:r>
      <w:r>
        <w:t xml:space="preserve"> </w:t>
      </w:r>
      <w:r>
        <w:t xml:space="preserve">may provide some (diverging) guidance as to how to determine the location of the</w:t>
      </w:r>
      <w:r>
        <w:t xml:space="preserve"> </w:t>
      </w:r>
      <w:r>
        <w:t xml:space="preserve">register/account/centralised deposit system in practice, such as case law or academic literature.</w:t>
      </w:r>
      <w:r>
        <w:t xml:space="preserve"> </w:t>
      </w:r>
      <w:r>
        <w:t xml:space="preserve">These differences result in potentially different determinations as to the national regime</w:t>
      </w:r>
      <w:r>
        <w:t xml:space="preserve"> </w:t>
      </w:r>
      <w:r>
        <w:t xml:space="preserve">applicable to the rights over securities, depending on the Member States of the (judicial)</w:t>
      </w:r>
      <w:r>
        <w:t xml:space="preserve"> </w:t>
      </w:r>
      <w:r>
        <w:t xml:space="preserve">authorities which make that determination based on the conflict-of-law rule.</w:t>
      </w:r>
      <w:r>
        <w:t xml:space="preserve"> </w:t>
      </w:r>
      <w:r>
        <w:t xml:space="preserve">In particular, the absence of a uniform solution as to where the register/account/centralised</w:t>
      </w:r>
      <w:r>
        <w:t xml:space="preserve"> </w:t>
      </w:r>
      <w:r>
        <w:t xml:space="preserve">deposit system is recorded, the majority of Member States rely on objective factors to</w:t>
      </w:r>
      <w:r>
        <w:t xml:space="preserve"> </w:t>
      </w:r>
      <w:r>
        <w:t xml:space="preserve">determine the location of the securities.395 Some Member States refer to a specific location and</w:t>
      </w:r>
      <w:r>
        <w:t xml:space="preserve"> </w:t>
      </w:r>
      <w:r>
        <w:t xml:space="preserve">some leave it to market practice to determine the location of the account provider.396,397 The</w:t>
      </w:r>
      <w:r>
        <w:t xml:space="preserve"> </w:t>
      </w:r>
      <w:r>
        <w:t xml:space="preserve">uncertainty created by the different approaches as to the applicable national legal regime to</w:t>
      </w:r>
      <w:r>
        <w:t xml:space="preserve"> </w:t>
      </w:r>
      <w:r>
        <w:t xml:space="preserve">rights over securities makes those transactions more expensive as market participants need to</w:t>
      </w:r>
      <w:r>
        <w:t xml:space="preserve"> </w:t>
      </w:r>
      <w:r>
        <w:t xml:space="preserve">mitigate or reduce that legal uncertainty by asking for costly legal opinions and/or by ensuring</w:t>
      </w:r>
      <w:r>
        <w:t xml:space="preserve"> </w:t>
      </w:r>
      <w:r>
        <w:t xml:space="preserve">compliance with different legal regimes. Consequently, this uncertainty may even discourage</w:t>
      </w:r>
      <w:r>
        <w:t xml:space="preserve"> </w:t>
      </w:r>
      <w:r>
        <w:t xml:space="preserve">EU and non-EU investors from engaging in cross-border transactions.</w:t>
      </w:r>
    </w:p>
    <w:p>
      <w:pPr>
        <w:pStyle w:val="BodyText"/>
      </w:pPr>
      <w:r>
        <w:t xml:space="preserve">394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on the applicable law to the proprietary effects of transactions</w:t>
      </w:r>
      <w:r>
        <w:t xml:space="preserve"> </w:t>
      </w:r>
      <w:r>
        <w:t xml:space="preserve">in securities, COM(2018) 89 final.</w:t>
      </w:r>
      <w:r>
        <w:t xml:space="preserve"> </w:t>
      </w:r>
      <w:r>
        <w:t xml:space="preserve">395 For example, in Germany it is the law of the country which supervises the relevant registrar or account, in the</w:t>
      </w:r>
      <w:r>
        <w:t xml:space="preserve"> </w:t>
      </w:r>
      <w:r>
        <w:t xml:space="preserve">Slovak Republic it is the law of the register where the collateral is recorded.</w:t>
      </w:r>
      <w:r>
        <w:t xml:space="preserve"> </w:t>
      </w:r>
      <w:r>
        <w:t xml:space="preserve">396 For example, in Austria it is the place where the account is effectively maintained, in Belgium it is the main</w:t>
      </w:r>
      <w:r>
        <w:t xml:space="preserve"> </w:t>
      </w:r>
      <w:r>
        <w:t xml:space="preserve">establishment of the account provider, in Estonia the place where the register is placed, and in Finland it is the</w:t>
      </w:r>
      <w:r>
        <w:t xml:space="preserve"> </w:t>
      </w:r>
      <w:r>
        <w:t xml:space="preserve">branch of the account provider.</w:t>
      </w:r>
      <w:r>
        <w:t xml:space="preserve"> </w:t>
      </w:r>
      <w:r>
        <w:t xml:space="preserve">397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on the applicable law to the proprietary effects of transactions</w:t>
      </w:r>
      <w:r>
        <w:t xml:space="preserve"> </w:t>
      </w:r>
      <w:r>
        <w:t xml:space="preserve">in securities, COM(2018) 89 final.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Moreover, respondents to the targeted consultation noted that the SFD conflict-of-law rule was</w:t>
      </w:r>
      <w:r>
        <w:t xml:space="preserve"> </w:t>
      </w:r>
      <w:r>
        <w:t xml:space="preserve">not adapted, and might not be able to be applied, to certain type of DLT-based systems and</w:t>
      </w:r>
      <w:r>
        <w:t xml:space="preserve"> </w:t>
      </w:r>
      <w:r>
        <w:t xml:space="preserve">tokenised securities. As pointed out by a respondent to the targeted consultation, the current</w:t>
      </w:r>
      <w:r>
        <w:t xml:space="preserve"> </w:t>
      </w:r>
      <w:r>
        <w:t xml:space="preserve">legal frameworks rely on clear, centralised record-keeping and concepts such as ‘securities</w:t>
      </w:r>
      <w:r>
        <w:t xml:space="preserve"> </w:t>
      </w:r>
      <w:r>
        <w:t xml:space="preserve">accounts’. Such assumptions are incompatible with certain DLT systems that may be: (i)</w:t>
      </w:r>
      <w:r>
        <w:t xml:space="preserve"> </w:t>
      </w:r>
      <w:r>
        <w:t xml:space="preserve">decentralised and not tied to a single operator or location; (ii) peer-to-peer and accountless</w:t>
      </w:r>
      <w:r>
        <w:t xml:space="preserve"> </w:t>
      </w:r>
      <w:r>
        <w:t xml:space="preserve">(users hold keys rather than accounts); (iii) immutable and autonomous, with finality and</w:t>
      </w:r>
      <w:r>
        <w:t xml:space="preserve"> </w:t>
      </w:r>
      <w:r>
        <w:t xml:space="preserve">transfers handled algorithmically. Consequently, in some of those systems is not possible to</w:t>
      </w:r>
      <w:r>
        <w:t xml:space="preserve"> </w:t>
      </w:r>
      <w:r>
        <w:t xml:space="preserve">identify an account, register or centralised deposit system in order to apply the conflict of law</w:t>
      </w:r>
      <w:r>
        <w:t xml:space="preserve"> </w:t>
      </w:r>
      <w:r>
        <w:t xml:space="preserve">rule in SFD.</w:t>
      </w:r>
      <w:r>
        <w:br/>
      </w:r>
      <w:r>
        <w:t xml:space="preserve">A similar problem arises in relation to the lack of a conflict-of-law rule applicable to proprietary</w:t>
      </w:r>
      <w:r>
        <w:t xml:space="preserve"> </w:t>
      </w:r>
      <w:r>
        <w:t xml:space="preserve">aspects of securities transactions for CSDs. Although the Commission’s CSDR proposal did</w:t>
      </w:r>
      <w:r>
        <w:t xml:space="preserve"> </w:t>
      </w:r>
      <w:r>
        <w:t xml:space="preserve">include such rule - the Commission proposed to use the law of the country where the account</w:t>
      </w:r>
      <w:r>
        <w:t xml:space="preserve"> </w:t>
      </w:r>
      <w:r>
        <w:t xml:space="preserve">is maintained398 - the provision was removed by the co-legislators during the negotiations. In</w:t>
      </w:r>
      <w:r>
        <w:t xml:space="preserve"> </w:t>
      </w:r>
      <w:r>
        <w:t xml:space="preserve">the absence of a conflict-of-law rule, Member States have developed and apply their own</w:t>
      </w:r>
      <w:r>
        <w:t xml:space="preserve"> </w:t>
      </w:r>
      <w:r>
        <w:t xml:space="preserve">conflict-of-law rules, which sometimes differ and even contradict each other. Consequently,</w:t>
      </w:r>
      <w:r>
        <w:t xml:space="preserve"> </w:t>
      </w:r>
      <w:r>
        <w:t xml:space="preserve">the rights of the counterparties to a cross-border securities transaction may differ depending on</w:t>
      </w:r>
      <w:r>
        <w:t xml:space="preserve"> </w:t>
      </w:r>
      <w:r>
        <w:t xml:space="preserve">the authorities competent to assess the case and the determination they make as to the</w:t>
      </w:r>
      <w:r>
        <w:t xml:space="preserve"> </w:t>
      </w:r>
      <w:r>
        <w:t xml:space="preserve">applicable national law. This legal uncertainty theoretically translates into higher costs of cross-</w:t>
      </w:r>
      <w:r>
        <w:t xml:space="preserve"> </w:t>
      </w:r>
      <w:r>
        <w:t xml:space="preserve">border securities transactions which may limit or even deter investors from engaging in cross-</w:t>
      </w:r>
      <w:r>
        <w:t xml:space="preserve"> </w:t>
      </w:r>
      <w:r>
        <w:t xml:space="preserve">border transactions. Nevertheless, feedback from the targeted consultation is showed that views</w:t>
      </w:r>
      <w:r>
        <w:t xml:space="preserve"> </w:t>
      </w:r>
      <w:r>
        <w:t xml:space="preserve">both the existence and size of the problem as well as the potential solutions differed</w:t>
      </w:r>
      <w:r>
        <w:t xml:space="preserve"> </w:t>
      </w:r>
      <w:r>
        <w:t xml:space="preserve">considerably.</w:t>
      </w:r>
      <w:r>
        <w:t xml:space="preserve"> </w:t>
      </w:r>
      <w:r>
        <w:t xml:space="preserve">3.2.9. Diverging protections for participation of EU entities in third-country</w:t>
      </w:r>
      <w:r>
        <w:t xml:space="preserve"> </w:t>
      </w:r>
      <w:r>
        <w:t xml:space="preserve">systems</w:t>
      </w:r>
      <w:r>
        <w:t xml:space="preserve"> </w:t>
      </w:r>
      <w:r>
        <w:t xml:space="preserve">The SFD does not apply to third-country systems. However, Member States are able to adopt</w:t>
      </w:r>
      <w:r>
        <w:t xml:space="preserve"> </w:t>
      </w:r>
      <w:r>
        <w:t xml:space="preserve">legislation to extend SFD-like protections to domestic entities participating directly in third-</w:t>
      </w:r>
      <w:r>
        <w:t xml:space="preserve"> </w:t>
      </w:r>
      <w:r>
        <w:t xml:space="preserve">country systems and to any relevant collateral they provide in those systems (‘extension for</w:t>
      </w:r>
      <w:r>
        <w:t xml:space="preserve"> </w:t>
      </w:r>
      <w:r>
        <w:t xml:space="preserve">third-county systems’).399 By applying those protections, the national law is disapplied for</w:t>
      </w:r>
      <w:r>
        <w:t xml:space="preserve"> </w:t>
      </w:r>
      <w:r>
        <w:t xml:space="preserve">orders that those entities enter into the covered third-country systems thereby contributing to</w:t>
      </w:r>
      <w:r>
        <w:t xml:space="preserve"> </w:t>
      </w:r>
      <w:r>
        <w:t xml:space="preserve">the settlement finality of those orders.</w:t>
      </w:r>
      <w:r>
        <w:t xml:space="preserve"> </w:t>
      </w:r>
      <w:r>
        <w:t xml:space="preserve">13 Member States400 have not adopted legislation introducing a regime for an extension for</w:t>
      </w:r>
      <w:r>
        <w:t xml:space="preserve"> </w:t>
      </w:r>
      <w:r>
        <w:t xml:space="preserve">third-county systems, while 10 Member States401,402 have. The latter group of Member States</w:t>
      </w:r>
      <w:r>
        <w:t xml:space="preserve"> </w:t>
      </w:r>
      <w:r>
        <w:t xml:space="preserve">introduced this legislation to ensure, in particular, that their banks would continue to be able to</w:t>
      </w:r>
      <w:r>
        <w:t xml:space="preserve"> </w:t>
      </w:r>
      <w:r>
        <w:t xml:space="preserve">participate in third-country systems after the UK’s departure from the EU. However, the</w:t>
      </w:r>
    </w:p>
    <w:p>
      <w:pPr>
        <w:pStyle w:val="BodyText"/>
      </w:pPr>
      <w:r>
        <w:t xml:space="preserve">398 “That account shall be presumed to be maintained at the place where the CSD has its habitual residence.”</w:t>
      </w:r>
      <w:r>
        <w:t xml:space="preserve"> </w:t>
      </w:r>
      <w:r>
        <w:t xml:space="preserve">399 Recital 7 of the SFD states that “[…]whereas Member States may apply the provisions of this Directive to their</w:t>
      </w:r>
      <w:r>
        <w:t xml:space="preserve"> </w:t>
      </w:r>
      <w:r>
        <w:t xml:space="preserve">domestic institutions which participate directly in third country systems and to collateral security provided in</w:t>
      </w:r>
      <w:r>
        <w:t xml:space="preserve"> </w:t>
      </w:r>
      <w:r>
        <w:t xml:space="preserve">connection with participation in such systems”.</w:t>
      </w:r>
      <w:r>
        <w:t xml:space="preserve"> </w:t>
      </w:r>
      <w:r>
        <w:t xml:space="preserve">400 AT, BG, CY, CZ, ES, HR, HU, LT, PT, SI, SK, RO, PL.</w:t>
      </w:r>
      <w:r>
        <w:t xml:space="preserve"> </w:t>
      </w:r>
      <w:r>
        <w:t xml:space="preserve">401 BE, DE, DK, EE, FI, FR, IT, LU, NL, SE.</w:t>
      </w:r>
      <w:r>
        <w:t xml:space="preserve"> </w:t>
      </w:r>
      <w:r>
        <w:t xml:space="preserve">402 The remaining Member States have not provided any information as to whether they grant protection to their</w:t>
      </w:r>
      <w:r>
        <w:t xml:space="preserve"> </w:t>
      </w:r>
      <w:r>
        <w:t xml:space="preserve">domestic institutions participating in third-country systems.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approaches they have chosen to follow in their legislation differ, i.e. they apply different criteria</w:t>
      </w:r>
      <w:r>
        <w:t xml:space="preserve"> </w:t>
      </w:r>
      <w:r>
        <w:t xml:space="preserve">and different procedures to grant the extension.403</w:t>
      </w:r>
      <w:r>
        <w:br/>
      </w:r>
      <w:r>
        <w:t xml:space="preserve">Third-country systems have an interest in legal certainty and settlement finality protection in</w:t>
      </w:r>
      <w:r>
        <w:t xml:space="preserve"> </w:t>
      </w:r>
      <w:r>
        <w:t xml:space="preserve">the case of the insolvency of their EU participants. Hence there is a risk that participants from</w:t>
      </w:r>
      <w:r>
        <w:t xml:space="preserve"> </w:t>
      </w:r>
      <w:r>
        <w:t xml:space="preserve">Member States that have not provided an extension for third-country systems might be refused</w:t>
      </w:r>
      <w:r>
        <w:t xml:space="preserve"> </w:t>
      </w:r>
      <w:r>
        <w:t xml:space="preserve">access to third-country systems or might be subject to higher collateral requirements in case</w:t>
      </w:r>
      <w:r>
        <w:t xml:space="preserve"> </w:t>
      </w:r>
      <w:r>
        <w:t xml:space="preserve">they maintain such access. Because not all Member States have provided such extensions and</w:t>
      </w:r>
      <w:r>
        <w:t xml:space="preserve"> </w:t>
      </w:r>
      <w:r>
        <w:t xml:space="preserve">because those Member States that have done it adopted different approaches, there is also a</w:t>
      </w:r>
      <w:r>
        <w:t xml:space="preserve"> </w:t>
      </w:r>
      <w:r>
        <w:t xml:space="preserve">lack of a harmonised treatment of participation in those systems in the EU. This has an impact</w:t>
      </w:r>
      <w:r>
        <w:t xml:space="preserve"> </w:t>
      </w:r>
      <w:r>
        <w:t xml:space="preserve">on both third-country systems and EU entities. For the latter, the fragmentation in approaches</w:t>
      </w:r>
      <w:r>
        <w:t xml:space="preserve"> </w:t>
      </w:r>
      <w:r>
        <w:t xml:space="preserve">has created an unlevel playing field between different EU entities seeking to use third-country</w:t>
      </w:r>
      <w:r>
        <w:t xml:space="preserve"> </w:t>
      </w:r>
      <w:r>
        <w:t xml:space="preserve">systems.</w:t>
      </w:r>
      <w:r>
        <w:br/>
      </w:r>
      <w:r>
        <w:t xml:space="preserve">Divergent transpositions in relation to participants and indirect participants under the SFD</w:t>
      </w:r>
      <w:r>
        <w:t xml:space="preserve"> </w:t>
      </w:r>
      <w:r>
        <w:t xml:space="preserve">The SFD defines a ‘participant’ as “an institution, a CCP, a settlement agent, a clearing house,</w:t>
      </w:r>
      <w:r>
        <w:t xml:space="preserve"> </w:t>
      </w:r>
      <w:r>
        <w:t xml:space="preserve">a system operator or a clearing member of a CCP authorised pursuant to Article 17 of</w:t>
      </w:r>
      <w:r>
        <w:t xml:space="preserve"> </w:t>
      </w:r>
      <w:r>
        <w:t xml:space="preserve">Regulation (EU) No 648/2012” and an ‘indirect participant’ as “an institution, a central</w:t>
      </w:r>
      <w:r>
        <w:t xml:space="preserve"> </w:t>
      </w:r>
      <w:r>
        <w:t xml:space="preserve">counterparty, a settlement agent, a clearing house or a system operator with a contractual</w:t>
      </w:r>
      <w:r>
        <w:t xml:space="preserve"> </w:t>
      </w:r>
      <w:r>
        <w:t xml:space="preserve">relationship with a participant in a system executing transfer orders which enables the indirect</w:t>
      </w:r>
      <w:r>
        <w:t xml:space="preserve"> </w:t>
      </w:r>
      <w:r>
        <w:t xml:space="preserve">participant to pass transfer orders through the system, provided that the indirect participant is</w:t>
      </w:r>
      <w:r>
        <w:t xml:space="preserve"> </w:t>
      </w:r>
      <w:r>
        <w:t xml:space="preserve">known to the system operator”. There are several issues related to these concepts.</w:t>
      </w:r>
      <w:r>
        <w:t xml:space="preserve"> </w:t>
      </w:r>
      <w:r>
        <w:t xml:space="preserve">One issue is the definition of ‘participant’. Unlike CCPs, CSDs are not explicitly mentioned in</w:t>
      </w:r>
      <w:r>
        <w:t xml:space="preserve"> </w:t>
      </w:r>
      <w:r>
        <w:t xml:space="preserve">the list of participants. This does not necessarily mean that when a CSD that participates in a</w:t>
      </w:r>
      <w:r>
        <w:t xml:space="preserve"> </w:t>
      </w:r>
      <w:r>
        <w:t xml:space="preserve">system designated under the SFD (e.g. because it has a link with the CSD operating that system)</w:t>
      </w:r>
      <w:r>
        <w:t xml:space="preserve"> </w:t>
      </w:r>
      <w:r>
        <w:t xml:space="preserve">it is not protected; in principle, it can still be considered as a ‘participant’ in its role as</w:t>
      </w:r>
      <w:r>
        <w:t xml:space="preserve"> </w:t>
      </w:r>
      <w:r>
        <w:t xml:space="preserve">‘settlement agent’ or ‘system operator’. However, the lack of an explicit reference creates</w:t>
      </w:r>
      <w:r>
        <w:t xml:space="preserve"> </w:t>
      </w:r>
      <w:r>
        <w:t xml:space="preserve">uncertainty. During the 2021 targeted consultation that was carried out as part of the review of</w:t>
      </w:r>
      <w:r>
        <w:t xml:space="preserve"> </w:t>
      </w:r>
      <w:r>
        <w:t xml:space="preserve">the functioning of the SFD, respondents pointed out this issue and were in favour of adding an</w:t>
      </w:r>
      <w:r>
        <w:t xml:space="preserve"> </w:t>
      </w:r>
      <w:r>
        <w:t xml:space="preserve">explicit reference to CSDs to the definition of ‘participant’; the same issue was pointed to</w:t>
      </w:r>
      <w:r>
        <w:t xml:space="preserve"> </w:t>
      </w:r>
      <w:r>
        <w:t xml:space="preserve">during the 2025 targeted consultation.</w:t>
      </w:r>
      <w:r>
        <w:br/>
      </w:r>
      <w:r>
        <w:t xml:space="preserve">Another issue relates to Member States’ interpretation of whether the list of entities included</w:t>
      </w:r>
      <w:r>
        <w:t xml:space="preserve"> </w:t>
      </w:r>
      <w:r>
        <w:t xml:space="preserve">in the definition of ‘participant’ is exhaustive. Some Member States consider the list as</w:t>
      </w:r>
      <w:r>
        <w:t xml:space="preserve"> </w:t>
      </w:r>
      <w:r>
        <w:t xml:space="preserve">exhaustive and have hence extended the SFD’s protections solely to those entities that are</w:t>
      </w:r>
      <w:r>
        <w:t xml:space="preserve"> </w:t>
      </w:r>
      <w:r>
        <w:t xml:space="preserve">explicitly referred to in the definition. Other Member States consider that the list is not</w:t>
      </w:r>
      <w:r>
        <w:t xml:space="preserve"> </w:t>
      </w:r>
      <w:r>
        <w:t xml:space="preserve">exhaustive and have therefore decided to include additional entities in their transposition of the</w:t>
      </w:r>
      <w:r>
        <w:t xml:space="preserve"> </w:t>
      </w:r>
      <w:r>
        <w:t xml:space="preserve">definition in national law. As a result of these divergent interpretations, costly legal assessment</w:t>
      </w:r>
      <w:r>
        <w:t xml:space="preserve"> </w:t>
      </w:r>
      <w:r>
        <w:t xml:space="preserve">and legal opinions are required to understand which entities are considered participants under</w:t>
      </w:r>
      <w:r>
        <w:t xml:space="preserve"> </w:t>
      </w:r>
      <w:r>
        <w:t xml:space="preserve">the national transpositions of the SFD.</w:t>
      </w:r>
    </w:p>
    <w:p>
      <w:pPr>
        <w:pStyle w:val="BodyText"/>
      </w:pPr>
      <w:r>
        <w:t xml:space="preserve">403 7 Member States assess a third-country system’s compliance on a case-by-case basis with certain criteria and</w:t>
      </w:r>
      <w:r>
        <w:t xml:space="preserve"> </w:t>
      </w:r>
      <w:r>
        <w:t xml:space="preserve">if they are satisfied that those criteria are met, the system is granted an extension for third-county systems. 3</w:t>
      </w:r>
      <w:r>
        <w:t xml:space="preserve"> </w:t>
      </w:r>
      <w:r>
        <w:t xml:space="preserve">Member States do not assess the compliance of a third-country system upfront. Instead, only third-country systems</w:t>
      </w:r>
      <w:r>
        <w:t xml:space="preserve"> </w:t>
      </w:r>
      <w:r>
        <w:t xml:space="preserve">that correspond to the definition of a system under the SFD can be subject to such extension; where an extension</w:t>
      </w:r>
      <w:r>
        <w:t xml:space="preserve"> </w:t>
      </w:r>
      <w:r>
        <w:t xml:space="preserve">is granted, if insolvency proceedings are opened for a domestic participant, the rules governing the third-country</w:t>
      </w:r>
      <w:r>
        <w:t xml:space="preserve"> </w:t>
      </w:r>
      <w:r>
        <w:t xml:space="preserve">system apply to the domestic participant to such third-country system.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A further issue with the definition of ‘participant’ is that it provides challenges for systems</w:t>
      </w:r>
      <w:r>
        <w:t xml:space="preserve"> </w:t>
      </w:r>
      <w:r>
        <w:t xml:space="preserve">based on new technologies, in particular those based on DLT. The decentralised nature of those</w:t>
      </w:r>
      <w:r>
        <w:t xml:space="preserve"> </w:t>
      </w:r>
      <w:r>
        <w:t xml:space="preserve">systems and the likely difference in their structure compared to the structure of systems</w:t>
      </w:r>
      <w:r>
        <w:t xml:space="preserve"> </w:t>
      </w:r>
      <w:r>
        <w:t xml:space="preserve">currently designated under the SFD means that the participants in the former can differ from</w:t>
      </w:r>
      <w:r>
        <w:t xml:space="preserve"> </w:t>
      </w:r>
      <w:r>
        <w:t xml:space="preserve">the participants in the latter404 and may not be explicitly covered by the definition of</w:t>
      </w:r>
      <w:r>
        <w:t xml:space="preserve"> </w:t>
      </w:r>
      <w:r>
        <w:t xml:space="preserve">‘participant’. Respondents to the targeted consultation raised several issues in this context.</w:t>
      </w:r>
      <w:r>
        <w:t xml:space="preserve"> </w:t>
      </w:r>
      <w:r>
        <w:t xml:space="preserve">First, they noted that an operator of a DLT-based settlement system that settles tokenised</w:t>
      </w:r>
      <w:r>
        <w:t xml:space="preserve"> </w:t>
      </w:r>
      <w:r>
        <w:t xml:space="preserve">securities might not be eligible to be a participant in an SFD-designated system because the</w:t>
      </w:r>
      <w:r>
        <w:t xml:space="preserve"> </w:t>
      </w:r>
      <w:r>
        <w:t xml:space="preserve">SFD requires participants to be entities listed in Article 2, point (f), of the SFD. Second, and</w:t>
      </w:r>
      <w:r>
        <w:t xml:space="preserve"> </w:t>
      </w:r>
      <w:r>
        <w:t xml:space="preserve">applying to systems more broadly, if that system wants to include types of participants beyond</w:t>
      </w:r>
      <w:r>
        <w:t xml:space="preserve"> </w:t>
      </w:r>
      <w:r>
        <w:t xml:space="preserve">those included in the definition (e.g. non-financial companies and investors), it will not fit the</w:t>
      </w:r>
      <w:r>
        <w:t xml:space="preserve"> </w:t>
      </w:r>
      <w:r>
        <w:t xml:space="preserve">letter of the SFD’s list of participants and may therefore not be considered a ‘system’405 under</w:t>
      </w:r>
      <w:r>
        <w:t xml:space="preserve"> </w:t>
      </w:r>
      <w:r>
        <w:t xml:space="preserve">that Directive. Finally, because of the link between the definitions of ‘participant’ in the SFD</w:t>
      </w:r>
      <w:r>
        <w:t xml:space="preserve"> </w:t>
      </w:r>
      <w:r>
        <w:t xml:space="preserve">and the CSDR, the operator of that system will not be able to be authorised as a CSD under the</w:t>
      </w:r>
      <w:r>
        <w:t xml:space="preserve"> </w:t>
      </w:r>
      <w:r>
        <w:t xml:space="preserve">latter.406 Combined with the abovementioned issue of how exhaustive list of entities included</w:t>
      </w:r>
      <w:r>
        <w:t xml:space="preserve"> </w:t>
      </w:r>
      <w:r>
        <w:t xml:space="preserve">in the definition is considered by Member States, this can lead to different outcomes in different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Finally, one issue is related to the possibility that the SFD gives to Member States to consider</w:t>
      </w:r>
      <w:r>
        <w:t xml:space="preserve"> </w:t>
      </w:r>
      <w:r>
        <w:t xml:space="preserve">an ‘indirect participant’ as a ‘participant’, if justified on the grounds of systemic risk. Where</w:t>
      </w:r>
      <w:r>
        <w:t xml:space="preserve"> </w:t>
      </w:r>
      <w:r>
        <w:t xml:space="preserve">an indirect participant is considered to be a participant on grounds of systemic risk, this does</w:t>
      </w:r>
      <w:r>
        <w:t xml:space="preserve"> </w:t>
      </w:r>
      <w:r>
        <w:t xml:space="preserve">not limit the responsibility of the ‘participant’ through which the indirect participant passes</w:t>
      </w:r>
      <w:r>
        <w:t xml:space="preserve"> </w:t>
      </w:r>
      <w:r>
        <w:t xml:space="preserve">transfer orders to the system to comply with the SFD requirements and those of the system.</w:t>
      </w:r>
      <w:r>
        <w:br/>
      </w:r>
      <w:r>
        <w:t xml:space="preserve">During the abovementioned 2021 consultation, some stakeholders also pointed out that</w:t>
      </w:r>
      <w:r>
        <w:t xml:space="preserve"> </w:t>
      </w:r>
      <w:r>
        <w:t xml:space="preserve">different Member States took different approaches as regards the protections granted in relation</w:t>
      </w:r>
      <w:r>
        <w:t xml:space="preserve"> </w:t>
      </w:r>
      <w:r>
        <w:t xml:space="preserve">to indirect participants: in some Member States indirect participants in systems could enjoy</w:t>
      </w:r>
      <w:r>
        <w:t xml:space="preserve"> </w:t>
      </w:r>
      <w:r>
        <w:t xml:space="preserve">SFD protections (for more information on SFD protections see Section 3.2.12), while in others</w:t>
      </w:r>
      <w:r>
        <w:t xml:space="preserve"> </w:t>
      </w:r>
      <w:r>
        <w:t xml:space="preserve">they could not. They complained that the lack of a harmonised approach to this issue, created</w:t>
      </w:r>
      <w:r>
        <w:t xml:space="preserve"> </w:t>
      </w:r>
      <w:r>
        <w:t xml:space="preserve">an unlevel playing field across Member States</w:t>
      </w:r>
      <w:r>
        <w:t xml:space="preserve"> </w:t>
      </w:r>
      <w:r>
        <w:t xml:space="preserve">3.2.10. Divergent transpositions in relation to securities eligible for SFD</w:t>
      </w:r>
      <w:r>
        <w:t xml:space="preserve"> </w:t>
      </w:r>
      <w:r>
        <w:t xml:space="preserve">protection</w:t>
      </w:r>
      <w:r>
        <w:t xml:space="preserve"> </w:t>
      </w:r>
      <w:r>
        <w:t xml:space="preserve">The SFD provides protection for payment systems as well as securities settlement systems (see</w:t>
      </w:r>
      <w:r>
        <w:t xml:space="preserve"> </w:t>
      </w:r>
      <w:r>
        <w:t xml:space="preserve">Section 3.2.12 for more information on SFD protections). For a securities settlement system to</w:t>
      </w:r>
      <w:r>
        <w:t xml:space="preserve"> </w:t>
      </w:r>
      <w:r>
        <w:t xml:space="preserve">benefit from the protections granted under the SFD, it has to execute securities transfer orders.</w:t>
      </w:r>
      <w:r>
        <w:t xml:space="preserve"> </w:t>
      </w:r>
      <w:r>
        <w:t xml:space="preserve">Article 2, point (h), of the SFD defines securities as “all instruments referred to in section C of</w:t>
      </w:r>
      <w:r>
        <w:t xml:space="preserve"> </w:t>
      </w:r>
      <w:r>
        <w:t xml:space="preserve">Annex I to Directive 2004/39/EC”.</w:t>
      </w:r>
      <w:r>
        <w:t xml:space="preserve"> </w:t>
      </w:r>
      <w:r>
        <w:t xml:space="preserve">In bilateral discussions, stakeholders raised an issue that is analogous to the one described in</w:t>
      </w:r>
      <w:r>
        <w:t xml:space="preserve"> </w:t>
      </w:r>
      <w:r>
        <w:t xml:space="preserve">Section 3.2.10 in relation to the definition of ‘participant’, namely that Member States have</w:t>
      </w:r>
      <w:r>
        <w:t xml:space="preserve"> </w:t>
      </w:r>
      <w:r>
        <w:t xml:space="preserve">different interpretations as to whether the list of instruments included in the definition of</w:t>
      </w:r>
      <w:r>
        <w:t xml:space="preserve"> </w:t>
      </w:r>
      <w:r>
        <w:t xml:space="preserve">‘securities’ is maximum or minimum harmonisation. Based on the information provided, it</w:t>
      </w:r>
    </w:p>
    <w:p>
      <w:pPr>
        <w:pStyle w:val="BodyText"/>
      </w:pPr>
      <w:r>
        <w:t xml:space="preserve">404 See Section 3.2.9 for further details.</w:t>
      </w:r>
      <w:r>
        <w:t xml:space="preserve"> </w:t>
      </w:r>
      <w:r>
        <w:t xml:space="preserve">405 The SFD defines a system as a formal arrangement between three or more participants excluding the system</w:t>
      </w:r>
      <w:r>
        <w:t xml:space="preserve"> </w:t>
      </w:r>
      <w:r>
        <w:t xml:space="preserve">operator.</w:t>
      </w:r>
      <w:r>
        <w:t xml:space="preserve"> </w:t>
      </w:r>
      <w:r>
        <w:t xml:space="preserve">406 The risk that the direct participation of retail investors in a DLT-based settlement system would disqualify the</w:t>
      </w:r>
      <w:r>
        <w:t xml:space="preserve"> </w:t>
      </w:r>
      <w:r>
        <w:t xml:space="preserve">operator of that system to be authorised under the SFD was recognised in the DLTPRR, which provides an</w:t>
      </w:r>
      <w:r>
        <w:t xml:space="preserve"> </w:t>
      </w:r>
      <w:r>
        <w:t xml:space="preserve">exemption for such cases.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would appear that at least some Member States have included additional instruments in their</w:t>
      </w:r>
      <w:r>
        <w:t xml:space="preserve"> </w:t>
      </w:r>
      <w:r>
        <w:t xml:space="preserve">national transpositions of the definition. In addition, since the definition contains a reference</w:t>
      </w:r>
      <w:r>
        <w:t xml:space="preserve"> </w:t>
      </w:r>
      <w:r>
        <w:t xml:space="preserve">to a list of instruments provided in the annex of a Directive, the above issue may be</w:t>
      </w:r>
      <w:r>
        <w:t xml:space="preserve"> </w:t>
      </w:r>
      <w:r>
        <w:t xml:space="preserve">compounded, at least in theory, by different transpositions by Member States of that list under</w:t>
      </w:r>
      <w:r>
        <w:t xml:space="preserve"> </w:t>
      </w:r>
      <w:r>
        <w:t xml:space="preserve">that Directive. This creates market fragmentation.</w:t>
      </w:r>
      <w:r>
        <w:br/>
      </w:r>
      <w:r>
        <w:t xml:space="preserve">The same issue of fragmented application of the SFD also concerns the concept of ‘payment’</w:t>
      </w:r>
      <w:r>
        <w:t xml:space="preserve"> </w:t>
      </w:r>
      <w:r>
        <w:t xml:space="preserve">falling within the protections under the SFD. Differing transpositions of the concept of</w:t>
      </w:r>
      <w:r>
        <w:t xml:space="preserve"> </w:t>
      </w:r>
      <w:r>
        <w:t xml:space="preserve">‘payment’ in Member States can lead to a different degree of protection. The SFD (Article 2,</w:t>
      </w:r>
      <w:r>
        <w:t xml:space="preserve"> </w:t>
      </w:r>
      <w:r>
        <w:t xml:space="preserve">point (i), first indent) defines a payment transfer order as “any instruction by a participant to</w:t>
      </w:r>
      <w:r>
        <w:t xml:space="preserve"> </w:t>
      </w:r>
      <w:r>
        <w:t xml:space="preserve">place at the disposal of a recipient an amount of money by means of a book entry on the</w:t>
      </w:r>
      <w:r>
        <w:t xml:space="preserve"> </w:t>
      </w:r>
      <w:r>
        <w:t xml:space="preserve">accounts of a credit institution, a central bank, a central counterparty or a settlement agent,</w:t>
      </w:r>
      <w:r>
        <w:t xml:space="preserve"> </w:t>
      </w:r>
      <w:r>
        <w:t xml:space="preserve">or any instruction which results in the assumption or discharge of a payment obligation as</w:t>
      </w:r>
      <w:r>
        <w:t xml:space="preserve"> </w:t>
      </w:r>
      <w:r>
        <w:t xml:space="preserve">defined by the rules of the system”. For instance, interpretations can differ when it comes to the</w:t>
      </w:r>
      <w:r>
        <w:t xml:space="preserve"> </w:t>
      </w:r>
      <w:r>
        <w:t xml:space="preserve">definition of money or book-entry as both terms are not defined in the SFD. The transposition</w:t>
      </w:r>
      <w:r>
        <w:t xml:space="preserve"> </w:t>
      </w:r>
      <w:r>
        <w:t xml:space="preserve">of some Member States might for instance be more accommodating to new regulatory and</w:t>
      </w:r>
      <w:r>
        <w:t xml:space="preserve"> </w:t>
      </w:r>
      <w:r>
        <w:t xml:space="preserve">technological developments than others.</w:t>
      </w:r>
      <w:r>
        <w:t xml:space="preserve"> </w:t>
      </w:r>
      <w:r>
        <w:t xml:space="preserve">3.2.11. Diverging SFD designation practices for EU systems</w:t>
      </w:r>
      <w:r>
        <w:t xml:space="preserve"> </w:t>
      </w:r>
      <w:r>
        <w:t xml:space="preserve">Another source of fragmentation is the way in which Member States have transposed the SFD</w:t>
      </w:r>
      <w:r>
        <w:t xml:space="preserve"> </w:t>
      </w:r>
      <w:r>
        <w:t xml:space="preserve">as regards the designation process of EU systems.</w:t>
      </w:r>
      <w:r>
        <w:t xml:space="preserve"> </w:t>
      </w:r>
      <w:r>
        <w:t xml:space="preserve">The SFD does not provide rules on the procedural aspects to be followed (including timelines,</w:t>
      </w:r>
      <w:r>
        <w:t xml:space="preserve"> </w:t>
      </w:r>
      <w:r>
        <w:t xml:space="preserve">information to be requested from a system operator and how the assessment of a system should</w:t>
      </w:r>
      <w:r>
        <w:t xml:space="preserve"> </w:t>
      </w:r>
      <w:r>
        <w:t xml:space="preserve">be carried out), and the criteria to be used, by Member States when designating a system. As a</w:t>
      </w:r>
      <w:r>
        <w:t xml:space="preserve"> </w:t>
      </w:r>
      <w:r>
        <w:t xml:space="preserve">result, Member States have adopted different solutions that can lead to very different outcomes.</w:t>
      </w:r>
      <w:r>
        <w:t xml:space="preserve"> </w:t>
      </w:r>
      <w:r>
        <w:t xml:space="preserve">For example, systems operated by CCPs are designated in different ways in different Member</w:t>
      </w:r>
      <w:r>
        <w:t xml:space="preserve"> </w:t>
      </w:r>
      <w:r>
        <w:t xml:space="preserve">States: some are designated as settlement systems, some as payment systems, and some system</w:t>
      </w:r>
      <w:r>
        <w:t xml:space="preserve"> </w:t>
      </w:r>
      <w:r>
        <w:t xml:space="preserve">operators operate more than one designated system.</w:t>
      </w:r>
      <w:r>
        <w:br/>
      </w:r>
      <w:r>
        <w:t xml:space="preserve">Divergent national practices, specifically as regards i) concrete timelines regarding the</w:t>
      </w:r>
      <w:r>
        <w:t xml:space="preserve"> </w:t>
      </w:r>
      <w:r>
        <w:t xml:space="preserve">designation process, ii) an explicit requirement for regular checks by Member States whether</w:t>
      </w:r>
      <w:r>
        <w:t xml:space="preserve"> </w:t>
      </w:r>
      <w:r>
        <w:t xml:space="preserve">their SFD-designated systems are still SFD-compliant, and iii) a clear requirement for operators</w:t>
      </w:r>
      <w:r>
        <w:t xml:space="preserve"> </w:t>
      </w:r>
      <w:r>
        <w:t xml:space="preserve">of the SFD-designated systems to notify the national competent authority of any relevant</w:t>
      </w:r>
      <w:r>
        <w:t xml:space="preserve"> </w:t>
      </w:r>
      <w:r>
        <w:t xml:space="preserve">changes in the rules of the system it operates, are also likely behind some of the past issues</w:t>
      </w:r>
      <w:r>
        <w:t xml:space="preserve"> </w:t>
      </w:r>
      <w:r>
        <w:t xml:space="preserve">related to the list of SFD-designated systems that is publicly available on ESMA’s website.407</w:t>
      </w:r>
      <w:r>
        <w:t xml:space="preserve"> </w:t>
      </w:r>
      <w:r>
        <w:t xml:space="preserve">For example, in one instance the list contained information that hadn’t been updated to reflect</w:t>
      </w:r>
      <w:r>
        <w:t xml:space="preserve"> </w:t>
      </w:r>
      <w:r>
        <w:t xml:space="preserve">changes to the name of the operator of an SFD-designated system, which created legal</w:t>
      </w:r>
      <w:r>
        <w:t xml:space="preserve"> </w:t>
      </w:r>
      <w:r>
        <w:t xml:space="preserve">uncertainty for market participants as they did not know whether the system in question was</w:t>
      </w:r>
      <w:r>
        <w:t xml:space="preserve"> </w:t>
      </w:r>
      <w:r>
        <w:t xml:space="preserve">still covered by the SFD’s protections. Coupled with diverging transpositions as regards the</w:t>
      </w:r>
      <w:r>
        <w:t xml:space="preserve"> </w:t>
      </w:r>
      <w:r>
        <w:t xml:space="preserve">scope of the SFD (see Sections 3.2.10 and 3.2.11 respectively), the above create legal and</w:t>
      </w:r>
      <w:r>
        <w:t xml:space="preserve"> </w:t>
      </w:r>
      <w:r>
        <w:t xml:space="preserve">operational uncertainty as different systems have different scope of protection under national</w:t>
      </w:r>
      <w:r>
        <w:t xml:space="preserve"> </w:t>
      </w:r>
      <w:r>
        <w:t xml:space="preserve">law, which exacerbates fragmentation and creates unnecessary costs.</w:t>
      </w:r>
    </w:p>
    <w:p>
      <w:pPr>
        <w:pStyle w:val="BodyText"/>
      </w:pPr>
      <w:r>
        <w:t xml:space="preserve">407 List of designated authorities, payment systems and securities settlement systems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3.2.12. Different levels of transparency under the SFD</w:t>
      </w:r>
      <w:r>
        <w:t xml:space="preserve"> </w:t>
      </w:r>
      <w:r>
        <w:t xml:space="preserve">The rules put in place by the SFD do not ensure an adequate level of transparency in relation</w:t>
      </w:r>
      <w:r>
        <w:t xml:space="preserve"> </w:t>
      </w:r>
      <w:r>
        <w:t xml:space="preserve">to the information on systems designated under that Directive. Under the SFD, Member States</w:t>
      </w:r>
      <w:r>
        <w:t xml:space="preserve"> </w:t>
      </w:r>
      <w:r>
        <w:t xml:space="preserve">are only required to notify the systems, and the respective system operators, which benefit from</w:t>
      </w:r>
      <w:r>
        <w:t xml:space="preserve"> </w:t>
      </w:r>
      <w:r>
        <w:t xml:space="preserve">the protections granted under that Directive to ESMA; ESMA is then required to publish that</w:t>
      </w:r>
      <w:r>
        <w:t xml:space="preserve"> </w:t>
      </w:r>
      <w:r>
        <w:t xml:space="preserve">information on its website. However, neither Member States408 nor system operators are</w:t>
      </w:r>
      <w:r>
        <w:t xml:space="preserve"> </w:t>
      </w:r>
      <w:r>
        <w:t xml:space="preserve">required to disclose information on the participants in those systems or the main rules</w:t>
      </w:r>
      <w:r>
        <w:t xml:space="preserve"> </w:t>
      </w:r>
      <w:r>
        <w:t xml:space="preserve">governing them. This obligation falls on the participants in those systems, but only upon request</w:t>
      </w:r>
      <w:r>
        <w:t xml:space="preserve"> </w:t>
      </w:r>
      <w:r>
        <w:t xml:space="preserve">of anyone with a legitimate interest. As a result of this approach, there are differences in the</w:t>
      </w:r>
      <w:r>
        <w:t xml:space="preserve"> </w:t>
      </w:r>
      <w:r>
        <w:t xml:space="preserve">amount and type of information made publicly available in relation to the systems designated</w:t>
      </w:r>
      <w:r>
        <w:t xml:space="preserve"> </w:t>
      </w:r>
      <w:r>
        <w:t xml:space="preserve">under the SFD, their participants and the rules governing their functioning. These differences</w:t>
      </w:r>
      <w:r>
        <w:t xml:space="preserve"> </w:t>
      </w:r>
      <w:r>
        <w:t xml:space="preserve">result in information asymmetry among systems designated in different Member States or even</w:t>
      </w:r>
      <w:r>
        <w:t xml:space="preserve"> </w:t>
      </w:r>
      <w:r>
        <w:t xml:space="preserve">in the same Member State. In turn, this information asymmetry creates an unlevel playing field</w:t>
      </w:r>
      <w:r>
        <w:t xml:space="preserve"> </w:t>
      </w:r>
      <w:r>
        <w:t xml:space="preserve">for market participants, which is detrimental to the performance of risk assessments related to</w:t>
      </w:r>
      <w:r>
        <w:t xml:space="preserve"> </w:t>
      </w:r>
      <w:r>
        <w:t xml:space="preserve">participation in a designated systems and to the trust in those systems. Respondents to the</w:t>
      </w:r>
      <w:r>
        <w:t xml:space="preserve"> </w:t>
      </w:r>
      <w:r>
        <w:t xml:space="preserve">targeted consultation claimed this prevented them from obtaining a comprehensive picture of</w:t>
      </w:r>
      <w:r>
        <w:t xml:space="preserve"> </w:t>
      </w:r>
      <w:r>
        <w:t xml:space="preserve">the scope of the protections granted under the SFD.</w:t>
      </w:r>
      <w:r>
        <w:t xml:space="preserve"> </w:t>
      </w:r>
      <w:r>
        <w:t xml:space="preserve">A similar issue arises in relation to the notification of the decision to open insolvency</w:t>
      </w:r>
      <w:r>
        <w:t xml:space="preserve"> </w:t>
      </w:r>
      <w:r>
        <w:t xml:space="preserve">proceedings against a participant in an SFD-designated system. Currently, the relevant judicial</w:t>
      </w:r>
      <w:r>
        <w:t xml:space="preserve"> </w:t>
      </w:r>
      <w:r>
        <w:t xml:space="preserve">or administrative authority must notify the appropriate authority chosen by the Member State</w:t>
      </w:r>
      <w:r>
        <w:t xml:space="preserve"> </w:t>
      </w:r>
      <w:r>
        <w:t xml:space="preserve">of the decision regarding the opening of insolvency proceedings against a participant in an SFD</w:t>
      </w:r>
      <w:r>
        <w:t xml:space="preserve"> </w:t>
      </w:r>
      <w:r>
        <w:t xml:space="preserve">designated system. That Member State authority must also immediately notify the European</w:t>
      </w:r>
      <w:r>
        <w:t xml:space="preserve"> </w:t>
      </w:r>
      <w:r>
        <w:t xml:space="preserve">Systemic Risk Board, other Member States and ESMA. Market participants asked for this</w:t>
      </w:r>
      <w:r>
        <w:t xml:space="preserve"> </w:t>
      </w:r>
      <w:r>
        <w:t xml:space="preserve">decision to be made available to other market participants for whom such a decision would be</w:t>
      </w:r>
      <w:r>
        <w:t xml:space="preserve"> </w:t>
      </w:r>
      <w:r>
        <w:t xml:space="preserve">important as well, including the system operator and the system’s other participants, or even</w:t>
      </w:r>
      <w:r>
        <w:t xml:space="preserve"> </w:t>
      </w:r>
      <w:r>
        <w:t xml:space="preserve">made publicly available. They also pointed to some related uncertainty regarding the moment</w:t>
      </w:r>
      <w:r>
        <w:t xml:space="preserve"> </w:t>
      </w:r>
      <w:r>
        <w:t xml:space="preserve">that the notification of the system becomes valid (e.g. what happens if a participant becomes</w:t>
      </w:r>
      <w:r>
        <w:t xml:space="preserve"> </w:t>
      </w:r>
      <w:r>
        <w:t xml:space="preserve">insolvent after notification but before publication on ESMA’s website).</w:t>
      </w:r>
      <w:r>
        <w:t xml:space="preserve"> </w:t>
      </w:r>
      <w:r>
        <w:t xml:space="preserve">3.2.13. Different moments of settlement finality</w:t>
      </w:r>
      <w:r>
        <w:t xml:space="preserve"> </w:t>
      </w:r>
      <w:r>
        <w:t xml:space="preserve">The SFD leaves the determination of the different moments of settlement finality to each</w:t>
      </w:r>
      <w:r>
        <w:t xml:space="preserve"> </w:t>
      </w:r>
      <w:r>
        <w:t xml:space="preserve">system.409 There are three such moments commonly referred to: i) the moment of entry of a</w:t>
      </w:r>
      <w:r>
        <w:t xml:space="preserve"> </w:t>
      </w:r>
      <w:r>
        <w:t xml:space="preserve">transfer order into a system, ii) the moment at which an order that entered into the system</w:t>
      </w:r>
      <w:r>
        <w:t xml:space="preserve"> </w:t>
      </w:r>
      <w:r>
        <w:t xml:space="preserve">cannot be revoked, and iii) moment of finality of transfers of securities and cash. Under the</w:t>
      </w:r>
      <w:r>
        <w:t xml:space="preserve"> </w:t>
      </w:r>
      <w:r>
        <w:t xml:space="preserve">SFD, each system is left to define the first two of those moments. The SFD does not explicitly</w:t>
      </w:r>
      <w:r>
        <w:t xml:space="preserve"> </w:t>
      </w:r>
      <w:r>
        <w:t xml:space="preserve">refer to the third of those moments.</w:t>
      </w:r>
      <w:r>
        <w:br/>
      </w:r>
      <w:r>
        <w:t xml:space="preserve">This can result in different finality moments being defined by different systems (even in the</w:t>
      </w:r>
      <w:r>
        <w:t xml:space="preserve"> </w:t>
      </w:r>
      <w:r>
        <w:t xml:space="preserve">same Member State).410 These differences may, in turn, result in some market fragmentation</w:t>
      </w:r>
      <w:r>
        <w:t xml:space="preserve"> </w:t>
      </w:r>
      <w:r>
        <w:t xml:space="preserve">and may make the setting up of interoperable links between CSDs more difficult.411 Indeed,</w:t>
      </w:r>
    </w:p>
    <w:p>
      <w:pPr>
        <w:pStyle w:val="BodyText"/>
      </w:pPr>
      <w:r>
        <w:t xml:space="preserve">408 Nb. Member States receive this information from system operators as part of the designation process.</w:t>
      </w:r>
      <w:r>
        <w:t xml:space="preserve"> </w:t>
      </w:r>
      <w:r>
        <w:t xml:space="preserve">409 Nb. Member States may set out conditions on the moment of entry of a transfer order into a system in the law</w:t>
      </w:r>
      <w:r>
        <w:t xml:space="preserve"> </w:t>
      </w:r>
      <w:r>
        <w:t xml:space="preserve">governing their systems. In such cases, differences in implementation are not due solely to choices made by CSDs.</w:t>
      </w:r>
      <w:r>
        <w:t xml:space="preserve"> </w:t>
      </w:r>
      <w:r>
        <w:t xml:space="preserve">410 Even if a Member State’s law sets out conditions as to the moment of entry, different systems in that Member</w:t>
      </w:r>
      <w:r>
        <w:t xml:space="preserve"> </w:t>
      </w:r>
      <w:r>
        <w:t xml:space="preserve">State might designate slightly different moments of entry of transfer orders into the system.</w:t>
      </w:r>
      <w:r>
        <w:t xml:space="preserve"> </w:t>
      </w:r>
      <w:r>
        <w:t xml:space="preserve">411 Nb. this remark is not applicable to CSDs connected to T2S since the T2S framework agreement mandates a</w:t>
      </w:r>
      <w:r>
        <w:t xml:space="preserve"> </w:t>
      </w:r>
      <w:r>
        <w:t xml:space="preserve">harmonised settlement finality among the CSDs connected to T2S.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according to Article 48(8) of the CSDR, interoperable securities settlement system and CSDs</w:t>
      </w:r>
      <w:r>
        <w:t xml:space="preserve"> </w:t>
      </w:r>
      <w:r>
        <w:t xml:space="preserve">using a common settlement infrastructure must establish identical moments of entry of transfer</w:t>
      </w:r>
      <w:r>
        <w:t xml:space="preserve"> </w:t>
      </w:r>
      <w:r>
        <w:t xml:space="preserve">orders into the system and of moments of irrevocability of transfer orders entered into the</w:t>
      </w:r>
      <w:r>
        <w:t xml:space="preserve"> </w:t>
      </w:r>
      <w:r>
        <w:t xml:space="preserve">system; they must also have equivalent rules concerning the moment of finality of transfers of</w:t>
      </w:r>
      <w:r>
        <w:t xml:space="preserve"> </w:t>
      </w:r>
      <w:r>
        <w:t xml:space="preserve">securities and cash. In practice, interoperable links may not be possible if there are differences</w:t>
      </w:r>
      <w:r>
        <w:t xml:space="preserve"> </w:t>
      </w:r>
      <w:r>
        <w:t xml:space="preserve">on the settlement finality moments of the systems at stake, to the detriment of cross-border</w:t>
      </w:r>
      <w:r>
        <w:t xml:space="preserve"> </w:t>
      </w:r>
      <w:r>
        <w:t xml:space="preserve">settlement, and in turn the benefits for the EU economy and EU investors as described in the</w:t>
      </w:r>
      <w:r>
        <w:t xml:space="preserve"> </w:t>
      </w:r>
      <w:r>
        <w:t xml:space="preserve">main report.412</w:t>
      </w:r>
      <w:r>
        <w:t xml:space="preserve"> </w:t>
      </w:r>
      <w:r>
        <w:t xml:space="preserve">In addition, although the different systems document and communicate their settlement</w:t>
      </w:r>
      <w:r>
        <w:t xml:space="preserve"> </w:t>
      </w:r>
      <w:r>
        <w:t xml:space="preserve">moments, participants in several systems, in particular in different Member States, need to</w:t>
      </w:r>
      <w:r>
        <w:t xml:space="preserve"> </w:t>
      </w:r>
      <w:r>
        <w:t xml:space="preserve">know the moments of finality in each market/system. As these moments may not align, a</w:t>
      </w:r>
      <w:r>
        <w:t xml:space="preserve"> </w:t>
      </w:r>
      <w:r>
        <w:t xml:space="preserve">payment deemed final in one system might not yet be final in another if it is part of a chain of</w:t>
      </w:r>
      <w:r>
        <w:t xml:space="preserve"> </w:t>
      </w:r>
      <w:r>
        <w:t xml:space="preserve">transactions, and this legal uncertainty may discourage market participants from entering into</w:t>
      </w:r>
      <w:r>
        <w:t xml:space="preserve"> </w:t>
      </w:r>
      <w:r>
        <w:t xml:space="preserve">cross-border transactions.</w:t>
      </w:r>
      <w:r>
        <w:t xml:space="preserve"> </w:t>
      </w:r>
      <w:r>
        <w:t xml:space="preserve">4. OBJECTIVES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general objective of the proposed reforms is to promote market integration and efficiency,</w:t>
      </w:r>
      <w:r>
        <w:t xml:space="preserve"> </w:t>
      </w:r>
      <w:r>
        <w:t xml:space="preserve">in particular for cross-border transactions. To achieve this, it is imperative to address existing</w:t>
      </w:r>
      <w:r>
        <w:t xml:space="preserve"> </w:t>
      </w:r>
      <w:r>
        <w:t xml:space="preserve">fragmentation and inefficiencies that act as barriers to modern, frictionless cross-border</w:t>
      </w:r>
      <w:r>
        <w:t xml:space="preserve"> </w:t>
      </w:r>
      <w:r>
        <w:t xml:space="preserve">issuance and settlement of financial instruments. To this end, necessary steps should be taken</w:t>
      </w:r>
      <w:r>
        <w:t xml:space="preserve"> </w:t>
      </w:r>
      <w:r>
        <w:t xml:space="preserve">to promote competition in the post-trading sector, ensure robust supervision, provide legal</w:t>
      </w:r>
      <w:r>
        <w:t xml:space="preserve"> </w:t>
      </w:r>
      <w:r>
        <w:t xml:space="preserve">clarity in a uniform manner across the EU, provide an environment that would allow to take</w:t>
      </w:r>
      <w:r>
        <w:t xml:space="preserve"> </w:t>
      </w:r>
      <w:r>
        <w:t xml:space="preserve">full advantage of the benefits brought by new technologies, reduce unnecessarily burdensome</w:t>
      </w:r>
      <w:r>
        <w:t xml:space="preserve"> </w:t>
      </w:r>
      <w:r>
        <w:t xml:space="preserve">requirements that act as impediments to market growth, and ultimately reduce costs and</w:t>
      </w:r>
      <w:r>
        <w:t xml:space="preserve"> </w:t>
      </w:r>
      <w:r>
        <w:t xml:space="preserve">maximise benefits for consumers and firms.</w:t>
      </w:r>
      <w:r>
        <w:t xml:space="preserve"> </w:t>
      </w:r>
      <w:r>
        <w:t xml:space="preserve">This initiative is also in line with the broader objectives of the SIU in tackling barriers to</w:t>
      </w:r>
      <w:r>
        <w:t xml:space="preserve"> </w:t>
      </w:r>
      <w:r>
        <w:t xml:space="preserve">financial market integration and fostering competitiveness of the EU capital markets at the</w:t>
      </w:r>
      <w:r>
        <w:t xml:space="preserve"> </w:t>
      </w:r>
      <w:r>
        <w:t xml:space="preserve">global level. As mentioned in the Communication on SIU as pertains post-trade, “it is important</w:t>
      </w:r>
      <w:r>
        <w:t xml:space="preserve"> </w:t>
      </w:r>
      <w:r>
        <w:t xml:space="preserve">to enhance the interoperability, interconnection and efficiency of EU […] post-trading</w:t>
      </w:r>
      <w:r>
        <w:t xml:space="preserve"> </w:t>
      </w:r>
      <w:r>
        <w:t xml:space="preserve">infrastructures”. This effort is not, however, restricted to what can be accomplished at EU level;</w:t>
      </w:r>
      <w:r>
        <w:t xml:space="preserve"> </w:t>
      </w:r>
      <w:r>
        <w:t xml:space="preserve">it also encompasses steps to be taken at the level of Member States, as they too bear the</w:t>
      </w:r>
      <w:r>
        <w:t xml:space="preserve"> </w:t>
      </w:r>
      <w:r>
        <w:t xml:space="preserve">responsibility of achieving the goals of this EU-wide effort.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Linked to the problem drivers discussed above are the three specific objectives of the proposals</w:t>
      </w:r>
      <w:r>
        <w:t xml:space="preserve"> </w:t>
      </w:r>
      <w:r>
        <w:t xml:space="preserve">put forward to promote market efficiency, in particular with respect to cross-border post-trade</w:t>
      </w:r>
      <w:r>
        <w:t xml:space="preserve"> </w:t>
      </w:r>
      <w:r>
        <w:t xml:space="preserve">services. These are (i) enable further market integration and scale effects by increasing cross-</w:t>
      </w:r>
      <w:r>
        <w:t xml:space="preserve"> </w:t>
      </w:r>
      <w:r>
        <w:t xml:space="preserve">border activity, (ii) improve supervision by reducing divergences, and (iii) facilitate innovation</w:t>
      </w:r>
    </w:p>
    <w:p>
      <w:pPr>
        <w:pStyle w:val="BodyText"/>
      </w:pPr>
      <w:r>
        <w:t xml:space="preserve">412 Nb. for CSDs participating in T2S this problem cannot arise as all those CSDs must use the same settlement</w:t>
      </w:r>
      <w:r>
        <w:t xml:space="preserve"> </w:t>
      </w:r>
      <w:r>
        <w:t xml:space="preserve">finality moments, namely those defined by T2S.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by enabling the use of new technologies. The specific objectives are without prejudice to the</w:t>
      </w:r>
      <w:r>
        <w:t xml:space="preserve"> </w:t>
      </w:r>
      <w:r>
        <w:t xml:space="preserve">ultimate constraint of not undermining financial stability, as well as the integrity of markets</w:t>
      </w:r>
      <w:r>
        <w:t xml:space="preserve"> </w:t>
      </w:r>
      <w:r>
        <w:t xml:space="preserve">and the entities that participate therein.</w:t>
      </w:r>
      <w:r>
        <w:br/>
      </w:r>
      <w:r>
        <w:t xml:space="preserve">4.2.1. Enable further market integration and scale effects by increasing cross-</w:t>
      </w:r>
      <w:r>
        <w:t xml:space="preserve"> </w:t>
      </w:r>
      <w:r>
        <w:t xml:space="preserve">border activity</w:t>
      </w:r>
      <w:r>
        <w:t xml:space="preserve"> </w:t>
      </w:r>
      <w:r>
        <w:t xml:space="preserve">To enable true market integration and foster cross-border scale effects in the Union, the post-</w:t>
      </w:r>
      <w:r>
        <w:t xml:space="preserve"> </w:t>
      </w:r>
      <w:r>
        <w:t xml:space="preserve">trade framework must be adapted to support a more seamless, competitive, and future-proof</w:t>
      </w:r>
      <w:r>
        <w:t xml:space="preserve"> </w:t>
      </w:r>
      <w:r>
        <w:t xml:space="preserve">environment. A key priority is to strengthen the CSDR to ensure freedom of issuance so that</w:t>
      </w:r>
      <w:r>
        <w:t xml:space="preserve"> </w:t>
      </w:r>
      <w:r>
        <w:t xml:space="preserve">issuers can choose any CSD in the Union without facing unnecessary legal or operational</w:t>
      </w:r>
      <w:r>
        <w:t xml:space="preserve"> </w:t>
      </w:r>
      <w:r>
        <w:t xml:space="preserve">barriers imposed at national level. Relatedly, passporting provisions should be modified to</w:t>
      </w:r>
      <w:r>
        <w:t xml:space="preserve"> </w:t>
      </w:r>
      <w:r>
        <w:t xml:space="preserve">prevent national authorities from restricting the ability of CSDs to offer services across borders.</w:t>
      </w:r>
      <w:r>
        <w:t xml:space="preserve"> </w:t>
      </w:r>
      <w:r>
        <w:t xml:space="preserve">Furthermore, to support market development, restrictions in the ability of CSDs to designate</w:t>
      </w:r>
      <w:r>
        <w:t xml:space="preserve"> </w:t>
      </w:r>
      <w:r>
        <w:t xml:space="preserve">third-party entities for cash settlement in commercial bank money should be eased, in particular</w:t>
      </w:r>
      <w:r>
        <w:t xml:space="preserve"> </w:t>
      </w:r>
      <w:r>
        <w:t xml:space="preserve">for non-EU currencies. In parallel, barriers to establishing links between CSDs should be</w:t>
      </w:r>
      <w:r>
        <w:t xml:space="preserve"> </w:t>
      </w:r>
      <w:r>
        <w:t xml:space="preserve">reduced to promote efficient interconnections. Greater use of T2S, which should continue</w:t>
      </w:r>
      <w:r>
        <w:t xml:space="preserve"> </w:t>
      </w:r>
      <w:r>
        <w:t xml:space="preserve">evolving as the central pillar of an integrated EU settlement ecosystem, should also be</w:t>
      </w:r>
      <w:r>
        <w:t xml:space="preserve"> </w:t>
      </w:r>
      <w:r>
        <w:t xml:space="preserve">encouraged.</w:t>
      </w:r>
      <w:r>
        <w:t xml:space="preserve"> </w:t>
      </w:r>
      <w:r>
        <w:t xml:space="preserve">The CSDR should seek to ensure a level playing field between entities providing settlement</w:t>
      </w:r>
      <w:r>
        <w:t xml:space="preserve"> </w:t>
      </w:r>
      <w:r>
        <w:t xml:space="preserve">services. It should also permit corporate groups operating multiple post-trade entities to</w:t>
      </w:r>
      <w:r>
        <w:t xml:space="preserve"> </w:t>
      </w:r>
      <w:r>
        <w:t xml:space="preserve">outsource core and related services within the group, allowing them to benefit from economies</w:t>
      </w:r>
      <w:r>
        <w:t xml:space="preserve"> </w:t>
      </w:r>
      <w:r>
        <w:t xml:space="preserve">of scale and consolidation. A related aspect to help promote market integration and scale entails</w:t>
      </w:r>
      <w:r>
        <w:t xml:space="preserve"> </w:t>
      </w:r>
      <w:r>
        <w:t xml:space="preserve">increasing transparency. The relevant CSDR provisions should be strengthened to promote</w:t>
      </w:r>
      <w:r>
        <w:t xml:space="preserve"> </w:t>
      </w:r>
      <w:r>
        <w:t xml:space="preserve">greater price transparency by clarifying the type and format of information that CSDs must</w:t>
      </w:r>
      <w:r>
        <w:t xml:space="preserve"> </w:t>
      </w:r>
      <w:r>
        <w:t xml:space="preserve">provide to their participants. This should be done in a way that enables market participants to</w:t>
      </w:r>
      <w:r>
        <w:t xml:space="preserve"> </w:t>
      </w:r>
      <w:r>
        <w:t xml:space="preserve">more easily compare service costs across CSDs in the Union, enhancing competition and</w:t>
      </w:r>
      <w:r>
        <w:t xml:space="preserve"> </w:t>
      </w:r>
      <w:r>
        <w:t xml:space="preserve">informed decision-making. In parallel, transparency around settlement carried out by the banks</w:t>
      </w:r>
      <w:r>
        <w:t xml:space="preserve"> </w:t>
      </w:r>
      <w:r>
        <w:t xml:space="preserve">and investment firms that operate as settlement internalisers should be improved to ensure that</w:t>
      </w:r>
      <w:r>
        <w:t xml:space="preserve"> </w:t>
      </w:r>
      <w:r>
        <w:t xml:space="preserve">authorities can monitor market developments, identify emerging risks early, and determine</w:t>
      </w:r>
      <w:r>
        <w:t xml:space="preserve"> </w:t>
      </w:r>
      <w:r>
        <w:t xml:space="preserve">whether regulatory intervention may be warranted. Further transparency regarding the scope</w:t>
      </w:r>
      <w:r>
        <w:t xml:space="preserve"> </w:t>
      </w:r>
      <w:r>
        <w:t xml:space="preserve">of settlement finality protections would also increase market participants’ willingness to enter</w:t>
      </w:r>
      <w:r>
        <w:t xml:space="preserve"> </w:t>
      </w:r>
      <w:r>
        <w:t xml:space="preserve">into cross-border transactions on the basis of more sound risk-based decision-making.</w:t>
      </w:r>
      <w:r>
        <w:t xml:space="preserve"> </w:t>
      </w:r>
      <w:r>
        <w:t xml:space="preserve">Together, these measures will contribute to a more open, efficient, and resilient settlement</w:t>
      </w:r>
      <w:r>
        <w:t xml:space="preserve"> </w:t>
      </w:r>
      <w:r>
        <w:t xml:space="preserve">landscape.</w:t>
      </w:r>
      <w:r>
        <w:br/>
      </w:r>
      <w:r>
        <w:t xml:space="preserve">4.2.2. Improve supervision by reducing divergences</w:t>
      </w:r>
      <w:r>
        <w:t xml:space="preserve"> </w:t>
      </w:r>
      <w:r>
        <w:t xml:space="preserve">See Annex 11 on supervision, Section 4, Option 2.</w:t>
      </w:r>
      <w:r>
        <w:br/>
      </w:r>
      <w:r>
        <w:t xml:space="preserve">4.2.3. Facilitate innovation by enabling the use of new technologies</w:t>
      </w:r>
      <w:r>
        <w:t xml:space="preserve"> </w:t>
      </w:r>
      <w:r>
        <w:t xml:space="preserve">To enable the safe and effective adoption of new technologies in post-trade, and in particular</w:t>
      </w:r>
      <w:r>
        <w:t xml:space="preserve"> </w:t>
      </w:r>
      <w:r>
        <w:t xml:space="preserve">the settlement space, relevant Union legislation must be fit for purpose in a future shaped by</w:t>
      </w:r>
      <w:r>
        <w:t xml:space="preserve"> </w:t>
      </w:r>
      <w:r>
        <w:t xml:space="preserve">innovation. To this end, greater legal and regulatory certainty should be provided to market</w:t>
      </w:r>
      <w:r>
        <w:t xml:space="preserve"> </w:t>
      </w:r>
      <w:r>
        <w:t xml:space="preserve">participants and definitions – such as ‘book-entry form’ and ‘securities account’ – should be</w:t>
      </w:r>
      <w:r>
        <w:t xml:space="preserve"> </w:t>
      </w:r>
      <w:r>
        <w:t xml:space="preserve">modernised to ensure they reflect technological developments. Moreover, rules should be</w:t>
      </w:r>
      <w:r>
        <w:t xml:space="preserve"> </w:t>
      </w:r>
      <w:r>
        <w:t xml:space="preserve">adapted to account for activities using DLT-based assets, and steps should be taken to ensure</w:t>
      </w:r>
      <w:r>
        <w:t xml:space="preserve"> </w:t>
      </w:r>
      <w:r>
        <w:t xml:space="preserve">that the regulatory environment supports the use of such assets for satisfying cash obligations,</w:t>
      </w:r>
      <w:r>
        <w:t xml:space="preserve"> </w:t>
      </w:r>
      <w:r>
        <w:t xml:space="preserve">ensuring consistency, flexibility, and resilience in a rapidly evolving financial ecosystem.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The CSDR is complemented by the DLTPRR that enables innovation and experimentation to</w:t>
      </w:r>
      <w:r>
        <w:t xml:space="preserve"> </w:t>
      </w:r>
      <w:r>
        <w:t xml:space="preserve">take place for activities undertaken by CSDs including settlement, maintenance and notary</w:t>
      </w:r>
      <w:r>
        <w:t xml:space="preserve"> </w:t>
      </w:r>
      <w:r>
        <w:t xml:space="preserve">services. Any amendments to the CSDR should aim to bring clarity to the application of CSDR.</w:t>
      </w:r>
      <w:r>
        <w:t xml:space="preserve"> </w:t>
      </w:r>
      <w:r>
        <w:t xml:space="preserve">As such, the aim is to ensure that the CSDR (as well as other legislation, e.g. SFD) is applicable</w:t>
      </w:r>
      <w:r>
        <w:t xml:space="preserve"> </w:t>
      </w:r>
      <w:r>
        <w:t xml:space="preserve">to DLT-based structures in a manner equal to its application to conventional post-trade</w:t>
      </w:r>
      <w:r>
        <w:t xml:space="preserve"> </w:t>
      </w:r>
      <w:r>
        <w:t xml:space="preserve">structures and entities. The DLTPRR today limits the authorisations it provides in order to allow</w:t>
      </w:r>
      <w:r>
        <w:t xml:space="preserve"> </w:t>
      </w:r>
      <w:r>
        <w:t xml:space="preserve">for experimentation, for example in relation to product coverage compared to the CSDR and</w:t>
      </w:r>
      <w:r>
        <w:t xml:space="preserve"> </w:t>
      </w:r>
      <w:r>
        <w:t xml:space="preserve">applies thresholds to limit risks. This initiative would provide more clarity on how conventional</w:t>
      </w:r>
      <w:r>
        <w:t xml:space="preserve"> </w:t>
      </w:r>
      <w:r>
        <w:t xml:space="preserve">CSDs could provide DLT based services as part of their services under the CSDR as well as</w:t>
      </w:r>
      <w:r>
        <w:t xml:space="preserve"> </w:t>
      </w:r>
      <w:r>
        <w:t xml:space="preserve">provide more room for the possibility of scaling up for entities under the DLTPRR.</w:t>
      </w:r>
      <w:r>
        <w:br/>
      </w:r>
      <w:r>
        <w:t xml:space="preserve">5. POLICY OPTIONS AND ASSESSMENT</w:t>
      </w:r>
      <w:r>
        <w:br/>
      </w:r>
      <w:r>
        <w:t xml:space="preserve">5.1. POLICY OPTIONS RELATED TO THE CSDR</w:t>
      </w:r>
      <w:r>
        <w:t xml:space="preserve"> </w:t>
      </w:r>
      <w:r>
        <w:t xml:space="preserve">5.1.1. Option 1 (CSDR): Status quo</w:t>
      </w:r>
      <w:r>
        <w:t xml:space="preserve"> </w:t>
      </w:r>
      <w:r>
        <w:t xml:space="preserve">This option introduces no amendments to the CSDR. It is the ‘do-nothing’ option against which</w:t>
      </w:r>
      <w:r>
        <w:t xml:space="preserve"> </w:t>
      </w:r>
      <w:r>
        <w:t xml:space="preserve">the other policy options will be assessed.</w:t>
      </w:r>
      <w:r>
        <w:br/>
      </w:r>
      <w:r>
        <w:t xml:space="preserve">5.1.2. Option 2 (CSDR): Broad review to enhance the functioning of market</w:t>
      </w:r>
      <w:r>
        <w:t xml:space="preserve"> </w:t>
      </w:r>
      <w:r>
        <w:t xml:space="preserve">infrastructure</w:t>
      </w:r>
      <w:r>
        <w:br/>
      </w:r>
      <w:r>
        <w:t xml:space="preserve">This option would present targeted, but ambitious amendments to the CSDR to address the</w:t>
      </w:r>
      <w:r>
        <w:t xml:space="preserve"> </w:t>
      </w:r>
      <w:r>
        <w:t xml:space="preserve">individual problem drivers described in Section 3.2, in particular Sections 3.2.1 - 3.2.8, and</w:t>
      </w:r>
      <w:r>
        <w:t xml:space="preserve"> </w:t>
      </w:r>
      <w:r>
        <w:t xml:space="preserve">address the outlined barriers. Given the multiplicity of issues identified, a wide range of</w:t>
      </w:r>
      <w:r>
        <w:t xml:space="preserve"> </w:t>
      </w:r>
      <w:r>
        <w:t xml:space="preserve">targeted measures will be needed to address them; those measures are described below.</w:t>
      </w:r>
      <w:r>
        <w:t xml:space="preserve"> </w:t>
      </w:r>
      <w:r>
        <w:t xml:space="preserve">Option 2.1 (CSDR): Ensuring freedom of issuance and facilitating passporting and the cross-</w:t>
      </w:r>
      <w:r>
        <w:t xml:space="preserve"> </w:t>
      </w:r>
      <w:r>
        <w:t xml:space="preserve">border provision of services</w:t>
      </w:r>
      <w:r>
        <w:t xml:space="preserve"> </w:t>
      </w:r>
      <w:r>
        <w:t xml:space="preserve">To facilitate the freedom of issuance and promote the SIU objectives more broadly, this option</w:t>
      </w:r>
      <w:r>
        <w:t xml:space="preserve"> </w:t>
      </w:r>
      <w:r>
        <w:t xml:space="preserve">would limit the possibility of Member States to impose additional requirements on issuers that</w:t>
      </w:r>
      <w:r>
        <w:t xml:space="preserve"> </w:t>
      </w:r>
      <w:r>
        <w:t xml:space="preserve">act as a barrier to cross-border issuance. To achieve this, changes to Article 49 of the CSDR</w:t>
      </w:r>
      <w:r>
        <w:t xml:space="preserve"> </w:t>
      </w:r>
      <w:r>
        <w:t xml:space="preserve">would be required, in particularthe broad references to national laws in Article 49 of the CSDR</w:t>
      </w:r>
      <w:r>
        <w:t xml:space="preserve"> </w:t>
      </w:r>
      <w:r>
        <w:t xml:space="preserve">would be removed as they create uncertainty (issuers have to comply with national law and the</w:t>
      </w:r>
      <w:r>
        <w:t xml:space="preserve"> </w:t>
      </w:r>
      <w:r>
        <w:t xml:space="preserve">governing contractual law of the securities regardless of those references).</w:t>
      </w:r>
      <w:r>
        <w:t xml:space="preserve"> </w:t>
      </w:r>
      <w:r>
        <w:t xml:space="preserve">The requirements under Article 23 of the CSDR on offering CSD services in other Member</w:t>
      </w:r>
      <w:r>
        <w:t xml:space="preserve"> </w:t>
      </w:r>
      <w:r>
        <w:t xml:space="preserve">States would be simplified. A right for authorised CSDs to automatically provide services, or</w:t>
      </w:r>
      <w:r>
        <w:t xml:space="preserve"> </w:t>
      </w:r>
      <w:r>
        <w:t xml:space="preserve">set up a branch, in any Member State in the EU would be introduced. There would not be</w:t>
      </w:r>
      <w:r>
        <w:t xml:space="preserve"> </w:t>
      </w:r>
      <w:r>
        <w:t xml:space="preserve">additional requirements – other than a simple notification – (other requirements, such as the</w:t>
      </w:r>
      <w:r>
        <w:t xml:space="preserve"> </w:t>
      </w:r>
      <w:r>
        <w:t xml:space="preserve">requirement for CSDs to provide a complex and burdensome assessment of how they intend to</w:t>
      </w:r>
      <w:r>
        <w:t xml:space="preserve"> </w:t>
      </w:r>
      <w:r>
        <w:t xml:space="preserve">allow their users to comply with host Member State law in relation to shares, would be</w:t>
      </w:r>
      <w:r>
        <w:t xml:space="preserve"> </w:t>
      </w:r>
      <w:r>
        <w:t xml:space="preserve">removed).</w:t>
      </w:r>
      <w:r>
        <w:br/>
      </w:r>
      <w:r>
        <w:t xml:space="preserve">Within this framework, where the CSD would provide the relevant information, the possibility</w:t>
      </w:r>
      <w:r>
        <w:t xml:space="preserve"> </w:t>
      </w:r>
      <w:r>
        <w:t xml:space="preserve">for denying the provision of CSD services would be effectively removed.</w:t>
      </w:r>
      <w:r>
        <w:t xml:space="preserve"> </w:t>
      </w:r>
      <w:r>
        <w:t xml:space="preserve">Moreover, where there are potential breaches of EU law, these would be investigated and, if</w:t>
      </w:r>
      <w:r>
        <w:t xml:space="preserve"> </w:t>
      </w:r>
      <w:r>
        <w:t xml:space="preserve">needed, enforcement ensured.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Option 2.2 (CSDR): Supporting outsourcing</w:t>
      </w:r>
      <w:r>
        <w:br/>
      </w:r>
      <w:r>
        <w:t xml:space="preserve">Under this option, the procedures to be used (including timelines) and information to be</w:t>
      </w:r>
      <w:r>
        <w:t xml:space="preserve"> </w:t>
      </w:r>
      <w:r>
        <w:t xml:space="preserve">provided in case of the outsourcing of non-core CSD services would be clarified; a distinct</w:t>
      </w:r>
      <w:r>
        <w:t xml:space="preserve"> </w:t>
      </w:r>
      <w:r>
        <w:t xml:space="preserve">procedure would be developed for outsourcing core CSD services to entities within the same</w:t>
      </w:r>
      <w:r>
        <w:t xml:space="preserve"> </w:t>
      </w:r>
      <w:r>
        <w:t xml:space="preserve">group and a Level 2 mandate given to ESMA to determine the circumstances that would qualify</w:t>
      </w:r>
      <w:r>
        <w:t xml:space="preserve"> </w:t>
      </w:r>
      <w:r>
        <w:t xml:space="preserve">as outsourcing of core services.</w:t>
      </w:r>
      <w:r>
        <w:br/>
      </w:r>
      <w:r>
        <w:t xml:space="preserve">This option would also clarify that the use of DLT by a CSD to provide services as set out in</w:t>
      </w:r>
      <w:r>
        <w:t xml:space="preserve"> </w:t>
      </w:r>
      <w:r>
        <w:t xml:space="preserve">the CSDR should not necessarily be considered as outsourcing within the meaning of the</w:t>
      </w:r>
      <w:r>
        <w:t xml:space="preserve"> </w:t>
      </w:r>
      <w:r>
        <w:t xml:space="preserve">CSDR, but should however be approved.</w:t>
      </w:r>
      <w:r>
        <w:t xml:space="preserve"> </w:t>
      </w:r>
      <w:r>
        <w:t xml:space="preserve">Option 2.3 (CSDR): Cash settlement</w:t>
      </w:r>
      <w:r>
        <w:t xml:space="preserve"> </w:t>
      </w:r>
      <w:r>
        <w:t xml:space="preserve">In order to introduce more flexibility for CSDs that wish to designate a credit institution for the</w:t>
      </w:r>
      <w:r>
        <w:t xml:space="preserve"> </w:t>
      </w:r>
      <w:r>
        <w:t xml:space="preserve">settlement of cash payments in non-EU currencies, this option would remove the requirement</w:t>
      </w:r>
      <w:r>
        <w:t xml:space="preserve"> </w:t>
      </w:r>
      <w:r>
        <w:t xml:space="preserve">for such designated credit institution to have a special purpose authorisation that allows them</w:t>
      </w:r>
      <w:r>
        <w:t xml:space="preserve"> </w:t>
      </w:r>
      <w:r>
        <w:t xml:space="preserve">to only provide such services without the ability to carry out other activities, provided that</w:t>
      </w:r>
      <w:r>
        <w:t xml:space="preserve"> </w:t>
      </w:r>
      <w:r>
        <w:t xml:space="preserve">where such a credit institution is designated, settlement only happens in real time, and that the</w:t>
      </w:r>
      <w:r>
        <w:t xml:space="preserve"> </w:t>
      </w:r>
      <w:r>
        <w:t xml:space="preserve">real-time settlement entails minimal credit or liquidity risks for the designated credit institution</w:t>
      </w:r>
      <w:r>
        <w:t xml:space="preserve"> </w:t>
      </w:r>
      <w:r>
        <w:t xml:space="preserve">and the participants of the CSD concerned.</w:t>
      </w:r>
      <w:r>
        <w:br/>
      </w:r>
      <w:r>
        <w:t xml:space="preserve">As proposed by some stakeholders413, digital forms of money including some forms of</w:t>
      </w:r>
      <w:r>
        <w:t xml:space="preserve"> </w:t>
      </w:r>
      <w:r>
        <w:t xml:space="preserve">tokenised cash would be permitted for settlement of the cash leg of transactions (as needed</w:t>
      </w:r>
      <w:r>
        <w:t xml:space="preserve"> </w:t>
      </w:r>
      <w:r>
        <w:t xml:space="preserve">until tokenised central bank money would be made available and thereafter to complement</w:t>
      </w:r>
      <w:r>
        <w:t xml:space="preserve"> </w:t>
      </w:r>
      <w:r>
        <w:t xml:space="preserve">such central bank money, for cases in which settlement in the latter would not be required).</w:t>
      </w:r>
      <w:r>
        <w:t xml:space="preserve"> </w:t>
      </w:r>
      <w:r>
        <w:t xml:space="preserve">Certain tokens, for example, asset referenced tokens, would however be excluded.</w:t>
      </w:r>
      <w:r>
        <w:t xml:space="preserve"> </w:t>
      </w:r>
      <w:r>
        <w:t xml:space="preserve">Nevertheless, the general principle that settlement should continue to be done in central bank</w:t>
      </w:r>
      <w:r>
        <w:t xml:space="preserve"> </w:t>
      </w:r>
      <w:r>
        <w:t xml:space="preserve">money where practical and available should be maintained in the CSDR in order to ensure</w:t>
      </w:r>
      <w:r>
        <w:t xml:space="preserve"> </w:t>
      </w:r>
      <w:r>
        <w:t xml:space="preserve">compliance with international standards.</w:t>
      </w:r>
      <w:r>
        <w:br/>
      </w:r>
      <w:r>
        <w:t xml:space="preserve">Option 2.4 (CSDR): Promoting the use of T2S and connecting the fragmented settlement</w:t>
      </w:r>
      <w:r>
        <w:t xml:space="preserve"> </w:t>
      </w:r>
      <w:r>
        <w:t xml:space="preserve">landscape</w:t>
      </w:r>
      <w:r>
        <w:br/>
      </w:r>
      <w:r>
        <w:t xml:space="preserve">To promote the use of T2S, all EU CSDs would be mandated to connect to the T2S platform in</w:t>
      </w:r>
      <w:r>
        <w:t xml:space="preserve"> </w:t>
      </w:r>
      <w:r>
        <w:t xml:space="preserve">the case that they settle in a T2S-supported currency. To achieve this, the Commission would</w:t>
      </w:r>
      <w:r>
        <w:t xml:space="preserve"> </w:t>
      </w:r>
      <w:r>
        <w:t xml:space="preserve">encourage the Eurosystem to expand the platform’s functionalities, including the possibility to</w:t>
      </w:r>
      <w:r>
        <w:t xml:space="preserve"> </w:t>
      </w:r>
      <w:r>
        <w:t xml:space="preserve">serve a broader range of currencies issued in the EU (the Commission would also encourage</w:t>
      </w:r>
      <w:r>
        <w:t xml:space="preserve"> </w:t>
      </w:r>
      <w:r>
        <w:t xml:space="preserve">the central banks issuing those currencies to make them available in T2S), as well as improve</w:t>
      </w:r>
      <w:r>
        <w:t xml:space="preserve"> </w:t>
      </w:r>
      <w:r>
        <w:t xml:space="preserve">the handling of corporate actions and asset servicing by standardising related processes,</w:t>
      </w:r>
      <w:r>
        <w:t xml:space="preserve"> </w:t>
      </w:r>
      <w:r>
        <w:t xml:space="preserve">including messaging protocols for processing settlement instructions and codifying</w:t>
      </w:r>
      <w:r>
        <w:t xml:space="preserve"> </w:t>
      </w:r>
      <w:r>
        <w:t xml:space="preserve">communication procedures between CSDs and market participants, as well as with other</w:t>
      </w:r>
      <w:r>
        <w:t xml:space="preserve"> </w:t>
      </w:r>
      <w:r>
        <w:t xml:space="preserve">market infrastructures. The Commission would also encourage the Eurosystem to continue</w:t>
      </w:r>
      <w:r>
        <w:t xml:space="preserve"> </w:t>
      </w:r>
      <w:r>
        <w:t xml:space="preserve">exploring ways to improve and expand the functionality of T2S in a cost-effective manner,</w:t>
      </w:r>
      <w:r>
        <w:t xml:space="preserve"> </w:t>
      </w:r>
      <w:r>
        <w:t xml:space="preserve">including reviewing the current pricing arrangements.</w:t>
      </w:r>
    </w:p>
    <w:p>
      <w:pPr>
        <w:pStyle w:val="BodyText"/>
      </w:pPr>
      <w:r>
        <w:t xml:space="preserve">413 The respondents across categories of respondents broadly supported that the concept of cash needs to be</w:t>
      </w:r>
      <w:r>
        <w:t xml:space="preserve"> </w:t>
      </w:r>
      <w:r>
        <w:t xml:space="preserve">updated to generally include tokenized forms of money, particularly the emergence of tokenised central bank</w:t>
      </w:r>
      <w:r>
        <w:t xml:space="preserve"> </w:t>
      </w:r>
      <w:r>
        <w:t xml:space="preserve">money, tokenised commercial bank money and electronic money tokens and a few respondents was broadly of</w:t>
      </w:r>
      <w:r>
        <w:t xml:space="preserve"> </w:t>
      </w:r>
      <w:r>
        <w:t xml:space="preserve">the view that tokenised versions of cash was already included.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Under this option, the notion of CSD hubs would be introduced. The concept would cover, in</w:t>
      </w:r>
      <w:r>
        <w:t xml:space="preserve"> </w:t>
      </w:r>
      <w:r>
        <w:t xml:space="preserve">particular, CSDs providing services in several Member States and those processing a high value</w:t>
      </w:r>
      <w:r>
        <w:t xml:space="preserve"> </w:t>
      </w:r>
      <w:r>
        <w:t xml:space="preserve">of settlement instructions relative to all settlement in the EU. In order to optimise the impact</w:t>
      </w:r>
      <w:r>
        <w:t xml:space="preserve"> </w:t>
      </w:r>
      <w:r>
        <w:t xml:space="preserve">of the above measure pertaining to the use of central bank money for cash settlement as well</w:t>
      </w:r>
      <w:r>
        <w:t xml:space="preserve"> </w:t>
      </w:r>
      <w:r>
        <w:t xml:space="preserve">as to ensure greater interconnectedness between CSDs, all EU CSDs considered to be hubs</w:t>
      </w:r>
      <w:r>
        <w:t xml:space="preserve"> </w:t>
      </w:r>
      <w:r>
        <w:t xml:space="preserve">would be required to establish links with one another, while the remaining CSDs would be</w:t>
      </w:r>
      <w:r>
        <w:t xml:space="preserve"> </w:t>
      </w:r>
      <w:r>
        <w:t xml:space="preserve">required to establish links with at least one EU CSD hub (to the extent that such link is not</w:t>
      </w:r>
      <w:r>
        <w:t xml:space="preserve"> </w:t>
      </w:r>
      <w:r>
        <w:t xml:space="preserve">already in place). All the aforementioned links (i.e. links between CSD hubs and links between</w:t>
      </w:r>
      <w:r>
        <w:t xml:space="preserve"> </w:t>
      </w:r>
      <w:r>
        <w:t xml:space="preserve">those CSD hubs and the remaining CSDs) would be required to be bi-directional, interoperable</w:t>
      </w:r>
      <w:r>
        <w:t xml:space="preserve"> </w:t>
      </w:r>
      <w:r>
        <w:t xml:space="preserve">and able to settle all financial instruments available for settlement within the given CSD. This</w:t>
      </w:r>
      <w:r>
        <w:t xml:space="preserve"> </w:t>
      </w:r>
      <w:r>
        <w:t xml:space="preserve">option would also require CSDs operated by public sector bodies414 to adhere to the</w:t>
      </w:r>
      <w:r>
        <w:t xml:space="preserve"> </w:t>
      </w:r>
      <w:r>
        <w:t xml:space="preserve">interconnectedness requirements, including the requirement to establish and maintain links</w:t>
      </w:r>
      <w:r>
        <w:t xml:space="preserve"> </w:t>
      </w:r>
      <w:r>
        <w:t xml:space="preserve">with other CSDs.415 This would create a settlement network with several key, interconnected</w:t>
      </w:r>
      <w:r>
        <w:t xml:space="preserve"> </w:t>
      </w:r>
      <w:r>
        <w:t xml:space="preserve">nodes through which the remaining CSDs would be able to access any other CSD via a relayed</w:t>
      </w:r>
      <w:r>
        <w:t xml:space="preserve"> </w:t>
      </w:r>
      <w:r>
        <w:t xml:space="preserve">link arrangement. CSDs operating one or more DLT-based securities settlement system</w:t>
      </w:r>
      <w:r>
        <w:t xml:space="preserve"> </w:t>
      </w:r>
      <w:r>
        <w:t xml:space="preserve">authorised under the DLTPRR would not be required to link those systems to conventional</w:t>
      </w:r>
      <w:r>
        <w:t xml:space="preserve"> </w:t>
      </w:r>
      <w:r>
        <w:t xml:space="preserve">securities settlement systems authorised under the CSDR at this point in order to enable them</w:t>
      </w:r>
      <w:r>
        <w:t xml:space="preserve"> </w:t>
      </w:r>
      <w:r>
        <w:t xml:space="preserve">to experiment with different technologies.</w:t>
      </w:r>
      <w:r>
        <w:br/>
      </w:r>
      <w:r>
        <w:t xml:space="preserve">In addition, to streamline the establishment of interoperable links, ESMA should be the</w:t>
      </w:r>
      <w:r>
        <w:t xml:space="preserve"> </w:t>
      </w:r>
      <w:r>
        <w:t xml:space="preserve">authority authorising such links. The process would be simplified. ESMA would not be allowed</w:t>
      </w:r>
      <w:r>
        <w:t xml:space="preserve"> </w:t>
      </w:r>
      <w:r>
        <w:t xml:space="preserve">to refuse the establishment of an interoperable link unless it would threaten the smooth and</w:t>
      </w:r>
      <w:r>
        <w:t xml:space="preserve"> </w:t>
      </w:r>
      <w:r>
        <w:t xml:space="preserve">orderly functioning of financial markets or cause systemic risk. For standard and customised</w:t>
      </w:r>
      <w:r>
        <w:t xml:space="preserve"> </w:t>
      </w:r>
      <w:r>
        <w:t xml:space="preserve">links, the requirements under Article 52 of the CSDR would be amended to remove the</w:t>
      </w:r>
      <w:r>
        <w:t xml:space="preserve"> </w:t>
      </w:r>
      <w:r>
        <w:t xml:space="preserve">possibility for a recipient CSD to refuse to establish such links.</w:t>
      </w:r>
      <w:r>
        <w:t xml:space="preserve"> </w:t>
      </w:r>
      <w:r>
        <w:t xml:space="preserve">Finally, to further improve the harmonisation of standards in settlement operations this option</w:t>
      </w:r>
      <w:r>
        <w:t xml:space="preserve"> </w:t>
      </w:r>
      <w:r>
        <w:t xml:space="preserve">would mandate ESMA to codify, through Level 2, the relevant harmonised standards.</w:t>
      </w:r>
      <w:r>
        <w:br/>
      </w:r>
      <w:r>
        <w:t xml:space="preserve">Option 2.5 (CSDR): Increasing transparency</w:t>
      </w:r>
      <w:r>
        <w:br/>
      </w:r>
      <w:r>
        <w:t xml:space="preserve">To increase transparency of prices and fees of CSD services, ESMA would be mandated to</w:t>
      </w:r>
      <w:r>
        <w:t xml:space="preserve"> </w:t>
      </w:r>
      <w:r>
        <w:t xml:space="preserve">create a harmonised template and/or structure for the public disclosure of those prices and fees.</w:t>
      </w:r>
      <w:r>
        <w:t xml:space="preserve"> </w:t>
      </w:r>
      <w:r>
        <w:t xml:space="preserve">This option would also introduce a similar public disclosure by ESMA of the information</w:t>
      </w:r>
    </w:p>
    <w:p>
      <w:pPr>
        <w:pStyle w:val="BodyText"/>
      </w:pPr>
      <w:r>
        <w:t xml:space="preserve">414 In the EU, there are six CSDs operated by central banks and the Cypriot CSD is owned and operated by the</w:t>
      </w:r>
      <w:r>
        <w:t xml:space="preserve"> </w:t>
      </w:r>
      <w:r>
        <w:t xml:space="preserve">Ministry of Finance of Cyprus. In Belgium, the National Bank of Belgium Securities Settlement System (NBB-</w:t>
      </w:r>
      <w:r>
        <w:t xml:space="preserve"> </w:t>
      </w:r>
      <w:r>
        <w:t xml:space="preserve">SSS is operated by the National Bank of Belgium. In Bulgaria, the Bulgarian National Bank Government</w:t>
      </w:r>
      <w:r>
        <w:t xml:space="preserve"> </w:t>
      </w:r>
      <w:r>
        <w:t xml:space="preserve">Securities Settlement System (BNBGSSS) is operated by the Bulgarian National Bank. In Czechia, the Short-</w:t>
      </w:r>
      <w:r>
        <w:t xml:space="preserve"> </w:t>
      </w:r>
      <w:r>
        <w:t xml:space="preserve">Term Bond System (SKD) is operated by the Czech National Bank. In Greece, the Bank of Greece Securities</w:t>
      </w:r>
      <w:r>
        <w:t xml:space="preserve"> </w:t>
      </w:r>
      <w:r>
        <w:t xml:space="preserve">Settlement System (BOGSSS) is operated by the Bank of Greece. In Poland, Skarbnet4 is operated by the National</w:t>
      </w:r>
      <w:r>
        <w:t xml:space="preserve"> </w:t>
      </w:r>
      <w:r>
        <w:t xml:space="preserve">Bank of Poland. In Romania, Safir is operated by the National Bank of Romania.</w:t>
      </w:r>
      <w:r>
        <w:br/>
      </w:r>
      <w:r>
        <w:t xml:space="preserve">415 Article 1(4) of the CSDR exempts members of the European System of Central Banks (ESCB), Member State</w:t>
      </w:r>
      <w:r>
        <w:t xml:space="preserve"> </w:t>
      </w:r>
      <w:r>
        <w:t xml:space="preserve">national bodies, and other public bodies involved in public debt management that offer core CSD services through</w:t>
      </w:r>
      <w:r>
        <w:t xml:space="preserve"> </w:t>
      </w:r>
      <w:r>
        <w:t xml:space="preserve">a CSD under their responsibility, from certain requirements of that Regulation. Specifically those articles on</w:t>
      </w:r>
      <w:r>
        <w:t xml:space="preserve"> </w:t>
      </w:r>
      <w:r>
        <w:t xml:space="preserve">authorisation (Articles 10 to 20 and Article 30(4)), an aspect of the user committee (Article 28(6)), supervision</w:t>
      </w:r>
      <w:r>
        <w:t xml:space="preserve"> </w:t>
      </w:r>
      <w:r>
        <w:t xml:space="preserve">(Article 22 on review and evaluation, Article 24 on the freedom to provide services in another Member State, and</w:t>
      </w:r>
      <w:r>
        <w:t xml:space="preserve"> </w:t>
      </w:r>
      <w:r>
        <w:t xml:space="preserve">Article 24 (cooperation between home and host Member States), Article 27 on management)), investment policy</w:t>
      </w:r>
      <w:r>
        <w:t xml:space="preserve"> </w:t>
      </w:r>
      <w:r>
        <w:t xml:space="preserve">(Article 46), prudential (capital) requirements (Article 47) and recovery (Article 22a). Moreover, in accordance</w:t>
      </w:r>
      <w:r>
        <w:t xml:space="preserve"> </w:t>
      </w:r>
      <w:r>
        <w:t xml:space="preserve">with Article 1(4), the requirements to report to competent authorities or relevant authorities or to comply with</w:t>
      </w:r>
      <w:r>
        <w:t xml:space="preserve"> </w:t>
      </w:r>
      <w:r>
        <w:t xml:space="preserve">their orders under CSDR do not apply.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reported by settlement internalisers and a mandate for the transparency of prices and fees for</w:t>
      </w:r>
      <w:r>
        <w:t xml:space="preserve"> </w:t>
      </w:r>
      <w:r>
        <w:t xml:space="preserve">services that they provide to their clients.</w:t>
      </w:r>
      <w:r>
        <w:t xml:space="preserve"> </w:t>
      </w:r>
      <w:r>
        <w:t xml:space="preserve">In addition, to increase overall transparency in settlement in the EU and to level the playing</w:t>
      </w:r>
      <w:r>
        <w:t xml:space="preserve"> </w:t>
      </w:r>
      <w:r>
        <w:t xml:space="preserve">field across the entities that provide settlement services, this option would expand the existing</w:t>
      </w:r>
      <w:r>
        <w:t xml:space="preserve"> </w:t>
      </w:r>
      <w:r>
        <w:t xml:space="preserve">ESMA mandate under Article 74(1c) to produce a report on settlement internalisers’ activity</w:t>
      </w:r>
      <w:r>
        <w:t xml:space="preserve"> </w:t>
      </w:r>
      <w:r>
        <w:t xml:space="preserve">based on collected data, including data on settlement efficiency, as well as on the fees and</w:t>
      </w:r>
      <w:r>
        <w:t xml:space="preserve"> </w:t>
      </w:r>
      <w:r>
        <w:t xml:space="preserve">pricing of services in the area of settlement, and to issue any policy recommendations it deems</w:t>
      </w:r>
      <w:r>
        <w:t xml:space="preserve"> </w:t>
      </w:r>
      <w:r>
        <w:t xml:space="preserve">appropriate (e.g. with respect to preventing settlement fails, measures to address settlement</w:t>
      </w:r>
      <w:r>
        <w:t xml:space="preserve"> </w:t>
      </w:r>
      <w:r>
        <w:t xml:space="preserve">fails, more frequent and more granular reporting, increasing transparency, the protection of</w:t>
      </w:r>
      <w:r>
        <w:t xml:space="preserve"> </w:t>
      </w:r>
      <w:r>
        <w:t xml:space="preserve">securities of participants and those of their clients, settlement finality, etc.).</w:t>
      </w:r>
      <w:r>
        <w:br/>
      </w:r>
      <w:r>
        <w:t xml:space="preserve">Option 2.6 (CSDR): Legal certainty</w:t>
      </w:r>
      <w:r>
        <w:t xml:space="preserve"> </w:t>
      </w:r>
      <w:r>
        <w:t xml:space="preserve">This option would amend the CSDR to provide legal certainty as well as introduce more</w:t>
      </w:r>
      <w:r>
        <w:t xml:space="preserve"> </w:t>
      </w:r>
      <w:r>
        <w:t xml:space="preserve">technological neutrality in the relevant definitions, concepts and requirements, thus ensuring</w:t>
      </w:r>
      <w:r>
        <w:t xml:space="preserve"> </w:t>
      </w:r>
      <w:r>
        <w:t xml:space="preserve">that the CSDR applies equally to CSDs irrespective of the technology used in the provision of</w:t>
      </w:r>
      <w:r>
        <w:t xml:space="preserve"> </w:t>
      </w:r>
      <w:r>
        <w:t xml:space="preserve">services. For example, the concept of ‘book-entry form’ would be amended to clearly include</w:t>
      </w:r>
      <w:r>
        <w:t xml:space="preserve"> </w:t>
      </w:r>
      <w:r>
        <w:t xml:space="preserve">DLT-based records. In addition, this option would amend the definition of ‘securities account’</w:t>
      </w:r>
      <w:r>
        <w:t xml:space="preserve"> </w:t>
      </w:r>
      <w:r>
        <w:t xml:space="preserve">to ensure that the terminology works for transactions on a ledger, which would then include</w:t>
      </w:r>
      <w:r>
        <w:t xml:space="preserve"> </w:t>
      </w:r>
      <w:r>
        <w:t xml:space="preserve">records using distributed or otherwise shared electronic ledgers to credit and debit such</w:t>
      </w:r>
      <w:r>
        <w:t xml:space="preserve"> </w:t>
      </w:r>
      <w:r>
        <w:t xml:space="preserve">securities.</w:t>
      </w:r>
      <w:r>
        <w:t xml:space="preserve"> </w:t>
      </w:r>
      <w:r>
        <w:t xml:space="preserve">The above clarifications would also bring legal clarity to other concepts, definitions and</w:t>
      </w:r>
      <w:r>
        <w:t xml:space="preserve"> </w:t>
      </w:r>
      <w:r>
        <w:t xml:space="preserve">requirements under the CSDR that use the above concepts and definitions (directly or</w:t>
      </w:r>
      <w:r>
        <w:t xml:space="preserve"> </w:t>
      </w:r>
      <w:r>
        <w:t xml:space="preserve">indirectly).</w:t>
      </w:r>
      <w:r>
        <w:br/>
      </w:r>
      <w:r>
        <w:t xml:space="preserve">5.1.3. Option 3 (CSDR): Far-reaching review to impose an integrated market</w:t>
      </w:r>
      <w:r>
        <w:br/>
      </w:r>
      <w:r>
        <w:t xml:space="preserve">This option would include even more ambitious amendments to the CSDR than option 2. As is</w:t>
      </w:r>
      <w:r>
        <w:t xml:space="preserve"> </w:t>
      </w:r>
      <w:r>
        <w:t xml:space="preserve">the case for the latter, given the multiplicity of issues identified, a wide range of targeted</w:t>
      </w:r>
      <w:r>
        <w:t xml:space="preserve"> </w:t>
      </w:r>
      <w:r>
        <w:t xml:space="preserve">measures will be needed to address them; those measures are described below.</w:t>
      </w:r>
      <w:r>
        <w:t xml:space="preserve"> </w:t>
      </w:r>
      <w:r>
        <w:t xml:space="preserve">Option 3.1 (CSDR): Ensuring freedom of issuance and facilitating passporting and the cross-</w:t>
      </w:r>
      <w:r>
        <w:t xml:space="preserve"> </w:t>
      </w:r>
      <w:r>
        <w:t xml:space="preserve">border provision of services</w:t>
      </w:r>
      <w:r>
        <w:t xml:space="preserve"> </w:t>
      </w:r>
      <w:r>
        <w:t xml:space="preserve">The CSDR would be amended to effectively remove any additional requirements – including</w:t>
      </w:r>
      <w:r>
        <w:t xml:space="preserve"> </w:t>
      </w:r>
      <w:r>
        <w:t xml:space="preserve">with relation to relevant national law – prior to a CSD being able to offer CSD services, or set</w:t>
      </w:r>
      <w:r>
        <w:t xml:space="preserve"> </w:t>
      </w:r>
      <w:r>
        <w:t xml:space="preserve">up a branch, in another Member State. Article 23 of the CSDR would be amended to explicitly</w:t>
      </w:r>
      <w:r>
        <w:t xml:space="preserve"> </w:t>
      </w:r>
      <w:r>
        <w:t xml:space="preserve">enshrine the right of an authorised CSD to automatically be able to provide services, or set up</w:t>
      </w:r>
      <w:r>
        <w:t xml:space="preserve"> </w:t>
      </w:r>
      <w:r>
        <w:t xml:space="preserve">a branch, in any Member State in the EU without any additional requirements, including no</w:t>
      </w:r>
      <w:r>
        <w:t xml:space="preserve"> </w:t>
      </w:r>
      <w:r>
        <w:t xml:space="preserve">need for a notification. Under this option, a CSDs would be able to provide services in relation</w:t>
      </w:r>
      <w:r>
        <w:t xml:space="preserve"> </w:t>
      </w:r>
      <w:r>
        <w:t xml:space="preserve">to securities issued according to the law of all Member States, regardless of whether there is</w:t>
      </w:r>
      <w:r>
        <w:t xml:space="preserve"> </w:t>
      </w:r>
      <w:r>
        <w:t xml:space="preserve">any intention to serve markets in a particular Member State. The simplifications to Article 49</w:t>
      </w:r>
      <w:r>
        <w:t xml:space="preserve"> </w:t>
      </w:r>
      <w:r>
        <w:t xml:space="preserve">of the CSDR proposed under Option 2 would apply under this option as well.</w:t>
      </w:r>
      <w:r>
        <w:br/>
      </w:r>
      <w:r>
        <w:t xml:space="preserve">Option 3.2 (CSDR): Supporting outsourcing</w:t>
      </w:r>
      <w:r>
        <w:br/>
      </w:r>
      <w:r>
        <w:t xml:space="preserve">This option would treat any kind of services – be they core or non-core – delegated to another</w:t>
      </w:r>
      <w:r>
        <w:t xml:space="preserve"> </w:t>
      </w:r>
      <w:r>
        <w:t xml:space="preserve">entity within the same corporate group as if they were carried out by the entity itself. This</w:t>
      </w:r>
      <w:r>
        <w:t xml:space="preserve"> </w:t>
      </w:r>
      <w:r>
        <w:t xml:space="preserve">would effectively limit the scope of Article 30 of the CSDR, applying no requirements for</w:t>
      </w:r>
      <w:r>
        <w:t xml:space="preserve"> </w:t>
      </w:r>
      <w:r>
        <w:t xml:space="preserve">outsourcing of core and non-core CSD services to other entities in the same group.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The same clarification in relation to DLT as in Option 2 would be included in this option as</w:t>
      </w:r>
      <w:r>
        <w:t xml:space="preserve"> </w:t>
      </w:r>
      <w:r>
        <w:t xml:space="preserve">well.</w:t>
      </w:r>
      <w:r>
        <w:t xml:space="preserve"> </w:t>
      </w:r>
      <w:r>
        <w:t xml:space="preserve">Option 3.3 (CSDR): Cash settlement</w:t>
      </w:r>
      <w:r>
        <w:t xml:space="preserve"> </w:t>
      </w:r>
      <w:r>
        <w:t xml:space="preserve">The requirement for a designated credit institution that provides banking-type ancillary services</w:t>
      </w:r>
      <w:r>
        <w:t xml:space="preserve"> </w:t>
      </w:r>
      <w:r>
        <w:t xml:space="preserve">to have a limited authorisation that allows them to only provide such services without the ability</w:t>
      </w:r>
      <w:r>
        <w:t xml:space="preserve"> </w:t>
      </w:r>
      <w:r>
        <w:t xml:space="preserve">to carry out other activities would be deleted in its entirety. This would allow any credit</w:t>
      </w:r>
      <w:r>
        <w:t xml:space="preserve"> </w:t>
      </w:r>
      <w:r>
        <w:t xml:space="preserve">institution to provide such banking-type ancillary services to CSDs for any currency and</w:t>
      </w:r>
      <w:r>
        <w:t xml:space="preserve"> </w:t>
      </w:r>
      <w:r>
        <w:t xml:space="preserve">without any further restrictions.</w:t>
      </w:r>
      <w:r>
        <w:br/>
      </w:r>
      <w:r>
        <w:t xml:space="preserve">Compared to Option 2, this option would allow CSDs operating DLT-based systems to operate</w:t>
      </w:r>
      <w:r>
        <w:t xml:space="preserve"> </w:t>
      </w:r>
      <w:r>
        <w:t xml:space="preserve">using a wide range of stablecoins under MiCA, for example, asset-referenced tokens, for</w:t>
      </w:r>
      <w:r>
        <w:t xml:space="preserve"> </w:t>
      </w:r>
      <w:r>
        <w:t xml:space="preserve">settling the equivalent of the cash leg of securities transactions.</w:t>
      </w:r>
      <w:r>
        <w:br/>
      </w:r>
      <w:r>
        <w:t xml:space="preserve">Option 3.4 (CSDR): Promoting the use of T2S and connecting the fragmented settlement</w:t>
      </w:r>
      <w:r>
        <w:br/>
      </w:r>
      <w:r>
        <w:t xml:space="preserve">To further promote the use of T2S, it would be transformed into a CSD (‘T2S CSD’), as</w:t>
      </w:r>
      <w:r>
        <w:t xml:space="preserve"> </w:t>
      </w:r>
      <w:r>
        <w:t xml:space="preserve">proposed in the Noyer report,416 and all CSDs in the EU would be required to connect to it via</w:t>
      </w:r>
      <w:r>
        <w:t xml:space="preserve"> </w:t>
      </w:r>
      <w:r>
        <w:t xml:space="preserve">bidirectional links.417 To facilitate this arrangement, T2S CSD would need to effectively serve</w:t>
      </w:r>
      <w:r>
        <w:t xml:space="preserve"> </w:t>
      </w:r>
      <w:r>
        <w:t xml:space="preserve">all EU currencies for settlement in central bank money (both existing and CBDC, once</w:t>
      </w:r>
      <w:r>
        <w:t xml:space="preserve"> </w:t>
      </w:r>
      <w:r>
        <w:t xml:space="preserve">available) and would be required to allow settlement in commercial bank money (both non-</w:t>
      </w:r>
      <w:r>
        <w:t xml:space="preserve"> </w:t>
      </w:r>
      <w:r>
        <w:t xml:space="preserve">digital and digital, including DLT-based) for settling transactions in securities denominated in</w:t>
      </w:r>
      <w:r>
        <w:t xml:space="preserve"> </w:t>
      </w:r>
      <w:r>
        <w:t xml:space="preserve">non-EU currencies (e.g. Eurobonds and ETFs).</w:t>
      </w:r>
      <w:r>
        <w:br/>
      </w:r>
      <w:r>
        <w:t xml:space="preserve">This would allow any participant in any EU CSD to access markets served by any other CSD</w:t>
      </w:r>
      <w:r>
        <w:t xml:space="preserve"> </w:t>
      </w:r>
      <w:r>
        <w:t xml:space="preserve">in the Union.</w:t>
      </w:r>
      <w:r>
        <w:br/>
      </w:r>
      <w:r>
        <w:t xml:space="preserve">Option 3.5 (CSDR): Increasing transparency</w:t>
      </w:r>
      <w:r>
        <w:t xml:space="preserve"> </w:t>
      </w:r>
      <w:r>
        <w:t xml:space="preserve">In addition to what is proposed under Option 2 to increase transparency of fees and prices, this</w:t>
      </w:r>
      <w:r>
        <w:t xml:space="preserve"> </w:t>
      </w:r>
      <w:r>
        <w:t xml:space="preserve">option would also require CSDs and settlement internalisers to charge the same fees and prices</w:t>
      </w:r>
      <w:r>
        <w:t xml:space="preserve"> </w:t>
      </w:r>
      <w:r>
        <w:t xml:space="preserve">for cross-border services as they charge for domestic services.</w:t>
      </w:r>
      <w:r>
        <w:t xml:space="preserve"> </w:t>
      </w:r>
      <w:r>
        <w:t xml:space="preserve">Option 3.6 (CSDR): Legal certainty</w:t>
      </w:r>
      <w:r>
        <w:t xml:space="preserve"> </w:t>
      </w:r>
      <w:r>
        <w:t xml:space="preserve">The CSDR was developed following the financial crisis and a subsequent a call from the</w:t>
      </w:r>
      <w:r>
        <w:t xml:space="preserve"> </w:t>
      </w:r>
      <w:r>
        <w:t xml:space="preserve">Financial Stability Board418 for more robust financial market infrastructures. The 2012 impact</w:t>
      </w:r>
      <w:r>
        <w:t xml:space="preserve"> </w:t>
      </w:r>
      <w:r>
        <w:t xml:space="preserve">assessment on CSDR noted that there was no common definition of a CSD, but in general</w:t>
      </w:r>
      <w:r>
        <w:t xml:space="preserve"> </w:t>
      </w:r>
      <w:r>
        <w:t xml:space="preserve">terms, there is nevertheless a range of functions that are performed by many CSDs.419 With this</w:t>
      </w:r>
      <w:r>
        <w:t xml:space="preserve"> </w:t>
      </w:r>
      <w:r>
        <w:t xml:space="preserve">in mind, the CSDR defined a CSD as one entity providing two or more core services. This</w:t>
      </w:r>
      <w:r>
        <w:t xml:space="preserve"> </w:t>
      </w:r>
      <w:r>
        <w:t xml:space="preserve">allowed the entity to keep the record of the information feed during the whole lifecycle of a</w:t>
      </w:r>
      <w:r>
        <w:t xml:space="preserve"> </w:t>
      </w:r>
      <w:r>
        <w:t xml:space="preserve">security (issuance, multiple trading, redemption). In a DLT environment, however, the</w:t>
      </w:r>
    </w:p>
    <w:p>
      <w:pPr>
        <w:pStyle w:val="BodyText"/>
      </w:pPr>
      <w:r>
        <w:t xml:space="preserve">416 See Section 5.3.1 of the Noyer report.</w:t>
      </w:r>
      <w:r>
        <w:t xml:space="preserve"> </w:t>
      </w:r>
      <w:r>
        <w:t xml:space="preserve">417 Nb. The establishment of bi-directional links between all CSDs could also be done without converting T2S</w:t>
      </w:r>
      <w:r>
        <w:t xml:space="preserve"> </w:t>
      </w:r>
      <w:r>
        <w:t xml:space="preserve">into a CSD.</w:t>
      </w:r>
      <w:r>
        <w:br/>
      </w:r>
      <w:r>
        <w:t xml:space="preserve">418 On 20 October 2010, the Financial Stability Board meeting in Seoul called for updated standards for more</w:t>
      </w:r>
      <w:r>
        <w:t xml:space="preserve"> </w:t>
      </w:r>
      <w:r>
        <w:t xml:space="preserve">robust core market infrastructures.</w:t>
      </w:r>
      <w:r>
        <w:br/>
      </w:r>
      <w:r>
        <w:t xml:space="preserve">419 Impact assessment accompanying the document Proposal for a Regulation of the European Parliament and of</w:t>
      </w:r>
      <w:r>
        <w:t xml:space="preserve"> </w:t>
      </w:r>
      <w:r>
        <w:t xml:space="preserve">the Council on improving securities settlement in the European Union and on Central Securities Depositories</w:t>
      </w:r>
      <w:r>
        <w:t xml:space="preserve"> </w:t>
      </w:r>
      <w:r>
        <w:t xml:space="preserve">(CSDs) and amending Directive 98/26/EC, SWD(2012) 23 final, 7 March 2012.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provision of these core services could be unbundled and provided by different entities. Under</w:t>
      </w:r>
      <w:r>
        <w:t xml:space="preserve"> </w:t>
      </w:r>
      <w:r>
        <w:t xml:space="preserve">this option, the CSDR would therefore be fully revised to cater for functional or service-based</w:t>
      </w:r>
      <w:r>
        <w:t xml:space="preserve"> </w:t>
      </w:r>
      <w:r>
        <w:t xml:space="preserve">authorisations reflecting structures that cover the whole chain of trading, clearing and</w:t>
      </w:r>
      <w:r>
        <w:t xml:space="preserve"> </w:t>
      </w:r>
      <w:r>
        <w:t xml:space="preserve">settlement and therefore would move away from the traditional sectorial separation between</w:t>
      </w:r>
      <w:r>
        <w:t xml:space="preserve"> </w:t>
      </w:r>
      <w:r>
        <w:t xml:space="preserve">functions and services and would focus on the services provided rather than the entity providing</w:t>
      </w:r>
      <w:r>
        <w:t xml:space="preserve"> </w:t>
      </w:r>
      <w:r>
        <w:t xml:space="preserve">them. For example, it would allow for per-service authorisation and would adjust requirements</w:t>
      </w:r>
      <w:r>
        <w:t xml:space="preserve"> </w:t>
      </w:r>
      <w:r>
        <w:t xml:space="preserve">to the service provided. Similarly to Option 2, this option would also amend definitions,</w:t>
      </w:r>
      <w:r>
        <w:t xml:space="preserve"> </w:t>
      </w:r>
      <w:r>
        <w:t xml:space="preserve">concepts and requirements to make them compatible with DLT-based structures.</w:t>
      </w:r>
      <w:r>
        <w:br/>
      </w:r>
      <w:r>
        <w:t xml:space="preserve">5.2. POLICY OPTIONS RELATED TO THE SFD</w:t>
      </w:r>
      <w:r>
        <w:t xml:space="preserve"> </w:t>
      </w:r>
      <w:r>
        <w:t xml:space="preserve">5.2.1. Option 1 (SFD): Status quo</w:t>
      </w:r>
      <w:r>
        <w:t xml:space="preserve"> </w:t>
      </w:r>
      <w:r>
        <w:t xml:space="preserve">This option introduces no amendments to the SFD. It would remain a Directive. Differing</w:t>
      </w:r>
      <w:r>
        <w:t xml:space="preserve"> </w:t>
      </w:r>
      <w:r>
        <w:t xml:space="preserve">national transpositions would remain, with the consequent impacts on and additional costs for</w:t>
      </w:r>
      <w:r>
        <w:t xml:space="preserve"> </w:t>
      </w:r>
      <w:r>
        <w:t xml:space="preserve">market participants. It is the ‘do-nothing’ option against which the other policy options will be</w:t>
      </w:r>
      <w:r>
        <w:t xml:space="preserve"> </w:t>
      </w:r>
      <w:r>
        <w:t xml:space="preserve">assessed.</w:t>
      </w:r>
      <w:r>
        <w:br/>
      </w:r>
      <w:r>
        <w:t xml:space="preserve">5.2.2. Option 2 (SFD): Comprehensive review to enhance the functioning of</w:t>
      </w:r>
      <w:r>
        <w:t xml:space="preserve"> </w:t>
      </w:r>
      <w:r>
        <w:t xml:space="preserve">market infrastructure</w:t>
      </w:r>
      <w:r>
        <w:t xml:space="preserve"> </w:t>
      </w:r>
      <w:r>
        <w:t xml:space="preserve">The SFD would be converted into a Regulation (Settlement Finality Regulation (SFR)). This</w:t>
      </w:r>
      <w:r>
        <w:t xml:space="preserve"> </w:t>
      </w:r>
      <w:r>
        <w:t xml:space="preserve">would require setting out in a more precise way matters related to protections granted by the</w:t>
      </w:r>
      <w:r>
        <w:t xml:space="preserve"> </w:t>
      </w:r>
      <w:r>
        <w:t xml:space="preserve">SFD in order to achieve a harmonised approach across the EU. Given the multiplicity of issues</w:t>
      </w:r>
      <w:r>
        <w:t xml:space="preserve"> </w:t>
      </w:r>
      <w:r>
        <w:t xml:space="preserve">identified, a wide range of targeted measures would be required to address them; the main ones</w:t>
      </w:r>
      <w:r>
        <w:t xml:space="preserve"> </w:t>
      </w:r>
      <w:r>
        <w:t xml:space="preserve">of those measures are described below.</w:t>
      </w:r>
      <w:r>
        <w:t xml:space="preserve"> </w:t>
      </w:r>
      <w:r>
        <w:t xml:space="preserve">Option 2.1 (SFD): Legal certainty for digital innovation</w:t>
      </w:r>
      <w:r>
        <w:br/>
      </w:r>
      <w:r>
        <w:t xml:space="preserve">To ensure legal certainty and to enable certain DLT-based systems to benefit from the</w:t>
      </w:r>
      <w:r>
        <w:t xml:space="preserve"> </w:t>
      </w:r>
      <w:r>
        <w:t xml:space="preserve">protections under the SFR (via designation under the Regulation), this option would amend</w:t>
      </w:r>
      <w:r>
        <w:t xml:space="preserve"> </w:t>
      </w:r>
      <w:r>
        <w:t xml:space="preserve">definitions, concepts and requirements to make them DLT compatible. These would include</w:t>
      </w:r>
      <w:r>
        <w:t xml:space="preserve"> </w:t>
      </w:r>
      <w:r>
        <w:t xml:space="preserve">changes to several definitions and concepts, such as ‘system’, ‘participant’, ‘institution’,</w:t>
      </w:r>
      <w:r>
        <w:t xml:space="preserve"> </w:t>
      </w:r>
      <w:r>
        <w:t xml:space="preserve">‘settlement agent’, ‘settlement account’, ‘transfer order’, ‘settlement finality’ (see Section 3.2.7</w:t>
      </w:r>
      <w:r>
        <w:t xml:space="preserve"> </w:t>
      </w:r>
      <w:r>
        <w:t xml:space="preserve">for details), ‘securities’, and ‘collateral security’.</w:t>
      </w:r>
      <w:r>
        <w:br/>
      </w:r>
      <w:r>
        <w:t xml:space="preserve">This option would also clarify that the concept of payment includes certain tokenised versions</w:t>
      </w:r>
      <w:r>
        <w:t xml:space="preserve"> </w:t>
      </w:r>
      <w:r>
        <w:t xml:space="preserve">thereof to ensure a harmonised approach to novel forms of money and cash.</w:t>
      </w:r>
      <w:r>
        <w:br/>
      </w:r>
      <w:r>
        <w:t xml:space="preserve">Option 2.2 (SFD): Conflict-of-law rule</w:t>
      </w:r>
      <w:r>
        <w:t xml:space="preserve"> </w:t>
      </w:r>
      <w:r>
        <w:t xml:space="preserve">To address the problems identified (see Section 3.2.8) arising from the current conflict-of-law</w:t>
      </w:r>
      <w:r>
        <w:t xml:space="preserve"> </w:t>
      </w:r>
      <w:r>
        <w:t xml:space="preserve">rule in the SFD, this option would clarify and develop the existing conflict-of-law rule so that:</w:t>
      </w:r>
      <w:r>
        <w:t xml:space="preserve"> </w:t>
      </w:r>
      <w:r>
        <w:t xml:space="preserve">(i) market participants and (judicial) authorities could apply it directly - without the need for</w:t>
      </w:r>
      <w:r>
        <w:t xml:space="preserve"> </w:t>
      </w:r>
      <w:r>
        <w:t xml:space="preserve">further developments or interpretations by Member States; and (ii) the revised conflict-of-law</w:t>
      </w:r>
      <w:r>
        <w:t xml:space="preserve"> </w:t>
      </w:r>
      <w:r>
        <w:t xml:space="preserve">rule can be applied also directly to designated DLT-based systems and tokenised securities –</w:t>
      </w:r>
      <w:r>
        <w:t xml:space="preserve"> </w:t>
      </w:r>
      <w:r>
        <w:t xml:space="preserve">since tokenised securities may not necessarily be maintained in an account located in a Member</w:t>
      </w:r>
      <w:r>
        <w:t xml:space="preserve"> </w:t>
      </w:r>
      <w:r>
        <w:t xml:space="preserve">State in all cases.</w:t>
      </w:r>
      <w:r>
        <w:br/>
      </w:r>
      <w:r>
        <w:t xml:space="preserve">In particular, this option would complement the current conflict-of-law rule in the SFD by: (i)</w:t>
      </w:r>
      <w:r>
        <w:t xml:space="preserve"> </w:t>
      </w:r>
      <w:r>
        <w:t xml:space="preserve">for traditional systems, further specifying concretely how to determine the Member State where</w:t>
      </w:r>
      <w:r>
        <w:t xml:space="preserve"> </w:t>
      </w:r>
      <w:r>
        <w:t xml:space="preserve">securities are legally recorded on a register, account or centralised deposit system; and (ii) by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establishing as a</w:t>
      </w:r>
      <w:r>
        <w:t xml:space="preserve"> </w:t>
      </w:r>
      <w:r>
        <w:t xml:space="preserve">“fall-back”</w:t>
      </w:r>
      <w:r>
        <w:t xml:space="preserve"> </w:t>
      </w:r>
      <w:r>
        <w:t xml:space="preserve">connecting factor where the account based conflict of law as in (i)</w:t>
      </w:r>
      <w:r>
        <w:t xml:space="preserve"> </w:t>
      </w:r>
      <w:r>
        <w:t xml:space="preserve">cannot be applied, the law governing the system – the law of the Member State which</w:t>
      </w:r>
      <w:r>
        <w:t xml:space="preserve"> </w:t>
      </w:r>
      <w:r>
        <w:t xml:space="preserve">designated the system as per Article 2 SFD.</w:t>
      </w:r>
      <w:r>
        <w:br/>
      </w:r>
      <w:r>
        <w:t xml:space="preserve">Option 2.3 (SFD): Participation of EU entities in third-country systems</w:t>
      </w:r>
      <w:r>
        <w:t xml:space="preserve"> </w:t>
      </w:r>
      <w:r>
        <w:t xml:space="preserve">Third-country systems would need to be registered420 in the EU for those systems to be</w:t>
      </w:r>
      <w:r>
        <w:t xml:space="preserve"> </w:t>
      </w:r>
      <w:r>
        <w:t xml:space="preserve">protected in case of insolvency of any of the EU entities participating in them. ESMA and the</w:t>
      </w:r>
      <w:r>
        <w:t xml:space="preserve"> </w:t>
      </w:r>
      <w:r>
        <w:t xml:space="preserve">ECB/ESCB would also be the single contact point for third-country systems for securities</w:t>
      </w:r>
      <w:r>
        <w:t xml:space="preserve"> </w:t>
      </w:r>
      <w:r>
        <w:t xml:space="preserve">settlement systems and payment systems respectively and help those systems to find and</w:t>
      </w:r>
      <w:r>
        <w:t xml:space="preserve"> </w:t>
      </w:r>
      <w:r>
        <w:t xml:space="preserve">contact the relevant authorities in Member States for registration. The assessment itself would</w:t>
      </w:r>
      <w:r>
        <w:t xml:space="preserve"> </w:t>
      </w:r>
      <w:r>
        <w:t xml:space="preserve">however be undertaken by Member States as certain aspects of national law might need to be</w:t>
      </w:r>
      <w:r>
        <w:t xml:space="preserve"> </w:t>
      </w:r>
      <w:r>
        <w:t xml:space="preserve">taken into consideration. ESMA/ECB/ESCB would also ensure that there is coordination</w:t>
      </w:r>
      <w:r>
        <w:t xml:space="preserve"> </w:t>
      </w:r>
      <w:r>
        <w:t xml:space="preserve">between different Member States with participants in the third-country system and thus</w:t>
      </w:r>
      <w:r>
        <w:t xml:space="preserve"> </w:t>
      </w:r>
      <w:r>
        <w:t xml:space="preserve">undertaking the assessment to ensure a consistent approach across the EU.</w:t>
      </w:r>
      <w:r>
        <w:t xml:space="preserve"> </w:t>
      </w:r>
      <w:r>
        <w:t xml:space="preserve">Absent harmonisation of EU insolvency law, Member States would be left to implement the</w:t>
      </w:r>
      <w:r>
        <w:t xml:space="preserve"> </w:t>
      </w:r>
      <w:r>
        <w:t xml:space="preserve">registration in their national law but the new SFR would harmonise the rules of the relevant</w:t>
      </w:r>
      <w:r>
        <w:t xml:space="preserve"> </w:t>
      </w:r>
      <w:r>
        <w:t xml:space="preserve">assessment of such third-country systems by mandating ESMA and ECB/ESCB respectively</w:t>
      </w:r>
      <w:r>
        <w:t xml:space="preserve"> </w:t>
      </w:r>
      <w:r>
        <w:t xml:space="preserve">for securities settlement/clearing systems and payments systems - in close cooperation with the</w:t>
      </w:r>
      <w:r>
        <w:t xml:space="preserve"> </w:t>
      </w:r>
      <w:r>
        <w:t xml:space="preserve">ESCB - to develop Level 2 measures to ensure that the assessment criteria are applied in a</w:t>
      </w:r>
      <w:r>
        <w:t xml:space="preserve"> </w:t>
      </w:r>
      <w:r>
        <w:t xml:space="preserve">consistent way across Member States.</w:t>
      </w:r>
      <w:r>
        <w:br/>
      </w:r>
      <w:r>
        <w:t xml:space="preserve">ESMA would publish the list of third-country systems registered by Member States (see</w:t>
      </w:r>
      <w:r>
        <w:t xml:space="preserve"> </w:t>
      </w:r>
      <w:r>
        <w:t xml:space="preserve">Section 5.2.2.7).</w:t>
      </w:r>
      <w:r>
        <w:br/>
      </w:r>
      <w:r>
        <w:t xml:space="preserve">Option 2.4 (SFD): Scope of participants</w:t>
      </w:r>
      <w:r>
        <w:br/>
      </w:r>
      <w:r>
        <w:t xml:space="preserve">To ensure a harmonised approach to the scope of participants under the new SFR, this option</w:t>
      </w:r>
      <w:r>
        <w:t xml:space="preserve"> </w:t>
      </w:r>
      <w:r>
        <w:t xml:space="preserve">would explicitly include CSDs in the list of participants.421</w:t>
      </w:r>
      <w:r>
        <w:br/>
      </w:r>
      <w:r>
        <w:t xml:space="preserve">This option would further expand the list of participants by allowing, in addition to the existing</w:t>
      </w:r>
      <w:r>
        <w:t xml:space="preserve"> </w:t>
      </w:r>
      <w:r>
        <w:t xml:space="preserve">list of participants, all legal entities that qualify to participate in a system by complying with</w:t>
      </w:r>
      <w:r>
        <w:t xml:space="preserve"> </w:t>
      </w:r>
      <w:r>
        <w:t xml:space="preserve">certain conditions set out in the SFR and in the rulebook of the system. Those conditions would</w:t>
      </w:r>
      <w:r>
        <w:t xml:space="preserve"> </w:t>
      </w:r>
      <w:r>
        <w:t xml:space="preserve">consider the risks the participants may present to the system and specify how such risks would</w:t>
      </w:r>
      <w:r>
        <w:t xml:space="preserve"> </w:t>
      </w:r>
      <w:r>
        <w:t xml:space="preserve">be mitigated by the participant, for example by having competent personnel and appropriately</w:t>
      </w:r>
      <w:r>
        <w:t xml:space="preserve"> </w:t>
      </w:r>
      <w:r>
        <w:t xml:space="preserve">designed risk functions relevant for the participant; the conditions would be proportionate. A</w:t>
      </w:r>
      <w:r>
        <w:t xml:space="preserve"> </w:t>
      </w:r>
      <w:r>
        <w:t xml:space="preserve">Level 2 mandate for ESMA and EBA, in cooperation with the ESCB, to amend the list of</w:t>
      </w:r>
      <w:r>
        <w:t xml:space="preserve"> </w:t>
      </w:r>
      <w:r>
        <w:t xml:space="preserve">participants and to further specify the conditions, differentiating, if necessary, by the type of</w:t>
      </w:r>
      <w:r>
        <w:t xml:space="preserve"> </w:t>
      </w:r>
      <w:r>
        <w:t xml:space="preserve">system, would be included as well. This would create a level playing field among systems</w:t>
      </w:r>
      <w:r>
        <w:t xml:space="preserve"> </w:t>
      </w:r>
      <w:r>
        <w:t xml:space="preserve">regarding participants and the set-up would mimic and build on the current protection that</w:t>
      </w:r>
    </w:p>
    <w:p>
      <w:pPr>
        <w:pStyle w:val="BodyText"/>
      </w:pPr>
      <w:r>
        <w:t xml:space="preserve">420 Currently, SFD designation requires a system to be governed by the law of a Member State. As third-country</w:t>
      </w:r>
      <w:r>
        <w:t xml:space="preserve"> </w:t>
      </w:r>
      <w:r>
        <w:t xml:space="preserve">systems are systems governed by the law of a third country, a designation under the SFD as it currently stands is</w:t>
      </w:r>
      <w:r>
        <w:t xml:space="preserve"> </w:t>
      </w:r>
      <w:r>
        <w:t xml:space="preserve">not possible. Therefore, this section talks about registration to differentiate. The concept of registration would</w:t>
      </w:r>
      <w:r>
        <w:t xml:space="preserve"> </w:t>
      </w:r>
      <w:r>
        <w:t xml:space="preserve">need to be defined in the SFD.</w:t>
      </w:r>
      <w:r>
        <w:br/>
      </w:r>
      <w:r>
        <w:t xml:space="preserve">421 Since the adoption of EMIR, CCPs have been added to the list of eligible direct SFD participants. However,</w:t>
      </w:r>
      <w:r>
        <w:t xml:space="preserve"> </w:t>
      </w:r>
      <w:r>
        <w:t xml:space="preserve">the definition of ‘CSD’ set out in Article 2(1), point (1), of the CSDR are not explicitly included although their</w:t>
      </w:r>
      <w:r>
        <w:t xml:space="preserve"> </w:t>
      </w:r>
      <w:r>
        <w:t xml:space="preserve">participation is implicitly covered as ‘settlement agents’ and ‘system operators’. Yet, Article 39(1) of the CSDR,</w:t>
      </w:r>
      <w:r>
        <w:t xml:space="preserve"> </w:t>
      </w:r>
      <w:r>
        <w:t xml:space="preserve">requires Member States to designate and notify securities settlement systems operated by CSDs in accordance</w:t>
      </w:r>
      <w:r>
        <w:t xml:space="preserve"> </w:t>
      </w:r>
      <w:r>
        <w:t xml:space="preserve">with the SFD. Therefore, it would follow that CSDs should be explicitly added to the list of eligible participants</w:t>
      </w:r>
      <w:r>
        <w:t xml:space="preserve"> </w:t>
      </w:r>
      <w:r>
        <w:t xml:space="preserve">in the SFD.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exists for clearing members that participate in a CCP where the CCP needs to ensure that the</w:t>
      </w:r>
      <w:r>
        <w:t xml:space="preserve"> </w:t>
      </w:r>
      <w:r>
        <w:t xml:space="preserve">participants admitted have sufficient resources and operational capacity to meet the obligations</w:t>
      </w:r>
      <w:r>
        <w:t xml:space="preserve"> </w:t>
      </w:r>
      <w:r>
        <w:t xml:space="preserve">arising from participation in the system(s) operated by the CCP and where all the other</w:t>
      </w:r>
      <w:r>
        <w:t xml:space="preserve"> </w:t>
      </w:r>
      <w:r>
        <w:t xml:space="preserve">requirements set by the system have to be met by the participants.</w:t>
      </w:r>
      <w:r>
        <w:t xml:space="preserve"> </w:t>
      </w:r>
      <w:r>
        <w:t xml:space="preserve">Option 2.5 (SFD): Scope of eligible securities</w:t>
      </w:r>
      <w:r>
        <w:br/>
      </w:r>
      <w:r>
        <w:t xml:space="preserve">This option would introduce a common definition of eligible securities under the new SFR in</w:t>
      </w:r>
      <w:r>
        <w:t xml:space="preserve"> </w:t>
      </w:r>
      <w:r>
        <w:t xml:space="preserve">all Member States, establishing a harmonised list with all securities that would be eligible. This</w:t>
      </w:r>
      <w:r>
        <w:t xml:space="preserve"> </w:t>
      </w:r>
      <w:r>
        <w:t xml:space="preserve">would be done by amending the definition by way of a reference to the definition of ‘financial</w:t>
      </w:r>
      <w:r>
        <w:t xml:space="preserve"> </w:t>
      </w:r>
      <w:r>
        <w:t xml:space="preserve">instruments’ set out in Article 4(1), point (15), of MiFID II. This option would also introduce</w:t>
      </w:r>
      <w:r>
        <w:t xml:space="preserve"> </w:t>
      </w:r>
      <w:r>
        <w:t xml:space="preserve">a mandate for a Level 2 act enabling the list of eligible securities to be amended in the future</w:t>
      </w:r>
      <w:r>
        <w:t xml:space="preserve"> </w:t>
      </w:r>
      <w:r>
        <w:t xml:space="preserve">to take into account market developments and/or further specify the instruments to ensure</w:t>
      </w:r>
      <w:r>
        <w:t xml:space="preserve"> </w:t>
      </w:r>
      <w:r>
        <w:t xml:space="preserve">greater harmonisation.</w:t>
      </w:r>
      <w:r>
        <w:t xml:space="preserve"> </w:t>
      </w:r>
      <w:r>
        <w:t xml:space="preserve">Option 2.6 (SFD): Designation practices for EU systems</w:t>
      </w:r>
      <w:r>
        <w:t xml:space="preserve"> </w:t>
      </w:r>
      <w:r>
        <w:t xml:space="preserve">Under this option, the new SFR would introduce harmonised requirements for the designation</w:t>
      </w:r>
      <w:r>
        <w:t xml:space="preserve"> </w:t>
      </w:r>
      <w:r>
        <w:t xml:space="preserve">of systems and streamline designation practices. Specifically, the amendments would include</w:t>
      </w:r>
      <w:r>
        <w:t xml:space="preserve"> </w:t>
      </w:r>
      <w:r>
        <w:t xml:space="preserve">clear requirements on what information to provide in the notification, provide the assessment</w:t>
      </w:r>
      <w:r>
        <w:t xml:space="preserve"> </w:t>
      </w:r>
      <w:r>
        <w:t xml:space="preserve">criteria and the procedures and timelines to be followed. This would be complemented with a</w:t>
      </w:r>
      <w:r>
        <w:t xml:space="preserve"> </w:t>
      </w:r>
      <w:r>
        <w:t xml:space="preserve">mandate to develop the details in Level 2. Member States would continue to designate systems</w:t>
      </w:r>
      <w:r>
        <w:t xml:space="preserve"> </w:t>
      </w:r>
      <w:r>
        <w:t xml:space="preserve">under their national laws. ESMA and the ECB/ESCB would be mandated to check the</w:t>
      </w:r>
      <w:r>
        <w:t xml:space="preserve"> </w:t>
      </w:r>
      <w:r>
        <w:t xml:space="preserve">alignment of designations of, respectively, securities settlement systems and payment systems</w:t>
      </w:r>
      <w:r>
        <w:t xml:space="preserve"> </w:t>
      </w:r>
      <w:r>
        <w:t xml:space="preserve">across Member States in order to ensure a harmonised approach across the EU.</w:t>
      </w:r>
      <w:r>
        <w:br/>
      </w:r>
      <w:r>
        <w:t xml:space="preserve">Option 2.7 (SFD): Transparency</w:t>
      </w:r>
      <w:r>
        <w:br/>
      </w:r>
      <w:r>
        <w:t xml:space="preserve">To ensure that the publicly available information about valid designations is accurate, this</w:t>
      </w:r>
      <w:r>
        <w:t xml:space="preserve"> </w:t>
      </w:r>
      <w:r>
        <w:t xml:space="preserve">option would include a requirement for Member States to provide ESMA with accurate and up-</w:t>
      </w:r>
      <w:r>
        <w:t xml:space="preserve"> </w:t>
      </w:r>
      <w:r>
        <w:t xml:space="preserve">to-date information related to the designated EU systems that ESMA would then publish on its</w:t>
      </w:r>
      <w:r>
        <w:t xml:space="preserve"> </w:t>
      </w:r>
      <w:r>
        <w:t xml:space="preserve">website. In addition, Member States would be required to provide more information to ESMA</w:t>
      </w:r>
      <w:r>
        <w:t xml:space="preserve"> </w:t>
      </w:r>
      <w:r>
        <w:t xml:space="preserve">than they currently do including on direct participants in the designated systems, the rules of</w:t>
      </w:r>
      <w:r>
        <w:t xml:space="preserve"> </w:t>
      </w:r>
      <w:r>
        <w:t xml:space="preserve">those systems and how those systems ensure settlement finality protection (some of that</w:t>
      </w:r>
      <w:r>
        <w:t xml:space="preserve"> </w:t>
      </w:r>
      <w:r>
        <w:t xml:space="preserve">information may not be published on ESMA’s website). ESMA would be required to publish</w:t>
      </w:r>
      <w:r>
        <w:t xml:space="preserve"> </w:t>
      </w:r>
      <w:r>
        <w:t xml:space="preserve">information on the third-country systems registered by Member States on its website as it</w:t>
      </w:r>
      <w:r>
        <w:t xml:space="preserve"> </w:t>
      </w:r>
      <w:r>
        <w:t xml:space="preserve">currently does for designated EU systems, as well as clarity on the scope of that registration.</w:t>
      </w:r>
      <w:r>
        <w:t xml:space="preserve"> </w:t>
      </w:r>
      <w:r>
        <w:t xml:space="preserve">In order to facilitate comparability of the information to be published, this option would</w:t>
      </w:r>
      <w:r>
        <w:t xml:space="preserve"> </w:t>
      </w:r>
      <w:r>
        <w:t xml:space="preserve">mandate ESMA to develop a template for Member States’ notification of systems with the</w:t>
      </w:r>
      <w:r>
        <w:t xml:space="preserve"> </w:t>
      </w:r>
      <w:r>
        <w:t xml:space="preserve">required related information.</w:t>
      </w:r>
      <w:r>
        <w:t xml:space="preserve"> </w:t>
      </w:r>
      <w:r>
        <w:t xml:space="preserve">Option 2.8 (SFD): Settlement finality moments</w:t>
      </w:r>
      <w:r>
        <w:br/>
      </w:r>
      <w:r>
        <w:t xml:space="preserve">Under this option, the new SFR would determine the moments of entry of transfer orders into</w:t>
      </w:r>
      <w:r>
        <w:t xml:space="preserve"> </w:t>
      </w:r>
      <w:r>
        <w:t xml:space="preserve">the system, irrevocability of such transfers orders, and possibly, the moment of finality of the</w:t>
      </w:r>
      <w:r>
        <w:t xml:space="preserve"> </w:t>
      </w:r>
      <w:r>
        <w:t xml:space="preserve">execution of the transfer order. The ability of Member States under the current SFD to apply</w:t>
      </w:r>
      <w:r>
        <w:t xml:space="preserve"> </w:t>
      </w:r>
      <w:r>
        <w:t xml:space="preserve">national conditions would be removed. ESMA, in cooperation with the ECB/ESCB, would be</w:t>
      </w:r>
      <w:r>
        <w:t xml:space="preserve"> </w:t>
      </w:r>
      <w:r>
        <w:t xml:space="preserve">mandated to further specify, if necessary, the above moments of finality for systems other than</w:t>
      </w:r>
      <w:r>
        <w:t xml:space="preserve"> </w:t>
      </w:r>
      <w:r>
        <w:t xml:space="preserve">securities settlement systems operated by CSDs (for the latter, see Section 5.1.2.4) in Level 2,</w:t>
      </w:r>
      <w:r>
        <w:t xml:space="preserve"> </w:t>
      </w:r>
      <w:r>
        <w:t xml:space="preserve">taking into account the specificities of the different types of systems.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5.2.3. Option 3 (SFD): Extensive review to impose an integrated market</w:t>
      </w:r>
      <w:r>
        <w:t xml:space="preserve"> </w:t>
      </w:r>
      <w:r>
        <w:t xml:space="preserve">This option would include even more ambitious amendments to the SFD than option 2. As is</w:t>
      </w:r>
      <w:r>
        <w:t xml:space="preserve"> </w:t>
      </w:r>
      <w:r>
        <w:t xml:space="preserve">the case for the latter, given the multiplicity of issues identified, a wide range of targeted</w:t>
      </w:r>
      <w:r>
        <w:t xml:space="preserve"> </w:t>
      </w:r>
      <w:r>
        <w:t xml:space="preserve">measures will be needed to address them; those measures are described below.</w:t>
      </w:r>
      <w:r>
        <w:t xml:space="preserve"> </w:t>
      </w:r>
      <w:r>
        <w:t xml:space="preserve">Option 3.1 (SFD): Legal certainty for digital innovation</w:t>
      </w:r>
      <w:r>
        <w:t xml:space="preserve"> </w:t>
      </w:r>
      <w:r>
        <w:t xml:space="preserve">In addition to ensuring legal certainty on concepts, definitions and requirements and to enable</w:t>
      </w:r>
      <w:r>
        <w:t xml:space="preserve"> </w:t>
      </w:r>
      <w:r>
        <w:t xml:space="preserve">certain DLT-based systems to benefit from the protections under the Settlement Finality</w:t>
      </w:r>
      <w:r>
        <w:t xml:space="preserve"> </w:t>
      </w:r>
      <w:r>
        <w:t xml:space="preserve">Regulation (via designation under Settlement Finality Regulation), this option would also aim</w:t>
      </w:r>
      <w:r>
        <w:t xml:space="preserve"> </w:t>
      </w:r>
      <w:r>
        <w:t xml:space="preserve">to provide legal certainty in relation to other aspects on the holding of securities as well as</w:t>
      </w:r>
      <w:r>
        <w:t xml:space="preserve"> </w:t>
      </w:r>
      <w:r>
        <w:t xml:space="preserve">further harmonising the designation of systems where they are operated by using DLT.</w:t>
      </w:r>
      <w:r>
        <w:br/>
      </w:r>
      <w:r>
        <w:t xml:space="preserve">Option 3.2 (SFD): Conflict-of-law rule</w:t>
      </w:r>
      <w:r>
        <w:t xml:space="preserve"> </w:t>
      </w:r>
      <w:r>
        <w:t xml:space="preserve">This option would include in the new SFR the conflict-of-law rule set out in the Hague</w:t>
      </w:r>
      <w:r>
        <w:t xml:space="preserve"> </w:t>
      </w:r>
      <w:r>
        <w:t xml:space="preserve">Convention on the applicable law to certain rights in respect of securities held with an</w:t>
      </w:r>
      <w:r>
        <w:t xml:space="preserve"> </w:t>
      </w:r>
      <w:r>
        <w:t xml:space="preserve">intermediary. The applicable law would be the law of the country named in the account</w:t>
      </w:r>
      <w:r>
        <w:t xml:space="preserve"> </w:t>
      </w:r>
      <w:r>
        <w:t xml:space="preserve">agreement with the relevant intermediary, backed by a so-called ‘reality test’ intended to ensure</w:t>
      </w:r>
      <w:r>
        <w:t xml:space="preserve"> </w:t>
      </w:r>
      <w:r>
        <w:t xml:space="preserve">that the intermediary does actually conduct securities business in that jurisdiction, even though</w:t>
      </w:r>
      <w:r>
        <w:t xml:space="preserve"> </w:t>
      </w:r>
      <w:r>
        <w:t xml:space="preserve">not necessarily in relation to the account in question.</w:t>
      </w:r>
      <w:r>
        <w:t xml:space="preserve"> </w:t>
      </w:r>
      <w:r>
        <w:t xml:space="preserve">Option 3.3 (SFD): Participation of EU institutions in third-country systems</w:t>
      </w:r>
      <w:r>
        <w:t xml:space="preserve"> </w:t>
      </w:r>
      <w:r>
        <w:t xml:space="preserve">The responsibility for registering third-country systems would be given to ESMA (for securities</w:t>
      </w:r>
      <w:r>
        <w:t xml:space="preserve"> </w:t>
      </w:r>
      <w:r>
        <w:t xml:space="preserve">settlement systems) and ECB/ESCB (for payment systems).</w:t>
      </w:r>
      <w:r>
        <w:br/>
      </w:r>
      <w:r>
        <w:t xml:space="preserve">Option 3.4 (SFD): Scope of participants</w:t>
      </w:r>
      <w:r>
        <w:br/>
      </w:r>
      <w:r>
        <w:t xml:space="preserve">Under this option, any entity that is allowed by a system operator to participate in a system</w:t>
      </w:r>
      <w:r>
        <w:t xml:space="preserve"> </w:t>
      </w:r>
      <w:r>
        <w:t xml:space="preserve">based on the admission criteria of the system would be considered a participant (as opposed to</w:t>
      </w:r>
      <w:r>
        <w:t xml:space="preserve"> </w:t>
      </w:r>
      <w:r>
        <w:t xml:space="preserve">only certain regulated financial entities). Amendments would also be made to sectoral</w:t>
      </w:r>
      <w:r>
        <w:t xml:space="preserve"> </w:t>
      </w:r>
      <w:r>
        <w:t xml:space="preserve">legislation, such as the CSDR, to ensure alignment.</w:t>
      </w:r>
      <w:r>
        <w:br/>
      </w:r>
      <w:r>
        <w:t xml:space="preserve">Option 3.5 (SFD): Scope of eligible securities</w:t>
      </w:r>
      <w:r>
        <w:br/>
      </w:r>
      <w:r>
        <w:t xml:space="preserve">Under this option, any instrument would be considered an eligible security. This option would</w:t>
      </w:r>
      <w:r>
        <w:t xml:space="preserve"> </w:t>
      </w:r>
      <w:r>
        <w:t xml:space="preserve">allow operators of designated systems to choose the instruments that would be included in the</w:t>
      </w:r>
      <w:r>
        <w:t xml:space="preserve"> </w:t>
      </w:r>
      <w:r>
        <w:t xml:space="preserve">protections provided under the new SFR.</w:t>
      </w:r>
      <w:r>
        <w:t xml:space="preserve"> </w:t>
      </w:r>
      <w:r>
        <w:t xml:space="preserve">Option 3.6 (SFD): Designation of EU systems</w:t>
      </w:r>
      <w:r>
        <w:t xml:space="preserve"> </w:t>
      </w:r>
      <w:r>
        <w:t xml:space="preserve">Under this option, ESMA (for securities settlement systems) and ECB/ESRB (for payment</w:t>
      </w:r>
      <w:r>
        <w:t xml:space="preserve"> </w:t>
      </w:r>
      <w:r>
        <w:t xml:space="preserve">systems) would be given the responsibility for the assessment and designation of EU systems</w:t>
      </w:r>
      <w:r>
        <w:t xml:space="preserve"> </w:t>
      </w:r>
      <w:r>
        <w:t xml:space="preserve">under the new SFR.</w:t>
      </w:r>
      <w:r>
        <w:br/>
      </w:r>
      <w:r>
        <w:t xml:space="preserve">Option 3.7 (SFD): Transparency</w:t>
      </w:r>
      <w:r>
        <w:t xml:space="preserve"> </w:t>
      </w:r>
      <w:r>
        <w:t xml:space="preserve">This option would fully harmonise the information that is to be published by ESMA, including,</w:t>
      </w:r>
      <w:r>
        <w:t xml:space="preserve"> </w:t>
      </w:r>
      <w:r>
        <w:t xml:space="preserve">among others, the designated system, its rules and its direct and indirect participants, as well</w:t>
      </w:r>
      <w:r>
        <w:t xml:space="preserve"> </w:t>
      </w:r>
      <w:r>
        <w:t xml:space="preserve">as the third-country systems to which Member States extended their domestic participants’</w:t>
      </w:r>
      <w:r>
        <w:t xml:space="preserve"> </w:t>
      </w:r>
      <w:r>
        <w:t xml:space="preserve">protection. ESMA would also publish with unrestricted access information on the opening of</w:t>
      </w:r>
      <w:r>
        <w:t xml:space="preserve"> </w:t>
      </w:r>
      <w:r>
        <w:t xml:space="preserve">insolvency proceedings against a direct or an indirect participant of any designated EU system.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Information on other matters related to SFR-designated systems would also be made public in</w:t>
      </w:r>
      <w:r>
        <w:t xml:space="preserve"> </w:t>
      </w:r>
      <w:r>
        <w:t xml:space="preserve">a centralised form. The additional elements of information to be published would be identified</w:t>
      </w:r>
      <w:r>
        <w:t xml:space="preserve"> </w:t>
      </w:r>
      <w:r>
        <w:t xml:space="preserve">by ESMA as necessary and included in Level 2 legislation.</w:t>
      </w:r>
      <w:r>
        <w:br/>
      </w:r>
      <w:r>
        <w:t xml:space="preserve">Option 3.8 (SFD): Settlement finality moments</w:t>
      </w:r>
      <w:r>
        <w:t xml:space="preserve"> </w:t>
      </w:r>
      <w:r>
        <w:t xml:space="preserve">This option would fully harmonise the three settlement finality moments at EU level in a</w:t>
      </w:r>
      <w:r>
        <w:t xml:space="preserve"> </w:t>
      </w:r>
      <w:r>
        <w:t xml:space="preserve">uniform way for all types of systems, without taking into account the specificities of different</w:t>
      </w:r>
      <w:r>
        <w:t xml:space="preserve"> </w:t>
      </w:r>
      <w:r>
        <w:t xml:space="preserve">types of systems.</w:t>
      </w:r>
      <w:r>
        <w:br/>
      </w:r>
      <w:r>
        <w:t xml:space="preserve">6. IMPACT OF THE POLICY OPTIONS</w:t>
      </w:r>
      <w:r>
        <w:t xml:space="preserve"> </w:t>
      </w:r>
      <w:r>
        <w:t xml:space="preserve">This section describes the impact of the policy options presented above.</w:t>
      </w:r>
      <w:r>
        <w:t xml:space="preserve"> </w:t>
      </w:r>
      <w:r>
        <w:t xml:space="preserve">6.1. IMPACT OF THE POLICY OPTIONS REGARDING THE CSDR</w:t>
      </w:r>
      <w:r>
        <w:t xml:space="preserve"> </w:t>
      </w:r>
      <w:r>
        <w:t xml:space="preserve">6.1.1. Option 1 (CSDR) – Status quo</w:t>
      </w:r>
      <w:r>
        <w:t xml:space="preserve"> </w:t>
      </w:r>
      <w:r>
        <w:t xml:space="preserve">Since this option would not amend the CSDR, the problems and problem drivers described,</w:t>
      </w:r>
      <w:r>
        <w:t xml:space="preserve"> </w:t>
      </w:r>
      <w:r>
        <w:t xml:space="preserve">respectively, in Sections 3.1 and 3.2 would persist and would not be resolved. Consequently,</w:t>
      </w:r>
      <w:r>
        <w:t xml:space="preserve"> </w:t>
      </w:r>
      <w:r>
        <w:t xml:space="preserve">potential improvements would be left to initiatives from the private sector or Member States,</w:t>
      </w:r>
      <w:r>
        <w:t xml:space="preserve"> </w:t>
      </w:r>
      <w:r>
        <w:t xml:space="preserve">which are however not likely to result in the removal of the existing barriers to market</w:t>
      </w:r>
      <w:r>
        <w:t xml:space="preserve"> </w:t>
      </w:r>
      <w:r>
        <w:t xml:space="preserve">integration and cross-border activities.</w:t>
      </w:r>
      <w:r>
        <w:t xml:space="preserve"> </w:t>
      </w:r>
      <w:r>
        <w:t xml:space="preserve">6.1.2. Option 2 (CSDR) – Comprehensive review to enhance the functioning of</w:t>
      </w:r>
      <w:r>
        <w:t xml:space="preserve"> </w:t>
      </w:r>
      <w:r>
        <w:t xml:space="preserve">market infrastructure</w:t>
      </w:r>
    </w:p>
    <w:p>
      <w:pPr>
        <w:pStyle w:val="BodyText"/>
      </w:pPr>
      <w:r>
        <w:t xml:space="preserve">Option 2.1 (CSDR): Ensuring freedom of issuance and facilitating passporting and the cross-</w:t>
      </w:r>
      <w:r>
        <w:t xml:space="preserve"> </w:t>
      </w:r>
      <w:r>
        <w:t xml:space="preserve">border provision of services</w:t>
      </w:r>
      <w:r>
        <w:t xml:space="preserve"> </w:t>
      </w:r>
      <w:r>
        <w:t xml:space="preserve">This option would be effective in directly meeting one of the specific objectives of the overall</w:t>
      </w:r>
      <w:r>
        <w:t xml:space="preserve"> </w:t>
      </w:r>
      <w:r>
        <w:t xml:space="preserve">proposal in that it enables further market integration and scale effects by facilitating passporting</w:t>
      </w:r>
      <w:r>
        <w:t xml:space="preserve"> </w:t>
      </w:r>
      <w:r>
        <w:t xml:space="preserve">of CSD services in the EU and ensuring that freedom of issuance is effective, thus increasing</w:t>
      </w:r>
      <w:r>
        <w:t xml:space="preserve"> </w:t>
      </w:r>
      <w:r>
        <w:t xml:space="preserve">the supply of CSD services cross-border. This would also be complemented with measures to</w:t>
      </w:r>
      <w:r>
        <w:t xml:space="preserve"> </w:t>
      </w:r>
      <w:r>
        <w:t xml:space="preserve">improve transparency of fees and prices of CSDs to enable issuers and investors to compare</w:t>
      </w:r>
      <w:r>
        <w:t xml:space="preserve"> </w:t>
      </w:r>
      <w:r>
        <w:t xml:space="preserve">offers and services throughout the EU (see Section 3.2.6) in order to stimulate the demand side.</w:t>
      </w:r>
      <w:r>
        <w:br/>
      </w:r>
      <w:r>
        <w:t xml:space="preserve">In their replies to the targeted consultation, several stakeholders (including CSDs and national</w:t>
      </w:r>
      <w:r>
        <w:t xml:space="preserve"> </w:t>
      </w:r>
      <w:r>
        <w:t xml:space="preserve">authorities) highlighted that the complex passporting processes entail high costs for CSDs,</w:t>
      </w:r>
      <w:r>
        <w:t xml:space="preserve"> </w:t>
      </w:r>
      <w:r>
        <w:t xml:space="preserve">particularly in terms of administrative burden, as well as legal analysis and compliance costs.</w:t>
      </w:r>
      <w:r>
        <w:t xml:space="preserve"> </w:t>
      </w:r>
      <w:r>
        <w:t xml:space="preserve">Some respondents have also evidenced that there are costs due to missed opportunities where</w:t>
      </w:r>
      <w:r>
        <w:t xml:space="preserve"> </w:t>
      </w:r>
      <w:r>
        <w:t xml:space="preserve">there is demand for cross-border issuance. In the targeted consultation,422 70% of stakeholders</w:t>
      </w:r>
      <w:r>
        <w:t xml:space="preserve"> </w:t>
      </w:r>
      <w:r>
        <w:t xml:space="preserve">indicated that there are barriers to the freedom of issuance in the EU. Moreover, several</w:t>
      </w:r>
    </w:p>
    <w:p>
      <w:pPr>
        <w:pStyle w:val="BodyText"/>
      </w:pPr>
      <w:r>
        <w:t xml:space="preserve">422 See ”Targeted consultation of integration of EU capital markets”, Question 3.1.1.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stakeholders evidenced that fragmentation at the CSD level results in increased and persistent</w:t>
      </w:r>
      <w:r>
        <w:t xml:space="preserve"> </w:t>
      </w:r>
      <w:r>
        <w:t xml:space="preserve">costs for end-investors.423</w:t>
      </w:r>
      <w:r>
        <w:br/>
      </w:r>
      <w:r>
        <w:t xml:space="preserve">On the other hand, it should be noted that some stakeholders (including a few national</w:t>
      </w:r>
      <w:r>
        <w:t xml:space="preserve"> </w:t>
      </w:r>
      <w:r>
        <w:t xml:space="preserve">authorities) denied having identified any regulatory or supervisory barriers to freedom of</w:t>
      </w:r>
      <w:r>
        <w:t xml:space="preserve"> </w:t>
      </w:r>
      <w:r>
        <w:t xml:space="preserve">issuance and provision of cross-border services in the EU, albeit some (notably CSDs), while</w:t>
      </w:r>
      <w:r>
        <w:t xml:space="preserve"> </w:t>
      </w:r>
      <w:r>
        <w:t xml:space="preserve">denying formal barriers, evidenced that practical challenges and compliance costs remain for</w:t>
      </w:r>
      <w:r>
        <w:t xml:space="preserve"> </w:t>
      </w:r>
      <w:r>
        <w:t xml:space="preserve">CSDs, due to the costly assessments needed for passporting caused by the fragmentation of</w:t>
      </w:r>
      <w:r>
        <w:t xml:space="preserve"> </w:t>
      </w:r>
      <w:r>
        <w:t xml:space="preserve">Member States requirements, including divergent interpretations of the relevant CSDR</w:t>
      </w:r>
      <w:r>
        <w:t xml:space="preserve"> </w:t>
      </w:r>
      <w:r>
        <w:t xml:space="preserve">provisions. Simultaneously, CSDs report disproportionate length and costs of the passporting</w:t>
      </w:r>
      <w:r>
        <w:t xml:space="preserve"> </w:t>
      </w:r>
      <w:r>
        <w:t xml:space="preserve">process, citing administrative burden, supplementary reporting requirements, transparency</w:t>
      </w:r>
      <w:r>
        <w:t xml:space="preserve"> </w:t>
      </w:r>
      <w:r>
        <w:t xml:space="preserve">issues and unpredictability with regard to the costs of applying the passport.424</w:t>
      </w:r>
      <w:r>
        <w:br/>
      </w:r>
      <w:r>
        <w:t xml:space="preserve">Generally, respondents to the targeted consultation did not seem to envisage that any costs</w:t>
      </w:r>
      <w:r>
        <w:t xml:space="preserve"> </w:t>
      </w:r>
      <w:r>
        <w:t xml:space="preserve">could stem from a simplification of the passporting procedure or the enhancement of the</w:t>
      </w:r>
      <w:r>
        <w:t xml:space="preserve"> </w:t>
      </w:r>
      <w:r>
        <w:t xml:space="preserve">freedom of issuance in the EU.</w:t>
      </w:r>
      <w:r>
        <w:br/>
      </w:r>
      <w:r>
        <w:t xml:space="preserve">This option would accomplish the objectives of the overall proposal by reducing the burden for</w:t>
      </w:r>
      <w:r>
        <w:t xml:space="preserve"> </w:t>
      </w:r>
      <w:r>
        <w:t xml:space="preserve">CSDs in providing services across borders, thus reducing the corresponding costs. Legal clarity</w:t>
      </w:r>
      <w:r>
        <w:t xml:space="preserve"> </w:t>
      </w:r>
      <w:r>
        <w:t xml:space="preserve">would also reduce costs for issuers, ensuring freedom to issue their securities in whichever EU</w:t>
      </w:r>
      <w:r>
        <w:t xml:space="preserve"> </w:t>
      </w:r>
      <w:r>
        <w:t xml:space="preserve">CSD they want by restricting national law from imposing additional requirements that go</w:t>
      </w:r>
      <w:r>
        <w:t xml:space="preserve"> </w:t>
      </w:r>
      <w:r>
        <w:t xml:space="preserve">beyond EU law. This option, by enabling further market integration, would reduce costs for</w:t>
      </w:r>
      <w:r>
        <w:t xml:space="preserve"> </w:t>
      </w:r>
      <w:r>
        <w:t xml:space="preserve">investors as well.</w:t>
      </w:r>
      <w:r>
        <w:br/>
      </w:r>
      <w:r>
        <w:t xml:space="preserve">The above would be achieved at no additional cost for CSDs or issuers (in fact, the</w:t>
      </w:r>
      <w:r>
        <w:t xml:space="preserve"> </w:t>
      </w:r>
      <w:r>
        <w:t xml:space="preserve">administrative costs related to the various procedures are expected to fall).</w:t>
      </w:r>
      <w:r>
        <w:br/>
      </w:r>
      <w:r>
        <w:t xml:space="preserve">As such, this option is also coherent with the objectives of the SIU to create a more harmonised</w:t>
      </w:r>
      <w:r>
        <w:t xml:space="preserve"> </w:t>
      </w:r>
      <w:r>
        <w:t xml:space="preserve">and standardised market in that it helps reduce fragmentation in EU capital markets.</w:t>
      </w:r>
      <w:r>
        <w:br/>
      </w:r>
      <w:r>
        <w:t xml:space="preserve">Option 2.2 (CSDR): Supporting outsourcing</w:t>
      </w:r>
      <w:r>
        <w:t xml:space="preserve"> </w:t>
      </w:r>
      <w:r>
        <w:t xml:space="preserve">Clarifying the procedures for outsourcing of CSD services and simplifying those procedures in</w:t>
      </w:r>
      <w:r>
        <w:t xml:space="preserve"> </w:t>
      </w:r>
      <w:r>
        <w:t xml:space="preserve">case of the outsourcing of those services to other entities within the same group would be</w:t>
      </w:r>
      <w:r>
        <w:t xml:space="preserve"> </w:t>
      </w:r>
      <w:r>
        <w:t xml:space="preserve">effective in directly meeting one of the specific objectives of the overall proposal in that it</w:t>
      </w:r>
      <w:r>
        <w:t xml:space="preserve"> </w:t>
      </w:r>
      <w:r>
        <w:t xml:space="preserve">would enable further market integration and scale effects by allowing CSDs to more efficiently</w:t>
      </w:r>
      <w:r>
        <w:t xml:space="preserve"> </w:t>
      </w:r>
      <w:r>
        <w:t xml:space="preserve">outsource their activities, in particular within the same group, leading to cost savings and</w:t>
      </w:r>
      <w:r>
        <w:t xml:space="preserve"> </w:t>
      </w:r>
      <w:r>
        <w:t xml:space="preserve">increased competitiveness, while maintaining the relevant risk mitigation requirements. One</w:t>
      </w:r>
      <w:r>
        <w:t xml:space="preserve"> </w:t>
      </w:r>
      <w:r>
        <w:t xml:space="preserve">corporate group that comprises at least one CSD indicated that more accommodating intra-</w:t>
      </w:r>
      <w:r>
        <w:t xml:space="preserve"> </w:t>
      </w:r>
      <w:r>
        <w:t xml:space="preserve">group outsourcing provisions – e.g. with respect to IT and human resources – could yield a cost</w:t>
      </w:r>
      <w:r>
        <w:t xml:space="preserve"> </w:t>
      </w:r>
      <w:r>
        <w:t xml:space="preserve">savings of approximately 15 percent.</w:t>
      </w:r>
      <w:r>
        <w:br/>
      </w:r>
      <w:r>
        <w:t xml:space="preserve">This option was generally supported by CSDs who responded to the targeted consultation and</w:t>
      </w:r>
      <w:r>
        <w:t xml:space="preserve"> </w:t>
      </w:r>
      <w:r>
        <w:t xml:space="preserve">who highlighted that the current outsourcing framework is overly burdensome particularly with</w:t>
      </w:r>
      <w:r>
        <w:t xml:space="preserve"> </w:t>
      </w:r>
      <w:r>
        <w:t xml:space="preserve">respect to staff sharing among CSDs belonging to the same group. Generally, respondents to</w:t>
      </w:r>
    </w:p>
    <w:p>
      <w:pPr>
        <w:pStyle w:val="BodyText"/>
      </w:pPr>
      <w:r>
        <w:t xml:space="preserve">423 “Study on consolidation and reducing fragmentation in trading and post-trading infrastructures in Europe”,</w:t>
      </w:r>
      <w:r>
        <w:t xml:space="preserve"> </w:t>
      </w:r>
      <w:r>
        <w:t xml:space="preserve">Final Report, Bourse Consult &amp; Civitta, September 2025:</w:t>
      </w:r>
      <w:r>
        <w:br/>
      </w:r>
      <w:r>
        <w:t xml:space="preserve">https://op.europa.eu/en/publication/doi/10.2874/2649452.</w:t>
      </w:r>
      <w:r>
        <w:br/>
      </w:r>
      <w:r>
        <w:t xml:space="preserve">424 “Provision of cross-border services by CSDs and handling of applications under Article 23 of CSDR from</w:t>
      </w:r>
      <w:r>
        <w:t xml:space="preserve"> </w:t>
      </w:r>
      <w:r>
        <w:t xml:space="preserve">2020 to 2022”, European Securities and Markets Authority. See paragraphs 176 and 177.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the targeted consultation did not seem to envisage that any costs could stem from the</w:t>
      </w:r>
      <w:r>
        <w:t xml:space="preserve"> </w:t>
      </w:r>
      <w:r>
        <w:t xml:space="preserve">clarification of outsourcing requirements and the simplification of outsourcing procedures with</w:t>
      </w:r>
      <w:r>
        <w:t xml:space="preserve"> </w:t>
      </w:r>
      <w:r>
        <w:t xml:space="preserve">respect to intra-group outsourcing should entail additional costs for stakeholders. It should</w:t>
      </w:r>
      <w:r>
        <w:t xml:space="preserve"> </w:t>
      </w:r>
      <w:r>
        <w:t xml:space="preserve">however be noted that a small number of national competent authorities who responded to the</w:t>
      </w:r>
      <w:r>
        <w:t xml:space="preserve"> </w:t>
      </w:r>
      <w:r>
        <w:t xml:space="preserve">targeted consultation considered that the current approval processes under the CSDR remain</w:t>
      </w:r>
      <w:r>
        <w:t xml:space="preserve"> </w:t>
      </w:r>
      <w:r>
        <w:t xml:space="preserve">suitable, as they correctly cater for the relevant risks, with one authority cautioning, for</w:t>
      </w:r>
      <w:r>
        <w:t xml:space="preserve"> </w:t>
      </w:r>
      <w:r>
        <w:t xml:space="preserve">example, on the risk of empty shells emerging and the corresponding risks to business</w:t>
      </w:r>
      <w:r>
        <w:t xml:space="preserve"> </w:t>
      </w:r>
      <w:r>
        <w:t xml:space="preserve">continuity. As such, those authorities indicated that no changes are therefore necessary.</w:t>
      </w:r>
      <w:r>
        <w:br/>
      </w:r>
      <w:r>
        <w:t xml:space="preserve">This option would accomplish the objectives of the overall proposal by reducing the burden</w:t>
      </w:r>
      <w:r>
        <w:t xml:space="preserve"> </w:t>
      </w:r>
      <w:r>
        <w:t xml:space="preserve">and costs for CSD groups in providing their services in the most efficient way in accordance</w:t>
      </w:r>
      <w:r>
        <w:t xml:space="preserve"> </w:t>
      </w:r>
      <w:r>
        <w:t xml:space="preserve">with their business strategy.</w:t>
      </w:r>
      <w:r>
        <w:br/>
      </w:r>
      <w:r>
        <w:t xml:space="preserve">It will also help facilitate innovation by enabling the use of new technologies. By explicitly</w:t>
      </w:r>
      <w:r>
        <w:t xml:space="preserve"> </w:t>
      </w:r>
      <w:r>
        <w:t xml:space="preserve">clarifying the use of DLT and how outsourcing rules apply to such new technologies, the</w:t>
      </w:r>
      <w:r>
        <w:t xml:space="preserve"> </w:t>
      </w:r>
      <w:r>
        <w:t xml:space="preserve">proposal would facilitate innovation. This, in turn, would contribute to a more innovative EU</w:t>
      </w:r>
      <w:r>
        <w:t xml:space="preserve"> </w:t>
      </w:r>
      <w:r>
        <w:t xml:space="preserve">capital market. Overall, the proposal is generally coherent with the objectives of the SIU, as it</w:t>
      </w:r>
      <w:r>
        <w:t xml:space="preserve"> </w:t>
      </w:r>
      <w:r>
        <w:t xml:space="preserve">aims to promote a more integrated, innovative and efficient EU capital market, as well as the</w:t>
      </w:r>
      <w:r>
        <w:t xml:space="preserve"> </w:t>
      </w:r>
      <w:r>
        <w:t xml:space="preserve">Commission’s Digital Europe Programme.</w:t>
      </w:r>
      <w:r>
        <w:t xml:space="preserve"> </w:t>
      </w:r>
      <w:r>
        <w:t xml:space="preserve">Option 2.3 (CSDR): Cash settlement</w:t>
      </w:r>
      <w:r>
        <w:t xml:space="preserve"> </w:t>
      </w:r>
      <w:r>
        <w:t xml:space="preserve">By facilitating CSDs’ ability to designate credit institutions for settling the cash leg of securities</w:t>
      </w:r>
      <w:r>
        <w:t xml:space="preserve"> </w:t>
      </w:r>
      <w:r>
        <w:t xml:space="preserve">transactions in commercial bank money, this option would allow CSDs to offer settlement in</w:t>
      </w:r>
      <w:r>
        <w:t xml:space="preserve"> </w:t>
      </w:r>
      <w:r>
        <w:t xml:space="preserve">services for which access to central bank money is not possible or very costly. This option</w:t>
      </w:r>
      <w:r>
        <w:t xml:space="preserve"> </w:t>
      </w:r>
      <w:r>
        <w:t xml:space="preserve">would not entail any significant costs for CSDs or for credit institutions they would designate;</w:t>
      </w:r>
      <w:r>
        <w:t xml:space="preserve"> </w:t>
      </w:r>
      <w:r>
        <w:t xml:space="preserve">any costs that would be incurred would not be imposed, i.e. the CSD would incur them only if</w:t>
      </w:r>
      <w:r>
        <w:t xml:space="preserve"> </w:t>
      </w:r>
      <w:r>
        <w:t xml:space="preserve">it decided to offer the service. This would increase the competition among EU CSDs for the</w:t>
      </w:r>
      <w:r>
        <w:t xml:space="preserve"> </w:t>
      </w:r>
      <w:r>
        <w:t xml:space="preserve">provision of settlement services in financial instrument denominated in non-EU currencies.</w:t>
      </w:r>
      <w:r>
        <w:br/>
      </w:r>
      <w:r>
        <w:t xml:space="preserve">In addition, this option would help meet the specific objective of facilitating innovation by</w:t>
      </w:r>
      <w:r>
        <w:t xml:space="preserve"> </w:t>
      </w:r>
      <w:r>
        <w:t xml:space="preserve">enabling the use of new technologies, as it would facilitate the use of DLT by CSDs by allowing</w:t>
      </w:r>
      <w:r>
        <w:t xml:space="preserve"> </w:t>
      </w:r>
      <w:r>
        <w:t xml:space="preserve">them to utilise digital forms of money, including tokenised cash, for settlement. The proposal</w:t>
      </w:r>
      <w:r>
        <w:t xml:space="preserve"> </w:t>
      </w:r>
      <w:r>
        <w:t xml:space="preserve">would also contribute to improving supervision by reducing divergences, as it provides clarity</w:t>
      </w:r>
      <w:r>
        <w:t xml:space="preserve"> </w:t>
      </w:r>
      <w:r>
        <w:t xml:space="preserve">on the use of different forms of money for settlement and ensures that CSDs can operate</w:t>
      </w:r>
      <w:r>
        <w:t xml:space="preserve"> </w:t>
      </w:r>
      <w:r>
        <w:t xml:space="preserve">efficiently and safely. However, in the short term, this option may contribute to further</w:t>
      </w:r>
      <w:r>
        <w:t xml:space="preserve"> </w:t>
      </w:r>
      <w:r>
        <w:t xml:space="preserve">fragmentation of the CSD market as it would facilitate the establishment of settlement systems</w:t>
      </w:r>
      <w:r>
        <w:t xml:space="preserve"> </w:t>
      </w:r>
      <w:r>
        <w:t xml:space="preserve">that would not be able to interact in a straightforward fashion with one another (i.e. settlement</w:t>
      </w:r>
      <w:r>
        <w:t xml:space="preserve"> </w:t>
      </w:r>
      <w:r>
        <w:t xml:space="preserve">systems settling in tokenised money would require different technical solutions to be able to</w:t>
      </w:r>
      <w:r>
        <w:t xml:space="preserve"> </w:t>
      </w:r>
      <w:r>
        <w:t xml:space="preserve">settle cross-border transaction with settlement systems settling in traditional central bank</w:t>
      </w:r>
      <w:r>
        <w:t xml:space="preserve"> </w:t>
      </w:r>
      <w:r>
        <w:t xml:space="preserve">money or in commercial bank money). This is why the impact on enabling further market</w:t>
      </w:r>
      <w:r>
        <w:t xml:space="preserve"> </w:t>
      </w:r>
      <w:r>
        <w:t xml:space="preserve">integration and scale effects by increasing cross-border activity would be less, although the</w:t>
      </w:r>
      <w:r>
        <w:t xml:space="preserve"> </w:t>
      </w:r>
      <w:r>
        <w:t xml:space="preserve">increased efficiency and reduced costs resulting from the proposal could potentially lead to</w:t>
      </w:r>
      <w:r>
        <w:t xml:space="preserve"> </w:t>
      </w:r>
      <w:r>
        <w:t xml:space="preserve">increased cross-border activity.</w:t>
      </w:r>
      <w:r>
        <w:t xml:space="preserve"> </w:t>
      </w:r>
      <w:r>
        <w:t xml:space="preserve">88% of respondents to this question in the targeted consultation representing a wide range of</w:t>
      </w:r>
      <w:r>
        <w:t xml:space="preserve"> </w:t>
      </w:r>
      <w:r>
        <w:t xml:space="preserve">financial sector stakeholders and a few Member State authorities agreed that the definition of</w:t>
      </w:r>
      <w:r>
        <w:t xml:space="preserve"> </w:t>
      </w:r>
      <w:r>
        <w:t xml:space="preserve">cash needed to be updated to include, for example, tokenised forms of money, in particular</w:t>
      </w:r>
      <w:r>
        <w:t xml:space="preserve"> </w:t>
      </w:r>
      <w:r>
        <w:t xml:space="preserve">tokenised commercial bank money and electronic money tokens. Those who opposed an update</w:t>
      </w:r>
      <w:r>
        <w:t xml:space="preserve"> </w:t>
      </w:r>
      <w:r>
        <w:t xml:space="preserve">to the definition of cash viewed the existing definition as already covering DLT versions of</w:t>
      </w:r>
      <w:r>
        <w:t xml:space="preserve"> </w:t>
      </w:r>
      <w:r>
        <w:t xml:space="preserve">traditional cash.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This option is coherent with the objectives of the SIU, as it aims to promote a more integrated,</w:t>
      </w:r>
      <w:r>
        <w:t xml:space="preserve"> </w:t>
      </w:r>
      <w:r>
        <w:t xml:space="preserve">innovative, and efficient EU capital market. By enabling the use of DLT and digital as well as</w:t>
      </w:r>
      <w:r>
        <w:t xml:space="preserve"> </w:t>
      </w:r>
      <w:r>
        <w:t xml:space="preserve">tokenised forms of money, the proposal would contribute to a more modern and competitive</w:t>
      </w:r>
      <w:r>
        <w:t xml:space="preserve"> </w:t>
      </w:r>
      <w:r>
        <w:t xml:space="preserve">market, which is in line with the broader goals of the SIU. Overall, the option has the potential</w:t>
      </w:r>
      <w:r>
        <w:t xml:space="preserve"> </w:t>
      </w:r>
      <w:r>
        <w:t xml:space="preserve">to promote innovation, improve supervision, and increase efficiency in the market, making it a</w:t>
      </w:r>
      <w:r>
        <w:t xml:space="preserve"> </w:t>
      </w:r>
      <w:r>
        <w:t xml:space="preserve">useful step towards achieving the objectives of the package.</w:t>
      </w:r>
      <w:r>
        <w:t xml:space="preserve"> </w:t>
      </w:r>
      <w:r>
        <w:t xml:space="preserve">Option 2.4 (CSDR): Promoting the use of T2S, connecting the fragmented settlement landscape</w:t>
      </w:r>
      <w:r>
        <w:t xml:space="preserve"> </w:t>
      </w:r>
      <w:r>
        <w:t xml:space="preserve">and enhancing the role of links between CSDs</w:t>
      </w:r>
      <w:r>
        <w:t xml:space="preserve"> </w:t>
      </w:r>
      <w:r>
        <w:t xml:space="preserve">This option would help meet the specific objective of enabling further market integration and</w:t>
      </w:r>
      <w:r>
        <w:t xml:space="preserve"> </w:t>
      </w:r>
      <w:r>
        <w:t xml:space="preserve">scale effects by increasing cross-border activity, as requiring a connection to T2S and thus</w:t>
      </w:r>
      <w:r>
        <w:t xml:space="preserve"> </w:t>
      </w:r>
      <w:r>
        <w:t xml:space="preserve">facilitating settlement in central bank money would make settlement safer. It would facilitate,</w:t>
      </w:r>
      <w:r>
        <w:t xml:space="preserve"> </w:t>
      </w:r>
      <w:r>
        <w:t xml:space="preserve">in conjunction with mandating the establishment of links, cross-border settlement, reducing</w:t>
      </w:r>
      <w:r>
        <w:t xml:space="preserve"> </w:t>
      </w:r>
      <w:r>
        <w:t xml:space="preserve">barriers and increasing efficiency. It would create a settlement network with several key,</w:t>
      </w:r>
      <w:r>
        <w:t xml:space="preserve"> </w:t>
      </w:r>
      <w:r>
        <w:t xml:space="preserve">interconnected nodes at its centre allowing participants in any EU CSD to settle securities</w:t>
      </w:r>
      <w:r>
        <w:t xml:space="preserve"> </w:t>
      </w:r>
      <w:r>
        <w:t xml:space="preserve">transactions in any other CSD via a relayed link arrangement, thus increasing competition</w:t>
      </w:r>
      <w:r>
        <w:t xml:space="preserve"> </w:t>
      </w:r>
      <w:r>
        <w:t xml:space="preserve">between CSDs. According to ECSDA, relayed links are an efficient means to connect to</w:t>
      </w:r>
      <w:r>
        <w:t xml:space="preserve"> </w:t>
      </w:r>
      <w:r>
        <w:t xml:space="preserve">markets where low volumes and relatively high legal, operational and legal costs would make</w:t>
      </w:r>
      <w:r>
        <w:t xml:space="preserve"> </w:t>
      </w:r>
      <w:r>
        <w:t xml:space="preserve">a direct link not economically viable. In fact, the establishment of relayed link arrangements</w:t>
      </w:r>
      <w:r>
        <w:t xml:space="preserve"> </w:t>
      </w:r>
      <w:r>
        <w:t xml:space="preserve">has increased over the past few years. Since 2021, while the number of direct links has</w:t>
      </w:r>
      <w:r>
        <w:t xml:space="preserve"> </w:t>
      </w:r>
      <w:r>
        <w:t xml:space="preserve">remained relatively static and indirect links have decreased by almost 40%, the number of</w:t>
      </w:r>
      <w:r>
        <w:t xml:space="preserve"> </w:t>
      </w:r>
      <w:r>
        <w:t xml:space="preserve">relayed links has increased by almost 30%.425</w:t>
      </w:r>
      <w:r>
        <w:br/>
      </w:r>
      <w:r>
        <w:t xml:space="preserve">Among the 32 CSDs established in the EU, 23 are connected to T2S. This option would</w:t>
      </w:r>
      <w:r>
        <w:t xml:space="preserve"> </w:t>
      </w:r>
      <w:r>
        <w:t xml:space="preserve">therefore incur the costs of those nine CSDs connecting to T2S. There are currently 180 links</w:t>
      </w:r>
      <w:r>
        <w:t xml:space="preserve"> </w:t>
      </w:r>
      <w:r>
        <w:t xml:space="preserve">established between EEA CSDs. Under this option, the establishment of an additional 10 to 15</w:t>
      </w:r>
      <w:r>
        <w:t xml:space="preserve"> </w:t>
      </w:r>
      <w:r>
        <w:t xml:space="preserve">inbound links would be needed. Since these links would be established among CSDs connected</w:t>
      </w:r>
      <w:r>
        <w:t xml:space="preserve"> </w:t>
      </w:r>
      <w:r>
        <w:t xml:space="preserve">to T2S, which harmonises technical connectivity and settlement processes, the cost would be</w:t>
      </w:r>
      <w:r>
        <w:t xml:space="preserve"> </w:t>
      </w:r>
      <w:r>
        <w:t xml:space="preserve">significantly less than for the case where CSDs would need to make changes to technical</w:t>
      </w:r>
      <w:r>
        <w:t xml:space="preserve"> </w:t>
      </w:r>
      <w:r>
        <w:t xml:space="preserve">infrastructure and align protocols. As discussed in Section 3.2.4, a simple link established</w:t>
      </w:r>
      <w:r>
        <w:t xml:space="preserve"> </w:t>
      </w:r>
      <w:r>
        <w:t xml:space="preserve">between two T2S-connected CSDs could entail an initial cost of EUR 30 000, whereas more</w:t>
      </w:r>
      <w:r>
        <w:t xml:space="preserve"> </w:t>
      </w:r>
      <w:r>
        <w:t xml:space="preserve">complicated arrangements could increase that cost by at least an order of magnitude. Some of</w:t>
      </w:r>
      <w:r>
        <w:t xml:space="preserve"> </w:t>
      </w:r>
      <w:r>
        <w:t xml:space="preserve">the already established links would need however to be amended, notably to expand the scope</w:t>
      </w:r>
      <w:r>
        <w:t xml:space="preserve"> </w:t>
      </w:r>
      <w:r>
        <w:t xml:space="preserve">of instruments that can be settled under that link in order to be able accept all the instruments</w:t>
      </w:r>
      <w:r>
        <w:t xml:space="preserve"> </w:t>
      </w:r>
      <w:r>
        <w:t xml:space="preserve">issued by the issuer CSD via the link. Such costs would be offset by the fact that a peripheral</w:t>
      </w:r>
      <w:r>
        <w:t xml:space="preserve"> </w:t>
      </w:r>
      <w:r>
        <w:t xml:space="preserve">CSD would only be required to establish a single link to one CSD hub, while markets served</w:t>
      </w:r>
      <w:r>
        <w:t xml:space="preserve"> </w:t>
      </w:r>
      <w:r>
        <w:t xml:space="preserve">by other CSDs could be accessed through these central CSDs via relayed arrangements. If most</w:t>
      </w:r>
      <w:r>
        <w:t xml:space="preserve"> </w:t>
      </w:r>
      <w:r>
        <w:t xml:space="preserve">CSDs in the EU currently maintain four or fewer links (see Sections 2.4.2.3 and 3.2.4), then up</w:t>
      </w:r>
      <w:r>
        <w:t xml:space="preserve"> </w:t>
      </w:r>
      <w:r>
        <w:t xml:space="preserve">to three of these links would no longer necessarily be needed to be maintained leading to</w:t>
      </w:r>
      <w:r>
        <w:t xml:space="preserve"> </w:t>
      </w:r>
      <w:r>
        <w:t xml:space="preserve">conservatively estimated savings of at least EUR 100 000 per year, assuming the low end of</w:t>
      </w:r>
      <w:r>
        <w:t xml:space="preserve"> </w:t>
      </w:r>
      <w:r>
        <w:t xml:space="preserve">the annual link maintenance costs quoted in Section 3.2.4. This approach in any case seems to</w:t>
      </w:r>
      <w:r>
        <w:t xml:space="preserve"> </w:t>
      </w:r>
      <w:r>
        <w:t xml:space="preserve">be the direction of travel on the part of the industry. In July 2025, Euroclear issued a press</w:t>
      </w:r>
      <w:r>
        <w:t xml:space="preserve"> </w:t>
      </w:r>
      <w:r>
        <w:t xml:space="preserve">release indicating their intention to provide a single point of access across all financial asset</w:t>
      </w:r>
      <w:r>
        <w:t xml:space="preserve"> </w:t>
      </w:r>
      <w:r>
        <w:t xml:space="preserve">classes for all EU CSDs in the 27 Member States.426</w:t>
      </w:r>
    </w:p>
    <w:p>
      <w:pPr>
        <w:pStyle w:val="BodyText"/>
      </w:pPr>
      <w:r>
        <w:t xml:space="preserve">425 “CSD Links Report”, ECSDA, October 2025.</w:t>
      </w:r>
      <w:r>
        <w:t xml:space="preserve"> </w:t>
      </w:r>
      <w:r>
        <w:t xml:space="preserve">426 https://www.euroclear.com/newsandinsights/en/press/2025/mr-19-connecting-eu-markets-across-asset-classes.html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The targeted consultation showed some support for establishing a minimum number of links in</w:t>
      </w:r>
      <w:r>
        <w:t xml:space="preserve"> </w:t>
      </w:r>
      <w:r>
        <w:t xml:space="preserve">the targeted consultation. This was particularly the case from investor associations, investment</w:t>
      </w:r>
      <w:r>
        <w:t xml:space="preserve"> </w:t>
      </w:r>
      <w:r>
        <w:t xml:space="preserve">firms in certain Member States, as well as a few market infrastructures. There was also support</w:t>
      </w:r>
      <w:r>
        <w:t xml:space="preserve"> </w:t>
      </w:r>
      <w:r>
        <w:t xml:space="preserve">from a few Member States. Although the question of a hub and spokes model was not</w:t>
      </w:r>
      <w:r>
        <w:t xml:space="preserve"> </w:t>
      </w:r>
      <w:r>
        <w:t xml:space="preserve">specifically asked in the targeted consultation, one industry association supports the concept of</w:t>
      </w:r>
      <w:r>
        <w:t xml:space="preserve"> </w:t>
      </w:r>
      <w:r>
        <w:t xml:space="preserve">a settlement system with hubs and spokes as a way to forward the integration of settlement in</w:t>
      </w:r>
      <w:r>
        <w:t xml:space="preserve"> </w:t>
      </w:r>
      <w:r>
        <w:t xml:space="preserve">the EU. This option will also likely be supported by regulated market participants (including</w:t>
      </w:r>
      <w:r>
        <w:t xml:space="preserve"> </w:t>
      </w:r>
      <w:r>
        <w:t xml:space="preserve">brokers, dealers, trading venues or intermediaries) which will be able to settle any instrument</w:t>
      </w:r>
      <w:r>
        <w:t xml:space="preserve"> </w:t>
      </w:r>
      <w:r>
        <w:t xml:space="preserve">issued in an EU CSD for the cost of the connection to one of the CSD of substantial importance.</w:t>
      </w:r>
      <w:r>
        <w:t xml:space="preserve"> </w:t>
      </w:r>
      <w:r>
        <w:t xml:space="preserve">On the contrary, “spoke” CSDs are likely to oppose the establishment of links in the case that</w:t>
      </w:r>
      <w:r>
        <w:t xml:space="preserve"> </w:t>
      </w:r>
      <w:r>
        <w:t xml:space="preserve">they have not already established any links. Moreover, the hub CSD would be able to passport</w:t>
      </w:r>
      <w:r>
        <w:t xml:space="preserve"> </w:t>
      </w:r>
      <w:r>
        <w:t xml:space="preserve">central maintenance services for all instruments issued by the hub to the ‘spoke’ Member State.</w:t>
      </w:r>
      <w:r>
        <w:br/>
      </w:r>
      <w:r>
        <w:t xml:space="preserve">In turn, greater use of T2S would drive down the cost of settling in T2S, thereby reducing post-</w:t>
      </w:r>
      <w:r>
        <w:t xml:space="preserve"> </w:t>
      </w:r>
      <w:r>
        <w:t xml:space="preserve">trading costs, and increase harmonisation as CSDs joining T2S would use common standards.</w:t>
      </w:r>
      <w:r>
        <w:t xml:space="preserve"> </w:t>
      </w:r>
      <w:r>
        <w:t xml:space="preserve">If the volumes settled at the two ICSDs in the EU were to move to T2S and a 30% decrease in</w:t>
      </w:r>
      <w:r>
        <w:t xml:space="preserve"> </w:t>
      </w:r>
      <w:r>
        <w:t xml:space="preserve">settlement fees can be expected when moving volumes to T2S from CSD internal settlement</w:t>
      </w:r>
      <w:r>
        <w:t xml:space="preserve"> </w:t>
      </w:r>
      <w:r>
        <w:t xml:space="preserve">(see Section 3.2.4), this could lead to a total possible savings of approximately EUR 86 million</w:t>
      </w:r>
      <w:r>
        <w:t xml:space="preserve"> </w:t>
      </w:r>
      <w:r>
        <w:t xml:space="preserve">across the EU settlement landscape. This figure takes as a starting point the 2024 settlement</w:t>
      </w:r>
      <w:r>
        <w:t xml:space="preserve"> </w:t>
      </w:r>
      <w:r>
        <w:t xml:space="preserve">volumes processed by Euroclear Bank (200 nm) and Clearstream Banking SA (115 mn)427 and</w:t>
      </w:r>
      <w:r>
        <w:t xml:space="preserve"> </w:t>
      </w:r>
      <w:r>
        <w:t xml:space="preserve">assumes that the average fee per settlement instruction at the ICSDs is EUR 0.91, as noted in a</w:t>
      </w:r>
      <w:r>
        <w:t xml:space="preserve"> </w:t>
      </w:r>
      <w:r>
        <w:t xml:space="preserve">recent AFME publication.428</w:t>
      </w:r>
      <w:r>
        <w:br/>
      </w:r>
      <w:r>
        <w:t xml:space="preserve">In terms of costs for CSDs, connecting to T2S would imply an initial investment cost for CSDs</w:t>
      </w:r>
      <w:r>
        <w:t xml:space="preserve"> </w:t>
      </w:r>
      <w:r>
        <w:t xml:space="preserve">to adjust their systems, which can vary dramatically depending on the CSD as discussed in</w:t>
      </w:r>
      <w:r>
        <w:t xml:space="preserve"> </w:t>
      </w:r>
      <w:r>
        <w:t xml:space="preserve">Section 3.2.4. As the CSDs in the EU that are not yet connected to T2S are relatively small,</w:t>
      </w:r>
      <w:r>
        <w:t xml:space="preserve"> </w:t>
      </w:r>
      <w:r>
        <w:t xml:space="preserve">using an estimate on the low end of the range for connecting to T2S for those CSDs would</w:t>
      </w:r>
      <w:r>
        <w:t xml:space="preserve"> </w:t>
      </w:r>
      <w:r>
        <w:t xml:space="preserve">yield a total cost of just over EUR 200 million. However, that would only apply for a small</w:t>
      </w:r>
      <w:r>
        <w:t xml:space="preserve"> </w:t>
      </w:r>
      <w:r>
        <w:t xml:space="preserve">number of CSDs that are not already connected to T2S. The costs for CSDs of establishing</w:t>
      </w:r>
      <w:r>
        <w:t xml:space="preserve"> </w:t>
      </w:r>
      <w:r>
        <w:t xml:space="preserve">links would include an initial investment cost to establish a link and then limited costs to</w:t>
      </w:r>
      <w:r>
        <w:t xml:space="preserve"> </w:t>
      </w:r>
      <w:r>
        <w:t xml:space="preserve">maintain it. The vast majority of CSDs would likely establish only one bidirectional link, so</w:t>
      </w:r>
      <w:r>
        <w:t xml:space="preserve"> </w:t>
      </w:r>
      <w:r>
        <w:t xml:space="preserve">the costs of complying with the requirement set out in this option would likely be contained.</w:t>
      </w:r>
      <w:r>
        <w:t xml:space="preserve"> </w:t>
      </w:r>
      <w:r>
        <w:t xml:space="preserve">They may be further reduced if a CSD already has such a link in place and if both it and the</w:t>
      </w:r>
      <w:r>
        <w:t xml:space="preserve"> </w:t>
      </w:r>
      <w:r>
        <w:t xml:space="preserve">CSD with which it would establish a link are both connected to T2S. In terms of benefits for</w:t>
      </w:r>
      <w:r>
        <w:t xml:space="preserve"> </w:t>
      </w:r>
      <w:r>
        <w:t xml:space="preserve">CSDs, they would depend on investor demand to use their services for settling cross-border</w:t>
      </w:r>
      <w:r>
        <w:t xml:space="preserve"> </w:t>
      </w:r>
      <w:r>
        <w:t xml:space="preserve">transactions.</w:t>
      </w:r>
      <w:r>
        <w:t xml:space="preserve"> </w:t>
      </w:r>
      <w:r>
        <w:t xml:space="preserve">At the same time, this option would reduce the regulatory burden of establishing links by</w:t>
      </w:r>
      <w:r>
        <w:t xml:space="preserve"> </w:t>
      </w:r>
      <w:r>
        <w:t xml:space="preserve">simplifying the application process and replacing the current regime with a more streamlined</w:t>
      </w:r>
      <w:r>
        <w:t xml:space="preserve"> </w:t>
      </w:r>
      <w:r>
        <w:t xml:space="preserve">one. Furthermore, this option would harmonise standards in settlement operations, facilitating</w:t>
      </w:r>
      <w:r>
        <w:t xml:space="preserve"> </w:t>
      </w:r>
      <w:r>
        <w:t xml:space="preserve">further integration. The adoption of those standards would entail some initial investment costs</w:t>
      </w:r>
      <w:r>
        <w:t xml:space="preserve"> </w:t>
      </w:r>
      <w:r>
        <w:t xml:space="preserve">for those CSDs that do not already use them. For example, it has been noted by some</w:t>
      </w:r>
      <w:r>
        <w:t xml:space="preserve"> </w:t>
      </w:r>
      <w:r>
        <w:t xml:space="preserve">stakeholders that despite the existence of ISO standards providing the classification of</w:t>
      </w:r>
      <w:r>
        <w:t xml:space="preserve"> </w:t>
      </w:r>
      <w:r>
        <w:t xml:space="preserve">transactions and the associated codes, information on the types of transactions is not populated</w:t>
      </w:r>
      <w:r>
        <w:t xml:space="preserve"> </w:t>
      </w:r>
      <w:r>
        <w:t xml:space="preserve">consistently in settlement-related messaging. The lack of consistent use of transaction type</w:t>
      </w:r>
      <w:r>
        <w:t xml:space="preserve"> </w:t>
      </w:r>
      <w:r>
        <w:t xml:space="preserve">codes limits and/or prevents straight-through-processing/automation in certain post-trade</w:t>
      </w:r>
    </w:p>
    <w:p>
      <w:pPr>
        <w:pStyle w:val="BodyText"/>
      </w:pPr>
      <w:r>
        <w:t xml:space="preserve">427 Settlement volumes sourced from the ECB Statistical Data Warehouse.</w:t>
      </w:r>
      <w:r>
        <w:t xml:space="preserve"> </w:t>
      </w:r>
      <w:r>
        <w:t xml:space="preserve">428 https://www.afme.eu/publications/reports/analysis-of-csd-fees-in-major-european-markets/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activities and, ceteris paribus, results in a higher number of errors. This applies also to know-</w:t>
      </w:r>
      <w:r>
        <w:t xml:space="preserve"> </w:t>
      </w:r>
      <w:r>
        <w:t xml:space="preserve">your-customer and customer due-diligence procedures. The coexistence of the ISO15022 and</w:t>
      </w:r>
      <w:r>
        <w:t xml:space="preserve"> </w:t>
      </w:r>
      <w:r>
        <w:t xml:space="preserve">ISO20022</w:t>
      </w:r>
      <w:r>
        <w:t xml:space="preserve"> </w:t>
      </w:r>
      <w:r>
        <w:t xml:space="preserve">messaging</w:t>
      </w:r>
      <w:r>
        <w:t xml:space="preserve"> </w:t>
      </w:r>
      <w:r>
        <w:t xml:space="preserve">standards</w:t>
      </w:r>
      <w:r>
        <w:t xml:space="preserve"> </w:t>
      </w:r>
      <w:r>
        <w:t xml:space="preserve">also</w:t>
      </w:r>
      <w:r>
        <w:t xml:space="preserve"> </w:t>
      </w:r>
      <w:r>
        <w:t xml:space="preserve">prevents</w:t>
      </w:r>
      <w:r>
        <w:t xml:space="preserve"> </w:t>
      </w:r>
      <w:r>
        <w:t xml:space="preserve">further</w:t>
      </w:r>
      <w:r>
        <w:t xml:space="preserve"> </w:t>
      </w:r>
      <w:r>
        <w:t xml:space="preserve">harmonisation</w:t>
      </w:r>
      <w:r>
        <w:t xml:space="preserve"> </w:t>
      </w:r>
      <w:r>
        <w:t xml:space="preserve">of</w:t>
      </w:r>
      <w:r>
        <w:t xml:space="preserve"> </w:t>
      </w:r>
      <w:r>
        <w:t xml:space="preserve">settlement/reconciliation, asset servicing and reporting processes.429 Similar problems mar</w:t>
      </w:r>
      <w:r>
        <w:t xml:space="preserve"> </w:t>
      </w:r>
      <w:r>
        <w:t xml:space="preserve">custody and asset servicing activities, i.e. activities aimed at ensuring that investors receive full</w:t>
      </w:r>
      <w:r>
        <w:t xml:space="preserve"> </w:t>
      </w:r>
      <w:r>
        <w:t xml:space="preserve">information and comprehensive services during the lifetime of their assets. Although the 2017</w:t>
      </w:r>
      <w:r>
        <w:t xml:space="preserve"> </w:t>
      </w:r>
      <w:r>
        <w:t xml:space="preserve">European Post-Trade Forum report indicated significant harmonisation, the 2024 Corporate</w:t>
      </w:r>
      <w:r>
        <w:t xml:space="preserve"> </w:t>
      </w:r>
      <w:r>
        <w:t xml:space="preserve">Events Group Report430 revealed that compliance with the various standards was limited.</w:t>
      </w:r>
      <w:r>
        <w:t xml:space="preserve"> </w:t>
      </w:r>
      <w:r>
        <w:t xml:space="preserve">Specifically, only eight out of 40 markets met the market CA standards, 15 out of 28 markets</w:t>
      </w:r>
      <w:r>
        <w:t xml:space="preserve"> </w:t>
      </w:r>
      <w:r>
        <w:t xml:space="preserve">adhered to the T2S CA standards and ten out of 31 markets complied with the market standards</w:t>
      </w:r>
      <w:r>
        <w:t xml:space="preserve"> </w:t>
      </w:r>
      <w:r>
        <w:t xml:space="preserve">for shareholder identification. For instance, in its public consultation submission431 Deutsche</w:t>
      </w:r>
      <w:r>
        <w:t xml:space="preserve"> </w:t>
      </w:r>
      <w:r>
        <w:t xml:space="preserve">Boerse estimated that around 50% of the cost to process corporate events is spent today by</w:t>
      </w:r>
      <w:r>
        <w:t xml:space="preserve"> </w:t>
      </w:r>
      <w:r>
        <w:t xml:space="preserve">custodians to source the correct information.</w:t>
      </w:r>
      <w:r>
        <w:br/>
      </w:r>
      <w:r>
        <w:t xml:space="preserve">This option is less directly related to facilitating innovation by enabling the use of new</w:t>
      </w:r>
      <w:r>
        <w:t xml:space="preserve"> </w:t>
      </w:r>
      <w:r>
        <w:t xml:space="preserve">technologies, although it would include the possibility of settling transactions in CBDCs once</w:t>
      </w:r>
      <w:r>
        <w:t xml:space="preserve"> </w:t>
      </w:r>
      <w:r>
        <w:t xml:space="preserve">they would become available.</w:t>
      </w:r>
      <w:r>
        <w:t xml:space="preserve"> </w:t>
      </w:r>
      <w:r>
        <w:t xml:space="preserve">This option would help meet the specific objective of enabling further market integration and</w:t>
      </w:r>
      <w:r>
        <w:t xml:space="preserve"> </w:t>
      </w:r>
      <w:r>
        <w:t xml:space="preserve">scale effects by increasing cross-border activity, as it would facilitate cross-border settlement</w:t>
      </w:r>
      <w:r>
        <w:t xml:space="preserve"> </w:t>
      </w:r>
      <w:r>
        <w:t xml:space="preserve">and hence of cross-border trading, reducing barriers and increasing efficiency. By facilitating</w:t>
      </w:r>
      <w:r>
        <w:t xml:space="preserve"> </w:t>
      </w:r>
      <w:r>
        <w:t xml:space="preserve">the settlement of transactions across different Member States and currencies, this option would</w:t>
      </w:r>
      <w:r>
        <w:t xml:space="preserve"> </w:t>
      </w:r>
      <w:r>
        <w:t xml:space="preserve">contribute to a more harmonised and standardised market, which is in line with the broader</w:t>
      </w:r>
      <w:r>
        <w:t xml:space="preserve"> </w:t>
      </w:r>
      <w:r>
        <w:t xml:space="preserve">goals of the SIU. The proposal would also contribute to improving supervision by reducing</w:t>
      </w:r>
      <w:r>
        <w:t xml:space="preserve"> </w:t>
      </w:r>
      <w:r>
        <w:t xml:space="preserve">divergences, as it would promote a standardised and harmonised approach to settlement across</w:t>
      </w:r>
      <w:r>
        <w:t xml:space="preserve"> </w:t>
      </w:r>
      <w:r>
        <w:t xml:space="preserve">the EU. Since CSDs authorised under the DLTPRR would not be required to link with other</w:t>
      </w:r>
      <w:r>
        <w:t xml:space="preserve"> </w:t>
      </w:r>
      <w:r>
        <w:t xml:space="preserve">CSDs (although they would be free to do so, if they so wished), this option would contribute</w:t>
      </w:r>
      <w:r>
        <w:t xml:space="preserve"> </w:t>
      </w:r>
      <w:r>
        <w:t xml:space="preserve">to facilitating the development of new services and technologies.</w:t>
      </w:r>
      <w:r>
        <w:br/>
      </w:r>
      <w:r>
        <w:t xml:space="preserve">The proposal is coherent with the objectives of the SIU, as it would promote a more integrated</w:t>
      </w:r>
      <w:r>
        <w:t xml:space="preserve"> </w:t>
      </w:r>
      <w:r>
        <w:t xml:space="preserve">and efficient EU capital market. By facilitating the settlement of transactions across different</w:t>
      </w:r>
      <w:r>
        <w:t xml:space="preserve"> </w:t>
      </w:r>
      <w:r>
        <w:t xml:space="preserve">EU CSDs and promoting a standardised and harmonised approach to settlement, the proposal</w:t>
      </w:r>
      <w:r>
        <w:t xml:space="preserve"> </w:t>
      </w:r>
      <w:r>
        <w:t xml:space="preserve">would contribute to a more harmonised and standardised market, which is in line with the</w:t>
      </w:r>
      <w:r>
        <w:t xml:space="preserve"> </w:t>
      </w:r>
      <w:r>
        <w:t xml:space="preserve">broader goals of the SIU. Overall, this option would promote market integration and</w:t>
      </w:r>
      <w:r>
        <w:t xml:space="preserve"> </w:t>
      </w:r>
      <w:r>
        <w:t xml:space="preserve">innovation, improve supervision, and increase efficiency in the market, making it a useful step</w:t>
      </w:r>
      <w:r>
        <w:t xml:space="preserve"> </w:t>
      </w:r>
      <w:r>
        <w:t xml:space="preserve">towards achieving the objectives of the package.</w:t>
      </w:r>
      <w:r>
        <w:br/>
      </w:r>
      <w:r>
        <w:t xml:space="preserve">Option 2.5 (CSDR): Increasing transparency</w:t>
      </w:r>
      <w:r>
        <w:t xml:space="preserve"> </w:t>
      </w:r>
      <w:r>
        <w:t xml:space="preserve">By improving transparency and comparability of fees and prices that CSDs charge for their</w:t>
      </w:r>
      <w:r>
        <w:t xml:space="preserve"> </w:t>
      </w:r>
      <w:r>
        <w:t xml:space="preserve">services, and in combination with the other measures (in particular the establishment of links),</w:t>
      </w:r>
      <w:r>
        <w:t xml:space="preserve"> </w:t>
      </w:r>
      <w:r>
        <w:t xml:space="preserve">this option would facilitate competition between CSDs. Since the CSDR already requires CSDs</w:t>
      </w:r>
      <w:r>
        <w:t xml:space="preserve"> </w:t>
      </w:r>
      <w:r>
        <w:t xml:space="preserve">to disclose publicly their fees and prices, the additional administrative costs related to this</w:t>
      </w:r>
    </w:p>
    <w:p>
      <w:pPr>
        <w:pStyle w:val="BodyText"/>
      </w:pPr>
      <w:r>
        <w:t xml:space="preserve">429 “Remaining barriers to integration in securities post-trade services – Issues and Recommendations”, Advisory</w:t>
      </w:r>
      <w:r>
        <w:t xml:space="preserve"> </w:t>
      </w:r>
      <w:r>
        <w:t xml:space="preserve">Group on Market Infrastructures for Securities and Collateral, September 2025.</w:t>
      </w:r>
      <w:r>
        <w:t xml:space="preserve"> </w:t>
      </w:r>
      <w:r>
        <w:t xml:space="preserve">430 See Advisory Group on Market Infrastructures for Securities and Collateral (Ami-Seco), “Corporate Events</w:t>
      </w:r>
      <w:r>
        <w:t xml:space="preserve"> </w:t>
      </w:r>
      <w:r>
        <w:t xml:space="preserve">Compliance Report – 2024 Monitoring Exercise”, ECB, December 2024.</w:t>
      </w:r>
      <w:r>
        <w:t xml:space="preserve"> </w:t>
      </w:r>
      <w:r>
        <w:t xml:space="preserve">431 See Deutsche Börse Group’s response to the European Commission’s call for evidence on the Savings and</w:t>
      </w:r>
      <w:r>
        <w:t xml:space="preserve"> </w:t>
      </w:r>
      <w:r>
        <w:t xml:space="preserve">Investment Union, Section 3.1.1 – Cross-border provision of CSD services and freedom of issuance.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adjusted requirement would be negligible. The majority of respondents to the targeted</w:t>
      </w:r>
      <w:r>
        <w:t xml:space="preserve"> </w:t>
      </w:r>
      <w:r>
        <w:t xml:space="preserve">consultation (in particular banks, markets associations and some NCAs and Finance Ministries</w:t>
      </w:r>
      <w:r>
        <w:t xml:space="preserve"> </w:t>
      </w:r>
      <w:r>
        <w:t xml:space="preserve">from five Member States) agreed that the transparency of settlement pricing and CSD services</w:t>
      </w:r>
      <w:r>
        <w:t xml:space="preserve"> </w:t>
      </w:r>
      <w:r>
        <w:t xml:space="preserve">should be improved, noting that increasing the harmonisation of CSD fee schedules would</w:t>
      </w:r>
      <w:r>
        <w:t xml:space="preserve"> </w:t>
      </w:r>
      <w:r>
        <w:t xml:space="preserve">enhance competition and market efficiency. One CSD, while broadly supporting increased</w:t>
      </w:r>
      <w:r>
        <w:t xml:space="preserve"> </w:t>
      </w:r>
      <w:r>
        <w:t xml:space="preserve">transparency of settlement pricing, cautioned that the introduction of additional reporting</w:t>
      </w:r>
      <w:r>
        <w:t xml:space="preserve"> </w:t>
      </w:r>
      <w:r>
        <w:t xml:space="preserve">requirements should be carefully considered to avoid undue burdens for financial</w:t>
      </w:r>
      <w:r>
        <w:t xml:space="preserve"> </w:t>
      </w:r>
      <w:r>
        <w:t xml:space="preserve">infrastructures. It should however be noted that three CSDs, including two major CSD groups,</w:t>
      </w:r>
      <w:r>
        <w:t xml:space="preserve"> </w:t>
      </w:r>
      <w:r>
        <w:t xml:space="preserve">as well as two NCAs, considered that the requirements on transparency set out in the CSDR</w:t>
      </w:r>
      <w:r>
        <w:t xml:space="preserve"> </w:t>
      </w:r>
      <w:r>
        <w:t xml:space="preserve">are already sufficient.</w:t>
      </w:r>
      <w:r>
        <w:br/>
      </w:r>
      <w:r>
        <w:t xml:space="preserve">In addition, this option would help meet the specific objective of improving supervision, as</w:t>
      </w:r>
      <w:r>
        <w:t xml:space="preserve"> </w:t>
      </w:r>
      <w:r>
        <w:t xml:space="preserve">improved transparency (i.e. reporting) for supervisors would allow them to better monitor and</w:t>
      </w:r>
      <w:r>
        <w:t xml:space="preserve"> </w:t>
      </w:r>
      <w:r>
        <w:t xml:space="preserve">oversee internalised settlement activity and act in case of reduced settlement efficiency of</w:t>
      </w:r>
      <w:r>
        <w:t xml:space="preserve"> </w:t>
      </w:r>
      <w:r>
        <w:t xml:space="preserve">settlement internalisers. This would help promote a more stable and efficient market. It would</w:t>
      </w:r>
      <w:r>
        <w:t xml:space="preserve"> </w:t>
      </w:r>
      <w:r>
        <w:t xml:space="preserve">also help market participants to compare the settlement efficiency of settlement internalisers</w:t>
      </w:r>
      <w:r>
        <w:t xml:space="preserve"> </w:t>
      </w:r>
      <w:r>
        <w:t xml:space="preserve">with that of CSDs. The administrative costs of the transparency requirements for settlement</w:t>
      </w:r>
      <w:r>
        <w:t xml:space="preserve"> </w:t>
      </w:r>
      <w:r>
        <w:t xml:space="preserve">internalisers would be minimal. Many respondents to the public consultation (particularly</w:t>
      </w:r>
      <w:r>
        <w:t xml:space="preserve"> </w:t>
      </w:r>
      <w:r>
        <w:t xml:space="preserve">banks and banking associations, but also some NCAs, Finance Ministries and Central Banks</w:t>
      </w:r>
      <w:r>
        <w:t xml:space="preserve"> </w:t>
      </w:r>
      <w:r>
        <w:t xml:space="preserve">from seven Member States) consider that the current reporting obligation of internalised</w:t>
      </w:r>
      <w:r>
        <w:t xml:space="preserve"> </w:t>
      </w:r>
      <w:r>
        <w:t xml:space="preserve">settlement already allows for an accurate identification of the risks stemming from settlement</w:t>
      </w:r>
      <w:r>
        <w:t xml:space="preserve"> </w:t>
      </w:r>
      <w:r>
        <w:t xml:space="preserve">outside of a CSD, and considered that imposing additional obligations on settlement</w:t>
      </w:r>
      <w:r>
        <w:t xml:space="preserve"> </w:t>
      </w:r>
      <w:r>
        <w:t xml:space="preserve">internalisers too burdensome and not sufficiently justified. However, it should be noted that</w:t>
      </w:r>
      <w:r>
        <w:t xml:space="preserve"> </w:t>
      </w:r>
      <w:r>
        <w:t xml:space="preserve">several other NCAs and Ministries of Finance from six Member States as well as market</w:t>
      </w:r>
      <w:r>
        <w:t xml:space="preserve"> </w:t>
      </w:r>
      <w:r>
        <w:t xml:space="preserve">infrastructures and financial market associations noted the lack of sufficient knowledge on the</w:t>
      </w:r>
      <w:r>
        <w:t xml:space="preserve"> </w:t>
      </w:r>
      <w:r>
        <w:t xml:space="preserve">risks that could stem from settlement internalisation, notably in terms of concentration risk,</w:t>
      </w:r>
      <w:r>
        <w:t xml:space="preserve"> </w:t>
      </w:r>
      <w:r>
        <w:t xml:space="preserve">and the absence of a level playing field between settlement internalisers and CSDs. These</w:t>
      </w:r>
      <w:r>
        <w:t xml:space="preserve"> </w:t>
      </w:r>
      <w:r>
        <w:t xml:space="preserve">respondents advocated for a more detailed reporting by settlement internalisers (or at least for</w:t>
      </w:r>
      <w:r>
        <w:t xml:space="preserve"> </w:t>
      </w:r>
      <w:r>
        <w:t xml:space="preserve">those with very high volumes of activities) and/or the publication of information by</w:t>
      </w:r>
      <w:r>
        <w:t xml:space="preserve"> </w:t>
      </w:r>
      <w:r>
        <w:t xml:space="preserve">internalisers on their activities, including settlement fail rates.</w:t>
      </w:r>
      <w:r>
        <w:br/>
      </w:r>
      <w:r>
        <w:t xml:space="preserve">Reducing the burden for CSDs to provide cross-border services, imposing a hub and spoke</w:t>
      </w:r>
      <w:r>
        <w:t xml:space="preserve"> </w:t>
      </w:r>
      <w:r>
        <w:t xml:space="preserve">model for the settlement landscape and promoting the use of T2S will have the combined effect</w:t>
      </w:r>
      <w:r>
        <w:t xml:space="preserve"> </w:t>
      </w:r>
      <w:r>
        <w:t xml:space="preserve">of decreasing existing frictions in cross-border settlement operations and make for a more</w:t>
      </w:r>
      <w:r>
        <w:t xml:space="preserve"> </w:t>
      </w:r>
      <w:r>
        <w:t xml:space="preserve">interconnected settlement network in the EU. This will have implications for the transparency</w:t>
      </w:r>
      <w:r>
        <w:t xml:space="preserve"> </w:t>
      </w:r>
      <w:r>
        <w:t xml:space="preserve">of settlement as there will be a decreased need for settlement internalisers to fill in the gaps</w:t>
      </w:r>
      <w:r>
        <w:t xml:space="preserve"> </w:t>
      </w:r>
      <w:r>
        <w:t xml:space="preserve">inherent in the current fragmented settlement landscape. A decreased need for the services of</w:t>
      </w:r>
      <w:r>
        <w:t xml:space="preserve"> </w:t>
      </w:r>
      <w:r>
        <w:t xml:space="preserve">settlement internalisers would increase settlement done directly in CSDs, which would allow</w:t>
      </w:r>
      <w:r>
        <w:t xml:space="preserve"> </w:t>
      </w:r>
      <w:r>
        <w:t xml:space="preserve">these infrastructures to reap further benefits from economies of scale leading ultimately to</w:t>
      </w:r>
      <w:r>
        <w:t xml:space="preserve"> </w:t>
      </w:r>
      <w:r>
        <w:t xml:space="preserve">lower costs for CSD participants and end investors.</w:t>
      </w:r>
      <w:r>
        <w:t xml:space="preserve"> </w:t>
      </w:r>
      <w:r>
        <w:t xml:space="preserve">This option is coherent with the objectives of the SIU, as it would to promote a more integrated,</w:t>
      </w:r>
      <w:r>
        <w:t xml:space="preserve"> </w:t>
      </w:r>
      <w:r>
        <w:t xml:space="preserve">efficient, and transparent EU capital market. By increasing transparency, this option would</w:t>
      </w:r>
      <w:r>
        <w:t xml:space="preserve"> </w:t>
      </w:r>
      <w:r>
        <w:t xml:space="preserve">contribute to a more harmonised and standardised information on CSD fees and services, which</w:t>
      </w:r>
      <w:r>
        <w:t xml:space="preserve"> </w:t>
      </w:r>
      <w:r>
        <w:t xml:space="preserve">is in line with the broader goals of the SIU. Overall, this proposal would promote more effective</w:t>
      </w:r>
      <w:r>
        <w:t xml:space="preserve"> </w:t>
      </w:r>
      <w:r>
        <w:t xml:space="preserve">supervision and further market integration, making it a useful step towards achieving the</w:t>
      </w:r>
      <w:r>
        <w:t xml:space="preserve"> </w:t>
      </w:r>
      <w:r>
        <w:t xml:space="preserve">objectives of the package.</w:t>
      </w:r>
    </w:p>
    <w:p>
      <w:pPr>
        <w:pStyle w:val="BodyText"/>
      </w:pPr>
      <w:r>
        <w:t xml:space="preserve">258</w:t>
      </w:r>
      <w:r>
        <w:t xml:space="preserve"> </w:t>
      </w:r>
      <w:r>
        <w:t xml:space="preserve">Option 2.6 (CSDR): Legal certainty</w:t>
      </w:r>
      <w:r>
        <w:t xml:space="preserve"> </w:t>
      </w:r>
      <w:r>
        <w:t xml:space="preserve">This option would help meet the specific objective of facilitating innovation by enabling the</w:t>
      </w:r>
      <w:r>
        <w:t xml:space="preserve"> </w:t>
      </w:r>
      <w:r>
        <w:t xml:space="preserve">use of DLT, as it would provide legal certainty on the application of that technology in the</w:t>
      </w:r>
      <w:r>
        <w:t xml:space="preserve"> </w:t>
      </w:r>
      <w:r>
        <w:t xml:space="preserve">context of securities settlement and post-trade activities more in general. The proposal would</w:t>
      </w:r>
      <w:r>
        <w:t xml:space="preserve"> </w:t>
      </w:r>
      <w:r>
        <w:t xml:space="preserve">also contribute to improving supervision by reducing divergences, as it would help to ensure</w:t>
      </w:r>
      <w:r>
        <w:t xml:space="preserve"> </w:t>
      </w:r>
      <w:r>
        <w:t xml:space="preserve">consistency in the application of the rules across different Member States and technologies.</w:t>
      </w:r>
      <w:r>
        <w:t xml:space="preserve"> </w:t>
      </w:r>
      <w:r>
        <w:t xml:space="preserve">This would ensure that CSDs have clarity that they can also provide services using DLT under</w:t>
      </w:r>
      <w:r>
        <w:t xml:space="preserve"> </w:t>
      </w:r>
      <w:r>
        <w:t xml:space="preserve">the CSDR, facilitating the use of new technologies in the provision of services by CSDs under</w:t>
      </w:r>
      <w:r>
        <w:t xml:space="preserve"> </w:t>
      </w:r>
      <w:r>
        <w:t xml:space="preserve">the CSDR and innovation. This would allow the DLTPRR be able to focus on its core aim to</w:t>
      </w:r>
      <w:r>
        <w:t xml:space="preserve"> </w:t>
      </w:r>
      <w:r>
        <w:t xml:space="preserve">enable innovation and the testing of new innovative post-trade structures and would facilitate</w:t>
      </w:r>
      <w:r>
        <w:t xml:space="preserve"> </w:t>
      </w:r>
      <w:r>
        <w:t xml:space="preserve">a smooth transition (where this is opted for by a DLTPRR participant) into the CSDR regime.</w:t>
      </w:r>
      <w:r>
        <w:br/>
      </w:r>
      <w:r>
        <w:t xml:space="preserve">To improve the compatibility of the CSDR with DLT is generally supported by a wide range of</w:t>
      </w:r>
      <w:r>
        <w:t xml:space="preserve"> </w:t>
      </w:r>
      <w:r>
        <w:t xml:space="preserve">respondents to the targeted consultation. One example of this is the technological neutrality of</w:t>
      </w:r>
      <w:r>
        <w:t xml:space="preserve"> </w:t>
      </w:r>
      <w:r>
        <w:t xml:space="preserve">the definition ‘central securities depository’ that was labelled as a “strong concern” or “rather</w:t>
      </w:r>
      <w:r>
        <w:t xml:space="preserve"> </w:t>
      </w:r>
      <w:r>
        <w:t xml:space="preserve">a concern”. Respondents justified the need for clarity to ensure how this, and other terms</w:t>
      </w:r>
      <w:r>
        <w:t xml:space="preserve"> </w:t>
      </w:r>
      <w:r>
        <w:t xml:space="preserve">(“accounts”, “book entry” or “dematerialised form”) would apply in a DLT environment.</w:t>
      </w:r>
      <w:r>
        <w:t xml:space="preserve"> </w:t>
      </w:r>
      <w:r>
        <w:t xml:space="preserve">Respondents also viewed improving the technological neutrality of CSDR as the most efficient</w:t>
      </w:r>
      <w:r>
        <w:t xml:space="preserve"> </w:t>
      </w:r>
      <w:r>
        <w:t xml:space="preserve">legislative path to integrating DLT securities into the single market.</w:t>
      </w:r>
      <w:r>
        <w:br/>
      </w:r>
      <w:r>
        <w:t xml:space="preserve">In terms of costs, clarity on the application of the CSDR would reduce costs for CSDs seeking</w:t>
      </w:r>
      <w:r>
        <w:t xml:space="preserve"> </w:t>
      </w:r>
      <w:r>
        <w:t xml:space="preserve">to provide DLT-based services as they would not need to seek as much legal advice as is</w:t>
      </w:r>
      <w:r>
        <w:t xml:space="preserve"> </w:t>
      </w:r>
      <w:r>
        <w:t xml:space="preserve">currently the case. In terms of costs for market participants, such as issuers and investors, clarity</w:t>
      </w:r>
      <w:r>
        <w:t xml:space="preserve"> </w:t>
      </w:r>
      <w:r>
        <w:t xml:space="preserve">will also reduce implementation costs. The reduction in costs should be particularly marked for</w:t>
      </w:r>
      <w:r>
        <w:t xml:space="preserve"> </w:t>
      </w:r>
      <w:r>
        <w:t xml:space="preserve">issuers of DLT-based securities and providers of DLT-based services, as they would not need</w:t>
      </w:r>
      <w:r>
        <w:t xml:space="preserve"> </w:t>
      </w:r>
      <w:r>
        <w:t xml:space="preserve">to seek as many legal opinions to ascertain if their activities are in line with the different</w:t>
      </w:r>
      <w:r>
        <w:t xml:space="preserve"> </w:t>
      </w:r>
      <w:r>
        <w:t xml:space="preserve">national laws. This would, in turn, reduce costs for the clients of those providers. No new costs</w:t>
      </w:r>
      <w:r>
        <w:t xml:space="preserve"> </w:t>
      </w:r>
      <w:r>
        <w:t xml:space="preserve">related to this option were identified in the targeted consultation.</w:t>
      </w:r>
      <w:r>
        <w:t xml:space="preserve"> </w:t>
      </w:r>
      <w:r>
        <w:t xml:space="preserve">This option would also provide further clarity on how conventional CSDs could provide DLT-</w:t>
      </w:r>
      <w:r>
        <w:t xml:space="preserve"> </w:t>
      </w:r>
      <w:r>
        <w:t xml:space="preserve">based services under the CSDR. It would also provide CSDs initially authorised under the</w:t>
      </w:r>
      <w:r>
        <w:t xml:space="preserve"> </w:t>
      </w:r>
      <w:r>
        <w:t xml:space="preserve">DLTPRR with a smoother path to compliance with the full requirements of the CSDR if they</w:t>
      </w:r>
      <w:r>
        <w:t xml:space="preserve"> </w:t>
      </w:r>
      <w:r>
        <w:t xml:space="preserve">wished to scale up their activities beyond the limits provided under the DLTPRR.</w:t>
      </w:r>
      <w:r>
        <w:t xml:space="preserve"> </w:t>
      </w:r>
      <w:r>
        <w:t xml:space="preserve">This option would be also coherent with the objectives of the SIU pertaining to the promotion</w:t>
      </w:r>
      <w:r>
        <w:t xml:space="preserve"> </w:t>
      </w:r>
      <w:r>
        <w:t xml:space="preserve">of innovation as well as the objectives of the broader Digital Strategy, by promoting a more</w:t>
      </w:r>
      <w:r>
        <w:t xml:space="preserve"> </w:t>
      </w:r>
      <w:r>
        <w:t xml:space="preserve">efficient, and innovative EU capital market and would ensure consistency and complementarity</w:t>
      </w:r>
      <w:r>
        <w:t xml:space="preserve"> </w:t>
      </w:r>
      <w:r>
        <w:t xml:space="preserve">of the CSDR with the DLTPRR as the scope and objectives of the two Regulations differ, but</w:t>
      </w:r>
      <w:r>
        <w:t xml:space="preserve"> </w:t>
      </w:r>
      <w:r>
        <w:t xml:space="preserve">complement each other as in the medium to long run, firms under the DLTPRR would be able</w:t>
      </w:r>
      <w:r>
        <w:t xml:space="preserve"> </w:t>
      </w:r>
      <w:r>
        <w:t xml:space="preserve">to scale-up by moving to the broader CSDR regime. By providing legal certainty and clarity</w:t>
      </w:r>
      <w:r>
        <w:t xml:space="preserve"> </w:t>
      </w:r>
      <w:r>
        <w:t xml:space="preserve">on the application of DLT, this option would help to promote the development of new financial</w:t>
      </w:r>
      <w:r>
        <w:t xml:space="preserve"> </w:t>
      </w:r>
      <w:r>
        <w:t xml:space="preserve">products and services and would contribute to a more competitive and innovative market.</w:t>
      </w:r>
      <w:r>
        <w:t xml:space="preserve"> </w:t>
      </w:r>
      <w:r>
        <w:t xml:space="preserve">Overall, this option would promote innovation, and facilitate more effective supervision,</w:t>
      </w:r>
      <w:r>
        <w:t xml:space="preserve"> </w:t>
      </w:r>
      <w:r>
        <w:t xml:space="preserve">making it a useful step towards achieving the objectives of the package.</w:t>
      </w:r>
      <w:r>
        <w:t xml:space="preserve"> </w:t>
      </w:r>
      <w:r>
        <w:t xml:space="preserve">This option would, however, at least initially, contribute to further fragmentation of the CSD</w:t>
      </w:r>
      <w:r>
        <w:t xml:space="preserve"> </w:t>
      </w:r>
      <w:r>
        <w:t xml:space="preserve">landscape by facilitating the authorisation of new entrants operating with a technology not</w:t>
      </w:r>
      <w:r>
        <w:t xml:space="preserve"> </w:t>
      </w:r>
      <w:r>
        <w:t xml:space="preserve">directly compatible with the other CSDs’ technology. This could lead to additional costs for</w:t>
      </w:r>
      <w:r>
        <w:t xml:space="preserve"> </w:t>
      </w:r>
      <w:r>
        <w:t xml:space="preserve">financial intermediaries, including brokers, dealers or settlement agent as they would need to</w:t>
      </w:r>
      <w:r>
        <w:t xml:space="preserve"> </w:t>
      </w:r>
      <w:r>
        <w:t xml:space="preserve">invest in specific operational features in order to connect to these new CSDs.</w:t>
      </w:r>
    </w:p>
    <w:p>
      <w:pPr>
        <w:pStyle w:val="BodyText"/>
      </w:pPr>
      <w:r>
        <w:t xml:space="preserve">259</w:t>
      </w:r>
      <w:r>
        <w:t xml:space="preserve"> </w:t>
      </w:r>
      <w:r>
        <w:t xml:space="preserve">6.1.3. Option 3 (CSDR) – Extensive review to impose an integrated market</w:t>
      </w:r>
    </w:p>
    <w:p>
      <w:pPr>
        <w:pStyle w:val="BodyText"/>
      </w:pPr>
      <w:r>
        <w:t xml:space="preserve">Option 3.1 (CSDR): Ensuring freedom of issuance and facilitating passporting and the cross-</w:t>
      </w:r>
      <w:r>
        <w:t xml:space="preserve"> </w:t>
      </w:r>
      <w:r>
        <w:t xml:space="preserve">border provision of services</w:t>
      </w:r>
      <w:r>
        <w:t xml:space="preserve"> </w:t>
      </w:r>
      <w:r>
        <w:t xml:space="preserve">By removing barriers to freedom of issuance and facilitating passporting and the cross-border</w:t>
      </w:r>
      <w:r>
        <w:t xml:space="preserve"> </w:t>
      </w:r>
      <w:r>
        <w:t xml:space="preserve">provision of services this option would help meet the specific objective of enabling further</w:t>
      </w:r>
      <w:r>
        <w:t xml:space="preserve"> </w:t>
      </w:r>
      <w:r>
        <w:t xml:space="preserve">market integration and scale effects by increasing cross-border activity, as it would reduce</w:t>
      </w:r>
      <w:r>
        <w:t xml:space="preserve"> </w:t>
      </w:r>
      <w:r>
        <w:t xml:space="preserve">barriers to entry and allow CSDs to operate more easily across borders.</w:t>
      </w:r>
      <w:r>
        <w:br/>
      </w:r>
      <w:r>
        <w:t xml:space="preserve">In their replies to the targeted consultation, several stakeholders (including CSDs and national</w:t>
      </w:r>
      <w:r>
        <w:t xml:space="preserve"> </w:t>
      </w:r>
      <w:r>
        <w:t xml:space="preserve">authorities) highlighted that the complex passporting processes entail high costs for CSDs,</w:t>
      </w:r>
      <w:r>
        <w:t xml:space="preserve"> </w:t>
      </w:r>
      <w:r>
        <w:t xml:space="preserve">particularly in terms of administrative burden, as well as legal analysis and compliance costs.</w:t>
      </w:r>
      <w:r>
        <w:t xml:space="preserve"> </w:t>
      </w:r>
      <w:r>
        <w:t xml:space="preserve">Some respondents have also evidenced that there are costs due to missed opportunities where</w:t>
      </w:r>
      <w:r>
        <w:t xml:space="preserve"> </w:t>
      </w:r>
      <w:r>
        <w:t xml:space="preserve">there is demand for cross-border issuance. Moreover, several stakeholders noted that</w:t>
      </w:r>
      <w:r>
        <w:t xml:space="preserve"> </w:t>
      </w:r>
      <w:r>
        <w:t xml:space="preserve">fragmentation at the CSD level results in increased and persistent costs for end-investors.432</w:t>
      </w:r>
      <w:r>
        <w:br/>
      </w:r>
      <w:r>
        <w:t xml:space="preserve">On the other hand, it should be noted that some stakeholders (including a few national</w:t>
      </w:r>
      <w:r>
        <w:t xml:space="preserve"> </w:t>
      </w:r>
      <w:r>
        <w:t xml:space="preserve">authorities) denied having identified any regulatory or supervisory barriers to freedom of</w:t>
      </w:r>
      <w:r>
        <w:t xml:space="preserve"> </w:t>
      </w:r>
      <w:r>
        <w:t xml:space="preserve">issuance and provision of cross-border services in the EU, albeit some (notably CSDs), while</w:t>
      </w:r>
      <w:r>
        <w:t xml:space="preserve"> </w:t>
      </w:r>
      <w:r>
        <w:t xml:space="preserve">denying formal barriers, evidenced that practical challenges and compliance costs remain for</w:t>
      </w:r>
      <w:r>
        <w:t xml:space="preserve"> </w:t>
      </w:r>
      <w:r>
        <w:t xml:space="preserve">CSDs, due to the costly assessments needed for passporting caused by the fragmentation of</w:t>
      </w:r>
      <w:r>
        <w:t xml:space="preserve"> </w:t>
      </w:r>
      <w:r>
        <w:t xml:space="preserve">Member States requirements, including divergent interpretations of the relevant CSDR</w:t>
      </w:r>
      <w:r>
        <w:t xml:space="preserve"> </w:t>
      </w:r>
      <w:r>
        <w:t xml:space="preserve">provisions. Simultaneously, CSDs report disproportionate length and costs of the passporting</w:t>
      </w:r>
      <w:r>
        <w:t xml:space="preserve"> </w:t>
      </w:r>
      <w:r>
        <w:t xml:space="preserve">process, citing administrative burden, supplementary reporting requirements, transparency</w:t>
      </w:r>
      <w:r>
        <w:t xml:space="preserve"> </w:t>
      </w:r>
      <w:r>
        <w:t xml:space="preserve">issues and unpredictability with regard to the costs of applying the passport.433</w:t>
      </w:r>
      <w:r>
        <w:br/>
      </w:r>
      <w:r>
        <w:t xml:space="preserve">Generally, respondents to the targeted consultation did not seem to envisage that any costs</w:t>
      </w:r>
      <w:r>
        <w:t xml:space="preserve"> </w:t>
      </w:r>
      <w:r>
        <w:t xml:space="preserve">could stem from a simplification of the passporting procedure or the enhancement of the</w:t>
      </w:r>
      <w:r>
        <w:t xml:space="preserve"> </w:t>
      </w:r>
      <w:r>
        <w:t xml:space="preserve">freedom of issuance in the EU.</w:t>
      </w:r>
      <w:r>
        <w:br/>
      </w:r>
      <w:r>
        <w:t xml:space="preserve">However, this option would also raise several concerns. For example, removing all additional</w:t>
      </w:r>
      <w:r>
        <w:t xml:space="preserve"> </w:t>
      </w:r>
      <w:r>
        <w:t xml:space="preserve">requirements and notifications with respect to passporting could lead to a lack of transparency</w:t>
      </w:r>
      <w:r>
        <w:t xml:space="preserve"> </w:t>
      </w:r>
      <w:r>
        <w:t xml:space="preserve">and accountability, as the home authority would not be notified of the intention to provide</w:t>
      </w:r>
      <w:r>
        <w:t xml:space="preserve"> </w:t>
      </w:r>
      <w:r>
        <w:t xml:space="preserve">cross-border notary and central maintenance services by the CSD. Host Member States would</w:t>
      </w:r>
      <w:r>
        <w:t xml:space="preserve"> </w:t>
      </w:r>
      <w:r>
        <w:t xml:space="preserve">also not be notified and would hence have limited oversight and control over the CSD’s</w:t>
      </w:r>
      <w:r>
        <w:t xml:space="preserve"> </w:t>
      </w:r>
      <w:r>
        <w:t xml:space="preserve">activities. The concerns would remain relevant also in the context of EU single supervision, as</w:t>
      </w:r>
      <w:r>
        <w:t xml:space="preserve"> </w:t>
      </w:r>
      <w:r>
        <w:t xml:space="preserve">in the absence of a passporting notification the single EU supervisor would have less visibility</w:t>
      </w:r>
      <w:r>
        <w:t xml:space="preserve"> </w:t>
      </w:r>
      <w:r>
        <w:t xml:space="preserve">on the cross-border activities of the CSDs it supervises. Hence, while integrating the market,</w:t>
      </w:r>
      <w:r>
        <w:t xml:space="preserve"> </w:t>
      </w:r>
      <w:r>
        <w:t xml:space="preserve">this option would also present potential risks to financial stability as well as in ensuring</w:t>
      </w:r>
      <w:r>
        <w:t xml:space="preserve"> </w:t>
      </w:r>
      <w:r>
        <w:t xml:space="preserve">compliance with national and EU law.</w:t>
      </w:r>
      <w:r>
        <w:t xml:space="preserve"> </w:t>
      </w:r>
      <w:r>
        <w:t xml:space="preserve">Overall, while this option would promote freedom of issuance and facilitate passporting and</w:t>
      </w:r>
      <w:r>
        <w:t xml:space="preserve"> </w:t>
      </w:r>
      <w:r>
        <w:t xml:space="preserve">the cross-border provision of services, it would also raise significant concerns. As such, it</w:t>
      </w:r>
    </w:p>
    <w:p>
      <w:pPr>
        <w:pStyle w:val="BodyText"/>
      </w:pPr>
      <w:r>
        <w:t xml:space="preserve">432 “Study on consolidation and reducing fragmentation in trading and post-trading infrastructures in Europe”,</w:t>
      </w:r>
      <w:r>
        <w:t xml:space="preserve"> </w:t>
      </w:r>
      <w:r>
        <w:t xml:space="preserve">Final Report, Bourse Consult &amp; Civitta, September 2025:</w:t>
      </w:r>
      <w:r>
        <w:br/>
      </w:r>
      <w:r>
        <w:t xml:space="preserve">https://op.europa.eu/en/publication/doi/10.2874/2649452 .</w:t>
      </w:r>
      <w:r>
        <w:t xml:space="preserve"> </w:t>
      </w:r>
      <w:r>
        <w:t xml:space="preserve">433 “Provision of cross-border services by CSDs and handling of applications under Article 23 of CSDR from</w:t>
      </w:r>
      <w:r>
        <w:t xml:space="preserve"> </w:t>
      </w:r>
      <w:r>
        <w:t xml:space="preserve">2020 to 2022”, European Securities and Markets Authority. See paragraphs 176 and 177.</w:t>
      </w:r>
    </w:p>
    <w:p>
      <w:pPr>
        <w:pStyle w:val="BodyText"/>
      </w:pPr>
      <w:r>
        <w:t xml:space="preserve">260</w:t>
      </w:r>
      <w:r>
        <w:t xml:space="preserve"> </w:t>
      </w:r>
      <w:r>
        <w:t xml:space="preserve">would not be coherent with the objectives of the SIU, which aims to promote an efficient and</w:t>
      </w:r>
      <w:r>
        <w:t xml:space="preserve"> </w:t>
      </w:r>
      <w:r>
        <w:t xml:space="preserve">integrated EU financial system, while preserving financial stability.</w:t>
      </w:r>
      <w:r>
        <w:br/>
      </w:r>
      <w:r>
        <w:t xml:space="preserve">Option 3.2 (CSDR): Supporting outsourcing</w:t>
      </w:r>
      <w:r>
        <w:t xml:space="preserve"> </w:t>
      </w:r>
      <w:r>
        <w:t xml:space="preserve">This option would eliminate costs related to procedures for outsourcing CSD services to entities</w:t>
      </w:r>
      <w:r>
        <w:t xml:space="preserve"> </w:t>
      </w:r>
      <w:r>
        <w:t xml:space="preserve">within the same group, by removing any requirements related to such outsourcing. It would</w:t>
      </w:r>
      <w:r>
        <w:t xml:space="preserve"> </w:t>
      </w:r>
      <w:r>
        <w:t xml:space="preserve">also reduce costs for CSDs outsourcing their services to third parties (i.e. entities outside the</w:t>
      </w:r>
      <w:r>
        <w:t xml:space="preserve"> </w:t>
      </w:r>
      <w:r>
        <w:t xml:space="preserve">CSD’s group) by simplifying and harmonising the related procedures. Similarly to Option 2,</w:t>
      </w:r>
      <w:r>
        <w:t xml:space="preserve"> </w:t>
      </w:r>
      <w:r>
        <w:t xml:space="preserve">by explicitly addressing the use of DLT and aiming to provide clarity on its application, this</w:t>
      </w:r>
      <w:r>
        <w:t xml:space="preserve"> </w:t>
      </w:r>
      <w:r>
        <w:t xml:space="preserve">option would also facilitate innovation. Nevertheless, the legal and governance issues covered</w:t>
      </w:r>
      <w:r>
        <w:t xml:space="preserve"> </w:t>
      </w:r>
      <w:r>
        <w:t xml:space="preserve">by Article 30 would still need to be covered by regulatory requirements as long as they are</w:t>
      </w:r>
      <w:r>
        <w:t xml:space="preserve"> </w:t>
      </w:r>
      <w:r>
        <w:t xml:space="preserve">provided by different legal entities, even within the same group, and especially if these include</w:t>
      </w:r>
      <w:r>
        <w:t xml:space="preserve"> </w:t>
      </w:r>
      <w:r>
        <w:t xml:space="preserve">non-regulated entities or non-EU entities.</w:t>
      </w:r>
      <w:r>
        <w:t xml:space="preserve"> </w:t>
      </w:r>
      <w:r>
        <w:t xml:space="preserve">A simplification of the rules on outsourcing was generally supported by CSDs who responded</w:t>
      </w:r>
      <w:r>
        <w:t xml:space="preserve"> </w:t>
      </w:r>
      <w:r>
        <w:t xml:space="preserve">to the targeted consultation and who highlighted that the current outsourcing framework is</w:t>
      </w:r>
      <w:r>
        <w:t xml:space="preserve"> </w:t>
      </w:r>
      <w:r>
        <w:t xml:space="preserve">overly burdensome, particularly with respect to the rules on staff sharing among CSDs</w:t>
      </w:r>
      <w:r>
        <w:t xml:space="preserve"> </w:t>
      </w:r>
      <w:r>
        <w:t xml:space="preserve">belonging to the same group. Generally, respondents to the targeted consultation did not seem</w:t>
      </w:r>
      <w:r>
        <w:t xml:space="preserve"> </w:t>
      </w:r>
      <w:r>
        <w:t xml:space="preserve">to envisage any costs stemming from the clarification of outsourcing requirements. Moreover,</w:t>
      </w:r>
      <w:r>
        <w:t xml:space="preserve"> </w:t>
      </w:r>
      <w:r>
        <w:t xml:space="preserve">the simplification of outsourcing procedures with respect to intra-group outsourcing should not</w:t>
      </w:r>
      <w:r>
        <w:t xml:space="preserve"> </w:t>
      </w:r>
      <w:r>
        <w:t xml:space="preserve">entail additional costs for stakeholders. It should however be noted that a small number of</w:t>
      </w:r>
      <w:r>
        <w:t xml:space="preserve"> </w:t>
      </w:r>
      <w:r>
        <w:t xml:space="preserve">national competent authorities who responded to the targeted consultation considered that the</w:t>
      </w:r>
      <w:r>
        <w:t xml:space="preserve"> </w:t>
      </w:r>
      <w:r>
        <w:t xml:space="preserve">current approval processes under the CSDR remains appropriate, as the framework correctly</w:t>
      </w:r>
      <w:r>
        <w:t xml:space="preserve"> </w:t>
      </w:r>
      <w:r>
        <w:t xml:space="preserve">caters for the relevant risks, with one authority cautioning, for example, on the risk of empty</w:t>
      </w:r>
      <w:r>
        <w:t xml:space="preserve"> </w:t>
      </w:r>
      <w:r>
        <w:t xml:space="preserve">corporate shells emerging and the corresponding risks to business continuity. As such, those</w:t>
      </w:r>
      <w:r>
        <w:t xml:space="preserve"> </w:t>
      </w:r>
      <w:r>
        <w:t xml:space="preserve">authorities indicated that no changes are therefore necessary.</w:t>
      </w:r>
      <w:r>
        <w:br/>
      </w:r>
      <w:r>
        <w:t xml:space="preserve">In terms of alignment with the specific objectives of the package, this option would help enable</w:t>
      </w:r>
      <w:r>
        <w:t xml:space="preserve"> </w:t>
      </w:r>
      <w:r>
        <w:t xml:space="preserve">further market integration and scale effects by allowing CSDs to more efficiently outsource</w:t>
      </w:r>
      <w:r>
        <w:t xml:space="preserve"> </w:t>
      </w:r>
      <w:r>
        <w:t xml:space="preserve">activities within their group, potentially leading to cost savings and increased competitiveness.</w:t>
      </w:r>
      <w:r>
        <w:t xml:space="preserve"> </w:t>
      </w:r>
      <w:r>
        <w:t xml:space="preserve">It is estimated434 that savings, in terms of staff sharing and implementation of shared platforms,</w:t>
      </w:r>
      <w:r>
        <w:t xml:space="preserve"> </w:t>
      </w:r>
      <w:r>
        <w:t xml:space="preserve">could reduce CSD costs by up to 15%. However, removing any requirements for outsourcing</w:t>
      </w:r>
      <w:r>
        <w:t xml:space="preserve"> </w:t>
      </w:r>
      <w:r>
        <w:t xml:space="preserve">core CSDs activities within groups could endanger the robustness of the CSDs and hence have</w:t>
      </w:r>
      <w:r>
        <w:t xml:space="preserve"> </w:t>
      </w:r>
      <w:r>
        <w:t xml:space="preserve">negative impacts on financial stability. Moreover, respondents to the targeted consultation did</w:t>
      </w:r>
      <w:r>
        <w:t xml:space="preserve"> </w:t>
      </w:r>
      <w:r>
        <w:t xml:space="preserve">not seem to advocate for the removal of all requirements with respect to intra-group</w:t>
      </w:r>
      <w:r>
        <w:t xml:space="preserve"> </w:t>
      </w:r>
      <w:r>
        <w:t xml:space="preserve">outsourcing under the CSDR, also in light of the risks that need to be taken into account, as</w:t>
      </w:r>
      <w:r>
        <w:t xml:space="preserve"> </w:t>
      </w:r>
      <w:r>
        <w:t xml:space="preserve">highlighted by some of the NCAs’ responses. In light of this, the solution proposed under option</w:t>
      </w:r>
      <w:r>
        <w:t xml:space="preserve"> </w:t>
      </w:r>
      <w:r>
        <w:t xml:space="preserve">2 would provide a more balanced approach.</w:t>
      </w:r>
      <w:r>
        <w:t xml:space="preserve"> </w:t>
      </w:r>
      <w:r>
        <w:t xml:space="preserve">The proposal is aligned with the objective of facilitating innovation by enabling the use of DLT.</w:t>
      </w:r>
      <w:r>
        <w:t xml:space="preserve"> </w:t>
      </w:r>
      <w:r>
        <w:t xml:space="preserve">Overall, this option is only partially coherent with the objectives of the SIU, as it would</w:t>
      </w:r>
      <w:r>
        <w:t xml:space="preserve"> </w:t>
      </w:r>
      <w:r>
        <w:t xml:space="preserve">promote efficiency, competitiveness, and innovation in the industry, but would not necessarily</w:t>
      </w:r>
      <w:r>
        <w:t xml:space="preserve"> </w:t>
      </w:r>
      <w:r>
        <w:t xml:space="preserve">ensure financial stability. By simplifying the outsourcing procedure and providing clarity on</w:t>
      </w:r>
      <w:r>
        <w:t xml:space="preserve"> </w:t>
      </w:r>
      <w:r>
        <w:t xml:space="preserve">the use of new technologies like DLT, the proposal could be a useful step towards achieving</w:t>
      </w:r>
      <w:r>
        <w:t xml:space="preserve"> </w:t>
      </w:r>
      <w:r>
        <w:t xml:space="preserve">the broader goals of the SIU.</w:t>
      </w:r>
    </w:p>
    <w:p>
      <w:pPr>
        <w:pStyle w:val="BodyText"/>
      </w:pPr>
      <w:r>
        <w:t xml:space="preserve">434 Confidential submission by an FMI conglomerate to DG FISMA services.</w:t>
      </w:r>
    </w:p>
    <w:p>
      <w:pPr>
        <w:pStyle w:val="BodyText"/>
      </w:pPr>
      <w:r>
        <w:t xml:space="preserve">261</w:t>
      </w:r>
      <w:r>
        <w:t xml:space="preserve"> </w:t>
      </w:r>
      <w:r>
        <w:t xml:space="preserve">Option 3.3 (CSDR): Cash settlement</w:t>
      </w:r>
      <w:r>
        <w:t xml:space="preserve"> </w:t>
      </w:r>
      <w:r>
        <w:t xml:space="preserve">EMTs under MiCA represent a highly resilient and programmable form of on-chain money,</w:t>
      </w:r>
      <w:r>
        <w:t xml:space="preserve"> </w:t>
      </w:r>
      <w:r>
        <w:t xml:space="preserve">suitable for settlement and collateral purposes in tokenized markets. Current frameworks</w:t>
      </w:r>
      <w:r>
        <w:t xml:space="preserve"> </w:t>
      </w:r>
      <w:r>
        <w:t xml:space="preserve">(CSDR, DLTPR) artificially restrict the use of EMTs by requiring issuer-bank status, excluding</w:t>
      </w:r>
      <w:r>
        <w:t xml:space="preserve"> </w:t>
      </w:r>
      <w:r>
        <w:t xml:space="preserve">most EMIs This option would help meet the specific objective of facilitating innovation by</w:t>
      </w:r>
      <w:r>
        <w:t xml:space="preserve"> </w:t>
      </w:r>
      <w:r>
        <w:t xml:space="preserve">enabling the use of DLT, as it would allow CSDs to use digital money to operate, such as</w:t>
      </w:r>
      <w:r>
        <w:t xml:space="preserve"> </w:t>
      </w:r>
      <w:r>
        <w:t xml:space="preserve">tokenised cash, as well as using a wide range of stablecoins under MiCA, including asset-</w:t>
      </w:r>
      <w:r>
        <w:t xml:space="preserve"> </w:t>
      </w:r>
      <w:r>
        <w:t xml:space="preserve">referenced tokens, for settlement and provide more flexibility in the provision of banking-type</w:t>
      </w:r>
      <w:r>
        <w:t xml:space="preserve"> </w:t>
      </w:r>
      <w:r>
        <w:t xml:space="preserve">ancillary services. It would also contribute to enabling further market integration and scale</w:t>
      </w:r>
      <w:r>
        <w:t xml:space="preserve"> </w:t>
      </w:r>
      <w:r>
        <w:t xml:space="preserve">effects by increasing cross-border activity, as the use of such digital money and stablecoins</w:t>
      </w:r>
      <w:r>
        <w:t xml:space="preserve"> </w:t>
      </w:r>
      <w:r>
        <w:t xml:space="preserve">would reduce barriers to cross-border transactions.</w:t>
      </w:r>
      <w:r>
        <w:br/>
      </w:r>
      <w:r>
        <w:t xml:space="preserve">Generally, 29 of the respondents (out of 33) to the targeted consultation supported updating the</w:t>
      </w:r>
      <w:r>
        <w:t xml:space="preserve"> </w:t>
      </w:r>
      <w:r>
        <w:t xml:space="preserve">definition of cash needs to be updated to include tokenized forms of money, in particular the</w:t>
      </w:r>
      <w:r>
        <w:t xml:space="preserve"> </w:t>
      </w:r>
      <w:r>
        <w:t xml:space="preserve">emergence of tokenised central bank money, tokenised commercial bank money and electronic</w:t>
      </w:r>
      <w:r>
        <w:t xml:space="preserve"> </w:t>
      </w:r>
      <w:r>
        <w:t xml:space="preserve">money tokens. A few stakeholders supported going further by including asset-referenced tokens</w:t>
      </w:r>
      <w:r>
        <w:t xml:space="preserve"> </w:t>
      </w:r>
      <w:r>
        <w:t xml:space="preserve">and a wider range of tokens, or even a non-exhaustive definition. Those stakeholders argued</w:t>
      </w:r>
      <w:r>
        <w:t xml:space="preserve"> </w:t>
      </w:r>
      <w:r>
        <w:t xml:space="preserve">that the wider the range of acceptable assets, the more advantages including more pooling of</w:t>
      </w:r>
      <w:r>
        <w:t xml:space="preserve"> </w:t>
      </w:r>
      <w:r>
        <w:t xml:space="preserve">assets, better leverage of exiting market connectivity and scalability. They also emphasised</w:t>
      </w:r>
      <w:r>
        <w:t xml:space="preserve"> </w:t>
      </w:r>
      <w:r>
        <w:t xml:space="preserve">such a measure would support the modernisation and positioning of EU financial markets</w:t>
      </w:r>
      <w:r>
        <w:t xml:space="preserve"> </w:t>
      </w:r>
      <w:r>
        <w:t xml:space="preserve">globally.</w:t>
      </w:r>
      <w:r>
        <w:br/>
      </w:r>
      <w:r>
        <w:t xml:space="preserve">However, this option would also raise several concerns. For example, removing the restrictions</w:t>
      </w:r>
      <w:r>
        <w:t xml:space="preserve"> </w:t>
      </w:r>
      <w:r>
        <w:t xml:space="preserve">on credit institutions providing banking-type ancillary services would increase the risk of</w:t>
      </w:r>
      <w:r>
        <w:t xml:space="preserve"> </w:t>
      </w:r>
      <w:r>
        <w:t xml:space="preserve">systemic instability, as credit institutions may take on more risk, in particular intraday credit</w:t>
      </w:r>
      <w:r>
        <w:t xml:space="preserve"> </w:t>
      </w:r>
      <w:r>
        <w:t xml:space="preserve">risk, which is not covered by prudential banking rules, and become more interconnected with</w:t>
      </w:r>
      <w:r>
        <w:t xml:space="preserve"> </w:t>
      </w:r>
      <w:r>
        <w:t xml:space="preserve">CSDs. Furthermore, the use of stablecoins such as asset-referenced tokens for settlement would</w:t>
      </w:r>
      <w:r>
        <w:t xml:space="preserve"> </w:t>
      </w:r>
      <w:r>
        <w:t xml:space="preserve">also raise concerns about financial stability, as these assets may not be as stable as non-digital</w:t>
      </w:r>
      <w:r>
        <w:t xml:space="preserve"> </w:t>
      </w:r>
      <w:r>
        <w:t xml:space="preserve">forms of money and could be subject to significant price volatility. This could increase the risk</w:t>
      </w:r>
      <w:r>
        <w:t xml:space="preserve"> </w:t>
      </w:r>
      <w:r>
        <w:t xml:space="preserve">of settlement fails and undermine the stability of the financial system.</w:t>
      </w:r>
      <w:r>
        <w:t xml:space="preserve"> </w:t>
      </w:r>
      <w:r>
        <w:t xml:space="preserve">In terms of coherence with the objectives of the SIU, this option would not be entirely aligned,</w:t>
      </w:r>
      <w:r>
        <w:t xml:space="preserve"> </w:t>
      </w:r>
      <w:r>
        <w:t xml:space="preserve">as it could have a negative impact on financial stability.</w:t>
      </w:r>
      <w:r>
        <w:br/>
      </w:r>
      <w:r>
        <w:t xml:space="preserve">Option 3.4 (CSDR): Promoting the use of T2S, connecting the fragmented settlement</w:t>
      </w:r>
      <w:r>
        <w:t xml:space="preserve"> </w:t>
      </w:r>
      <w:r>
        <w:t xml:space="preserve">landscape, and enhancing the role of links between CSDs</w:t>
      </w:r>
      <w:r>
        <w:t xml:space="preserve"> </w:t>
      </w:r>
      <w:r>
        <w:t xml:space="preserve">A T2S CSD would compete with other EU CSDs in providing CSD services (the competition</w:t>
      </w:r>
      <w:r>
        <w:t xml:space="preserve"> </w:t>
      </w:r>
      <w:r>
        <w:t xml:space="preserve">would be on equal terms from a regulatory perspective, as following the option described in</w:t>
      </w:r>
      <w:r>
        <w:t xml:space="preserve"> </w:t>
      </w:r>
      <w:r>
        <w:t xml:space="preserve">Section 6.1.3.3 T2S CSD would be subject to the full set of CSDR requirements), and its</w:t>
      </w:r>
      <w:r>
        <w:t xml:space="preserve"> </w:t>
      </w:r>
      <w:r>
        <w:t xml:space="preserve">connection via links to all EU CSDs would facilitate cross-border settlement. Turning T2S into</w:t>
      </w:r>
      <w:r>
        <w:t xml:space="preserve"> </w:t>
      </w:r>
      <w:r>
        <w:t xml:space="preserve">a CSD would require a significant initial investment to expand its functionalities which would</w:t>
      </w:r>
      <w:r>
        <w:t xml:space="preserve"> </w:t>
      </w:r>
      <w:r>
        <w:t xml:space="preserve">have to be reflected in the price of its services.</w:t>
      </w:r>
      <w:r>
        <w:br/>
      </w:r>
      <w:r>
        <w:t xml:space="preserve">While T2S operating as a CSD of CSDs is technically feasible, the full benefits of this solution</w:t>
      </w:r>
      <w:r>
        <w:t xml:space="preserve"> </w:t>
      </w:r>
      <w:r>
        <w:t xml:space="preserve">would only be available if issuers would issue directly in T2S CSD or if a common issuance</w:t>
      </w:r>
      <w:r>
        <w:t xml:space="preserve"> </w:t>
      </w:r>
      <w:r>
        <w:t xml:space="preserve">scheme across CSDs would be established. In the former case, T2S CSD would need to operate</w:t>
      </w:r>
      <w:r>
        <w:t xml:space="preserve"> </w:t>
      </w:r>
      <w:r>
        <w:t xml:space="preserve">under one of the existing national frameworks/laws (alternatively, an EU-level legal framework</w:t>
      </w:r>
      <w:r>
        <w:t xml:space="preserve"> </w:t>
      </w:r>
      <w:r>
        <w:t xml:space="preserve">for issuance of securities in T2S CSDs would need to be developed). Such solution would,</w:t>
      </w:r>
      <w:r>
        <w:t xml:space="preserve"> </w:t>
      </w:r>
      <w:r>
        <w:t xml:space="preserve">however, entail potential conflicts of laws with the other national laws that were not chosen</w:t>
      </w:r>
      <w:r>
        <w:t xml:space="preserve"> </w:t>
      </w:r>
      <w:r>
        <w:t xml:space="preserve">(e.g. T2S CSD would not be able to support 27 different ways of executing corporate actions).</w:t>
      </w:r>
    </w:p>
    <w:p>
      <w:pPr>
        <w:pStyle w:val="BodyText"/>
      </w:pPr>
      <w:r>
        <w:t xml:space="preserve">262</w:t>
      </w:r>
      <w:r>
        <w:t xml:space="preserve"> </w:t>
      </w:r>
      <w:r>
        <w:t xml:space="preserve">To avoid those conflicts, T2S would need to run multiple securities settlement systems (one for</w:t>
      </w:r>
      <w:r>
        <w:t xml:space="preserve"> </w:t>
      </w:r>
      <w:r>
        <w:t xml:space="preserve">each Member State). In such case, however, it is questionable whether T2S CSD would solve</w:t>
      </w:r>
      <w:r>
        <w:t xml:space="preserve"> </w:t>
      </w:r>
      <w:r>
        <w:t xml:space="preserve">any of the current issues identified in Section 3.2.4, as long as each Member State would have</w:t>
      </w:r>
      <w:r>
        <w:t xml:space="preserve"> </w:t>
      </w:r>
      <w:r>
        <w:t xml:space="preserve">a different legal system ruling securities holdings.</w:t>
      </w:r>
      <w:r>
        <w:br/>
      </w:r>
      <w:r>
        <w:t xml:space="preserve">In addition, CSDs would need to establish links with T2S which would also entail some initial</w:t>
      </w:r>
      <w:r>
        <w:t xml:space="preserve"> </w:t>
      </w:r>
      <w:r>
        <w:t xml:space="preserve">investment costs plus some costs to maintain those links. However, since a single link with the</w:t>
      </w:r>
      <w:r>
        <w:t xml:space="preserve"> </w:t>
      </w:r>
      <w:r>
        <w:t xml:space="preserve">T2S CSD would allow any linked CSD to access any other linked CSD, this would make</w:t>
      </w:r>
      <w:r>
        <w:t xml:space="preserve"> </w:t>
      </w:r>
      <w:r>
        <w:t xml:space="preserve">existing bilateral links obsolete and hence eliminate the cost of maintaining them. This option</w:t>
      </w:r>
      <w:r>
        <w:t xml:space="preserve"> </w:t>
      </w:r>
      <w:r>
        <w:t xml:space="preserve">would help meet the specific objective of enabling further market integration and scale effects</w:t>
      </w:r>
      <w:r>
        <w:t xml:space="preserve"> </w:t>
      </w:r>
      <w:r>
        <w:t xml:space="preserve">by increasing cross-border activity, as it would create a single, interconnected platform for</w:t>
      </w:r>
      <w:r>
        <w:t xml:space="preserve"> </w:t>
      </w:r>
      <w:r>
        <w:t xml:space="preserve">settlement across the EU. However, there are also potential drawbacks related to this option.</w:t>
      </w:r>
      <w:r>
        <w:t xml:space="preserve"> </w:t>
      </w:r>
      <w:r>
        <w:t xml:space="preserve">The main one concerns the potential negative implications for competition and innovation if</w:t>
      </w:r>
      <w:r>
        <w:t xml:space="preserve"> </w:t>
      </w:r>
      <w:r>
        <w:t xml:space="preserve">most of the issuance and settlement activity would get concentrated in T2S CSD over time. As</w:t>
      </w:r>
      <w:r>
        <w:t xml:space="preserve"> </w:t>
      </w:r>
      <w:r>
        <w:t xml:space="preserve">pointed out by respondents to the targeted consultation, the public sector is considered as too</w:t>
      </w:r>
      <w:r>
        <w:t xml:space="preserve"> </w:t>
      </w:r>
      <w:r>
        <w:t xml:space="preserve">slow to drive innovation. Consequently, this option is not fully aligned with the objectives of</w:t>
      </w:r>
      <w:r>
        <w:t xml:space="preserve"> </w:t>
      </w:r>
      <w:r>
        <w:t xml:space="preserve">the SIU.</w:t>
      </w:r>
      <w:r>
        <w:t xml:space="preserve"> </w:t>
      </w:r>
      <w:r>
        <w:t xml:space="preserve">Option 3.5 (CSDR): Increasing transparency</w:t>
      </w:r>
      <w:r>
        <w:t xml:space="preserve"> </w:t>
      </w:r>
      <w:r>
        <w:t xml:space="preserve">In addition to what is proposed under Option 2 to increase transparency of fees and prices, this</w:t>
      </w:r>
      <w:r>
        <w:t xml:space="preserve"> </w:t>
      </w:r>
      <w:r>
        <w:t xml:space="preserve">option would also require CSDs and settlement internalisers to charge. Mandating CSDs and</w:t>
      </w:r>
      <w:r>
        <w:t xml:space="preserve"> </w:t>
      </w:r>
      <w:r>
        <w:t xml:space="preserve">settlement internalisers to charge the same fees and prices for cross-border services as they</w:t>
      </w:r>
      <w:r>
        <w:t xml:space="preserve"> </w:t>
      </w:r>
      <w:r>
        <w:t xml:space="preserve">charge for domestic services would most likely lead to lower fees and prices for cross-border</w:t>
      </w:r>
      <w:r>
        <w:t xml:space="preserve"> </w:t>
      </w:r>
      <w:r>
        <w:t xml:space="preserve">post-trade services. However, this reduction would likely come at the expense of an increase</w:t>
      </w:r>
      <w:r>
        <w:t xml:space="preserve"> </w:t>
      </w:r>
      <w:r>
        <w:t xml:space="preserve">in fees and prices for domestic post-trade services.</w:t>
      </w:r>
      <w:r>
        <w:t xml:space="preserve"> </w:t>
      </w:r>
      <w:r>
        <w:t xml:space="preserve">While this option could theoretically have some merits, defining the scope of the requirement</w:t>
      </w:r>
      <w:r>
        <w:t xml:space="preserve"> </w:t>
      </w:r>
      <w:r>
        <w:t xml:space="preserve">would be extremely challenging (e.g. what is cross-border, what is the service category being</w:t>
      </w:r>
      <w:r>
        <w:t xml:space="preserve"> </w:t>
      </w:r>
      <w:r>
        <w:t xml:space="preserve">considered, how to distinguish cross-border within the EU compared to between the EU and</w:t>
      </w:r>
      <w:r>
        <w:t xml:space="preserve"> </w:t>
      </w:r>
      <w:r>
        <w:t xml:space="preserve">the rest of the world). The complexity of designing and implementing such an approach</w:t>
      </w:r>
      <w:r>
        <w:t xml:space="preserve"> </w:t>
      </w:r>
      <w:r>
        <w:t xml:space="preserve">combined with the additional reporting requirements would make this option costly. These</w:t>
      </w:r>
      <w:r>
        <w:t xml:space="preserve"> </w:t>
      </w:r>
      <w:r>
        <w:t xml:space="preserve">costs could in theory be passed on through the holding chain, potentially increasing the costs</w:t>
      </w:r>
      <w:r>
        <w:t xml:space="preserve"> </w:t>
      </w:r>
      <w:r>
        <w:t xml:space="preserve">of investing and issuing in the EU, which would not be in line with the objectives of the SIU.</w:t>
      </w:r>
      <w:r>
        <w:br/>
      </w:r>
      <w:r>
        <w:t xml:space="preserve">Moreover, while the majority of respondents to the targeted consultation (in particular banks,</w:t>
      </w:r>
      <w:r>
        <w:t xml:space="preserve"> </w:t>
      </w:r>
      <w:r>
        <w:t xml:space="preserve">markets associations and some NCAs and Finance Ministries) agreed that the transparency of</w:t>
      </w:r>
      <w:r>
        <w:t xml:space="preserve"> </w:t>
      </w:r>
      <w:r>
        <w:t xml:space="preserve">settlement pricing and CSD services should be improved, there did not seem to be clear</w:t>
      </w:r>
      <w:r>
        <w:t xml:space="preserve"> </w:t>
      </w:r>
      <w:r>
        <w:t xml:space="preserve">positions advocating for the solution analysed in this section. On a similar note, while several</w:t>
      </w:r>
      <w:r>
        <w:t xml:space="preserve"> </w:t>
      </w:r>
      <w:r>
        <w:t xml:space="preserve">NCAs and Financing Ministries as well as market infrastructures and market associations</w:t>
      </w:r>
      <w:r>
        <w:t xml:space="preserve"> </w:t>
      </w:r>
      <w:r>
        <w:t xml:space="preserve">advocated for a more detailed reporting by settlement internalisers (or at least for those with</w:t>
      </w:r>
      <w:r>
        <w:t xml:space="preserve"> </w:t>
      </w:r>
      <w:r>
        <w:t xml:space="preserve">very high volumes of activities) and/or the publication of information by internalisers on their</w:t>
      </w:r>
      <w:r>
        <w:t xml:space="preserve"> </w:t>
      </w:r>
      <w:r>
        <w:t xml:space="preserve">activities, including settlement fail rates, there seemed to be no clear positions advocating for</w:t>
      </w:r>
      <w:r>
        <w:t xml:space="preserve"> </w:t>
      </w:r>
      <w:r>
        <w:t xml:space="preserve">the option analysed in this section.</w:t>
      </w:r>
      <w:r>
        <w:br/>
      </w:r>
      <w:r>
        <w:t xml:space="preserve">Option 3.6 (CSDR): Legal certainty</w:t>
      </w:r>
      <w:r>
        <w:t xml:space="preserve"> </w:t>
      </w:r>
      <w:r>
        <w:t xml:space="preserve">Integrating DLT-based instruments into the existing framework allows for consistent</w:t>
      </w:r>
      <w:r>
        <w:t xml:space="preserve"> </w:t>
      </w:r>
      <w:r>
        <w:t xml:space="preserve">application of rules regarding ownership transparency, asset segregation, and corporate actions</w:t>
      </w:r>
      <w:r>
        <w:t xml:space="preserve"> </w:t>
      </w:r>
      <w:r>
        <w:t xml:space="preserve">processing. This approach also simplifies regulatory oversight, ensures compliance with</w:t>
      </w:r>
      <w:r>
        <w:t xml:space="preserve"> </w:t>
      </w:r>
      <w:r>
        <w:t xml:space="preserve">AML/KYC regulations, fosters interoperability between DLT platforms and traditional</w:t>
      </w:r>
      <w:r>
        <w:t xml:space="preserve"> </w:t>
      </w:r>
      <w:r>
        <w:t xml:space="preserve">markets, and provides much-needed legal certainty for market participants. Gradual adaptation</w:t>
      </w:r>
    </w:p>
    <w:p>
      <w:pPr>
        <w:pStyle w:val="BodyText"/>
      </w:pPr>
      <w:r>
        <w:t xml:space="preserve">263</w:t>
      </w:r>
      <w:r>
        <w:t xml:space="preserve"> </w:t>
      </w:r>
      <w:r>
        <w:t xml:space="preserve">of CSD services to accommodate DLT-based instruments, rather than wide-ranging changes or</w:t>
      </w:r>
      <w:r>
        <w:t xml:space="preserve"> </w:t>
      </w:r>
      <w:r>
        <w:t xml:space="preserve">exemptions, ensures continued robust protection of the financial system while fostering</w:t>
      </w:r>
      <w:r>
        <w:t xml:space="preserve"> </w:t>
      </w:r>
      <w:r>
        <w:t xml:space="preserve">responsible innovation.</w:t>
      </w:r>
      <w:r>
        <w:t xml:space="preserve"> </w:t>
      </w:r>
      <w:r>
        <w:t xml:space="preserve">There was some support by one association to integrate DLT trading and settlement systems</w:t>
      </w:r>
      <w:r>
        <w:t xml:space="preserve"> </w:t>
      </w:r>
      <w:r>
        <w:t xml:space="preserve">(DLT TSS) within a modernised CSDR and MiFID II frameworks. Embracing these</w:t>
      </w:r>
      <w:r>
        <w:t xml:space="preserve"> </w:t>
      </w:r>
      <w:r>
        <w:t xml:space="preserve">technologies will enhance market efficiency and legal certainty, foster innovation, and support</w:t>
      </w:r>
      <w:r>
        <w:t xml:space="preserve"> </w:t>
      </w:r>
      <w:r>
        <w:t xml:space="preserve">Europe’s competitive edge in global financial markets.</w:t>
      </w:r>
      <w:r>
        <w:br/>
      </w:r>
      <w:r>
        <w:t xml:space="preserve">A majority of the respondents, covering a wide range of respondents including fintech firms as</w:t>
      </w:r>
      <w:r>
        <w:t xml:space="preserve"> </w:t>
      </w:r>
      <w:r>
        <w:t xml:space="preserve">well financial institutions, note that the rise of DLT-based tokenised financial instruments</w:t>
      </w:r>
      <w:r>
        <w:t xml:space="preserve"> </w:t>
      </w:r>
      <w:r>
        <w:t xml:space="preserve">necessitates a reassessment of how CSD services are defined, delivered, and regulated as DLT</w:t>
      </w:r>
      <w:r>
        <w:t xml:space="preserve"> </w:t>
      </w:r>
      <w:r>
        <w:t xml:space="preserve">fundamentally transforms the execution of core post-trade services and that within a DLT</w:t>
      </w:r>
      <w:r>
        <w:t xml:space="preserve"> </w:t>
      </w:r>
      <w:r>
        <w:t xml:space="preserve">context, many CSD core services can be automated, embedded, and verified directly on-chain.</w:t>
      </w:r>
      <w:r>
        <w:t xml:space="preserve"> </w:t>
      </w:r>
      <w:r>
        <w:t xml:space="preserve">Nevertheless, the comprehensive revision of the CSDR envisaged under this option would be</w:t>
      </w:r>
      <w:r>
        <w:t xml:space="preserve"> </w:t>
      </w:r>
      <w:r>
        <w:t xml:space="preserve">a complex task that would require a considerable amount of time to ensure that the final</w:t>
      </w:r>
      <w:r>
        <w:t xml:space="preserve"> </w:t>
      </w:r>
      <w:r>
        <w:t xml:space="preserve">outcome would not introduce new uncertainties and risks. The respondents opposing such an</w:t>
      </w:r>
      <w:r>
        <w:t xml:space="preserve"> </w:t>
      </w:r>
      <w:r>
        <w:t xml:space="preserve">approached, including CSDs and some financial institutions, noted that the emergence of DLT-</w:t>
      </w:r>
      <w:r>
        <w:t xml:space="preserve"> </w:t>
      </w:r>
      <w:r>
        <w:t xml:space="preserve">based tokenized financial instruments does not necessitate a fundamental change in the</w:t>
      </w:r>
      <w:r>
        <w:t xml:space="preserve"> </w:t>
      </w:r>
      <w:r>
        <w:t xml:space="preserve">provision of CSD services or the requirement to use a CSD their core function remains the</w:t>
      </w:r>
      <w:r>
        <w:t xml:space="preserve"> </w:t>
      </w:r>
      <w:r>
        <w:t xml:space="preserve">same. They argued that integrating DLT-based instruments into the existing legislative</w:t>
      </w:r>
      <w:r>
        <w:t xml:space="preserve"> </w:t>
      </w:r>
      <w:r>
        <w:t xml:space="preserve">framework allows for consistent application of rules regarding ownership transparency, asset</w:t>
      </w:r>
      <w:r>
        <w:t xml:space="preserve"> </w:t>
      </w:r>
      <w:r>
        <w:t xml:space="preserve">segregation, and corporate actions processing, and that it simplifies regulatory oversight,</w:t>
      </w:r>
      <w:r>
        <w:t xml:space="preserve"> </w:t>
      </w:r>
      <w:r>
        <w:t xml:space="preserve">ensures compliance with AML/KYC regulations, fosters interoperability between DLT</w:t>
      </w:r>
      <w:r>
        <w:t xml:space="preserve"> </w:t>
      </w:r>
      <w:r>
        <w:t xml:space="preserve">platforms and traditional markets, and provides much-needed legal certainty for market</w:t>
      </w:r>
      <w:r>
        <w:t xml:space="preserve"> </w:t>
      </w:r>
      <w:r>
        <w:t xml:space="preserve">participants. Finally, it was argued that a gradual adaptation to accommodate DLT-based</w:t>
      </w:r>
      <w:r>
        <w:t xml:space="preserve"> </w:t>
      </w:r>
      <w:r>
        <w:t xml:space="preserve">instruments, rather than wide-ranging changes or exemptions, ensures continued robust</w:t>
      </w:r>
      <w:r>
        <w:t xml:space="preserve"> </w:t>
      </w:r>
      <w:r>
        <w:t xml:space="preserve">protection of the financial system while fostering responsible innovation. As such, while this</w:t>
      </w:r>
      <w:r>
        <w:t xml:space="preserve"> </w:t>
      </w:r>
      <w:r>
        <w:t xml:space="preserve">option could ultimately deliver on the objectives of greater innovation and consolidation in the</w:t>
      </w:r>
      <w:r>
        <w:t xml:space="preserve"> </w:t>
      </w:r>
      <w:r>
        <w:t xml:space="preserve">post-trade sector, it is premature at this stage in view of the very limited evidence as to the</w:t>
      </w:r>
      <w:r>
        <w:t xml:space="preserve"> </w:t>
      </w:r>
      <w:r>
        <w:t xml:space="preserve">consequences – benefits and costs - of such new approach.</w:t>
      </w:r>
      <w:r>
        <w:br/>
      </w:r>
      <w:r>
        <w:t xml:space="preserve">Legal certainty is also affected by the absence of harmonised securities law and whilst there is</w:t>
      </w:r>
      <w:r>
        <w:t xml:space="preserve"> </w:t>
      </w:r>
      <w:r>
        <w:t xml:space="preserve">a broad consensus by the respondents, that they do not think that it is the national legal system</w:t>
      </w:r>
      <w:r>
        <w:t xml:space="preserve"> </w:t>
      </w:r>
      <w:r>
        <w:t xml:space="preserve">itself that creates the barrier, as the national legal systems are clear, the differences between</w:t>
      </w:r>
      <w:r>
        <w:t xml:space="preserve"> </w:t>
      </w:r>
      <w:r>
        <w:t xml:space="preserve">Member States introduces a level of complexity in cross-border transactions and therefore</w:t>
      </w:r>
      <w:r>
        <w:t xml:space="preserve"> </w:t>
      </w:r>
      <w:r>
        <w:t xml:space="preserve">results in practice that it is more difficult to reach legal certainty in cross-border transactions.</w:t>
      </w:r>
      <w:r>
        <w:t xml:space="preserve"> </w:t>
      </w:r>
      <w:r>
        <w:t xml:space="preserve">Therefore, several respondents representing different stakeholders supported an enhanced EU-</w:t>
      </w:r>
      <w:r>
        <w:t xml:space="preserve"> </w:t>
      </w:r>
      <w:r>
        <w:t xml:space="preserve">wide harmonization of securities law and civil law and some stakeholders, mainly CSDs and</w:t>
      </w:r>
      <w:r>
        <w:t xml:space="preserve"> </w:t>
      </w:r>
      <w:r>
        <w:t xml:space="preserve">fintech companies, advocated for the establishment of a 28th regime covering securities law.</w:t>
      </w:r>
      <w:r>
        <w:t xml:space="preserve"> </w:t>
      </w:r>
      <w:r>
        <w:t xml:space="preserve">This was supported by AMI-SeCo in its response to the targeted consultation, noting that at</w:t>
      </w:r>
      <w:r>
        <w:t xml:space="preserve"> </w:t>
      </w:r>
      <w:r>
        <w:t xml:space="preserve">least in the area of securities law, introducing an optional but comprehensive 28th (EU) legal</w:t>
      </w:r>
      <w:r>
        <w:t xml:space="preserve"> </w:t>
      </w:r>
      <w:r>
        <w:t xml:space="preserve">regime is a promising approach. A full harmonisation of EU securities law would be a complex</w:t>
      </w:r>
      <w:r>
        <w:t xml:space="preserve"> </w:t>
      </w:r>
      <w:r>
        <w:t xml:space="preserve">task that would require a considerable amount of time to ensure that the final outcome would</w:t>
      </w:r>
      <w:r>
        <w:t xml:space="preserve"> </w:t>
      </w:r>
      <w:r>
        <w:t xml:space="preserve">not introduce new uncertainties and risks. However, more limited and directed measures should</w:t>
      </w:r>
      <w:r>
        <w:t xml:space="preserve"> </w:t>
      </w:r>
      <w:r>
        <w:t xml:space="preserve">be carefully assessed within the deliverables of the SIU. In particular in relation to systems</w:t>
      </w:r>
      <w:r>
        <w:t xml:space="preserve"> </w:t>
      </w:r>
      <w:r>
        <w:t xml:space="preserve">operating using DLT as noted in the responses “The European Commission could tackle the</w:t>
      </w:r>
      <w:r>
        <w:t xml:space="preserve"> </w:t>
      </w:r>
      <w:r>
        <w:t xml:space="preserve">legal fragmentation in respect of the issuance and transfer of digitally native securities by</w:t>
      </w:r>
      <w:r>
        <w:t xml:space="preserve"> </w:t>
      </w:r>
      <w:r>
        <w:t xml:space="preserve">creating a 28th legal regime that defines how a digitally native security can be validly issued</w:t>
      </w:r>
      <w:r>
        <w:t xml:space="preserve"> </w:t>
      </w:r>
      <w:r>
        <w:t xml:space="preserve">and transferred, how ownership rights are evidenced on DLT and what the holding model is</w:t>
      </w:r>
    </w:p>
    <w:p>
      <w:pPr>
        <w:pStyle w:val="BodyText"/>
      </w:pPr>
      <w:r>
        <w:t xml:space="preserve">264</w:t>
      </w:r>
      <w:r>
        <w:t xml:space="preserve"> </w:t>
      </w:r>
      <w:r>
        <w:t xml:space="preserve">(intermediated vs direct). For digital securities, instead of replicating 27 national regimes, we</w:t>
      </w:r>
      <w:r>
        <w:t xml:space="preserve"> </w:t>
      </w:r>
      <w:r>
        <w:t xml:space="preserve">see a strong case for Member States to focus efforts on a 28th regime to pave the way for digital</w:t>
      </w:r>
      <w:r>
        <w:t xml:space="preserve"> </w:t>
      </w:r>
      <w:r>
        <w:t xml:space="preserve">capital markets. This includes ensuring that a 28th regime is designed to facilitate</w:t>
      </w:r>
      <w:r>
        <w:t xml:space="preserve"> </w:t>
      </w:r>
      <w:r>
        <w:t xml:space="preserve">interoperability and acceptance of digital securities between DLT and the traditional systems.</w:t>
      </w:r>
      <w:r>
        <w:br/>
      </w:r>
      <w:r>
        <w:t xml:space="preserve">The benefits of a 28th should be available not just for FinTechs and digital securities, but also</w:t>
      </w:r>
      <w:r>
        <w:t xml:space="preserve"> </w:t>
      </w:r>
      <w:r>
        <w:t xml:space="preserve">established market players and traditional systems and securities where it could contribute to</w:t>
      </w:r>
      <w:r>
        <w:t xml:space="preserve"> </w:t>
      </w:r>
      <w:r>
        <w:t xml:space="preserve">EU integration and the removal of frictions. This cannot be included under the revisions to</w:t>
      </w:r>
      <w:r>
        <w:t xml:space="preserve"> </w:t>
      </w:r>
      <w:r>
        <w:t xml:space="preserve">CSDR but should be assessed were suitable within the EU acquis.</w:t>
      </w:r>
      <w:r>
        <w:br/>
      </w:r>
      <w:r>
        <w:t xml:space="preserve">The costs of this option would likely be significant, especially if new authorisations would be</w:t>
      </w:r>
      <w:r>
        <w:t xml:space="preserve"> </w:t>
      </w:r>
      <w:r>
        <w:t xml:space="preserve">required. Such a major overhaul of CSDR would also have implications on the DLTPRR as the</w:t>
      </w:r>
      <w:r>
        <w:t xml:space="preserve"> </w:t>
      </w:r>
      <w:r>
        <w:t xml:space="preserve">entities authorised under the latter must also comply with the CSDR unless a derogation has</w:t>
      </w:r>
      <w:r>
        <w:t xml:space="preserve"> </w:t>
      </w:r>
      <w:r>
        <w:t xml:space="preserve">been decided upon within the remit of the DLTPRR authorisation and where compensatory</w:t>
      </w:r>
      <w:r>
        <w:t xml:space="preserve"> </w:t>
      </w:r>
      <w:r>
        <w:t xml:space="preserve">requirements apply.</w:t>
      </w:r>
      <w:r>
        <w:br/>
      </w:r>
      <w:r>
        <w:t xml:space="preserve">Overall, a less radical intervention in the post-trade market is preferred at this stage. Hence,</w:t>
      </w:r>
      <w:r>
        <w:t xml:space="preserve"> </w:t>
      </w:r>
      <w:r>
        <w:t xml:space="preserve">while this option has potential benefits and support among a few respondents, who view DLT</w:t>
      </w:r>
      <w:r>
        <w:t xml:space="preserve"> </w:t>
      </w:r>
      <w:r>
        <w:t xml:space="preserve">as the main technology for the post-trade market, it also raises significant implementation risks</w:t>
      </w:r>
      <w:r>
        <w:t xml:space="preserve"> </w:t>
      </w:r>
      <w:r>
        <w:t xml:space="preserve">and challenges that need to be carefully considered.</w:t>
      </w:r>
      <w:r>
        <w:t xml:space="preserve"> </w:t>
      </w:r>
      <w:r>
        <w:t xml:space="preserve">6.1.4. Choice of preferred policy option</w:t>
      </w:r>
      <w:r>
        <w:t xml:space="preserve"> </w:t>
      </w:r>
      <w:r>
        <w:t xml:space="preserve">The table below shows a comparison of the merits of the individual options put forth above for</w:t>
      </w:r>
      <w:r>
        <w:t xml:space="preserve"> </w:t>
      </w:r>
      <w:r>
        <w:t xml:space="preserve">each of the topics covered. Option 2 presents the way forward most closely aligned with the</w:t>
      </w:r>
      <w:r>
        <w:t xml:space="preserve"> </w:t>
      </w:r>
      <w:r>
        <w:t xml:space="preserve">objectives of the SIU and which maintains the most appropriate balance between improving</w:t>
      </w:r>
      <w:r>
        <w:t xml:space="preserve"> </w:t>
      </w:r>
      <w:r>
        <w:t xml:space="preserve">market integration and supervision, and facilitating innovation in post-trade while also</w:t>
      </w:r>
      <w:r>
        <w:t xml:space="preserve"> </w:t>
      </w:r>
      <w:r>
        <w:t xml:space="preserve">reducing, to the extent possible, any administrative and/or regulatory burden.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Enable further</w:t>
      </w:r>
      <w:r>
        <w:t xml:space="preserve"> </w:t>
      </w:r>
      <w:r>
        <w:t xml:space="preserve">market</w:t>
      </w:r>
      <w:r>
        <w:t xml:space="preserve"> </w:t>
      </w:r>
      <w:r>
        <w:t xml:space="preserve">integration and</w:t>
      </w:r>
      <w:r>
        <w:t xml:space="preserve"> </w:t>
      </w:r>
      <w:r>
        <w:t xml:space="preserve">scale effects by</w:t>
      </w:r>
      <w:r>
        <w:t xml:space="preserve"> </w:t>
      </w:r>
      <w:r>
        <w:t xml:space="preserve">increasing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activity</w:t>
      </w:r>
      <w:r>
        <w:t xml:space="preserve"> </w:t>
      </w:r>
      <w:r>
        <w:t xml:space="preserve">Improve</w:t>
      </w:r>
      <w:r>
        <w:t xml:space="preserve"> </w:t>
      </w:r>
      <w:r>
        <w:t xml:space="preserve">supervision</w:t>
      </w:r>
      <w:r>
        <w:t xml:space="preserve"> </w:t>
      </w:r>
      <w:r>
        <w:t xml:space="preserve">by reducing</w:t>
      </w:r>
      <w:r>
        <w:t xml:space="preserve"> </w:t>
      </w:r>
      <w:r>
        <w:t xml:space="preserve">divergences</w:t>
      </w:r>
      <w:r>
        <w:t xml:space="preserve"> </w:t>
      </w:r>
      <w:r>
        <w:t xml:space="preserve">Facilitate</w:t>
      </w:r>
      <w:r>
        <w:t xml:space="preserve"> </w:t>
      </w:r>
      <w:r>
        <w:t xml:space="preserve">innovation by</w:t>
      </w:r>
      <w:r>
        <w:t xml:space="preserve"> </w:t>
      </w:r>
      <w:r>
        <w:t xml:space="preserve">enabling the</w:t>
      </w:r>
      <w:r>
        <w:t xml:space="preserve"> </w:t>
      </w:r>
      <w:r>
        <w:t xml:space="preserve">use of new</w:t>
      </w:r>
      <w:r>
        <w:t xml:space="preserve"> </w:t>
      </w:r>
      <w:r>
        <w:t xml:space="preserve">technologies</w:t>
      </w:r>
    </w:p>
    <w:p>
      <w:pPr>
        <w:pStyle w:val="BodyText"/>
      </w:pPr>
      <w:r>
        <w:t xml:space="preserve">Option 1 (CSDR) –</w:t>
      </w:r>
      <w:r>
        <w:t xml:space="preserve"> </w:t>
      </w:r>
      <w:r>
        <w:t xml:space="preserve">Status quo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(CSDR) –</w:t>
      </w:r>
      <w:r>
        <w:t xml:space="preserve"> </w:t>
      </w:r>
      <w:r>
        <w:t xml:space="preserve">Comprehensive</w:t>
      </w:r>
      <w:r>
        <w:t xml:space="preserve"> </w:t>
      </w:r>
      <w:r>
        <w:t xml:space="preserve">review to enhance</w:t>
      </w:r>
      <w:r>
        <w:t xml:space="preserve"> </w:t>
      </w:r>
      <w:r>
        <w:t xml:space="preserve">the functioning of</w:t>
      </w:r>
      <w:r>
        <w:t xml:space="preserve"> </w:t>
      </w:r>
      <w:r>
        <w:t xml:space="preserve">market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3 (CSDR) –</w:t>
      </w:r>
      <w:r>
        <w:t xml:space="preserve"> </w:t>
      </w:r>
      <w:r>
        <w:t xml:space="preserve">Extensive review to</w:t>
      </w:r>
      <w:r>
        <w:t xml:space="preserve"> </w:t>
      </w:r>
      <w:r>
        <w:t xml:space="preserve">impose an integrated</w:t>
      </w:r>
      <w:r>
        <w:t xml:space="preserve"> </w:t>
      </w:r>
      <w:r>
        <w:t xml:space="preserve">market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265</w:t>
      </w:r>
      <w:r>
        <w:t xml:space="preserve"> </w:t>
      </w:r>
      <w:r>
        <w:t xml:space="preserve">Legend:</w:t>
      </w:r>
      <w:r>
        <w:t xml:space="preserve"> </w:t>
      </w:r>
      <w:r>
        <w:t xml:space="preserve">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t xml:space="preserve"> </w:t>
      </w:r>
      <w:r>
        <w:t xml:space="preserve">+/- = Mixed effect</w:t>
      </w:r>
      <w:r>
        <w:t xml:space="preserve"> </w:t>
      </w:r>
      <w:r>
        <w:t xml:space="preserve">0 = No 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</w:p>
    <w:p>
      <w:pPr>
        <w:pStyle w:val="BodyText"/>
      </w:pPr>
      <w:r>
        <w:t xml:space="preserve">6.2. IMPACT OF THE POLICY OPTIONS REGARDING THE SFD</w:t>
      </w:r>
      <w:r>
        <w:t xml:space="preserve"> </w:t>
      </w:r>
      <w:r>
        <w:t xml:space="preserve">6.2.1. Option 1 (SFD) – Status quo</w:t>
      </w:r>
      <w:r>
        <w:t xml:space="preserve"> </w:t>
      </w:r>
      <w:r>
        <w:t xml:space="preserve">Since this option would not amend the SFD, the problems and problem drivers described,</w:t>
      </w:r>
      <w:r>
        <w:t xml:space="preserve"> </w:t>
      </w:r>
      <w:r>
        <w:t xml:space="preserve">respectively, in Sections 3.1 and 3.2 would persist and would not be resolved. Consequently,</w:t>
      </w:r>
      <w:r>
        <w:t xml:space="preserve"> </w:t>
      </w:r>
      <w:r>
        <w:t xml:space="preserve">potential improvements would be left to initiatives from Member States (the private sector has</w:t>
      </w:r>
      <w:r>
        <w:t xml:space="preserve"> </w:t>
      </w:r>
      <w:r>
        <w:t xml:space="preserve">little scope for action as the issues have their origin in law), which are however not likely to</w:t>
      </w:r>
      <w:r>
        <w:t xml:space="preserve"> </w:t>
      </w:r>
      <w:r>
        <w:t xml:space="preserve">result in the removal of existing barriers to market integration and cross-border activities.</w:t>
      </w:r>
      <w:r>
        <w:t xml:space="preserve"> </w:t>
      </w:r>
      <w:r>
        <w:t xml:space="preserve">6.2.2. Option 2 (SFD) – Comprehensive review to enhance the functioning of</w:t>
      </w:r>
      <w:r>
        <w:t xml:space="preserve"> </w:t>
      </w:r>
      <w:r>
        <w:t xml:space="preserve">market infrastructure</w:t>
      </w:r>
      <w:r>
        <w:t xml:space="preserve"> </w:t>
      </w:r>
      <w:r>
        <w:t xml:space="preserve">Converting the SFD into a Regulation would allow for a more consistent and homogeneous</w:t>
      </w:r>
      <w:r>
        <w:t xml:space="preserve"> </w:t>
      </w:r>
      <w:r>
        <w:t xml:space="preserve">approach across the EU. This could help reduce the fragmentation and associated costs. This is</w:t>
      </w:r>
      <w:r>
        <w:t xml:space="preserve"> </w:t>
      </w:r>
      <w:r>
        <w:t xml:space="preserve">backed up by a recent study which noted that converting the SFD into a directly applicable</w:t>
      </w:r>
      <w:r>
        <w:t xml:space="preserve"> </w:t>
      </w:r>
      <w:r>
        <w:t xml:space="preserve">regulation would ensure uniform application of settlement finality rules, reduce legal risk, and</w:t>
      </w:r>
      <w:r>
        <w:t xml:space="preserve"> </w:t>
      </w:r>
      <w:r>
        <w:t xml:space="preserve">strengthen the foundation for interoperable, consolidated market infrastructures. Such a change</w:t>
      </w:r>
      <w:r>
        <w:t xml:space="preserve"> </w:t>
      </w:r>
      <w:r>
        <w:t xml:space="preserve">would align with recent policy calls, including from AMI-SeCo and the European Parliament,</w:t>
      </w:r>
      <w:r>
        <w:t xml:space="preserve"> </w:t>
      </w:r>
      <w:r>
        <w:t xml:space="preserve">for greater legal convergence in post-trade processes.435At the same time, it was acknowledged</w:t>
      </w:r>
      <w:r>
        <w:t xml:space="preserve"> </w:t>
      </w:r>
      <w:r>
        <w:t xml:space="preserve">by some market participants responding to the targeted consultation that converting into a</w:t>
      </w:r>
      <w:r>
        <w:t xml:space="preserve"> </w:t>
      </w:r>
      <w:r>
        <w:t xml:space="preserve">Regulation would have some limitations given the current lack of a uniform EU insolvency</w:t>
      </w:r>
      <w:r>
        <w:t xml:space="preserve"> </w:t>
      </w:r>
      <w:r>
        <w:t xml:space="preserve">framework. The benefits of greater harmonisation would therefore be less than if insolvency</w:t>
      </w:r>
      <w:r>
        <w:t xml:space="preserve"> </w:t>
      </w:r>
      <w:r>
        <w:t xml:space="preserve">laws were also harmonised. In previous consultations in 2021 on this subject, some respondents</w:t>
      </w:r>
      <w:r>
        <w:t xml:space="preserve"> </w:t>
      </w:r>
      <w:r>
        <w:t xml:space="preserve">also noted that Directives may provide a better tool to balance between harmonisation and</w:t>
      </w:r>
      <w:r>
        <w:t xml:space="preserve"> </w:t>
      </w:r>
      <w:r>
        <w:t xml:space="preserve">Member States’ flexibility, which is particularly important against the diverse legal</w:t>
      </w:r>
      <w:r>
        <w:t xml:space="preserve"> </w:t>
      </w:r>
      <w:r>
        <w:t xml:space="preserve">environments in Member States’ insolvency, corporate or securities laws, for which there is no</w:t>
      </w:r>
      <w:r>
        <w:t xml:space="preserve"> </w:t>
      </w:r>
      <w:r>
        <w:t xml:space="preserve">full harmonization.436</w:t>
      </w:r>
      <w:r>
        <w:t xml:space="preserve"> </w:t>
      </w:r>
      <w:r>
        <w:t xml:space="preserve">In general, in the targeted consultation, the majority of market participants437 favoured</w:t>
      </w:r>
      <w:r>
        <w:t xml:space="preserve"> </w:t>
      </w:r>
      <w:r>
        <w:t xml:space="preserve">converting the SFD into a Regulation, with a minority disagreeing. Support came from CCPs,</w:t>
      </w:r>
      <w:r>
        <w:t xml:space="preserve"> </w:t>
      </w:r>
      <w:r>
        <w:t xml:space="preserve">market participants promoting the use of new technologies, banks and banking associations.</w:t>
      </w:r>
      <w:r>
        <w:t xml:space="preserve"> </w:t>
      </w:r>
      <w:r>
        <w:t xml:space="preserve">CSDs and regional financial market participants in contrast argued, that the current Settlement</w:t>
      </w:r>
      <w:r>
        <w:t xml:space="preserve"> </w:t>
      </w:r>
      <w:r>
        <w:t xml:space="preserve">Finality Directive worked well in their view. In a discussion in 2020438, Member States that</w:t>
      </w:r>
      <w:r>
        <w:t xml:space="preserve"> </w:t>
      </w:r>
      <w:r>
        <w:t xml:space="preserve">took the floor reserved judgement noting that further analysis would be needed, and careful</w:t>
      </w:r>
    </w:p>
    <w:p>
      <w:pPr>
        <w:pStyle w:val="BodyText"/>
      </w:pPr>
      <w:r>
        <w:t xml:space="preserve">435 “Study on consolidation and reducing fragmentation in trading and post-trading infrastructures in Europe”,</w:t>
      </w:r>
      <w:r>
        <w:t xml:space="preserve"> </w:t>
      </w:r>
      <w:r>
        <w:t xml:space="preserve">Final Report, Bourse Consult &amp; Civitta, September 2025:</w:t>
      </w:r>
      <w:r>
        <w:br/>
      </w:r>
      <w:r>
        <w:t xml:space="preserve">https://op.europa.eu/en/publication/doi/10.2874/2649452</w:t>
      </w:r>
      <w:r>
        <w:br/>
      </w:r>
      <w:r>
        <w:t xml:space="preserve">436 Commission Summary report of the targeted consultation on the review of the Directive on settlement finality</w:t>
      </w:r>
      <w:r>
        <w:t xml:space="preserve"> </w:t>
      </w:r>
      <w:r>
        <w:t xml:space="preserve">in payment and securities settlement systems 12 February 2021 - 7 May 2021, page 44.</w:t>
      </w:r>
      <w:r>
        <w:t xml:space="preserve"> </w:t>
      </w:r>
      <w:r>
        <w:t xml:space="preserve">437 Mainly, CCPs’ representatives, market participants promoting the use of new technologies, banks and banking</w:t>
      </w:r>
      <w:r>
        <w:t xml:space="preserve"> </w:t>
      </w:r>
      <w:r>
        <w:t xml:space="preserve">associations.</w:t>
      </w:r>
      <w:r>
        <w:t xml:space="preserve"> </w:t>
      </w:r>
      <w:r>
        <w:t xml:space="preserve">438 Expert Group meeting with Member States on SFD, 27 October 2020.</w:t>
      </w:r>
    </w:p>
    <w:p>
      <w:pPr>
        <w:pStyle w:val="BodyText"/>
      </w:pPr>
      <w:r>
        <w:t xml:space="preserve">266</w:t>
      </w:r>
      <w:r>
        <w:t xml:space="preserve"> </w:t>
      </w:r>
      <w:r>
        <w:t xml:space="preserve">consideration should be given to possible changes resulting from the review. More recently,</w:t>
      </w:r>
      <w:r>
        <w:t xml:space="preserve"> </w:t>
      </w:r>
      <w:r>
        <w:t xml:space="preserve">those Member States (2) that have expressed a view are split.</w:t>
      </w:r>
      <w:r>
        <w:br/>
      </w:r>
      <w:r>
        <w:t xml:space="preserve">Option 2.1 (SFD): Legal certainty for digital innovation</w:t>
      </w:r>
      <w:r>
        <w:t xml:space="preserve"> </w:t>
      </w:r>
      <w:r>
        <w:t xml:space="preserve">This option would help meet the specific objective of facilitating innovation by providing</w:t>
      </w:r>
      <w:r>
        <w:t xml:space="preserve"> </w:t>
      </w:r>
      <w:r>
        <w:t xml:space="preserve">clarity on concepts currently used in the SFD as well as enabling DLT-based systems to be</w:t>
      </w:r>
      <w:r>
        <w:t xml:space="preserve"> </w:t>
      </w:r>
      <w:r>
        <w:t xml:space="preserve">designated under the new SFR subject to certain requirements being met. Also, while the</w:t>
      </w:r>
      <w:r>
        <w:t xml:space="preserve"> </w:t>
      </w:r>
      <w:r>
        <w:t xml:space="preserve">definition of collateral security under the old SFD and the new SFR is broader than the</w:t>
      </w:r>
      <w:r>
        <w:t xml:space="preserve"> </w:t>
      </w:r>
      <w:r>
        <w:t xml:space="preserve">definition of financial collateral under the FCD, the SFD/SFR has an explicit reference to the</w:t>
      </w:r>
      <w:r>
        <w:t xml:space="preserve"> </w:t>
      </w:r>
      <w:r>
        <w:t xml:space="preserve">FCD for collateral security and updating the definition of financial collateral under the FCD in</w:t>
      </w:r>
      <w:r>
        <w:t xml:space="preserve"> </w:t>
      </w:r>
      <w:r>
        <w:t xml:space="preserve">relation to DLT seems warranted to align with the DLT updates suggested under the SFR. This</w:t>
      </w:r>
      <w:r>
        <w:t xml:space="preserve"> </w:t>
      </w:r>
      <w:r>
        <w:t xml:space="preserve">option would enable a level playing field in the protections provided under the SFR irrespective</w:t>
      </w:r>
      <w:r>
        <w:t xml:space="preserve"> </w:t>
      </w:r>
      <w:r>
        <w:t xml:space="preserve">of the technology used (DLT or not) for settlement services. By harmonising definitions,</w:t>
      </w:r>
      <w:r>
        <w:t xml:space="preserve"> </w:t>
      </w:r>
      <w:r>
        <w:t xml:space="preserve">concepts and related requirements it would avoid the proliferation of different national</w:t>
      </w:r>
      <w:r>
        <w:t xml:space="preserve"> </w:t>
      </w:r>
      <w:r>
        <w:t xml:space="preserve">approaches regarding DLT-based structures and would therefore support market integration and</w:t>
      </w:r>
      <w:r>
        <w:t xml:space="preserve"> </w:t>
      </w:r>
      <w:r>
        <w:t xml:space="preserve">innovation, in line with the objectives of the SIU.</w:t>
      </w:r>
      <w:r>
        <w:t xml:space="preserve"> </w:t>
      </w:r>
      <w:r>
        <w:t xml:space="preserve">In the 2021 targeted consultation on SFD, while some potential areas for clarification were</w:t>
      </w:r>
      <w:r>
        <w:t xml:space="preserve"> </w:t>
      </w:r>
      <w:r>
        <w:t xml:space="preserve">already raised, a majority (28 respondents) replied that experience with the Pilot Regime for</w:t>
      </w:r>
      <w:r>
        <w:t xml:space="preserve"> </w:t>
      </w:r>
      <w:r>
        <w:t xml:space="preserve">market infrastructures based on DLT should be gained before considering possible issues in the</w:t>
      </w:r>
      <w:r>
        <w:t xml:space="preserve"> </w:t>
      </w:r>
      <w:r>
        <w:t xml:space="preserve">SFD. 12 did not consider that such experience necessary. Potential areas for clarifications were</w:t>
      </w:r>
      <w:r>
        <w:t xml:space="preserve"> </w:t>
      </w:r>
      <w:r>
        <w:t xml:space="preserve">the concept and definition of ‘system’ (22 respondents thought it should be clarified or amended</w:t>
      </w:r>
      <w:r>
        <w:t xml:space="preserve"> </w:t>
      </w:r>
      <w:r>
        <w:t xml:space="preserve">to apply explicitly in a permissioned DLT context), ‘transfer order’ (13 respondents in favour</w:t>
      </w:r>
      <w:r>
        <w:t xml:space="preserve"> </w:t>
      </w:r>
      <w:r>
        <w:t xml:space="preserve">of clarification), book-entry (16 respondents in favour of clarification), ‘settlement account’,</w:t>
      </w:r>
      <w:r>
        <w:t xml:space="preserve"> </w:t>
      </w:r>
      <w:r>
        <w:t xml:space="preserve">‘settlement agent’ (13 respondents in favour of clarification), links with other financial market</w:t>
      </w:r>
      <w:r>
        <w:t xml:space="preserve"> </w:t>
      </w:r>
      <w:r>
        <w:t xml:space="preserve">infrastructures and trading venues (9 respondents in favour of clarification).</w:t>
      </w:r>
      <w:r>
        <w:t xml:space="preserve"> </w:t>
      </w:r>
      <w:r>
        <w:t xml:space="preserve">The 2025 targeted consultation drew similar conclusions. While there was some support for</w:t>
      </w:r>
      <w:r>
        <w:t xml:space="preserve"> </w:t>
      </w:r>
      <w:r>
        <w:t xml:space="preserve">clarifications of some of the definitions in order to facilitate its application in a technology-</w:t>
      </w:r>
      <w:r>
        <w:t xml:space="preserve"> </w:t>
      </w:r>
      <w:r>
        <w:t xml:space="preserve">neutral manner, around half of the respondents considered that the criteria to be met for a</w:t>
      </w:r>
      <w:r>
        <w:t xml:space="preserve"> </w:t>
      </w:r>
      <w:r>
        <w:t xml:space="preserve">system to be designated serve their purpose to ensure the integrity of financial market</w:t>
      </w:r>
      <w:r>
        <w:t xml:space="preserve"> </w:t>
      </w:r>
      <w:r>
        <w:t xml:space="preserve">infrastructures and financial stability and the current standards in that respect should not be</w:t>
      </w:r>
      <w:r>
        <w:t xml:space="preserve"> </w:t>
      </w:r>
      <w:r>
        <w:t xml:space="preserve">lowered, even to accommodate new technologies. Nevertheless, a minority of respondents</w:t>
      </w:r>
      <w:r>
        <w:t xml:space="preserve"> </w:t>
      </w:r>
      <w:r>
        <w:t xml:space="preserve">representing different types of stakeholders considered that the current criteria for designation</w:t>
      </w:r>
      <w:r>
        <w:t xml:space="preserve"> </w:t>
      </w:r>
      <w:r>
        <w:t xml:space="preserve">under SFD criteria may not allow designation of innovative or smaller systems using new</w:t>
      </w:r>
      <w:r>
        <w:t xml:space="preserve"> </w:t>
      </w:r>
      <w:r>
        <w:t xml:space="preserve">technologies like DLT. They noted that it is difficult for non-traditional systems to fulfil those</w:t>
      </w:r>
      <w:r>
        <w:t xml:space="preserve"> </w:t>
      </w:r>
      <w:r>
        <w:t xml:space="preserve">criteria even if they are secure.</w:t>
      </w:r>
      <w:r>
        <w:br/>
      </w:r>
      <w:r>
        <w:t xml:space="preserve">This option would also contribute to improving supervision by reducing divergences, as it</w:t>
      </w:r>
      <w:r>
        <w:t xml:space="preserve"> </w:t>
      </w:r>
      <w:r>
        <w:t xml:space="preserve">would help to ensure consistency in the application of rules across different Member States and</w:t>
      </w:r>
      <w:r>
        <w:t xml:space="preserve"> </w:t>
      </w:r>
      <w:r>
        <w:t xml:space="preserve">technologies. In this respect, an association of different types of stakeholders expressed</w:t>
      </w:r>
      <w:r>
        <w:t xml:space="preserve"> </w:t>
      </w:r>
      <w:r>
        <w:t xml:space="preserve">concerns about the inconsistent application of the settlement finality frameworks across the EU</w:t>
      </w:r>
      <w:r>
        <w:t xml:space="preserve"> </w:t>
      </w:r>
      <w:r>
        <w:t xml:space="preserve">due to the fact that different Member States have varying regulatory approaches to settlement</w:t>
      </w:r>
      <w:r>
        <w:t xml:space="preserve"> </w:t>
      </w:r>
      <w:r>
        <w:t xml:space="preserve">finality, especially with respect to digital assets and tokenisation. Clarity on the application of</w:t>
      </w:r>
      <w:r>
        <w:t xml:space="preserve"> </w:t>
      </w:r>
      <w:r>
        <w:t xml:space="preserve">the SFR would therefore also facilitate innovation by ensuring systems have clarity that they</w:t>
      </w:r>
      <w:r>
        <w:t xml:space="preserve"> </w:t>
      </w:r>
      <w:r>
        <w:t xml:space="preserve">may also provide services using DLT and still be able to benefit from the protections under the</w:t>
      </w:r>
      <w:r>
        <w:t xml:space="preserve"> </w:t>
      </w:r>
      <w:r>
        <w:t xml:space="preserve">SFR on, for example settlement finality and enforceability of collateral. This would as a result</w:t>
      </w:r>
      <w:r>
        <w:t xml:space="preserve"> </w:t>
      </w:r>
      <w:r>
        <w:t xml:space="preserve">facilitate the use of new technologies in the provision of settlement services.</w:t>
      </w:r>
      <w:r>
        <w:br/>
      </w:r>
      <w:r>
        <w:t xml:space="preserve">In terms of costs, clarity on the application of the SFR would reduce costs for system operators</w:t>
      </w:r>
      <w:r>
        <w:t xml:space="preserve"> </w:t>
      </w:r>
      <w:r>
        <w:t xml:space="preserve">as they would not need to seek as much legal advice as they currently do on how to interpret</w:t>
      </w:r>
    </w:p>
    <w:p>
      <w:pPr>
        <w:pStyle w:val="BodyText"/>
      </w:pPr>
      <w:r>
        <w:t xml:space="preserve">267</w:t>
      </w:r>
      <w:r>
        <w:t xml:space="preserve"> </w:t>
      </w:r>
      <w:r>
        <w:t xml:space="preserve">the rules. For market participants, the provided clarity would also reduce costs for the provision</w:t>
      </w:r>
      <w:r>
        <w:t xml:space="preserve"> </w:t>
      </w:r>
      <w:r>
        <w:t xml:space="preserve">of cross-border settlement services, as they would not need to seek as many legal opinions as</w:t>
      </w:r>
      <w:r>
        <w:t xml:space="preserve"> </w:t>
      </w:r>
      <w:r>
        <w:t xml:space="preserve">they currently do to see if their activities are in line with the different national laws. This would,</w:t>
      </w:r>
      <w:r>
        <w:t xml:space="preserve"> </w:t>
      </w:r>
      <w:r>
        <w:t xml:space="preserve">in turn, reduce costs for the clients of those providers. No new costs related to this option were</w:t>
      </w:r>
      <w:r>
        <w:t xml:space="preserve"> </w:t>
      </w:r>
      <w:r>
        <w:t xml:space="preserve">identified in the targeted consultation.</w:t>
      </w:r>
      <w:r>
        <w:t xml:space="preserve"> </w:t>
      </w:r>
      <w:r>
        <w:t xml:space="preserve">This option is also coherent with the objectives of the SIU, as it would promote a more</w:t>
      </w:r>
      <w:r>
        <w:t xml:space="preserve"> </w:t>
      </w:r>
      <w:r>
        <w:t xml:space="preserve">integrated, efficient, and innovative EU capital market. By providing legal certainty and clarity</w:t>
      </w:r>
      <w:r>
        <w:t xml:space="preserve"> </w:t>
      </w:r>
      <w:r>
        <w:t xml:space="preserve">on the application of the SFD and the FCD, including in relation to the se of DLT, this option</w:t>
      </w:r>
      <w:r>
        <w:t xml:space="preserve"> </w:t>
      </w:r>
      <w:r>
        <w:t xml:space="preserve">would help to enable the development of settlement structures and ensure equal treatment of</w:t>
      </w:r>
      <w:r>
        <w:t xml:space="preserve"> </w:t>
      </w:r>
      <w:r>
        <w:t xml:space="preserve">financial instruments, independently of whether they are created on DLT and would therefore</w:t>
      </w:r>
      <w:r>
        <w:t xml:space="preserve"> </w:t>
      </w:r>
      <w:r>
        <w:t xml:space="preserve">contribute to a more competitive and innovative market. Overall, this option would promote</w:t>
      </w:r>
      <w:r>
        <w:t xml:space="preserve"> </w:t>
      </w:r>
      <w:r>
        <w:t xml:space="preserve">innovation, effective supervision, and market integration, making it a useful step towards</w:t>
      </w:r>
      <w:r>
        <w:t xml:space="preserve"> </w:t>
      </w:r>
      <w:r>
        <w:t xml:space="preserve">achieving the objectives of the package.</w:t>
      </w:r>
      <w:r>
        <w:t xml:space="preserve"> </w:t>
      </w:r>
      <w:r>
        <w:t xml:space="preserve">Option 2.2 (SFD): Conflict-of-law rule</w:t>
      </w:r>
      <w:r>
        <w:t xml:space="preserve"> </w:t>
      </w:r>
      <w:r>
        <w:t xml:space="preserve">The option to complement and further develop the existing conflict-of-law to allow a uniform</w:t>
      </w:r>
      <w:r>
        <w:t xml:space="preserve"> </w:t>
      </w:r>
      <w:r>
        <w:t xml:space="preserve">interpretation by Member States would allow increasing legal certainty as to the applicable</w:t>
      </w:r>
      <w:r>
        <w:t xml:space="preserve"> </w:t>
      </w:r>
      <w:r>
        <w:t xml:space="preserve">legal regime in case of conflicts regarding cross-border securities transactions. It would also</w:t>
      </w:r>
      <w:r>
        <w:t xml:space="preserve"> </w:t>
      </w:r>
      <w:r>
        <w:t xml:space="preserve">prevent market fragmentation arising from different national determinations as to the</w:t>
      </w:r>
      <w:r>
        <w:t xml:space="preserve"> </w:t>
      </w:r>
      <w:r>
        <w:t xml:space="preserve">applicable legal regime to cross-border securities transactions. This would lead to significant</w:t>
      </w:r>
      <w:r>
        <w:t xml:space="preserve"> </w:t>
      </w:r>
      <w:r>
        <w:t xml:space="preserve">cost savings for market participants, both in terms of seeking costly legal opinions and in</w:t>
      </w:r>
      <w:r>
        <w:t xml:space="preserve"> </w:t>
      </w:r>
      <w:r>
        <w:t xml:space="preserve">ensuring compliance with multiple legal regimes with different requirements. Increased legal</w:t>
      </w:r>
      <w:r>
        <w:t xml:space="preserve"> </w:t>
      </w:r>
      <w:r>
        <w:t xml:space="preserve">certainty and the above-mentioned cost savings would facilitate cross-border transactions and</w:t>
      </w:r>
      <w:r>
        <w:t xml:space="preserve"> </w:t>
      </w:r>
      <w:r>
        <w:t xml:space="preserve">attract non-EU investors.</w:t>
      </w:r>
      <w:r>
        <w:br/>
      </w:r>
      <w:r>
        <w:t xml:space="preserve">These benefits would also extend to DLT-based systems. It is to be noted that in the 2021</w:t>
      </w:r>
      <w:r>
        <w:t xml:space="preserve"> </w:t>
      </w:r>
      <w:r>
        <w:t xml:space="preserve">consultation, the majority of those who responded (i.e. 23 respondents out of 30) replied that</w:t>
      </w:r>
      <w:r>
        <w:t xml:space="preserve"> </w:t>
      </w:r>
      <w:r>
        <w:t xml:space="preserve">the concept of ‘conflict of laws’ should be clarified or amended to apply explicitly in a</w:t>
      </w:r>
      <w:r>
        <w:t xml:space="preserve"> </w:t>
      </w:r>
      <w:r>
        <w:t xml:space="preserve">permissioned DLT context. Several respondents pointed to the fact that conflict of law issues</w:t>
      </w:r>
      <w:r>
        <w:t xml:space="preserve"> </w:t>
      </w:r>
      <w:r>
        <w:t xml:space="preserve">in the DLT context could arise from challenges in identifying the location of the asset (e.g. for</w:t>
      </w:r>
      <w:r>
        <w:t xml:space="preserve"> </w:t>
      </w:r>
      <w:r>
        <w:t xml:space="preserve">exchange or transfer crypto-assets), or the participants (e.g. in permissionless DLT system) or</w:t>
      </w:r>
      <w:r>
        <w:t xml:space="preserve"> </w:t>
      </w:r>
      <w:r>
        <w:t xml:space="preserve">the location of the register or account (in which Member State; where the relevant entries are</w:t>
      </w:r>
      <w:r>
        <w:t xml:space="preserve"> </w:t>
      </w:r>
      <w:r>
        <w:t xml:space="preserve">made or maintained, are not meaningful concept, as the register or account could be stored on</w:t>
      </w:r>
      <w:r>
        <w:t xml:space="preserve"> </w:t>
      </w:r>
      <w:r>
        <w:t xml:space="preserve">every node in a DLT network). Instead, they argued that governing law should be determined</w:t>
      </w:r>
      <w:r>
        <w:t xml:space="preserve"> </w:t>
      </w:r>
      <w:r>
        <w:t xml:space="preserve">by the location of the central authority (Place of the Relevant Operating Authority approach,</w:t>
      </w:r>
      <w:r>
        <w:t xml:space="preserve"> </w:t>
      </w:r>
      <w:r>
        <w:t xml:space="preserve">Place of the Relevant Intermediary approach set out in Article 9(2) of SFD) and one said that</w:t>
      </w:r>
      <w:r>
        <w:t xml:space="preserve"> </w:t>
      </w:r>
      <w:r>
        <w:t xml:space="preserve">if there is no central operator, by the rules of the system. One respondent considered it best to</w:t>
      </w:r>
      <w:r>
        <w:t xml:space="preserve"> </w:t>
      </w:r>
      <w:r>
        <w:t xml:space="preserve">enable participants in a system to agree on the governing law, but to avoid forum shopping</w:t>
      </w:r>
      <w:r>
        <w:t xml:space="preserve"> </w:t>
      </w:r>
      <w:r>
        <w:t xml:space="preserve">there may be a need for regulatory constraints. Other respondents pointed out that this area of</w:t>
      </w:r>
      <w:r>
        <w:t xml:space="preserve"> </w:t>
      </w:r>
      <w:r>
        <w:t xml:space="preserve">uncertainty has implications beyond the SFD and may require attention at an international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In the 2025 targeted consultation, there was also general consensus throughout respondents</w:t>
      </w:r>
      <w:r>
        <w:t xml:space="preserve"> </w:t>
      </w:r>
      <w:r>
        <w:t xml:space="preserve">which provided some explanations in their responses, that the current conflict of law rule in</w:t>
      </w:r>
      <w:r>
        <w:t xml:space="preserve"> </w:t>
      </w:r>
      <w:r>
        <w:t xml:space="preserve">SFD should be clarified and/or adapted for DLT-based systems, in particular, since there is a</w:t>
      </w:r>
      <w:r>
        <w:t xml:space="preserve"> </w:t>
      </w:r>
      <w:r>
        <w:t xml:space="preserve">general concern or uncertainty regarding how to define where the account or register is located</w:t>
      </w:r>
      <w:r>
        <w:t xml:space="preserve"> </w:t>
      </w:r>
      <w:r>
        <w:t xml:space="preserve">or maintained in the meaning of SFD and FCD. Some respondents were in favour of having</w:t>
      </w:r>
      <w:r>
        <w:t xml:space="preserve"> </w:t>
      </w:r>
      <w:r>
        <w:t xml:space="preserve">only one conflict of law rule for both traditional and DLT-based systems (though with further</w:t>
      </w:r>
      <w:r>
        <w:t xml:space="preserve"> </w:t>
      </w:r>
      <w:r>
        <w:t xml:space="preserve">clarification for the latter), and some pointed out that the main connecting factor should be the</w:t>
      </w:r>
    </w:p>
    <w:p>
      <w:pPr>
        <w:pStyle w:val="BodyText"/>
      </w:pPr>
      <w:r>
        <w:t xml:space="preserve">268</w:t>
      </w:r>
      <w:r>
        <w:t xml:space="preserve"> </w:t>
      </w:r>
      <w:r>
        <w:t xml:space="preserve">place of the operating authority of the system in permissioned systems. Other criteria should</w:t>
      </w:r>
      <w:r>
        <w:t xml:space="preserve"> </w:t>
      </w:r>
      <w:r>
        <w:t xml:space="preserve">be developed for permissionless systems.</w:t>
      </w:r>
      <w:r>
        <w:br/>
      </w:r>
      <w:r>
        <w:t xml:space="preserve">All types of stakeholders would be positively affected by the increased legal certainty arising</w:t>
      </w:r>
      <w:r>
        <w:t xml:space="preserve"> </w:t>
      </w:r>
      <w:r>
        <w:t xml:space="preserve">from the proposed conflict-of-law rule in the new SFR. The costs of this option would be</w:t>
      </w:r>
      <w:r>
        <w:t xml:space="preserve"> </w:t>
      </w:r>
      <w:r>
        <w:t xml:space="preserve">minimal, mainly consisting of costs for Member States action to align their national laws in</w:t>
      </w:r>
      <w:r>
        <w:t xml:space="preserve"> </w:t>
      </w:r>
      <w:r>
        <w:t xml:space="preserve">case it is not in line with the revised and potentially extended conflict-of-law rule in the SFR.</w:t>
      </w:r>
      <w:r>
        <w:t xml:space="preserve"> </w:t>
      </w:r>
      <w:r>
        <w:t xml:space="preserve">At the same time, stakeholders would enjoy significant savings from the lack of necessary legal</w:t>
      </w:r>
      <w:r>
        <w:t xml:space="preserve"> </w:t>
      </w:r>
      <w:r>
        <w:t xml:space="preserve">opinions in the future and the need to comply with different legal requirements in different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This option is coherent with the objectives of the SIU, as it would promote a more integrated,</w:t>
      </w:r>
      <w:r>
        <w:t xml:space="preserve"> </w:t>
      </w:r>
      <w:r>
        <w:t xml:space="preserve">efficient, and innovative EU capital market. This option would help reduce fragmentation and</w:t>
      </w:r>
      <w:r>
        <w:t xml:space="preserve"> </w:t>
      </w:r>
      <w:r>
        <w:t xml:space="preserve">promote a more harmonised market, which is in line with the broader goals of the SIU. Overall,</w:t>
      </w:r>
      <w:r>
        <w:t xml:space="preserve"> </w:t>
      </w:r>
      <w:r>
        <w:t xml:space="preserve">this option would promote innovation and market integration, making it a useful step towards</w:t>
      </w:r>
      <w:r>
        <w:t xml:space="preserve"> </w:t>
      </w:r>
      <w:r>
        <w:t xml:space="preserve">achieving the objectives of the package.</w:t>
      </w:r>
      <w:r>
        <w:t xml:space="preserve"> </w:t>
      </w:r>
      <w:r>
        <w:t xml:space="preserve">Option 2.3 (SFD): Participation of EU entities in third-country systems</w:t>
      </w:r>
      <w:r>
        <w:t xml:space="preserve"> </w:t>
      </w:r>
      <w:r>
        <w:t xml:space="preserve">This option would formalise and harmonise the process for extending the protections of the</w:t>
      </w:r>
      <w:r>
        <w:t xml:space="preserve"> </w:t>
      </w:r>
      <w:r>
        <w:t xml:space="preserve">SFR to EU participants in third-country systems. In doing so, it would ensure a level playing</w:t>
      </w:r>
      <w:r>
        <w:t xml:space="preserve"> </w:t>
      </w:r>
      <w:r>
        <w:t xml:space="preserve">field for participants from different Member States, ensuring that they could participate in those</w:t>
      </w:r>
      <w:r>
        <w:t xml:space="preserve"> </w:t>
      </w:r>
      <w:r>
        <w:t xml:space="preserve">systems or that they would not be subject to higher collateral requirements, as the case may be.</w:t>
      </w:r>
      <w:r>
        <w:t xml:space="preserve"> </w:t>
      </w:r>
      <w:r>
        <w:t xml:space="preserve">As such, this option would contribute to market integration as – on the one hand - a formalised</w:t>
      </w:r>
      <w:r>
        <w:t xml:space="preserve"> </w:t>
      </w:r>
      <w:r>
        <w:t xml:space="preserve">and harmonised process ensures clear standards and sets out what market participants can</w:t>
      </w:r>
      <w:r>
        <w:t xml:space="preserve"> </w:t>
      </w:r>
      <w:r>
        <w:t xml:space="preserve">expect across Member States and – on the other hand – ensure a streamlining of access</w:t>
      </w:r>
      <w:r>
        <w:t xml:space="preserve"> </w:t>
      </w:r>
      <w:r>
        <w:t xml:space="preserve">conditions for all EU-institutions participating in a third-country system,</w:t>
      </w:r>
      <w:r>
        <w:br/>
      </w:r>
      <w:r>
        <w:t xml:space="preserve">Respondents to the 2025 targeted consultation considered that the lack of or inconsistent</w:t>
      </w:r>
      <w:r>
        <w:t xml:space="preserve"> </w:t>
      </w:r>
      <w:r>
        <w:t xml:space="preserve">requirements as concerns SFD protections to institutions participating in third-country systems</w:t>
      </w:r>
      <w:r>
        <w:t xml:space="preserve"> </w:t>
      </w:r>
      <w:r>
        <w:t xml:space="preserve">could be a barrier or at best create an unlevel playing field since some EU entities may benefit</w:t>
      </w:r>
      <w:r>
        <w:t xml:space="preserve"> </w:t>
      </w:r>
      <w:r>
        <w:t xml:space="preserve">from protection while others not. Moreover, around half expressed concerns about the lack of</w:t>
      </w:r>
      <w:r>
        <w:t xml:space="preserve"> </w:t>
      </w:r>
      <w:r>
        <w:t xml:space="preserve">transparency in the designation of third-country systems. Some of the respondents noted that</w:t>
      </w:r>
      <w:r>
        <w:t xml:space="preserve"> </w:t>
      </w:r>
      <w:r>
        <w:t xml:space="preserve">the SFD should be amended to provide for a harmonised EU-wide approach to designation for</w:t>
      </w:r>
      <w:r>
        <w:t xml:space="preserve"> </w:t>
      </w:r>
      <w:r>
        <w:t xml:space="preserve">third-country systems, allowing participants from all EU Member States to benefit from the</w:t>
      </w:r>
      <w:r>
        <w:t xml:space="preserve"> </w:t>
      </w:r>
      <w:r>
        <w:t xml:space="preserve">protections of the SFD where they participate in third-country systems, and to consider whether</w:t>
      </w:r>
      <w:r>
        <w:t xml:space="preserve"> </w:t>
      </w:r>
      <w:r>
        <w:t xml:space="preserve">an EU approach or a national approach would be best.</w:t>
      </w:r>
      <w:r>
        <w:br/>
      </w:r>
      <w:r>
        <w:t xml:space="preserve">It was also noted that the lack of transparency about which jurisdictions have extended</w:t>
      </w:r>
      <w:r>
        <w:t xml:space="preserve"> </w:t>
      </w:r>
      <w:r>
        <w:t xml:space="preserve">protection could discourage institutions’ cross border participation. This opacity may lead to</w:t>
      </w:r>
      <w:r>
        <w:t xml:space="preserve"> </w:t>
      </w:r>
      <w:r>
        <w:t xml:space="preserve">legal uncertainty for EU entities participating in or interacting with these systems and result in</w:t>
      </w:r>
      <w:r>
        <w:t xml:space="preserve"> </w:t>
      </w:r>
      <w:r>
        <w:t xml:space="preserve">an uneven playing field. ESMA or the Commission could maintain a public list.</w:t>
      </w:r>
      <w:r>
        <w:br/>
      </w:r>
      <w:r>
        <w:t xml:space="preserve">In the targeted consultation in 2021, the large majority (41 respondents) thought that EU entities</w:t>
      </w:r>
      <w:r>
        <w:t xml:space="preserve"> </w:t>
      </w:r>
      <w:r>
        <w:t xml:space="preserve">that participate in third-country systems should benefit from protection under the SFD (three</w:t>
      </w:r>
      <w:r>
        <w:t xml:space="preserve"> </w:t>
      </w:r>
      <w:r>
        <w:t xml:space="preserve">disagreed and 28 did not reply or expressed an opinion). Respondents said such an extended</w:t>
      </w:r>
      <w:r>
        <w:t xml:space="preserve"> </w:t>
      </w:r>
      <w:r>
        <w:t xml:space="preserve">protection would be important for financial stability and ensure that EU participants are granted</w:t>
      </w:r>
      <w:r>
        <w:t xml:space="preserve"> </w:t>
      </w:r>
      <w:r>
        <w:t xml:space="preserve">access to third-country systems. According to confidential information received from</w:t>
      </w:r>
      <w:r>
        <w:t xml:space="preserve"> </w:t>
      </w:r>
      <w:r>
        <w:t xml:space="preserve">stakeholders, some EU stakeholders have been refused access to third-country systems because</w:t>
      </w:r>
      <w:r>
        <w:t xml:space="preserve"> </w:t>
      </w:r>
      <w:r>
        <w:t xml:space="preserve">of the lack of SFD-like protections in their Member State. Moreover, 22 respondents favoured</w:t>
      </w:r>
      <w:r>
        <w:t xml:space="preserve"> </w:t>
      </w:r>
      <w:r>
        <w:t xml:space="preserve">a solution where the criteria for SFD-like protection would be set at EU level, but the decisions</w:t>
      </w:r>
      <w:r>
        <w:t xml:space="preserve"> </w:t>
      </w:r>
      <w:r>
        <w:t xml:space="preserve">to extend SFD-like protections would continue to be taken at the level of the Member States.</w:t>
      </w:r>
    </w:p>
    <w:p>
      <w:pPr>
        <w:pStyle w:val="BodyText"/>
      </w:pPr>
      <w:r>
        <w:t xml:space="preserve">269</w:t>
      </w:r>
      <w:r>
        <w:t xml:space="preserve"> </w:t>
      </w:r>
      <w:r>
        <w:t xml:space="preserve">In those respondents’ view, this solution would be greater harmonisation within the EU but</w:t>
      </w:r>
      <w:r>
        <w:t xml:space="preserve"> </w:t>
      </w:r>
      <w:r>
        <w:t xml:space="preserve">give the possibility to consider national market characteristics and laws. This was the most</w:t>
      </w:r>
      <w:r>
        <w:t xml:space="preserve"> </w:t>
      </w:r>
      <w:r>
        <w:t xml:space="preserve">favoured option to cater for participation of EU entities in third-country systems.</w:t>
      </w:r>
      <w:r>
        <w:t xml:space="preserve"> </w:t>
      </w:r>
      <w:r>
        <w:t xml:space="preserve">This option would be beneficial both for EU participants in third-country systems and for third-</w:t>
      </w:r>
      <w:r>
        <w:t xml:space="preserve"> </w:t>
      </w:r>
      <w:r>
        <w:t xml:space="preserve">country systems in which EU entities participate. In particular, EU participants would save the</w:t>
      </w:r>
      <w:r>
        <w:t xml:space="preserve"> </w:t>
      </w:r>
      <w:r>
        <w:t xml:space="preserve">costs of the higher collateral requirements required by third-country systems if the SFR</w:t>
      </w:r>
      <w:r>
        <w:t xml:space="preserve"> </w:t>
      </w:r>
      <w:r>
        <w:t xml:space="preserve">protections would not be applicable to EU entities participating in those systems. Third-country</w:t>
      </w:r>
      <w:r>
        <w:t xml:space="preserve"> </w:t>
      </w:r>
      <w:r>
        <w:t xml:space="preserve">systems would benefit from the SFR protections in case of insolvency of an EU participant.</w:t>
      </w:r>
      <w:r>
        <w:t xml:space="preserve"> </w:t>
      </w:r>
      <w:r>
        <w:t xml:space="preserve">The costs of this option would be comprised of the costs for Member States to adjust to the</w:t>
      </w:r>
      <w:r>
        <w:t xml:space="preserve"> </w:t>
      </w:r>
      <w:r>
        <w:t xml:space="preserve">new process.</w:t>
      </w:r>
      <w:r>
        <w:t xml:space="preserve"> </w:t>
      </w:r>
      <w:r>
        <w:t xml:space="preserve">Option 2.4 (SFD): Scope of participants</w:t>
      </w:r>
      <w:r>
        <w:t xml:space="preserve"> </w:t>
      </w:r>
      <w:r>
        <w:t xml:space="preserve">Harmonising the list of eligible participants, as envisaged under this option, would ensure that</w:t>
      </w:r>
      <w:r>
        <w:t xml:space="preserve"> </w:t>
      </w:r>
      <w:r>
        <w:t xml:space="preserve">the scope of protection under the SFR is the same across Member States. This would reduce</w:t>
      </w:r>
      <w:r>
        <w:t xml:space="preserve"> </w:t>
      </w:r>
      <w:r>
        <w:t xml:space="preserve">the legal uncertainty that exists today and would help market participants avoid costs for legal</w:t>
      </w:r>
      <w:r>
        <w:t xml:space="preserve"> </w:t>
      </w:r>
      <w:r>
        <w:t xml:space="preserve">opinions as well as facilitate cross-border access to other systems because of reduced legal</w:t>
      </w:r>
      <w:r>
        <w:t xml:space="preserve"> </w:t>
      </w:r>
      <w:r>
        <w:t xml:space="preserve">uncertainty related to participation in those systems. Consequently, it would enable further</w:t>
      </w:r>
      <w:r>
        <w:t xml:space="preserve"> </w:t>
      </w:r>
      <w:r>
        <w:t xml:space="preserve">market integration and increase cross-border activity. This option would also benefit DLT-</w:t>
      </w:r>
      <w:r>
        <w:t xml:space="preserve"> </w:t>
      </w:r>
      <w:r>
        <w:t xml:space="preserve">based systems as it would allow them to be designated under the SFR and hence benefit from</w:t>
      </w:r>
      <w:r>
        <w:t xml:space="preserve"> </w:t>
      </w:r>
      <w:r>
        <w:t xml:space="preserve">its protections. Some stakeholders noted in this respect that the current scope of participants in</w:t>
      </w:r>
      <w:r>
        <w:t xml:space="preserve"> </w:t>
      </w:r>
      <w:r>
        <w:t xml:space="preserve">the SFD may constitute a barrier for new entrants.</w:t>
      </w:r>
      <w:r>
        <w:t xml:space="preserve"> </w:t>
      </w:r>
      <w:r>
        <w:t xml:space="preserve">The costs of this option would largely be limited to costs for Member States to amend their</w:t>
      </w:r>
      <w:r>
        <w:t xml:space="preserve"> </w:t>
      </w:r>
      <w:r>
        <w:t xml:space="preserve">legislation, if necessary. Unless a Member State would have extended the list of eligible</w:t>
      </w:r>
      <w:r>
        <w:t xml:space="preserve"> </w:t>
      </w:r>
      <w:r>
        <w:t xml:space="preserve">participants beyond what would be covered under this option, there would not be any</w:t>
      </w:r>
      <w:r>
        <w:t xml:space="preserve"> </w:t>
      </w:r>
      <w:r>
        <w:t xml:space="preserve">significant impacts for the operators of those systems or the participants in those systems.</w:t>
      </w:r>
      <w:r>
        <w:t xml:space="preserve"> </w:t>
      </w:r>
      <w:r>
        <w:t xml:space="preserve">However, where a Member State has adopted a broad definition of participant under its national</w:t>
      </w:r>
      <w:r>
        <w:t xml:space="preserve"> </w:t>
      </w:r>
      <w:r>
        <w:t xml:space="preserve">law that would not fall within the harmonised definition of participant under the SFR, systems</w:t>
      </w:r>
      <w:r>
        <w:t xml:space="preserve"> </w:t>
      </w:r>
      <w:r>
        <w:t xml:space="preserve">and participants in that Member State would incur the costs of adjustment (including those</w:t>
      </w:r>
      <w:r>
        <w:t xml:space="preserve"> </w:t>
      </w:r>
      <w:r>
        <w:t xml:space="preserve">related to the exclusion of some of the participants from the system and its protections).</w:t>
      </w:r>
      <w:r>
        <w:t xml:space="preserve"> </w:t>
      </w:r>
      <w:r>
        <w:t xml:space="preserve">This option is coherent with the objectives of the SIU, as it would promote a more integrated,</w:t>
      </w:r>
      <w:r>
        <w:t xml:space="preserve"> </w:t>
      </w:r>
      <w:r>
        <w:t xml:space="preserve">efficient, and innovative EU capital market. This option would help reduce fragmentation and</w:t>
      </w:r>
      <w:r>
        <w:t xml:space="preserve"> </w:t>
      </w:r>
      <w:r>
        <w:t xml:space="preserve">promote a more harmonised market, which is in line with the broader goals of the SIU. Overall,</w:t>
      </w:r>
      <w:r>
        <w:t xml:space="preserve"> </w:t>
      </w:r>
      <w:r>
        <w:t xml:space="preserve">this option would promote innovation and market integration, making it a useful step towards</w:t>
      </w:r>
      <w:r>
        <w:t xml:space="preserve"> </w:t>
      </w:r>
      <w:r>
        <w:t xml:space="preserve">achieving the objectives of the package.</w:t>
      </w:r>
      <w:r>
        <w:t xml:space="preserve"> </w:t>
      </w:r>
      <w:r>
        <w:t xml:space="preserve">In the targeted consultation on the SFD in 2021, a majority (56 respondents) replied that the</w:t>
      </w:r>
      <w:r>
        <w:t xml:space="preserve"> </w:t>
      </w:r>
      <w:r>
        <w:t xml:space="preserve">list of eligible SFD participants should be extended; four said that the list should be modified</w:t>
      </w:r>
      <w:r>
        <w:t xml:space="preserve"> </w:t>
      </w:r>
      <w:r>
        <w:t xml:space="preserve">and two did not see any need for modifications. Some stakeholders pointed out that the SFD</w:t>
      </w:r>
      <w:r>
        <w:t xml:space="preserve"> </w:t>
      </w:r>
      <w:r>
        <w:t xml:space="preserve">covers two types of systems (payment systems and securities settlement systems) operated by</w:t>
      </w:r>
      <w:r>
        <w:t xml:space="preserve"> </w:t>
      </w:r>
      <w:r>
        <w:t xml:space="preserve">three types of market infrastructures (payment systems, CCPs and CSDs). In their view, each</w:t>
      </w:r>
      <w:r>
        <w:t xml:space="preserve"> </w:t>
      </w:r>
      <w:r>
        <w:t xml:space="preserve">system would require different types of modifications of SFD. The main feedback from that</w:t>
      </w:r>
      <w:r>
        <w:t xml:space="preserve"> </w:t>
      </w:r>
      <w:r>
        <w:t xml:space="preserve">consultation was the following:</w:t>
      </w:r>
      <w:r>
        <w:br/>
      </w:r>
      <w:r>
        <w:t xml:space="preserve"> Legal versus natural persons: A majority of respondents (31) said that only legal persons</w:t>
      </w:r>
      <w:r>
        <w:t xml:space="preserve"> </w:t>
      </w:r>
      <w:r>
        <w:t xml:space="preserve">should be allowed to participate; 10 did not consider such limitation useful and 31 did not</w:t>
      </w:r>
      <w:r>
        <w:t xml:space="preserve"> </w:t>
      </w:r>
      <w:r>
        <w:t xml:space="preserve">reply. Those opposed to such a limitation argued that natural persons should be eligible as</w:t>
      </w:r>
      <w:r>
        <w:t xml:space="preserve"> </w:t>
      </w:r>
      <w:r>
        <w:t xml:space="preserve">participants if they meet criteria under SFD (e.g. if they are authorised under MiFID2).</w:t>
      </w:r>
    </w:p>
    <w:p>
      <w:pPr>
        <w:pStyle w:val="BodyText"/>
      </w:pPr>
      <w:r>
        <w:t xml:space="preserve">270</w:t>
      </w:r>
      <w:r>
        <w:t xml:space="preserve"> </w:t>
      </w:r>
      <w:r>
        <w:t xml:space="preserve">Others said that it would not be justified to limit the possibility to take up certain activities</w:t>
      </w:r>
      <w:r>
        <w:t xml:space="preserve"> </w:t>
      </w:r>
      <w:r>
        <w:t xml:space="preserve">based only on the legal nature of the entity and specific criteria addressing potential issues</w:t>
      </w:r>
      <w:r>
        <w:t xml:space="preserve"> </w:t>
      </w:r>
      <w:r>
        <w:t xml:space="preserve">with the participation of natural persons in SFD systems should be considered, although</w:t>
      </w:r>
      <w:r>
        <w:t xml:space="preserve"> </w:t>
      </w:r>
      <w:r>
        <w:t xml:space="preserve">recognising that such specific criteria could result in complex and burdensome legislation.</w:t>
      </w:r>
      <w:r>
        <w:t xml:space="preserve"> </w:t>
      </w:r>
      <w:r>
        <w:t xml:space="preserve">Some said that participation of natural persons will in any event be exceptional as they are</w:t>
      </w:r>
      <w:r>
        <w:t xml:space="preserve"> </w:t>
      </w:r>
      <w:r>
        <w:t xml:space="preserve">normally unable to meet the rules and requirements of systems (e.g. capital, organizational</w:t>
      </w:r>
      <w:r>
        <w:t xml:space="preserve"> </w:t>
      </w:r>
      <w:r>
        <w:t xml:space="preserve">and technological requirements) and argued that there is no need to limit participation to</w:t>
      </w:r>
      <w:r>
        <w:t xml:space="preserve"> </w:t>
      </w:r>
      <w:r>
        <w:t xml:space="preserve">legal persons. Regarding systems based on Distributed Ledger Technology (‘DLT’), some</w:t>
      </w:r>
      <w:r>
        <w:t xml:space="preserve"> </w:t>
      </w:r>
      <w:r>
        <w:t xml:space="preserve">respondents pointed out that novel systems, potentially fostered by DLT, might render</w:t>
      </w:r>
      <w:r>
        <w:t xml:space="preserve"> </w:t>
      </w:r>
      <w:r>
        <w:t xml:space="preserve">designated systems accessible to natural persons too.</w:t>
      </w:r>
      <w:r>
        <w:br/>
      </w:r>
      <w:r>
        <w:t xml:space="preserve"> CSDs: All respondents that replied to the question (24 respondents) agreed to add CSDs to</w:t>
      </w:r>
      <w:r>
        <w:t xml:space="preserve"> </w:t>
      </w:r>
      <w:r>
        <w:t xml:space="preserve">the list of participants. No respondent disagreed. Respondents noted that although CSDs</w:t>
      </w:r>
      <w:r>
        <w:t xml:space="preserve"> </w:t>
      </w:r>
      <w:r>
        <w:t xml:space="preserve">are covered as ‘settlement agents’ and ‘system operators’, they should be added to the list</w:t>
      </w:r>
      <w:r>
        <w:t xml:space="preserve"> </w:t>
      </w:r>
      <w:r>
        <w:t xml:space="preserve">of participants in SFD to provide clarity and transparency, especially when a CSD</w:t>
      </w:r>
      <w:r>
        <w:t xml:space="preserve"> </w:t>
      </w:r>
      <w:r>
        <w:t xml:space="preserve">participate in another CSD as an investor CSD or in a third-country system. Some</w:t>
      </w:r>
      <w:r>
        <w:t xml:space="preserve"> </w:t>
      </w:r>
      <w:r>
        <w:t xml:space="preserve">respondents, mainly representing banks, thought that SFD finality should apply to any</w:t>
      </w:r>
      <w:r>
        <w:t xml:space="preserve"> </w:t>
      </w:r>
      <w:r>
        <w:t xml:space="preserve">transaction settling in a CSD, including CSDs acting as participants in other CSDs. A CCP</w:t>
      </w:r>
      <w:r>
        <w:t xml:space="preserve"> </w:t>
      </w:r>
      <w:r>
        <w:t xml:space="preserve">viewed that it would increase the protections for all systems to add CSDs to the list of</w:t>
      </w:r>
      <w:r>
        <w:t xml:space="preserve"> </w:t>
      </w:r>
      <w:r>
        <w:t xml:space="preserve">participants and it would be important to minimise conflicts between different settlement</w:t>
      </w:r>
      <w:r>
        <w:t xml:space="preserve"> </w:t>
      </w:r>
      <w:r>
        <w:t xml:space="preserve">finality provisions.</w:t>
      </w:r>
      <w:r>
        <w:br/>
      </w:r>
      <w:r>
        <w:t xml:space="preserve"> Criteria: On replacing or complementing the current list of eligible participants by a risk-</w:t>
      </w:r>
      <w:r>
        <w:t xml:space="preserve"> </w:t>
      </w:r>
      <w:r>
        <w:t xml:space="preserve">based approach to determine participation, 19 respondents replied that it would be too</w:t>
      </w:r>
      <w:r>
        <w:t xml:space="preserve"> </w:t>
      </w:r>
      <w:r>
        <w:t xml:space="preserve">difficult operationally and would jeopardize a risk-based approach; 12 respondents thought</w:t>
      </w:r>
      <w:r>
        <w:t xml:space="preserve"> </w:t>
      </w:r>
      <w:r>
        <w:t xml:space="preserve">that it could be a good idea as it would ensure that only entities which are systemically</w:t>
      </w:r>
      <w:r>
        <w:t xml:space="preserve"> </w:t>
      </w:r>
      <w:r>
        <w:t xml:space="preserve">important benefit from SFD protection, notwithstanding their legal form.</w:t>
      </w:r>
      <w:r>
        <w:t xml:space="preserve"> </w:t>
      </w:r>
      <w:r>
        <w:t xml:space="preserve">The feedback to the 2025 consultation was more general, with a few respondents pointing out</w:t>
      </w:r>
      <w:r>
        <w:t xml:space="preserve"> </w:t>
      </w:r>
      <w:r>
        <w:t xml:space="preserve">that a fixed list of participants may hinder innovation and discourage open-access models</w:t>
      </w:r>
      <w:r>
        <w:t xml:space="preserve"> </w:t>
      </w:r>
      <w:r>
        <w:t xml:space="preserve">including a broad range of participant types. One respondent noted that broadening the</w:t>
      </w:r>
      <w:r>
        <w:t xml:space="preserve"> </w:t>
      </w:r>
      <w:r>
        <w:t xml:space="preserve">potential participants in designated systems could open doors for new entrants and cross-border</w:t>
      </w:r>
      <w:r>
        <w:t xml:space="preserve"> </w:t>
      </w:r>
      <w:r>
        <w:t xml:space="preserve">consolidation of services. Other respondents had a different view and considered that the</w:t>
      </w:r>
      <w:r>
        <w:t xml:space="preserve"> </w:t>
      </w:r>
      <w:r>
        <w:t xml:space="preserve">current list of participants does not create any barrier to entrance.</w:t>
      </w:r>
      <w:r>
        <w:t xml:space="preserve"> </w:t>
      </w:r>
      <w:r>
        <w:t xml:space="preserve">Option 2.5 (SFD): Scope of eligible securities</w:t>
      </w:r>
      <w:r>
        <w:t xml:space="preserve"> </w:t>
      </w:r>
      <w:r>
        <w:t xml:space="preserve">This option would harmonise the scope of protection under the SFR and help market</w:t>
      </w:r>
      <w:r>
        <w:t xml:space="preserve"> </w:t>
      </w:r>
      <w:r>
        <w:t xml:space="preserve">participants to avoid costs for legal opinions and facilitate cross-border access to other systems</w:t>
      </w:r>
      <w:r>
        <w:t xml:space="preserve"> </w:t>
      </w:r>
      <w:r>
        <w:t xml:space="preserve">because of reduced legal uncertainty. It would also reduce market fragmentation since the same</w:t>
      </w:r>
      <w:r>
        <w:t xml:space="preserve"> </w:t>
      </w:r>
      <w:r>
        <w:t xml:space="preserve">types of securities would benefit from SFR protections across the EU and the costs of cross-</w:t>
      </w:r>
      <w:r>
        <w:t xml:space="preserve"> </w:t>
      </w:r>
      <w:r>
        <w:t xml:space="preserve">border transactions (please see Section 3.2.12 for more information on protections currently</w:t>
      </w:r>
      <w:r>
        <w:t xml:space="preserve"> </w:t>
      </w:r>
      <w:r>
        <w:t xml:space="preserve">provided by the SFD). DLT-based systems would also benefit from this option, as the expanded</w:t>
      </w:r>
      <w:r>
        <w:t xml:space="preserve"> </w:t>
      </w:r>
      <w:r>
        <w:t xml:space="preserve">scope would also cover DLT-based securities.</w:t>
      </w:r>
      <w:r>
        <w:t xml:space="preserve"> </w:t>
      </w:r>
      <w:r>
        <w:t xml:space="preserve">The costs of this option would largely be limited to costs for Member States to amend their</w:t>
      </w:r>
      <w:r>
        <w:t xml:space="preserve"> </w:t>
      </w:r>
      <w:r>
        <w:t xml:space="preserve">legislation, if necessary. Unless a Member State would have extended the list of eligible</w:t>
      </w:r>
      <w:r>
        <w:t xml:space="preserve"> </w:t>
      </w:r>
      <w:r>
        <w:t xml:space="preserve">securities beyond what would be covered under this option, there would not be any significant</w:t>
      </w:r>
      <w:r>
        <w:t xml:space="preserve"> </w:t>
      </w:r>
      <w:r>
        <w:t xml:space="preserve">impacts for the operators of those systems or the participants in those systems. In those Member</w:t>
      </w:r>
      <w:r>
        <w:t xml:space="preserve"> </w:t>
      </w:r>
      <w:r>
        <w:t xml:space="preserve">States, the harmonisation introduced by this option would cause adjustment costs for system</w:t>
      </w:r>
      <w:r>
        <w:t xml:space="preserve"> </w:t>
      </w:r>
      <w:r>
        <w:t xml:space="preserve">operators and market participants. Overall, the harmonisation will bring clarity on the scope of</w:t>
      </w:r>
      <w:r>
        <w:t xml:space="preserve"> </w:t>
      </w:r>
      <w:r>
        <w:t xml:space="preserve">the protection of the SFR in relation to eligible securities and will therefore, reduce legal</w:t>
      </w:r>
    </w:p>
    <w:p>
      <w:pPr>
        <w:pStyle w:val="BodyText"/>
      </w:pPr>
      <w:r>
        <w:t xml:space="preserve">271</w:t>
      </w:r>
      <w:r>
        <w:t xml:space="preserve"> </w:t>
      </w:r>
      <w:r>
        <w:t xml:space="preserve">fragmentation and reduce costs and thereby facilitate cross-border access to other systems and</w:t>
      </w:r>
      <w:r>
        <w:t xml:space="preserve"> </w:t>
      </w:r>
      <w:r>
        <w:t xml:space="preserve">cross-border transactions.</w:t>
      </w:r>
      <w:r>
        <w:t xml:space="preserve"> </w:t>
      </w:r>
      <w:r>
        <w:t xml:space="preserve">This option is coherent with the objectives of the SIU, as it would promote a more integrated,</w:t>
      </w:r>
      <w:r>
        <w:t xml:space="preserve"> </w:t>
      </w:r>
      <w:r>
        <w:t xml:space="preserve">efficient, and innovative EU capital market. This option would help reduce fragmentation and</w:t>
      </w:r>
      <w:r>
        <w:t xml:space="preserve"> </w:t>
      </w:r>
      <w:r>
        <w:t xml:space="preserve">promote a more harmonised market, which is in line with the broader goals of the SIU. Overall,</w:t>
      </w:r>
      <w:r>
        <w:t xml:space="preserve"> </w:t>
      </w:r>
      <w:r>
        <w:t xml:space="preserve">this option would promote innovation and market integration, making it a useful step towards</w:t>
      </w:r>
      <w:r>
        <w:t xml:space="preserve"> </w:t>
      </w:r>
      <w:r>
        <w:t xml:space="preserve">achieving the objectives of the package.</w:t>
      </w:r>
      <w:r>
        <w:t xml:space="preserve"> </w:t>
      </w:r>
      <w:r>
        <w:t xml:space="preserve">Although this issue was not explicitly asked in the 2025 targeted consultation, the issue was</w:t>
      </w:r>
      <w:r>
        <w:t xml:space="preserve"> </w:t>
      </w:r>
      <w:r>
        <w:t xml:space="preserve">raised by at least one stakeholder, who emphasised the need to harmonise eligible securities.</w:t>
      </w:r>
      <w:r>
        <w:t xml:space="preserve"> </w:t>
      </w:r>
      <w:r>
        <w:t xml:space="preserve">However, it is in line with the support for greater harmonisation that many stakeholders favour</w:t>
      </w:r>
      <w:r>
        <w:t xml:space="preserve"> </w:t>
      </w:r>
      <w:r>
        <w:t xml:space="preserve">in the 2025 consultation on SFD as mentioned and explained in more detail in section 6.2.2.</w:t>
      </w:r>
      <w:r>
        <w:t xml:space="preserve"> </w:t>
      </w:r>
      <w:r>
        <w:t xml:space="preserve">Option 2.6 (SFD): Designation practices for EU systems</w:t>
      </w:r>
      <w:r>
        <w:t xml:space="preserve"> </w:t>
      </w:r>
      <w:r>
        <w:t xml:space="preserve">This option would harmonise the designation process and conditions for EU systems under the</w:t>
      </w:r>
      <w:r>
        <w:t xml:space="preserve"> </w:t>
      </w:r>
      <w:r>
        <w:t xml:space="preserve">SFR. Combined with the closer involvement of ESMA and the ECB/ESCB, it would ensure a</w:t>
      </w:r>
      <w:r>
        <w:t xml:space="preserve"> </w:t>
      </w:r>
      <w:r>
        <w:t xml:space="preserve">level playing field, facilitate cross-border settlement and contribute to reduced fragmentation.</w:t>
      </w:r>
      <w:r>
        <w:t xml:space="preserve"> </w:t>
      </w:r>
      <w:r>
        <w:t xml:space="preserve">Since this option would also cover DLT-based systems, it would support innovation. This</w:t>
      </w:r>
      <w:r>
        <w:t xml:space="preserve"> </w:t>
      </w:r>
      <w:r>
        <w:t xml:space="preserve">option would address the uncertainty as to the applicable laws that stakeholder claim results</w:t>
      </w:r>
      <w:r>
        <w:t xml:space="preserve"> </w:t>
      </w:r>
      <w:r>
        <w:t xml:space="preserve">from the lack of harmonisation of the criteria used by Member States to designate systemically</w:t>
      </w:r>
      <w:r>
        <w:t xml:space="preserve"> </w:t>
      </w:r>
      <w:r>
        <w:t xml:space="preserve">important infrastructures and cause discrepancies in the entities covered by the settlement</w:t>
      </w:r>
      <w:r>
        <w:t xml:space="preserve"> </w:t>
      </w:r>
      <w:r>
        <w:t xml:space="preserve">finality protections.439</w:t>
      </w:r>
      <w:r>
        <w:t xml:space="preserve"> </w:t>
      </w:r>
      <w:r>
        <w:t xml:space="preserve">In the 2025 consultation, when asked whether diverging national practices for notifying</w:t>
      </w:r>
      <w:r>
        <w:t xml:space="preserve"> </w:t>
      </w:r>
      <w:r>
        <w:t xml:space="preserve">systems create an uneven level playing field or legal uncertainty, views were split with a slight</w:t>
      </w:r>
      <w:r>
        <w:t xml:space="preserve"> </w:t>
      </w:r>
      <w:r>
        <w:t xml:space="preserve">majority not viewing them as a barrier. In particular, while a respondent noted that there is</w:t>
      </w:r>
      <w:r>
        <w:t xml:space="preserve"> </w:t>
      </w:r>
      <w:r>
        <w:t xml:space="preserve">unlevel-playing field resulting from diverging national practices for notifying designated</w:t>
      </w:r>
      <w:r>
        <w:t xml:space="preserve"> </w:t>
      </w:r>
      <w:r>
        <w:t xml:space="preserve">systems under the SFD that can result in inconsistent protection levels and operational</w:t>
      </w:r>
      <w:r>
        <w:t xml:space="preserve"> </w:t>
      </w:r>
      <w:r>
        <w:t xml:space="preserve">requirements, disadvantaging certain systems and reducing overall market efficiency, this was</w:t>
      </w:r>
      <w:r>
        <w:t xml:space="preserve"> </w:t>
      </w:r>
      <w:r>
        <w:t xml:space="preserve">not the view of other respondents. Of those providing further input, two as well as a few</w:t>
      </w:r>
      <w:r>
        <w:t xml:space="preserve"> </w:t>
      </w:r>
      <w:r>
        <w:t xml:space="preserve">Finance Ministries/competent authorities expressed the view that diverging national practices</w:t>
      </w:r>
      <w:r>
        <w:t xml:space="preserve"> </w:t>
      </w:r>
      <w:r>
        <w:t xml:space="preserve">for notifying systems under the SFD can create an uneven playing field and lead to legal</w:t>
      </w:r>
      <w:r>
        <w:t xml:space="preserve"> </w:t>
      </w:r>
      <w:r>
        <w:t xml:space="preserve">uncertainty. One example provided was the absence of a clear definition of the term ‘adequacy</w:t>
      </w:r>
      <w:r>
        <w:t xml:space="preserve"> </w:t>
      </w:r>
      <w:r>
        <w:t xml:space="preserve">of the rules of the system’ (see Art. 2 (a) SFD). Differences in how Member States interpret</w:t>
      </w:r>
      <w:r>
        <w:t xml:space="preserve"> </w:t>
      </w:r>
      <w:r>
        <w:t xml:space="preserve">and implement notification procedures may result in inconsistent protection levels and</w:t>
      </w:r>
      <w:r>
        <w:t xml:space="preserve"> </w:t>
      </w:r>
      <w:r>
        <w:t xml:space="preserve">operational requirements, disadvantaging certain systems and reducing overall market</w:t>
      </w:r>
      <w:r>
        <w:t xml:space="preserve"> </w:t>
      </w:r>
      <w:r>
        <w:t xml:space="preserve">efficiency.</w:t>
      </w:r>
      <w:r>
        <w:br/>
      </w:r>
      <w:r>
        <w:t xml:space="preserve">This option would entail some costs for Member States, as they would have to adjust their</w:t>
      </w:r>
      <w:r>
        <w:t xml:space="preserve"> </w:t>
      </w:r>
      <w:r>
        <w:t xml:space="preserve">designation processes. The need to re-designate already designated systems under the new</w:t>
      </w:r>
      <w:r>
        <w:t xml:space="preserve"> </w:t>
      </w:r>
      <w:r>
        <w:t xml:space="preserve">conditions would likely entail some costs, although those should be contained for both Member</w:t>
      </w:r>
      <w:r>
        <w:t xml:space="preserve"> </w:t>
      </w:r>
      <w:r>
        <w:t xml:space="preserve">States and system operators as most of the information needed for re-designation should</w:t>
      </w:r>
      <w:r>
        <w:t xml:space="preserve"> </w:t>
      </w:r>
      <w:r>
        <w:t xml:space="preserve">already be available to Member States. Strengthening ESMA’s and the ECB/ESCB’s role may</w:t>
      </w:r>
      <w:r>
        <w:t xml:space="preserve"> </w:t>
      </w:r>
      <w:r>
        <w:t xml:space="preserve">require some additional resources to fulfil their new tasks.</w:t>
      </w:r>
    </w:p>
    <w:p>
      <w:pPr>
        <w:pStyle w:val="BodyText"/>
      </w:pPr>
      <w:r>
        <w:t xml:space="preserve">439 Response to the 2025 targeted consultation by an association of stakeholders.</w:t>
      </w:r>
    </w:p>
    <w:p>
      <w:pPr>
        <w:pStyle w:val="BodyText"/>
      </w:pPr>
      <w:r>
        <w:t xml:space="preserve">272</w:t>
      </w:r>
      <w:r>
        <w:t xml:space="preserve"> </w:t>
      </w:r>
      <w:r>
        <w:t xml:space="preserve">This option is coherent with the objectives of the SIU, as it would promote a more integrated,</w:t>
      </w:r>
      <w:r>
        <w:t xml:space="preserve"> </w:t>
      </w:r>
      <w:r>
        <w:t xml:space="preserve">efficient, and innovative EU capital market. Some stakeholders also noted that improving the</w:t>
      </w:r>
      <w:r>
        <w:t xml:space="preserve"> </w:t>
      </w:r>
      <w:r>
        <w:t xml:space="preserve">clarity of the designation process would foster mutual trust across jurisdictions. This option</w:t>
      </w:r>
      <w:r>
        <w:t xml:space="preserve"> </w:t>
      </w:r>
      <w:r>
        <w:t xml:space="preserve">would help reduce fragmentation and promote a more harmonised market, which is in line with</w:t>
      </w:r>
      <w:r>
        <w:t xml:space="preserve"> </w:t>
      </w:r>
      <w:r>
        <w:t xml:space="preserve">the broader goals of the SIU. Overall, this option would promote innovation and market</w:t>
      </w:r>
      <w:r>
        <w:t xml:space="preserve"> </w:t>
      </w:r>
      <w:r>
        <w:t xml:space="preserve">integration, making it a useful step towards achieving the objectives of the package.</w:t>
      </w:r>
      <w:r>
        <w:t xml:space="preserve"> </w:t>
      </w:r>
      <w:r>
        <w:t xml:space="preserve">Option 2.7 (SFD): Transparency</w:t>
      </w:r>
      <w:r>
        <w:t xml:space="preserve"> </w:t>
      </w:r>
      <w:r>
        <w:t xml:space="preserve">This option would increase transparency on the scope of settlement finality protections in a</w:t>
      </w:r>
      <w:r>
        <w:t xml:space="preserve"> </w:t>
      </w:r>
      <w:r>
        <w:t xml:space="preserve">harmonised way across Member States. It would address the current market fragmentation</w:t>
      </w:r>
      <w:r>
        <w:t xml:space="preserve"> </w:t>
      </w:r>
      <w:r>
        <w:t xml:space="preserve">resulting from the current information asymmetry. At the same time, this option would allow</w:t>
      </w:r>
      <w:r>
        <w:t xml:space="preserve"> </w:t>
      </w:r>
      <w:r>
        <w:t xml:space="preserve">market participants across Members States to obtain a comprehensive picture of the systems</w:t>
      </w:r>
      <w:r>
        <w:t xml:space="preserve"> </w:t>
      </w:r>
      <w:r>
        <w:t xml:space="preserve">protected under the SFR and the scope of the protections for each of those systems. This would,</w:t>
      </w:r>
      <w:r>
        <w:t xml:space="preserve"> </w:t>
      </w:r>
      <w:r>
        <w:t xml:space="preserve">in turn, foster trust in designated systems, including DLT-based systems.</w:t>
      </w:r>
      <w:r>
        <w:br/>
      </w:r>
      <w:r>
        <w:t xml:space="preserve">The majority of respondents to the 2025 targeted consultation considered that a centralised</w:t>
      </w:r>
      <w:r>
        <w:t xml:space="preserve"> </w:t>
      </w:r>
      <w:r>
        <w:t xml:space="preserve">overview over the insolvency of participants of all SFD designated systems is not needed or</w:t>
      </w:r>
      <w:r>
        <w:t xml:space="preserve"> </w:t>
      </w:r>
      <w:r>
        <w:t xml:space="preserve">that its absence does not create a legal barrier.</w:t>
      </w:r>
      <w:r>
        <w:br/>
      </w:r>
      <w:r>
        <w:t xml:space="preserve">However, more transparency could enhance legal certainty and facilitate the assessment of risk</w:t>
      </w:r>
      <w:r>
        <w:t xml:space="preserve"> </w:t>
      </w:r>
      <w:r>
        <w:t xml:space="preserve">exposure. In this respect, several respondents to the 2025 targeted consultation noted that</w:t>
      </w:r>
      <w:r>
        <w:t xml:space="preserve"> </w:t>
      </w:r>
      <w:r>
        <w:t xml:space="preserve">further transparency would also increase competition among designated systems in the EU. In</w:t>
      </w:r>
      <w:r>
        <w:t xml:space="preserve"> </w:t>
      </w:r>
      <w:r>
        <w:t xml:space="preserve">particular, the reduction in legal uncertainty would encourage cross-border membership in</w:t>
      </w:r>
      <w:r>
        <w:t xml:space="preserve"> </w:t>
      </w:r>
      <w:r>
        <w:t xml:space="preserve">designated systems. Consequently, cross-border activity would be increased and would</w:t>
      </w:r>
      <w:r>
        <w:t xml:space="preserve"> </w:t>
      </w:r>
      <w:r>
        <w:t xml:space="preserve">facilitate further market integration and scale effects. It would also foster confidence in DLT-</w:t>
      </w:r>
      <w:r>
        <w:t xml:space="preserve"> </w:t>
      </w:r>
      <w:r>
        <w:t xml:space="preserve">based systems designated under the SFR and therefore facilitate innovation.</w:t>
      </w:r>
      <w:r>
        <w:br/>
      </w:r>
      <w:r>
        <w:t xml:space="preserve">The reluctance of some market players to provide further transparency on some elements, e.g. </w:t>
      </w:r>
      <w:r>
        <w:t xml:space="preserve"> </w:t>
      </w:r>
      <w:r>
        <w:t xml:space="preserve">on the rules of the systems and on their participants, based on the commercial or confidential</w:t>
      </w:r>
      <w:r>
        <w:t xml:space="preserve"> </w:t>
      </w:r>
      <w:r>
        <w:t xml:space="preserve">nature of this information, may be nuanced by adopting the appropriate levels of disclosure, in</w:t>
      </w:r>
      <w:r>
        <w:t xml:space="preserve"> </w:t>
      </w:r>
      <w:r>
        <w:t xml:space="preserve">particular when participants can be natural persons (the fact that some CSDs currently already</w:t>
      </w:r>
      <w:r>
        <w:t xml:space="preserve"> </w:t>
      </w:r>
      <w:r>
        <w:t xml:space="preserve">publish a list of their participants would seem to indicate that disclosure is possible). Several</w:t>
      </w:r>
      <w:r>
        <w:t xml:space="preserve"> </w:t>
      </w:r>
      <w:r>
        <w:t xml:space="preserve">respondents (9) to the targeted consultation expressed concerns about the commercial</w:t>
      </w:r>
      <w:r>
        <w:t xml:space="preserve"> </w:t>
      </w:r>
      <w:r>
        <w:t xml:space="preserve">sensitivity of this data and noted that CSD participants already have the necessary access to</w:t>
      </w:r>
      <w:r>
        <w:t xml:space="preserve"> </w:t>
      </w:r>
      <w:r>
        <w:t xml:space="preserve">counterparty information in the CSD for purposes of their use of the CSD services. Others</w:t>
      </w:r>
      <w:r>
        <w:t xml:space="preserve"> </w:t>
      </w:r>
      <w:r>
        <w:t xml:space="preserve">noted that for certain information, iit would be better to have a targeted and confidential</w:t>
      </w:r>
      <w:r>
        <w:t xml:space="preserve"> </w:t>
      </w:r>
      <w:r>
        <w:t xml:space="preserve">communication framework between competent authorities and infrastructure operators.</w:t>
      </w:r>
      <w:r>
        <w:br/>
      </w:r>
      <w:r>
        <w:t xml:space="preserve">The related cost for publishing the additional information would be rather limited for system</w:t>
      </w:r>
      <w:r>
        <w:t xml:space="preserve"> </w:t>
      </w:r>
      <w:r>
        <w:t xml:space="preserve">operators, as the information to be published is to a great extent already provided to the</w:t>
      </w:r>
      <w:r>
        <w:t xml:space="preserve"> </w:t>
      </w:r>
      <w:r>
        <w:t xml:space="preserve">designating authorities. ESMA might face slightly higher costs for personnel to do a quality</w:t>
      </w:r>
      <w:r>
        <w:t xml:space="preserve"> </w:t>
      </w:r>
      <w:r>
        <w:t xml:space="preserve">check of the additional information received as well as publishing it.</w:t>
      </w:r>
      <w:r>
        <w:t xml:space="preserve"> </w:t>
      </w:r>
      <w:r>
        <w:t xml:space="preserve">This option is coherent with the objectives of the SIU, as it would promote a more integrated,</w:t>
      </w:r>
      <w:r>
        <w:t xml:space="preserve"> </w:t>
      </w:r>
      <w:r>
        <w:t xml:space="preserve">efficient, and innovative EU capital market. This option would help reduce fragmentation and</w:t>
      </w:r>
      <w:r>
        <w:t xml:space="preserve"> </w:t>
      </w:r>
      <w:r>
        <w:t xml:space="preserve">promote a more harmonised market, which is in line with the broader goals of the SIU. Overall,</w:t>
      </w:r>
      <w:r>
        <w:t xml:space="preserve"> </w:t>
      </w:r>
      <w:r>
        <w:t xml:space="preserve">this option would promote innovation and market integration, making it a useful step towards</w:t>
      </w:r>
      <w:r>
        <w:t xml:space="preserve"> </w:t>
      </w:r>
      <w:r>
        <w:t xml:space="preserve">achieving the objectives of the package.</w:t>
      </w:r>
      <w:r>
        <w:t xml:space="preserve"> </w:t>
      </w:r>
      <w:r>
        <w:t xml:space="preserve">Option 2.8 (SFD): Settlement finality moments</w:t>
      </w:r>
    </w:p>
    <w:p>
      <w:pPr>
        <w:pStyle w:val="BodyText"/>
      </w:pPr>
      <w:r>
        <w:t xml:space="preserve">273</w:t>
      </w:r>
      <w:r>
        <w:t xml:space="preserve"> </w:t>
      </w:r>
      <w:r>
        <w:t xml:space="preserve">The harmonisation of the settlement finality moments, at least for certain systems such as</w:t>
      </w:r>
      <w:r>
        <w:t xml:space="preserve"> </w:t>
      </w:r>
      <w:r>
        <w:t xml:space="preserve">CSDs, would tackle potential market fragmentation resulting from different requirements and</w:t>
      </w:r>
      <w:r>
        <w:t xml:space="preserve"> </w:t>
      </w:r>
      <w:r>
        <w:t xml:space="preserve">practices across Member States and systems. At the same time, harmonisation would facilitate</w:t>
      </w:r>
      <w:r>
        <w:t xml:space="preserve"> </w:t>
      </w:r>
      <w:r>
        <w:t xml:space="preserve">interoperability and the set-up of CSD links, and therefore it would support cross-border</w:t>
      </w:r>
      <w:r>
        <w:t xml:space="preserve"> </w:t>
      </w:r>
      <w:r>
        <w:t xml:space="preserve">settlement. However, for other types of systems covered by the SFR the level of harmonisation</w:t>
      </w:r>
      <w:r>
        <w:t xml:space="preserve"> </w:t>
      </w:r>
      <w:r>
        <w:t xml:space="preserve">would be lower and would focus on common factors established by the SFR to ensure the</w:t>
      </w:r>
      <w:r>
        <w:t xml:space="preserve"> </w:t>
      </w:r>
      <w:r>
        <w:t xml:space="preserve">technical moments already defined in different types of systems remains valid. Since this option</w:t>
      </w:r>
      <w:r>
        <w:t xml:space="preserve"> </w:t>
      </w:r>
      <w:r>
        <w:t xml:space="preserve">would clarify the common factors for settlement finality moments also for DLT-based systems,</w:t>
      </w:r>
      <w:r>
        <w:t xml:space="preserve"> </w:t>
      </w:r>
      <w:r>
        <w:t xml:space="preserve">it would encourage innovation and accessibility to the protection under the SFR.</w:t>
      </w:r>
      <w:r>
        <w:t xml:space="preserve"> </w:t>
      </w:r>
      <w:r>
        <w:t xml:space="preserve">In particular, as the harmonisation of the core terms of the moment of entry into the system and</w:t>
      </w:r>
      <w:r>
        <w:t xml:space="preserve"> </w:t>
      </w:r>
      <w:r>
        <w:t xml:space="preserve">of irrevocability could take into account the specificities of the different types of systems and</w:t>
      </w:r>
      <w:r>
        <w:t xml:space="preserve"> </w:t>
      </w:r>
      <w:r>
        <w:t xml:space="preserve">also cater for the specificities of DLT-based systems, and, where relevant, the current</w:t>
      </w:r>
      <w:r>
        <w:t xml:space="preserve"> </w:t>
      </w:r>
      <w:r>
        <w:t xml:space="preserve">operationalisation of settlement finality moments in the existing CSD links and other</w:t>
      </w:r>
      <w:r>
        <w:t xml:space="preserve"> </w:t>
      </w:r>
      <w:r>
        <w:t xml:space="preserve">interoperability arrangements between designated systems – e.g. for CSDs the determination</w:t>
      </w:r>
      <w:r>
        <w:t xml:space="preserve"> </w:t>
      </w:r>
      <w:r>
        <w:t xml:space="preserve">should be in line with the settlement moments in T2S – this option would not involve</w:t>
      </w:r>
      <w:r>
        <w:t xml:space="preserve"> </w:t>
      </w:r>
      <w:r>
        <w:t xml:space="preserve">substantial changes and/or costs for the existing EU systems. At the same time, it would address</w:t>
      </w:r>
      <w:r>
        <w:t xml:space="preserve"> </w:t>
      </w:r>
      <w:r>
        <w:t xml:space="preserve">the complexities stemming from different finality moments in different systems that cross-</w:t>
      </w:r>
      <w:r>
        <w:t xml:space="preserve"> </w:t>
      </w:r>
      <w:r>
        <w:t xml:space="preserve">border participants operating in multiple systems need to deal with. This option would also</w:t>
      </w:r>
      <w:r>
        <w:t xml:space="preserve"> </w:t>
      </w:r>
      <w:r>
        <w:t xml:space="preserve">mitigate the uncertainties regarding the finality in cross-system transactions where the finality</w:t>
      </w:r>
      <w:r>
        <w:t xml:space="preserve"> </w:t>
      </w:r>
      <w:r>
        <w:t xml:space="preserve">moments are not aligned, claimed by some stakeholders.440</w:t>
      </w:r>
      <w:r>
        <w:br/>
      </w:r>
      <w:r>
        <w:t xml:space="preserve">In the 2021 consultation on SFD, a majority (20 respondents) agreed that the SFD should</w:t>
      </w:r>
      <w:r>
        <w:t xml:space="preserve"> </w:t>
      </w:r>
      <w:r>
        <w:t xml:space="preserve">clearly stipulate the legal duty for SFD systems to specify the moments of entry and</w:t>
      </w:r>
      <w:r>
        <w:t xml:space="preserve"> </w:t>
      </w:r>
      <w:r>
        <w:t xml:space="preserve">irrevocability and when settlement is enforceable and irrevocable; eight disagreed; two were</w:t>
      </w:r>
      <w:r>
        <w:t xml:space="preserve"> </w:t>
      </w:r>
      <w:r>
        <w:t xml:space="preserve">neutral and 42 did not reply or express an opinion. The 2025 targeted consultation feedback</w:t>
      </w:r>
      <w:r>
        <w:t xml:space="preserve"> </w:t>
      </w:r>
      <w:r>
        <w:t xml:space="preserve">was more nuanced with diverging views regarding whether the lack of harmonised settlement</w:t>
      </w:r>
      <w:r>
        <w:t xml:space="preserve"> </w:t>
      </w:r>
      <w:r>
        <w:t xml:space="preserve">finality moments creates legal uncertainty or prevents the development of the single market.</w:t>
      </w:r>
      <w:r>
        <w:t xml:space="preserve"> </w:t>
      </w:r>
      <w:r>
        <w:t xml:space="preserve">Those favouring more specifications, considered the SFD should specify the moment of entry</w:t>
      </w:r>
      <w:r>
        <w:t xml:space="preserve"> </w:t>
      </w:r>
      <w:r>
        <w:t xml:space="preserve">into the system and irrevocability, and where the settlement is enforceable and irrevocable to</w:t>
      </w:r>
      <w:r>
        <w:t xml:space="preserve"> </w:t>
      </w:r>
      <w:r>
        <w:t xml:space="preserve">avoid uncertainty, in particular with respect to third-country systems and interoperable systems</w:t>
      </w:r>
      <w:r>
        <w:t xml:space="preserve"> </w:t>
      </w:r>
      <w:r>
        <w:t xml:space="preserve">(which are increasingly important) where irrevocability of the cash and security legs is not</w:t>
      </w:r>
      <w:r>
        <w:t xml:space="preserve"> </w:t>
      </w:r>
      <w:r>
        <w:t xml:space="preserve">simultaneous. These stakeholders (which included banks, investment firms, associations of</w:t>
      </w:r>
      <w:r>
        <w:t xml:space="preserve"> </w:t>
      </w:r>
      <w:r>
        <w:t xml:space="preserve">different types of stakeholders, Member States and innovative companies) noted that further</w:t>
      </w:r>
      <w:r>
        <w:t xml:space="preserve"> </w:t>
      </w:r>
      <w:r>
        <w:t xml:space="preserve">harmonisation would enhance legal certainty in the provision of cross-border services through</w:t>
      </w:r>
      <w:r>
        <w:t xml:space="preserve"> </w:t>
      </w:r>
      <w:r>
        <w:t xml:space="preserve">CSD (interoperable) links, as well as settlement certainty and efficiency across the Union,</w:t>
      </w:r>
      <w:r>
        <w:t xml:space="preserve"> </w:t>
      </w:r>
      <w:r>
        <w:t xml:space="preserve">which would contribute in the end to making the EU a more attractive market, with reduction</w:t>
      </w:r>
      <w:r>
        <w:t xml:space="preserve"> </w:t>
      </w:r>
      <w:r>
        <w:t xml:space="preserve">in costs and the risk mitigation needed in the settlement space. Cross-border participants</w:t>
      </w:r>
      <w:r>
        <w:t xml:space="preserve"> </w:t>
      </w:r>
      <w:r>
        <w:t xml:space="preserve">operating in multiple systems, must understand and manage different points of finality in each</w:t>
      </w:r>
      <w:r>
        <w:t xml:space="preserve"> </w:t>
      </w:r>
      <w:r>
        <w:t xml:space="preserve">market, which creates complexity. The costs of these barriers are mostly hidden risk and</w:t>
      </w:r>
      <w:r>
        <w:t xml:space="preserve"> </w:t>
      </w:r>
      <w:r>
        <w:t xml:space="preserve">complexity – participants may avoid connecting to certain systems or demand higher collateral</w:t>
      </w:r>
      <w:r>
        <w:t xml:space="preserve"> </w:t>
      </w:r>
      <w:r>
        <w:t xml:space="preserve">to cover potential legal risk, which reduces efficiency. Finally, it was also noted that it may be</w:t>
      </w:r>
      <w:r>
        <w:t xml:space="preserve"> </w:t>
      </w:r>
      <w:r>
        <w:t xml:space="preserve">beneficial to integrate settlement finality provisions within the CSDR framework.</w:t>
      </w:r>
    </w:p>
    <w:p>
      <w:pPr>
        <w:pStyle w:val="BodyText"/>
      </w:pPr>
      <w:r>
        <w:t xml:space="preserve">Several respondents opposing further clarifications argued that SFD is sufficiently clear and</w:t>
      </w:r>
      <w:r>
        <w:t xml:space="preserve"> </w:t>
      </w:r>
      <w:r>
        <w:t xml:space="preserve">has provided a stable legal framework that has worked so far. The objective of SFD is to ensure</w:t>
      </w:r>
    </w:p>
    <w:p>
      <w:pPr>
        <w:pStyle w:val="BodyText"/>
      </w:pPr>
      <w:r>
        <w:t xml:space="preserve">440 Response to the 2025 targeted consultation by an association of stakeholders.</w:t>
      </w:r>
    </w:p>
    <w:p>
      <w:pPr>
        <w:pStyle w:val="BodyText"/>
      </w:pPr>
      <w:r>
        <w:t xml:space="preserve">274</w:t>
      </w:r>
      <w:r>
        <w:t xml:space="preserve"> </w:t>
      </w:r>
      <w:r>
        <w:t xml:space="preserve">that the settlement in a system can continue despite a participant’s insolvency. The system</w:t>
      </w:r>
      <w:r>
        <w:t xml:space="preserve"> </w:t>
      </w:r>
      <w:r>
        <w:t xml:space="preserve">therefore needs to have clear rules to which insolvency law can refer, but the SFD should not</w:t>
      </w:r>
      <w:r>
        <w:t xml:space="preserve"> </w:t>
      </w:r>
      <w:r>
        <w:t xml:space="preserve">design those rules Other respondents considered the SFD should specify the moment of entry</w:t>
      </w:r>
      <w:r>
        <w:t xml:space="preserve"> </w:t>
      </w:r>
      <w:r>
        <w:t xml:space="preserve">into the system and irrevocability, and where the settlement is enforceable and irrevocable to</w:t>
      </w:r>
      <w:r>
        <w:t xml:space="preserve"> </w:t>
      </w:r>
      <w:r>
        <w:t xml:space="preserve">avoid uncertainty, in particular with respect to third-country systems and interoperable systems</w:t>
      </w:r>
      <w:r>
        <w:t xml:space="preserve"> </w:t>
      </w:r>
      <w:r>
        <w:t xml:space="preserve">(which are increasingly important) where irrevocability of the cash and security legs is not</w:t>
      </w:r>
      <w:r>
        <w:t xml:space="preserve"> </w:t>
      </w:r>
      <w:r>
        <w:t xml:space="preserve">simultaneous. Regulation could incentivise system operators to establish such rules.</w:t>
      </w:r>
      <w:r>
        <w:br/>
      </w:r>
      <w:r>
        <w:t xml:space="preserve">Finally, one stakeholder pointed out the limitations of further harmonisation noting that the</w:t>
      </w:r>
      <w:r>
        <w:t xml:space="preserve"> </w:t>
      </w:r>
      <w:r>
        <w:t xml:space="preserve">harmonisation of settlement finality moments is also linked to the harmonisation of securities</w:t>
      </w:r>
      <w:r>
        <w:t xml:space="preserve"> </w:t>
      </w:r>
      <w:r>
        <w:t xml:space="preserve">laws and insolvency laws. In their view, only with clarity about when transfers of securities</w:t>
      </w:r>
      <w:r>
        <w:t xml:space="preserve"> </w:t>
      </w:r>
      <w:r>
        <w:t xml:space="preserve">and cash become unconditional, irrevocable and enforceable (in all EU jurisdictions), a real</w:t>
      </w:r>
      <w:r>
        <w:t xml:space="preserve"> </w:t>
      </w:r>
      <w:r>
        <w:t xml:space="preserve">break-through would be achieved.</w:t>
      </w:r>
      <w:r>
        <w:t xml:space="preserve"> </w:t>
      </w:r>
      <w:r>
        <w:t xml:space="preserve">This option is coherent with the objectives of the SIU, as it would promote a more integrated,</w:t>
      </w:r>
      <w:r>
        <w:t xml:space="preserve"> </w:t>
      </w:r>
      <w:r>
        <w:t xml:space="preserve">efficient, and innovative EU capital market. This option would help reduce fragmentation and</w:t>
      </w:r>
      <w:r>
        <w:t xml:space="preserve"> </w:t>
      </w:r>
      <w:r>
        <w:t xml:space="preserve">promote a more harmonised market, which is in line with the broader goals of the SIU. Overall,</w:t>
      </w:r>
      <w:r>
        <w:t xml:space="preserve"> </w:t>
      </w:r>
      <w:r>
        <w:t xml:space="preserve">this option would promote innovation and market integration, making it a useful step towards</w:t>
      </w:r>
      <w:r>
        <w:t xml:space="preserve"> </w:t>
      </w:r>
      <w:r>
        <w:t xml:space="preserve">achieving the objectives of the package.</w:t>
      </w:r>
      <w:r>
        <w:t xml:space="preserve"> </w:t>
      </w:r>
      <w:r>
        <w:t xml:space="preserve">6.2.3. Option 3 (SFD) – Extensive review to impose an integrated market</w:t>
      </w:r>
      <w:r>
        <w:t xml:space="preserve"> </w:t>
      </w:r>
      <w:r>
        <w:t xml:space="preserve">As with Option 2, conversion into a Regulation with greater harmonisation would bring</w:t>
      </w:r>
      <w:r>
        <w:t xml:space="preserve"> </w:t>
      </w:r>
      <w:r>
        <w:t xml:space="preserve">benefits. See also Section 6.2 above.</w:t>
      </w:r>
      <w:r>
        <w:br/>
      </w:r>
      <w:r>
        <w:t xml:space="preserve">Option 3.1 (SFD): Legal certainty for digital innovation</w:t>
      </w:r>
      <w:r>
        <w:t xml:space="preserve"> </w:t>
      </w:r>
      <w:r>
        <w:t xml:space="preserve">A large proportion of those respondents that provided detailed replies to the questions on this</w:t>
      </w:r>
      <w:r>
        <w:t xml:space="preserve"> </w:t>
      </w:r>
      <w:r>
        <w:t xml:space="preserve">topic in the targeted consultation supported provided greater legal certainty about the legal</w:t>
      </w:r>
      <w:r>
        <w:t xml:space="preserve"> </w:t>
      </w:r>
      <w:r>
        <w:t xml:space="preserve">status of tokenised securities, including rules around dematerialisation, transfer of ownership,</w:t>
      </w:r>
      <w:r>
        <w:t xml:space="preserve"> </w:t>
      </w:r>
      <w:r>
        <w:t xml:space="preserve">and finality, remains unclear or fragmented. They asked for legislation to explicitly recognise</w:t>
      </w:r>
      <w:r>
        <w:t xml:space="preserve"> </w:t>
      </w:r>
      <w:r>
        <w:t xml:space="preserve">digital tokens or ledger entries as carrying the same (or comparable) legal rights as traditional</w:t>
      </w:r>
      <w:r>
        <w:t xml:space="preserve"> </w:t>
      </w:r>
      <w:r>
        <w:t xml:space="preserve">securities, potentially by developing an optional EU-level legal framework for digital securities</w:t>
      </w:r>
      <w:r>
        <w:t xml:space="preserve"> </w:t>
      </w:r>
      <w:r>
        <w:t xml:space="preserve">(i.e. a 28th regime).441</w:t>
      </w:r>
      <w:r>
        <w:br/>
      </w:r>
      <w:r>
        <w:t xml:space="preserve">The additional measures contained in this option (compared to Option 2), while desirable, go</w:t>
      </w:r>
      <w:r>
        <w:t xml:space="preserve"> </w:t>
      </w:r>
      <w:r>
        <w:t xml:space="preserve">beyond the scope of the SFR and would warrant consideration as part of the SIU reflections on</w:t>
      </w:r>
      <w:r>
        <w:t xml:space="preserve"> </w:t>
      </w:r>
      <w:r>
        <w:t xml:space="preserve">a 28th regime, in line with what suggested by stakeholders, or the potential revisions of the</w:t>
      </w:r>
      <w:r>
        <w:t xml:space="preserve"> </w:t>
      </w:r>
      <w:r>
        <w:t xml:space="preserve">Shareholders Rights Directive.442</w:t>
      </w:r>
    </w:p>
    <w:p>
      <w:pPr>
        <w:pStyle w:val="BodyText"/>
      </w:pPr>
      <w:r>
        <w:t xml:space="preserve">441 They proposed creating a framework that would not replace national laws in their entirety. Rather, it could be</w:t>
      </w:r>
      <w:r>
        <w:t xml:space="preserve"> </w:t>
      </w:r>
      <w:r>
        <w:t xml:space="preserve">narrowly focused on critical legal aspects directly impacted by the shift to digital infrastructures, notably i) the</w:t>
      </w:r>
      <w:r>
        <w:t xml:space="preserve"> </w:t>
      </w:r>
      <w:r>
        <w:t xml:space="preserve">holding model, including the legal recognition of direct or indirect holding structures in DLT environments; and</w:t>
      </w:r>
      <w:r>
        <w:t xml:space="preserve"> </w:t>
      </w:r>
      <w:r>
        <w:t xml:space="preserve">ii) the legal certainty regarding the moment and conditions under which title is effectively transferred in DLT</w:t>
      </w:r>
      <w:r>
        <w:t xml:space="preserve"> </w:t>
      </w:r>
      <w:r>
        <w:t xml:space="preserve">environments.</w:t>
      </w:r>
      <w:r>
        <w:t xml:space="preserve"> </w:t>
      </w:r>
      <w:r>
        <w:t xml:space="preserve">442 “The Commission will assess the need for, and consider a potential review of the Shareholders Rights Directive</w:t>
      </w:r>
      <w:r>
        <w:t xml:space="preserve"> </w:t>
      </w:r>
      <w:r>
        <w:t xml:space="preserve">by Q4 2026 to make it easier for investors, intermediaries and issuers to operate across Member States”, Savings</w:t>
      </w:r>
      <w:r>
        <w:t xml:space="preserve"> </w:t>
      </w:r>
      <w:r>
        <w:t xml:space="preserve">and Investments Union , A Strategy to Foster Citizens’ Wealth and Economic Competitiveness in the EU,</w:t>
      </w:r>
      <w:r>
        <w:t xml:space="preserve"> </w:t>
      </w:r>
      <w:r>
        <w:t xml:space="preserve">Brussels, 19.3.2025, eur-lex.europa.eu/legal-content/EN/TXT/PDF/?uri=CELEX:52025DC0124,</w:t>
      </w:r>
    </w:p>
    <w:p>
      <w:pPr>
        <w:pStyle w:val="BodyText"/>
      </w:pPr>
      <w:r>
        <w:t xml:space="preserve">275</w:t>
      </w:r>
      <w:r>
        <w:t xml:space="preserve"> </w:t>
      </w:r>
      <w:r>
        <w:t xml:space="preserve">Option 3.2 (SFD): Conflict-of-law rule</w:t>
      </w:r>
      <w:r>
        <w:t xml:space="preserve"> </w:t>
      </w:r>
      <w:r>
        <w:t xml:space="preserve">This option, based on the conflict-of-law rule in the Hague Convention on the applicable law</w:t>
      </w:r>
      <w:r>
        <w:t xml:space="preserve"> </w:t>
      </w:r>
      <w:r>
        <w:t xml:space="preserve">to certain rights in respect of securities held with an intermediary, would increase legal certainty</w:t>
      </w:r>
      <w:r>
        <w:t xml:space="preserve"> </w:t>
      </w:r>
      <w:r>
        <w:t xml:space="preserve">and reduce the high costs of legal opinions and compliance with the requirements of different</w:t>
      </w:r>
      <w:r>
        <w:t xml:space="preserve"> </w:t>
      </w:r>
      <w:r>
        <w:t xml:space="preserve">legal regimes achieved to address legal uncertainty. However, market fragmentation would</w:t>
      </w:r>
      <w:r>
        <w:t xml:space="preserve"> </w:t>
      </w:r>
      <w:r>
        <w:t xml:space="preserve">remain as the applicable legal regime would vary from one system to another, due to the choice</w:t>
      </w:r>
      <w:r>
        <w:t xml:space="preserve"> </w:t>
      </w:r>
      <w:r>
        <w:t xml:space="preserve">of law element of the conflict of law of the Hague Convention. This would likely also have a</w:t>
      </w:r>
      <w:r>
        <w:t xml:space="preserve"> </w:t>
      </w:r>
      <w:r>
        <w:t xml:space="preserve">negative impact on the overall protection of the system as it could result in fragmentation in</w:t>
      </w:r>
      <w:r>
        <w:t xml:space="preserve"> </w:t>
      </w:r>
      <w:r>
        <w:t xml:space="preserve">the way the different laws chosen by parties ensure protection under the SFR. These issues</w:t>
      </w:r>
      <w:r>
        <w:t xml:space="preserve"> </w:t>
      </w:r>
      <w:r>
        <w:t xml:space="preserve">were also pointed out by the ECB in its Opinion concerning the signing of the Hague</w:t>
      </w:r>
      <w:r>
        <w:t xml:space="preserve"> </w:t>
      </w:r>
      <w:r>
        <w:t xml:space="preserve">Convention on the Law applicable to certain rights in respect of securities held with an</w:t>
      </w:r>
      <w:r>
        <w:t xml:space="preserve"> </w:t>
      </w:r>
      <w:r>
        <w:t xml:space="preserve">intermediary.443</w:t>
      </w:r>
      <w:r>
        <w:t xml:space="preserve"> </w:t>
      </w:r>
      <w:r>
        <w:t xml:space="preserve">As such, this option would not be fully in line with the SIU objective of increasing market</w:t>
      </w:r>
      <w:r>
        <w:t xml:space="preserve"> </w:t>
      </w:r>
      <w:r>
        <w:t xml:space="preserve">integration and efficiency. Moreover, this option would involve a complete change from the</w:t>
      </w:r>
      <w:r>
        <w:t xml:space="preserve"> </w:t>
      </w:r>
      <w:r>
        <w:t xml:space="preserve">existing conflict of laws contained in the SFD and the FCD, which none of the respondents to</w:t>
      </w:r>
      <w:r>
        <w:t xml:space="preserve"> </w:t>
      </w:r>
      <w:r>
        <w:t xml:space="preserve">the 2025 targeted consultation requested. Instead, further clarification of the existing conflict</w:t>
      </w:r>
      <w:r>
        <w:t xml:space="preserve"> </w:t>
      </w:r>
      <w:r>
        <w:t xml:space="preserve">of laws rule and in particular as regards DLT-systems seem to be more appropriate.</w:t>
      </w:r>
      <w:r>
        <w:t xml:space="preserve"> </w:t>
      </w:r>
      <w:r>
        <w:t xml:space="preserve">Option 3.3 (SFD): Participation of EU entities in third-country systems</w:t>
      </w:r>
      <w:r>
        <w:t xml:space="preserve"> </w:t>
      </w:r>
      <w:r>
        <w:t xml:space="preserve">To empower ESMA (for securities settlement systems) and the ECB/ESCB (for payment</w:t>
      </w:r>
      <w:r>
        <w:t xml:space="preserve"> </w:t>
      </w:r>
      <w:r>
        <w:t xml:space="preserve">systems) the assess and register third-country systems under the SFR would ensure maximum</w:t>
      </w:r>
      <w:r>
        <w:t xml:space="preserve"> </w:t>
      </w:r>
      <w:r>
        <w:t xml:space="preserve">harmonisation, both of processes and criteria used for decisions. It would also have the</w:t>
      </w:r>
      <w:r>
        <w:t xml:space="preserve"> </w:t>
      </w:r>
      <w:r>
        <w:t xml:space="preserve">advantage that decisions would be automatically applicable throughout the EU. However,</w:t>
      </w:r>
      <w:r>
        <w:t xml:space="preserve"> </w:t>
      </w:r>
      <w:r>
        <w:t xml:space="preserve">given that the assessment needs to be undertaken in relation to national insolvency law, they</w:t>
      </w:r>
      <w:r>
        <w:t xml:space="preserve"> </w:t>
      </w:r>
      <w:r>
        <w:t xml:space="preserve">may not be very familiar with national insolvency laws of all the Member States [or would</w:t>
      </w:r>
      <w:r>
        <w:t xml:space="preserve"> </w:t>
      </w:r>
      <w:r>
        <w:t xml:space="preserve">have to obtain legal knowledge in this area], this may make their work challenging. In terms of</w:t>
      </w:r>
      <w:r>
        <w:t xml:space="preserve"> </w:t>
      </w:r>
      <w:r>
        <w:t xml:space="preserve">costs, ESMA and the ECB/ESCB would need to be given substantial resources to take up this</w:t>
      </w:r>
      <w:r>
        <w:t xml:space="preserve"> </w:t>
      </w:r>
      <w:r>
        <w:t xml:space="preserve">new role.</w:t>
      </w:r>
      <w:r>
        <w:t xml:space="preserve"> </w:t>
      </w:r>
      <w:r>
        <w:t xml:space="preserve">In the 2021 consultation on SFD, stakeholders saw the benefits as well as the drawbacks of this</w:t>
      </w:r>
      <w:r>
        <w:t xml:space="preserve"> </w:t>
      </w:r>
      <w:r>
        <w:t xml:space="preserve">option. While respondents favoured a solution where criteria for SFD-like protections would</w:t>
      </w:r>
      <w:r>
        <w:t xml:space="preserve"> </w:t>
      </w:r>
      <w:r>
        <w:t xml:space="preserve">be set at EU level, but the decisions to extend SFD-like protections would be taken at the level</w:t>
      </w:r>
      <w:r>
        <w:t xml:space="preserve"> </w:t>
      </w:r>
      <w:r>
        <w:t xml:space="preserve">of the Member States, respondents considered that decisions to extend SFD-like protections to</w:t>
      </w:r>
      <w:r>
        <w:t xml:space="preserve"> </w:t>
      </w:r>
      <w:r>
        <w:t xml:space="preserve">third-country systems to be taken at EU level on the basis of EU-wide criteria as a second-best</w:t>
      </w:r>
      <w:r>
        <w:t xml:space="preserve"> </w:t>
      </w:r>
      <w:r>
        <w:t xml:space="preserve">option, as it would ensure a level playing field in the EU and predictability for market</w:t>
      </w:r>
    </w:p>
    <w:p>
      <w:pPr>
        <w:pStyle w:val="BodyText"/>
      </w:pPr>
      <w:r>
        <w:t xml:space="preserve">443 “Indeed, determining the law applicable to the rights resulting from book-entry securities on the basis of the</w:t>
      </w:r>
      <w:r>
        <w:t xml:space="preserve"> </w:t>
      </w:r>
      <w:r>
        <w:t xml:space="preserve">law chosen in the agreement between the SSS or CSD and its account holder could theoretically lead to various</w:t>
      </w:r>
      <w:r>
        <w:t xml:space="preserve"> </w:t>
      </w:r>
      <w:r>
        <w:t xml:space="preserve">laws governing these proprietary aspects within one SSS or CSD, including one or more laws from outside the</w:t>
      </w:r>
      <w:r>
        <w:t xml:space="preserve"> </w:t>
      </w:r>
      <w:r>
        <w:t xml:space="preserve">jurisdiction where the SSS or CSD is located or even from outside the Community. If these laws are not</w:t>
      </w:r>
      <w:r>
        <w:t xml:space="preserve"> </w:t>
      </w:r>
      <w:r>
        <w:t xml:space="preserve">harmonised, the effects of such diversity on settlement finality, in particular where the law(s) chosen in the account</w:t>
      </w:r>
      <w:r>
        <w:t xml:space="preserve"> </w:t>
      </w:r>
      <w:r>
        <w:t xml:space="preserve">agreement does not offer protection comparable to the protection under the Settlement Finality Directive, might</w:t>
      </w:r>
      <w:r>
        <w:t xml:space="preserve"> </w:t>
      </w:r>
      <w:r>
        <w:t xml:space="preserve">potentially endanger the soundness of the entire system and entail systemic risks”. Opinion of the European</w:t>
      </w:r>
      <w:r>
        <w:t xml:space="preserve"> </w:t>
      </w:r>
      <w:r>
        <w:t xml:space="preserve">Central Bank of 17 March 2005 at the request of the Council of the European Union on a proposal for a Council</w:t>
      </w:r>
      <w:r>
        <w:t xml:space="preserve"> </w:t>
      </w:r>
      <w:r>
        <w:t xml:space="preserve">decision concerning the signing of the Hague Convention on the Law applicable to certain rights in respect of</w:t>
      </w:r>
      <w:r>
        <w:t xml:space="preserve"> </w:t>
      </w:r>
      <w:r>
        <w:t xml:space="preserve">securities held with an intermediary (COM(2003) 783 final, OJ C 81/10.</w:t>
      </w:r>
    </w:p>
    <w:p>
      <w:pPr>
        <w:pStyle w:val="BodyText"/>
      </w:pPr>
      <w:r>
        <w:t xml:space="preserve">276</w:t>
      </w:r>
      <w:r>
        <w:t xml:space="preserve"> </w:t>
      </w:r>
      <w:r>
        <w:t xml:space="preserve">participants. However, the inability to consider national market characteristics and laws was</w:t>
      </w:r>
      <w:r>
        <w:t xml:space="preserve"> </w:t>
      </w:r>
      <w:r>
        <w:t xml:space="preserve">raised as a potential drawback of such solution.</w:t>
      </w:r>
      <w:r>
        <w:t xml:space="preserve"> </w:t>
      </w:r>
      <w:r>
        <w:t xml:space="preserve">As such, while this option would be in line with the SIU objective of increasing integration, it</w:t>
      </w:r>
      <w:r>
        <w:t xml:space="preserve"> </w:t>
      </w:r>
      <w:r>
        <w:t xml:space="preserve">may not be in line with the objective of efficiency and could lead to substantial delays and</w:t>
      </w:r>
      <w:r>
        <w:t xml:space="preserve"> </w:t>
      </w:r>
      <w:r>
        <w:t xml:space="preserve">costs.</w:t>
      </w:r>
      <w:r>
        <w:t xml:space="preserve"> </w:t>
      </w:r>
      <w:r>
        <w:t xml:space="preserve">Option 3.4 (SFD): Scope of participants</w:t>
      </w:r>
      <w:r>
        <w:br/>
      </w:r>
      <w:r>
        <w:t xml:space="preserve">Allowing system operators to choose who can participate in their systems would provide most</w:t>
      </w:r>
      <w:r>
        <w:t xml:space="preserve"> </w:t>
      </w:r>
      <w:r>
        <w:t xml:space="preserve">flexibility to system operators and ensure that they can quickly react to new market</w:t>
      </w:r>
      <w:r>
        <w:t xml:space="preserve"> </w:t>
      </w:r>
      <w:r>
        <w:t xml:space="preserve">developments, including the use of new technologies. In particular, it would provide DLT-based</w:t>
      </w:r>
      <w:r>
        <w:t xml:space="preserve"> </w:t>
      </w:r>
      <w:r>
        <w:t xml:space="preserve">systems with the ability to achieve protection under the SFR without the hurdles that exists</w:t>
      </w:r>
      <w:r>
        <w:t xml:space="preserve"> </w:t>
      </w:r>
      <w:r>
        <w:t xml:space="preserve">today as this option would enable the extension of the protections under the SFR to all DLT-</w:t>
      </w:r>
      <w:r>
        <w:t xml:space="preserve"> </w:t>
      </w:r>
      <w:r>
        <w:t xml:space="preserve">based system and their participants.</w:t>
      </w:r>
      <w:r>
        <w:br/>
      </w:r>
      <w:r>
        <w:t xml:space="preserve">Granting DLT-based systems and their participants protection without any conditions</w:t>
      </w:r>
      <w:r>
        <w:t xml:space="preserve"> </w:t>
      </w:r>
      <w:r>
        <w:t xml:space="preserve">applicable under sectoral legislation would further enable and support innovation. It could help</w:t>
      </w:r>
      <w:r>
        <w:t xml:space="preserve"> </w:t>
      </w:r>
      <w:r>
        <w:t xml:space="preserve">preserving systemic stability if the DLT-systems in question were to be considered systemically</w:t>
      </w:r>
      <w:r>
        <w:t xml:space="preserve"> </w:t>
      </w:r>
      <w:r>
        <w:t xml:space="preserve">important and could not be protected by the SFR if they would not be able to comply with the</w:t>
      </w:r>
      <w:r>
        <w:t xml:space="preserve"> </w:t>
      </w:r>
      <w:r>
        <w:t xml:space="preserve">SFR participation requirements.</w:t>
      </w:r>
      <w:r>
        <w:t xml:space="preserve"> </w:t>
      </w:r>
      <w:r>
        <w:t xml:space="preserve">While facilitating innovation, this option would, however, also come with less certainty to other</w:t>
      </w:r>
      <w:r>
        <w:t xml:space="preserve"> </w:t>
      </w:r>
      <w:r>
        <w:t xml:space="preserve">market participants as it would be less clear who could participate in which system. The</w:t>
      </w:r>
      <w:r>
        <w:t xml:space="preserve"> </w:t>
      </w:r>
      <w:r>
        <w:t xml:space="preserve">potentially diverging approaches would lead to more fragmented markets and would thus not</w:t>
      </w:r>
      <w:r>
        <w:t xml:space="preserve"> </w:t>
      </w:r>
      <w:r>
        <w:t xml:space="preserve">be in line with the objectives of the SIU. In addition, more divergences regarding the scope of</w:t>
      </w:r>
      <w:r>
        <w:t xml:space="preserve"> </w:t>
      </w:r>
      <w:r>
        <w:t xml:space="preserve">participants would make supervision more difficult. Consequently, this option would come</w:t>
      </w:r>
      <w:r>
        <w:t xml:space="preserve"> </w:t>
      </w:r>
      <w:r>
        <w:t xml:space="preserve">with high costs related to legal opinions which market participants might want to obtain before</w:t>
      </w:r>
      <w:r>
        <w:t xml:space="preserve"> </w:t>
      </w:r>
      <w:r>
        <w:t xml:space="preserve">participating in a system as well as significantly increased supervisory costs given the various</w:t>
      </w:r>
      <w:r>
        <w:t xml:space="preserve"> </w:t>
      </w:r>
      <w:r>
        <w:t xml:space="preserve">diverging aspects to consider for supervisors.</w:t>
      </w:r>
      <w:r>
        <w:t xml:space="preserve"> </w:t>
      </w:r>
      <w:r>
        <w:t xml:space="preserve">While a majority of respondents to the 2021 consultation on the SFD were in favour of</w:t>
      </w:r>
      <w:r>
        <w:t xml:space="preserve"> </w:t>
      </w:r>
      <w:r>
        <w:t xml:space="preserve">extending the list of participants, they also said that only legal persons should be allowed to</w:t>
      </w:r>
      <w:r>
        <w:t xml:space="preserve"> </w:t>
      </w:r>
      <w:r>
        <w:t xml:space="preserve">participate, thus limiting the potential eligible participation. (please see Section 6.2.2.4 for</w:t>
      </w:r>
      <w:r>
        <w:t xml:space="preserve"> </w:t>
      </w:r>
      <w:r>
        <w:t xml:space="preserve">more details regarding the consultation responses).</w:t>
      </w:r>
      <w:r>
        <w:t xml:space="preserve"> </w:t>
      </w:r>
      <w:r>
        <w:t xml:space="preserve">In the 2025 targeted consultation, specific views on participants were expressed by</w:t>
      </w:r>
      <w:r>
        <w:t xml:space="preserve"> </w:t>
      </w:r>
      <w:r>
        <w:t xml:space="preserve">respondents. For example, a bank argued that it is necessary to harmonise how different</w:t>
      </w:r>
      <w:r>
        <w:t xml:space="preserve"> </w:t>
      </w:r>
      <w:r>
        <w:t xml:space="preserve">Member States handle the insolvency of indirect participants under the SFD and financial</w:t>
      </w:r>
      <w:r>
        <w:t xml:space="preserve"> </w:t>
      </w:r>
      <w:r>
        <w:t xml:space="preserve">collateral rules. It also considered that payment and e-money institutions should be able to be</w:t>
      </w:r>
      <w:r>
        <w:t xml:space="preserve"> </w:t>
      </w:r>
      <w:r>
        <w:t xml:space="preserve">recognised as participants in a settlement system for SFD purposes.444 In this same vein, an</w:t>
      </w:r>
      <w:r>
        <w:t xml:space="preserve"> </w:t>
      </w:r>
      <w:r>
        <w:t xml:space="preserve">industry association claimed that the protection in Article 9(1) of SFD should be available to</w:t>
      </w:r>
      <w:r>
        <w:t xml:space="preserve"> </w:t>
      </w:r>
      <w:r>
        <w:t xml:space="preserve">clients of participants, in the event of the insolvency of that participant. A market authority</w:t>
      </w:r>
      <w:r>
        <w:t xml:space="preserve"> </w:t>
      </w:r>
      <w:r>
        <w:t xml:space="preserve">considered that limiting the participants of SFD-designated systems is adequate, as institutions,</w:t>
      </w:r>
      <w:r>
        <w:t xml:space="preserve"> </w:t>
      </w:r>
      <w:r>
        <w:t xml:space="preserve">as defined in Article 2 of the SFD are in many cases subject to special insolvency rules, namely</w:t>
      </w:r>
      <w:r>
        <w:t xml:space="preserve"> </w:t>
      </w:r>
      <w:r>
        <w:t xml:space="preserve">resolution. They were also not in favour of broadening the scope of participants to retail</w:t>
      </w:r>
    </w:p>
    <w:p>
      <w:pPr>
        <w:pStyle w:val="BodyText"/>
      </w:pPr>
      <w:r>
        <w:t xml:space="preserve">444 Please note that this is already the case following the amendments to the SFD introduced by Regulation (EU)</w:t>
      </w:r>
      <w:r>
        <w:t xml:space="preserve"> </w:t>
      </w:r>
      <w:r>
        <w:t xml:space="preserve">2024/886.</w:t>
      </w:r>
    </w:p>
    <w:p>
      <w:pPr>
        <w:pStyle w:val="BodyText"/>
      </w:pPr>
      <w:r>
        <w:t xml:space="preserve">277</w:t>
      </w:r>
      <w:r>
        <w:t xml:space="preserve"> </w:t>
      </w:r>
      <w:r>
        <w:t xml:space="preserve">investors as it may be the case potentially in infrastructures authorised under the DLTPRR, not</w:t>
      </w:r>
      <w:r>
        <w:t xml:space="preserve"> </w:t>
      </w:r>
      <w:r>
        <w:t xml:space="preserve">subject for example to insolvency law.</w:t>
      </w:r>
      <w:r>
        <w:t xml:space="preserve"> </w:t>
      </w:r>
      <w:r>
        <w:t xml:space="preserve">Another request put forward by respondents to the 2025 targeted consultation was to apply</w:t>
      </w:r>
      <w:r>
        <w:t xml:space="preserve"> </w:t>
      </w:r>
      <w:r>
        <w:t xml:space="preserve">settlement finality protections to all activity processed by the system (whether CSD, CCP or</w:t>
      </w:r>
      <w:r>
        <w:t xml:space="preserve"> </w:t>
      </w:r>
      <w:r>
        <w:t xml:space="preserve">payment system), independent of the regulatory status of the participant in the system. In the</w:t>
      </w:r>
      <w:r>
        <w:t xml:space="preserve"> </w:t>
      </w:r>
      <w:r>
        <w:t xml:space="preserve">case of CCPs, they wanted this protection to also cover clients and indirect clients (also in the</w:t>
      </w:r>
      <w:r>
        <w:t xml:space="preserve"> </w:t>
      </w:r>
      <w:r>
        <w:t xml:space="preserve">interest of safeguarding the default management procedures of CCPs, in particular the transfer</w:t>
      </w:r>
      <w:r>
        <w:t xml:space="preserve"> </w:t>
      </w:r>
      <w:r>
        <w:t xml:space="preserve">of client positions in the event of a default of a clearing member).</w:t>
      </w:r>
      <w:r>
        <w:t xml:space="preserve"> </w:t>
      </w:r>
      <w:r>
        <w:t xml:space="preserve">While this option would enable the market to respond to market developments and evolving</w:t>
      </w:r>
      <w:r>
        <w:t xml:space="preserve"> </w:t>
      </w:r>
      <w:r>
        <w:t xml:space="preserve">technologies, allowing the same disapplication of national insolvency law for retail investors</w:t>
      </w:r>
      <w:r>
        <w:t xml:space="preserve"> </w:t>
      </w:r>
      <w:r>
        <w:t xml:space="preserve">as for institutions could raise questions as the former are much less likely to have an impact on</w:t>
      </w:r>
      <w:r>
        <w:t xml:space="preserve"> </w:t>
      </w:r>
      <w:r>
        <w:t xml:space="preserve">the stability of the system. At the same time, it would be important for the market and other</w:t>
      </w:r>
      <w:r>
        <w:t xml:space="preserve"> </w:t>
      </w:r>
      <w:r>
        <w:t xml:space="preserve">participants to the system to have clarity on the scope of protection and that all participants to</w:t>
      </w:r>
      <w:r>
        <w:t xml:space="preserve"> </w:t>
      </w:r>
      <w:r>
        <w:t xml:space="preserve">the system would be protected (and not just some) as any discrepancies in the protection would</w:t>
      </w:r>
      <w:r>
        <w:t xml:space="preserve"> </w:t>
      </w:r>
      <w:r>
        <w:t xml:space="preserve">result in legal uncertainty on the scope of the protection provided under the SFR and result in</w:t>
      </w:r>
      <w:r>
        <w:t xml:space="preserve"> </w:t>
      </w:r>
      <w:r>
        <w:t xml:space="preserve">less trust in designated systems. It could further be argued that retail investors cannot be</w:t>
      </w:r>
      <w:r>
        <w:t xml:space="preserve"> </w:t>
      </w:r>
      <w:r>
        <w:t xml:space="preserve">required to familiarise themselves with the law governing the system which might be different</w:t>
      </w:r>
      <w:r>
        <w:t xml:space="preserve"> </w:t>
      </w:r>
      <w:r>
        <w:t xml:space="preserve">from the law of the Member State they are established in/are familiar with. However, again the</w:t>
      </w:r>
      <w:r>
        <w:t xml:space="preserve"> </w:t>
      </w:r>
      <w:r>
        <w:t xml:space="preserve">counter argument would be that it is more important to protect the system as a whole and ensure</w:t>
      </w:r>
      <w:r>
        <w:t xml:space="preserve"> </w:t>
      </w:r>
      <w:r>
        <w:t xml:space="preserve">the same law applies to insolvency of its participants and all participants are protected. Overall,</w:t>
      </w:r>
      <w:r>
        <w:t xml:space="preserve"> </w:t>
      </w:r>
      <w:r>
        <w:t xml:space="preserve">this option would allow the system operator to decide its participants and thereby decide over</w:t>
      </w:r>
      <w:r>
        <w:t xml:space="preserve"> </w:t>
      </w:r>
      <w:r>
        <w:t xml:space="preserve">a topic that Member States might want to decide on given it disapplies certain national</w:t>
      </w:r>
      <w:r>
        <w:t xml:space="preserve"> </w:t>
      </w:r>
      <w:r>
        <w:t xml:space="preserve">insolvency law provisions. Also, this option would lead to more fragmented markets and hence</w:t>
      </w:r>
      <w:r>
        <w:t xml:space="preserve"> </w:t>
      </w:r>
      <w:r>
        <w:t xml:space="preserve">be against one of the objectives of the SIU.</w:t>
      </w:r>
      <w:r>
        <w:br/>
      </w:r>
      <w:r>
        <w:t xml:space="preserve">At the same time, it would create an unlevel playing field between DLT operators and operators</w:t>
      </w:r>
      <w:r>
        <w:t xml:space="preserve"> </w:t>
      </w:r>
      <w:r>
        <w:t xml:space="preserve">of systems that do not use DLT. As such it would increase market fragmentation and this option</w:t>
      </w:r>
      <w:r>
        <w:t xml:space="preserve"> </w:t>
      </w:r>
      <w:r>
        <w:t xml:space="preserve">would, therefore, not be in line with the SIU objective of increasing market integration and</w:t>
      </w:r>
      <w:r>
        <w:t xml:space="preserve"> </w:t>
      </w:r>
      <w:r>
        <w:t xml:space="preserve">efficiency.</w:t>
      </w:r>
      <w:r>
        <w:t xml:space="preserve"> </w:t>
      </w:r>
      <w:r>
        <w:t xml:space="preserve">Option 3.5 (SFD): Scope of eligible securities</w:t>
      </w:r>
      <w:r>
        <w:t xml:space="preserve"> </w:t>
      </w:r>
      <w:r>
        <w:t xml:space="preserve">Leaving it to system operators to choose which securities are eligible under the SFR for their</w:t>
      </w:r>
      <w:r>
        <w:t xml:space="preserve"> </w:t>
      </w:r>
      <w:r>
        <w:t xml:space="preserve">respective system comes with similar benefits and risks as outlined above for letting system</w:t>
      </w:r>
      <w:r>
        <w:t xml:space="preserve"> </w:t>
      </w:r>
      <w:r>
        <w:t xml:space="preserve">operators choose who can participate in their SFR-designated system. This would be sub-</w:t>
      </w:r>
      <w:r>
        <w:t xml:space="preserve"> </w:t>
      </w:r>
      <w:r>
        <w:t xml:space="preserve">optimal. While it gives system operators greatest flexibility and might to a certain extent</w:t>
      </w:r>
      <w:r>
        <w:t xml:space="preserve"> </w:t>
      </w:r>
      <w:r>
        <w:t xml:space="preserve">facilitate the use of new technologies as doubts about the eligibility of securities using new</w:t>
      </w:r>
      <w:r>
        <w:t xml:space="preserve"> </w:t>
      </w:r>
      <w:r>
        <w:t xml:space="preserve">technologies could easily be addressed by the system operator, it would lead to more</w:t>
      </w:r>
      <w:r>
        <w:t xml:space="preserve"> </w:t>
      </w:r>
      <w:r>
        <w:t xml:space="preserve">fragmented markets and hence be against the objectives of further market integration and</w:t>
      </w:r>
      <w:r>
        <w:t xml:space="preserve"> </w:t>
      </w:r>
      <w:r>
        <w:t xml:space="preserve">improved supervision by reduced divergence the SIU. Consequently, this option would come</w:t>
      </w:r>
      <w:r>
        <w:t xml:space="preserve"> </w:t>
      </w:r>
      <w:r>
        <w:t xml:space="preserve">with high costs related to legal opinions which market participants might want to obtain when</w:t>
      </w:r>
      <w:r>
        <w:t xml:space="preserve"> </w:t>
      </w:r>
      <w:r>
        <w:t xml:space="preserve">participating in a system as well as significantly increased supervisory costs given the various</w:t>
      </w:r>
      <w:r>
        <w:t xml:space="preserve"> </w:t>
      </w:r>
      <w:r>
        <w:t xml:space="preserve">diverging aspects to consider for supervisors. These costs might occur on a regular basis as</w:t>
      </w:r>
      <w:r>
        <w:t xml:space="preserve"> </w:t>
      </w:r>
      <w:r>
        <w:t xml:space="preserve">system operators could change the accepted securities at their discretion.</w:t>
      </w:r>
      <w:r>
        <w:t xml:space="preserve"> </w:t>
      </w:r>
      <w:r>
        <w:t xml:space="preserve">In the targeted consultation on the SFD in 2021, some stakeholders, mainly representing banks,</w:t>
      </w:r>
      <w:r>
        <w:t xml:space="preserve"> </w:t>
      </w:r>
      <w:r>
        <w:t xml:space="preserve">argued that the protection of the finality of transfer orders should apply to any transfer executed</w:t>
      </w:r>
      <w:r>
        <w:t xml:space="preserve"> </w:t>
      </w:r>
      <w:r>
        <w:t xml:space="preserve">within an SFD-designated system.</w:t>
      </w:r>
    </w:p>
    <w:p>
      <w:pPr>
        <w:pStyle w:val="BodyText"/>
      </w:pPr>
      <w:r>
        <w:t xml:space="preserve">278</w:t>
      </w:r>
      <w:r>
        <w:t xml:space="preserve"> </w:t>
      </w:r>
      <w:r>
        <w:t xml:space="preserve">Option 3.6 (SFD): Designation practices for EU systems</w:t>
      </w:r>
      <w:r>
        <w:t xml:space="preserve"> </w:t>
      </w:r>
      <w:r>
        <w:t xml:space="preserve">This option would ensure an even more harmonised approach to the designation of EU systems</w:t>
      </w:r>
      <w:r>
        <w:t xml:space="preserve"> </w:t>
      </w:r>
      <w:r>
        <w:t xml:space="preserve">across Member States than one based on Member States’ designation on the basis of</w:t>
      </w:r>
      <w:r>
        <w:t xml:space="preserve"> </w:t>
      </w:r>
      <w:r>
        <w:t xml:space="preserve">harmonised criteria and procedures, but it would also require significant effort and resources</w:t>
      </w:r>
      <w:r>
        <w:t xml:space="preserve"> </w:t>
      </w:r>
      <w:r>
        <w:t xml:space="preserve">for ESMA and the ECB/ESCB to build the necessary expertise and infrastructure to run the</w:t>
      </w:r>
      <w:r>
        <w:t xml:space="preserve"> </w:t>
      </w:r>
      <w:r>
        <w:t xml:space="preserve">designation process.</w:t>
      </w:r>
      <w:r>
        <w:br/>
      </w:r>
      <w:r>
        <w:t xml:space="preserve">While this option would foster market integration and ensure harmonisation to the greatest</w:t>
      </w:r>
      <w:r>
        <w:t xml:space="preserve"> </w:t>
      </w:r>
      <w:r>
        <w:t xml:space="preserve">extent possible, it would - for instance - not be suited to cater for differences in Member States</w:t>
      </w:r>
      <w:r>
        <w:t xml:space="preserve"> </w:t>
      </w:r>
      <w:r>
        <w:t xml:space="preserve">insolvency law and it would come with high costs for ESMA and the ECB/ESCB to build the</w:t>
      </w:r>
      <w:r>
        <w:t xml:space="preserve"> </w:t>
      </w:r>
      <w:r>
        <w:t xml:space="preserve">necessary expertise and infrastructure that might not be justified given the occasional nature of</w:t>
      </w:r>
      <w:r>
        <w:t xml:space="preserve"> </w:t>
      </w:r>
      <w:r>
        <w:t xml:space="preserve">the designation process and total number of systems designated.</w:t>
      </w:r>
      <w:r>
        <w:br/>
      </w:r>
      <w:r>
        <w:t xml:space="preserve">The 2021 consultation on the SFD did not include a question asking stakeholders for their</w:t>
      </w:r>
      <w:r>
        <w:t xml:space="preserve"> </w:t>
      </w:r>
      <w:r>
        <w:t xml:space="preserve">opinions on transferring from Member States to ESMA or ESCB/ECB the power to designate</w:t>
      </w:r>
      <w:r>
        <w:t xml:space="preserve"> </w:t>
      </w:r>
      <w:r>
        <w:t xml:space="preserve">systems under the SFD. In the 2025 targeted consultation a market participant supported</w:t>
      </w:r>
      <w:r>
        <w:t xml:space="preserve"> </w:t>
      </w:r>
      <w:r>
        <w:t xml:space="preserve">moving the designation of systems under the SFD to the EU level.</w:t>
      </w:r>
      <w:r>
        <w:t xml:space="preserve"> </w:t>
      </w:r>
      <w:r>
        <w:t xml:space="preserve">Option 3.7 (SFD): Transparency</w:t>
      </w:r>
      <w:r>
        <w:t xml:space="preserve"> </w:t>
      </w:r>
      <w:r>
        <w:t xml:space="preserve">This policy option would aim to harmonise in a more far-reaching way the information to be</w:t>
      </w:r>
      <w:r>
        <w:t xml:space="preserve"> </w:t>
      </w:r>
      <w:r>
        <w:t xml:space="preserve">published by ESMA in order to provide full transparency on designated systems across Member</w:t>
      </w:r>
      <w:r>
        <w:t xml:space="preserve"> </w:t>
      </w:r>
      <w:r>
        <w:t xml:space="preserve">States.</w:t>
      </w:r>
      <w:r>
        <w:br/>
      </w:r>
      <w:r>
        <w:t xml:space="preserve">The additional information to be published would facilitate the establishment of links, i.e. the</w:t>
      </w:r>
      <w:r>
        <w:t xml:space="preserve"> </w:t>
      </w:r>
      <w:r>
        <w:t xml:space="preserve">assessment of moments of finality, between CSDs as well as access for participants across the</w:t>
      </w:r>
      <w:r>
        <w:t xml:space="preserve"> </w:t>
      </w:r>
      <w:r>
        <w:t xml:space="preserve">EU, for example who could see and choose which system offers the best option to choose for</w:t>
      </w:r>
      <w:r>
        <w:t xml:space="preserve"> </w:t>
      </w:r>
      <w:r>
        <w:t xml:space="preserve">settlement and payment. Under the option described in Section 5.2.2.3, ESMA would also have</w:t>
      </w:r>
      <w:r>
        <w:t xml:space="preserve"> </w:t>
      </w:r>
      <w:r>
        <w:t xml:space="preserve">the information on which third-country systems have been registered by Member States. It</w:t>
      </w:r>
      <w:r>
        <w:t xml:space="preserve"> </w:t>
      </w:r>
      <w:r>
        <w:t xml:space="preserve">would also facilitate convergence in market practices as ESMA would be able to identify</w:t>
      </w:r>
      <w:r>
        <w:t xml:space="preserve"> </w:t>
      </w:r>
      <w:r>
        <w:t xml:space="preserve">divergences and inconsistencies more easily.</w:t>
      </w:r>
      <w:r>
        <w:br/>
      </w:r>
      <w:r>
        <w:t xml:space="preserve">However, it is expected that providing transparency on additional elements than the designated</w:t>
      </w:r>
      <w:r>
        <w:t xml:space="preserve"> </w:t>
      </w:r>
      <w:r>
        <w:t xml:space="preserve">systems, its rules and its participants would be unlikely to provide additional benefits in terms</w:t>
      </w:r>
      <w:r>
        <w:t xml:space="preserve"> </w:t>
      </w:r>
      <w:r>
        <w:t xml:space="preserve">of competition, trust in the systems and sound risk decision making that would allow to further</w:t>
      </w:r>
      <w:r>
        <w:t xml:space="preserve"> </w:t>
      </w:r>
      <w:r>
        <w:t xml:space="preserve">integrate the fragmented EU market and promote cross-border settlement.</w:t>
      </w:r>
      <w:r>
        <w:br/>
      </w:r>
      <w:r>
        <w:t xml:space="preserve">At the same time, this option would entail some risks. For example, transparency on indirect</w:t>
      </w:r>
      <w:r>
        <w:t xml:space="preserve"> </w:t>
      </w:r>
      <w:r>
        <w:t xml:space="preserve">clients may not provide further insights on the protection of the systems to foster trust – as they</w:t>
      </w:r>
      <w:r>
        <w:t xml:space="preserve"> </w:t>
      </w:r>
      <w:r>
        <w:t xml:space="preserve">generally do not benefit from SFD protection as they do not pose systemic risk (for more</w:t>
      </w:r>
      <w:r>
        <w:t xml:space="preserve"> </w:t>
      </w:r>
      <w:r>
        <w:t xml:space="preserve">information regarding protections provided by the SFD, see Section 3.2.12). Information on</w:t>
      </w:r>
      <w:r>
        <w:t xml:space="preserve"> </w:t>
      </w:r>
      <w:r>
        <w:t xml:space="preserve">indirect participants could however be considered as business secrets of participants. The</w:t>
      </w:r>
      <w:r>
        <w:t xml:space="preserve"> </w:t>
      </w:r>
      <w:r>
        <w:t xml:space="preserve">publication of the opening of insolvency proceedings may also present different legal</w:t>
      </w:r>
      <w:r>
        <w:t xml:space="preserve"> </w:t>
      </w:r>
      <w:r>
        <w:t xml:space="preserve">challenges on the basis of national insolvency rules.</w:t>
      </w:r>
      <w:r>
        <w:br/>
      </w:r>
      <w:r>
        <w:t xml:space="preserve">While this option would facilitate further market integration by enabling market participants to</w:t>
      </w:r>
      <w:r>
        <w:t xml:space="preserve"> </w:t>
      </w:r>
      <w:r>
        <w:t xml:space="preserve">take decisions based on the most comprehensive information provided for systems across the</w:t>
      </w:r>
      <w:r>
        <w:t xml:space="preserve"> </w:t>
      </w:r>
      <w:r>
        <w:t xml:space="preserve">EU, not all the information might be necessary but might create undue burden for system</w:t>
      </w:r>
      <w:r>
        <w:t xml:space="preserve"> </w:t>
      </w:r>
      <w:r>
        <w:t xml:space="preserve">operators and ESMA to ensure accuracy and regular updates of the data, in addition to privacy</w:t>
      </w:r>
      <w:r>
        <w:t xml:space="preserve"> </w:t>
      </w:r>
      <w:r>
        <w:t xml:space="preserve">concerns.</w:t>
      </w:r>
    </w:p>
    <w:p>
      <w:pPr>
        <w:pStyle w:val="BodyText"/>
      </w:pPr>
      <w:r>
        <w:t xml:space="preserve">279</w:t>
      </w:r>
      <w:r>
        <w:t xml:space="preserve"> </w:t>
      </w:r>
      <w:r>
        <w:t xml:space="preserve">Option 3.8 (SFD): Settlement finality moments</w:t>
      </w:r>
      <w:r>
        <w:t xml:space="preserve"> </w:t>
      </w:r>
      <w:r>
        <w:t xml:space="preserve">Full harmonisation of the three settlement finality moments for all the different types of systems</w:t>
      </w:r>
      <w:r>
        <w:t xml:space="preserve"> </w:t>
      </w:r>
      <w:r>
        <w:t xml:space="preserve">– without taking into account their respective characteristics and specificities – may be to the</w:t>
      </w:r>
      <w:r>
        <w:t xml:space="preserve"> </w:t>
      </w:r>
      <w:r>
        <w:t xml:space="preserve">detriment of the well-functioning and optimisation of some types of systems. Moreover, this</w:t>
      </w:r>
      <w:r>
        <w:t xml:space="preserve"> </w:t>
      </w:r>
      <w:r>
        <w:t xml:space="preserve">option would not take into account the current operationalisation of existing different finality</w:t>
      </w:r>
      <w:r>
        <w:t xml:space="preserve"> </w:t>
      </w:r>
      <w:r>
        <w:t xml:space="preserve">moments by different types of systems and would require substantial implementing changes</w:t>
      </w:r>
      <w:r>
        <w:t xml:space="preserve"> </w:t>
      </w:r>
      <w:r>
        <w:t xml:space="preserve">and costs. This option is also hindered by the fact that only with clarity on when transfers of</w:t>
      </w:r>
      <w:r>
        <w:t xml:space="preserve"> </w:t>
      </w:r>
      <w:r>
        <w:t xml:space="preserve">securities and cash become unconditional, irrevocable and enforceable (in all Member States)</w:t>
      </w:r>
      <w:r>
        <w:t xml:space="preserve"> </w:t>
      </w:r>
      <w:r>
        <w:t xml:space="preserve">would this be feasible. Moreover, for DLT-based systems, probabilistic settlement cannot, in</w:t>
      </w:r>
      <w:r>
        <w:t xml:space="preserve"> </w:t>
      </w:r>
      <w:r>
        <w:t xml:space="preserve">principle, ensure irreversibility so this option would need to be accompanied by additional</w:t>
      </w:r>
      <w:r>
        <w:t xml:space="preserve"> </w:t>
      </w:r>
      <w:r>
        <w:t xml:space="preserve">safeguards to address this issue.</w:t>
      </w:r>
      <w:r>
        <w:br/>
      </w:r>
      <w:r>
        <w:t xml:space="preserve">As pointed out in Section 6.2.3.8, in the 2021 consultation on SFD, several respondents</w:t>
      </w:r>
      <w:r>
        <w:t xml:space="preserve"> </w:t>
      </w:r>
      <w:r>
        <w:t xml:space="preserve">argued that the SFD is sufficiently clear and has provided a strong and stable legal framework</w:t>
      </w:r>
      <w:r>
        <w:t xml:space="preserve"> </w:t>
      </w:r>
      <w:r>
        <w:t xml:space="preserve">that has worked so far. They were of the view that, as the objective of SFD was to ensure that</w:t>
      </w:r>
      <w:r>
        <w:t xml:space="preserve"> </w:t>
      </w:r>
      <w:r>
        <w:t xml:space="preserve">the settlement in a system could continue despite a participant’s insolvency, the system</w:t>
      </w:r>
      <w:r>
        <w:t xml:space="preserve"> </w:t>
      </w:r>
      <w:r>
        <w:t xml:space="preserve">needed to have clear rules to which insolvency law could refer, but the SFD should not design</w:t>
      </w:r>
      <w:r>
        <w:t xml:space="preserve"> </w:t>
      </w:r>
      <w:r>
        <w:t xml:space="preserve">those rules. They pointed out that, on the basis of the SFD, system operators have developed</w:t>
      </w:r>
      <w:r>
        <w:t xml:space="preserve"> </w:t>
      </w:r>
      <w:r>
        <w:t xml:space="preserve">robust technical and legal systems, and that a change would involve more than changing rules</w:t>
      </w:r>
      <w:r>
        <w:t xml:space="preserve"> </w:t>
      </w:r>
      <w:r>
        <w:t xml:space="preserve">(e.g. technical developments, reassessments). One respondent argued that clarifications in</w:t>
      </w:r>
      <w:r>
        <w:t xml:space="preserve"> </w:t>
      </w:r>
      <w:r>
        <w:t xml:space="preserve">sectoral regulation would be more proportionate. Other respondents considered that the SFD</w:t>
      </w:r>
      <w:r>
        <w:t xml:space="preserve"> </w:t>
      </w:r>
      <w:r>
        <w:t xml:space="preserve">should specify the moment of entry into the system and irrevocability, and where the</w:t>
      </w:r>
      <w:r>
        <w:t xml:space="preserve"> </w:t>
      </w:r>
      <w:r>
        <w:t xml:space="preserve">settlement was enforceable and irrevocable to avoid uncertainty, in particular with respect to</w:t>
      </w:r>
      <w:r>
        <w:t xml:space="preserve"> </w:t>
      </w:r>
      <w:r>
        <w:t xml:space="preserve">third-country systems and interoperable systems (which are increasingly important) where</w:t>
      </w:r>
      <w:r>
        <w:t xml:space="preserve"> </w:t>
      </w:r>
      <w:r>
        <w:t xml:space="preserve">irrevocability of the cash and security legs is not simultaneous. They were of the view that</w:t>
      </w:r>
      <w:r>
        <w:t xml:space="preserve"> </w:t>
      </w:r>
      <w:r>
        <w:t xml:space="preserve">regulation could incentivise system operators to establish such rules.</w:t>
      </w:r>
      <w:r>
        <w:t xml:space="preserve"> </w:t>
      </w:r>
      <w:r>
        <w:t xml:space="preserve">6.2.4. Choice of preferred policy option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Enable further</w:t>
      </w:r>
      <w:r>
        <w:t xml:space="preserve"> </w:t>
      </w:r>
      <w:r>
        <w:t xml:space="preserve">market</w:t>
      </w:r>
      <w:r>
        <w:t xml:space="preserve"> </w:t>
      </w:r>
      <w:r>
        <w:t xml:space="preserve">integration and</w:t>
      </w:r>
      <w:r>
        <w:t xml:space="preserve"> </w:t>
      </w:r>
      <w:r>
        <w:t xml:space="preserve">scale effects by</w:t>
      </w:r>
      <w:r>
        <w:t xml:space="preserve"> </w:t>
      </w:r>
      <w:r>
        <w:t xml:space="preserve">increasing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activity</w:t>
      </w:r>
      <w:r>
        <w:t xml:space="preserve"> </w:t>
      </w:r>
      <w:r>
        <w:t xml:space="preserve">Improve</w:t>
      </w:r>
      <w:r>
        <w:t xml:space="preserve"> </w:t>
      </w:r>
      <w:r>
        <w:t xml:space="preserve">supervision</w:t>
      </w:r>
      <w:r>
        <w:t xml:space="preserve"> </w:t>
      </w:r>
      <w:r>
        <w:t xml:space="preserve">by reducing</w:t>
      </w:r>
      <w:r>
        <w:t xml:space="preserve"> </w:t>
      </w:r>
      <w:r>
        <w:t xml:space="preserve">divergences</w:t>
      </w:r>
      <w:r>
        <w:t xml:space="preserve"> </w:t>
      </w:r>
      <w:r>
        <w:t xml:space="preserve">Facilitate</w:t>
      </w:r>
      <w:r>
        <w:t xml:space="preserve"> </w:t>
      </w:r>
      <w:r>
        <w:t xml:space="preserve">innovation by</w:t>
      </w:r>
      <w:r>
        <w:t xml:space="preserve"> </w:t>
      </w:r>
      <w:r>
        <w:t xml:space="preserve">enabling the</w:t>
      </w:r>
      <w:r>
        <w:t xml:space="preserve"> </w:t>
      </w:r>
      <w:r>
        <w:t xml:space="preserve">use of new</w:t>
      </w:r>
      <w:r>
        <w:t xml:space="preserve"> </w:t>
      </w:r>
      <w:r>
        <w:t xml:space="preserve">technologies</w:t>
      </w:r>
    </w:p>
    <w:p>
      <w:pPr>
        <w:pStyle w:val="BodyText"/>
      </w:pPr>
      <w:r>
        <w:t xml:space="preserve">Option 1 (SFD) –</w:t>
      </w:r>
      <w:r>
        <w:t xml:space="preserve"> </w:t>
      </w:r>
      <w:r>
        <w:t xml:space="preserve">Status quo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(SFD) –</w:t>
      </w:r>
      <w:r>
        <w:t xml:space="preserve"> </w:t>
      </w:r>
      <w:r>
        <w:t xml:space="preserve">Comprehensive</w:t>
      </w:r>
      <w:r>
        <w:t xml:space="preserve"> </w:t>
      </w:r>
      <w:r>
        <w:t xml:space="preserve">review to enhance</w:t>
      </w:r>
      <w:r>
        <w:t xml:space="preserve"> </w:t>
      </w:r>
      <w:r>
        <w:t xml:space="preserve">the functioning of</w:t>
      </w:r>
      <w:r>
        <w:t xml:space="preserve"> </w:t>
      </w:r>
      <w:r>
        <w:t xml:space="preserve">market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3 (SFD) –</w:t>
      </w:r>
      <w:r>
        <w:t xml:space="preserve"> </w:t>
      </w:r>
      <w:r>
        <w:t xml:space="preserve">Extensive review to</w:t>
      </w:r>
      <w:r>
        <w:t xml:space="preserve"> </w:t>
      </w:r>
      <w:r>
        <w:t xml:space="preserve">impose an integrated</w:t>
      </w:r>
      <w:r>
        <w:t xml:space="preserve"> </w:t>
      </w:r>
      <w:r>
        <w:t xml:space="preserve">market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280</w:t>
      </w:r>
      <w:r>
        <w:t xml:space="preserve"> </w:t>
      </w:r>
      <w:r>
        <w:t xml:space="preserve">Legend:</w:t>
      </w:r>
      <w:r>
        <w:t xml:space="preserve"> </w:t>
      </w:r>
      <w:r>
        <w:t xml:space="preserve">+++ = Very positive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t xml:space="preserve"> </w:t>
      </w:r>
      <w:r>
        <w:t xml:space="preserve">+/- = Mixed effect</w:t>
      </w:r>
      <w:r>
        <w:t xml:space="preserve"> </w:t>
      </w:r>
      <w:r>
        <w:t xml:space="preserve">0 = No 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  <w:r>
        <w:t xml:space="preserve"> </w:t>
      </w:r>
      <w:r>
        <w:t xml:space="preserve">— = Very negative</w:t>
      </w:r>
    </w:p>
    <w:p>
      <w:pPr>
        <w:pStyle w:val="Compact"/>
        <w:numPr>
          <w:ilvl w:val="0"/>
          <w:numId w:val="1028"/>
        </w:numPr>
      </w:pPr>
      <w:r>
        <w:t xml:space="preserve">MONITORING</w:t>
      </w:r>
      <w:r>
        <w:br/>
      </w:r>
      <w:r>
        <w:t xml:space="preserve">The options laid out above aim to reduce fragmentation and barriers in post-trade processes, as</w:t>
      </w:r>
      <w:r>
        <w:t xml:space="preserve"> </w:t>
      </w:r>
      <w:r>
        <w:t xml:space="preserve">well as ensure that the EU financial acquis is sufficiently technologically neutral to allow for</w:t>
      </w:r>
      <w:r>
        <w:t xml:space="preserve"> </w:t>
      </w:r>
      <w:r>
        <w:t xml:space="preserve">the uptake and implementation of novel technologies. To achieve these aims, the Commission</w:t>
      </w:r>
      <w:r>
        <w:t xml:space="preserve"> </w:t>
      </w:r>
      <w:r>
        <w:t xml:space="preserve">has proposed a set of comprehensive and targeted amendments to the CSDR and the SFD. The</w:t>
      </w:r>
      <w:r>
        <w:t xml:space="preserve"> </w:t>
      </w:r>
      <w:r>
        <w:t xml:space="preserve">resulting amendments should include a provision stating that an evaluation of the outcomes</w:t>
      </w:r>
      <w:r>
        <w:t xml:space="preserve"> </w:t>
      </w:r>
      <w:r>
        <w:t xml:space="preserve">should be carried out in order to evaluate the extent to which the stated aims have been met. In</w:t>
      </w:r>
      <w:r>
        <w:t xml:space="preserve"> </w:t>
      </w:r>
      <w:r>
        <w:t xml:space="preserve">principle, this should take place after five years of their entry into force. In particular, there</w:t>
      </w:r>
      <w:r>
        <w:t xml:space="preserve"> </w:t>
      </w:r>
      <w:r>
        <w:t xml:space="preserve">should be a focus on whether the proposed amendments will have reduced the barriers that</w:t>
      </w:r>
      <w:r>
        <w:t xml:space="preserve"> </w:t>
      </w:r>
      <w:r>
        <w:t xml:space="preserve">exist in cross-border operations and are fit-for-purpose in an evolving technological landscape.</w:t>
      </w:r>
      <w:r>
        <w:t xml:space="preserve"> </w:t>
      </w:r>
      <w:r>
        <w:t xml:space="preserve">The evaluation should consider all aspects of the CSDR and SFD, with a particular focus on</w:t>
      </w:r>
      <w:r>
        <w:t xml:space="preserve"> </w:t>
      </w:r>
      <w:r>
        <w:t xml:space="preserve">those laid out below.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to</w:t>
      </w:r>
      <w:r>
        <w:t xml:space="preserve"> </w:t>
      </w:r>
      <w:r>
        <w:t xml:space="preserve">measure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When will</w:t>
      </w:r>
      <w:r>
        <w:t xml:space="preserve"> </w:t>
      </w:r>
      <w:r>
        <w:t xml:space="preserve">monitoring</w:t>
      </w:r>
      <w:r>
        <w:t xml:space="preserve"> </w:t>
      </w:r>
      <w:r>
        <w:t xml:space="preserve">start</w:t>
      </w:r>
      <w:r>
        <w:t xml:space="preserve"> </w:t>
      </w:r>
      <w:r>
        <w:t xml:space="preserve">By whom</w:t>
      </w:r>
      <w:r>
        <w:t xml:space="preserve"> </w:t>
      </w:r>
      <w:r>
        <w:t xml:space="preserve">Source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Enable further</w:t>
      </w:r>
      <w:r>
        <w:t xml:space="preserve"> </w:t>
      </w:r>
      <w:r>
        <w:t xml:space="preserve">market integration</w:t>
      </w:r>
      <w:r>
        <w:t xml:space="preserve"> </w:t>
      </w:r>
      <w:r>
        <w:t xml:space="preserve">and scale effects by</w:t>
      </w:r>
      <w:r>
        <w:t xml:space="preserve"> </w:t>
      </w:r>
      <w:r>
        <w:t xml:space="preserve">increasing cross-</w:t>
      </w:r>
      <w:r>
        <w:t xml:space="preserve"> </w:t>
      </w:r>
      <w:r>
        <w:t xml:space="preserve">border activity</w:t>
      </w:r>
      <w:r>
        <w:t xml:space="preserve"> </w:t>
      </w:r>
      <w:r>
        <w:t xml:space="preserve">Total cross-border settlement</w:t>
      </w:r>
      <w:r>
        <w:t xml:space="preserve"> </w:t>
      </w:r>
      <w:r>
        <w:t xml:space="preserve">activity (volume/value by</w:t>
      </w:r>
      <w:r>
        <w:t xml:space="preserve"> </w:t>
      </w:r>
      <w:r>
        <w:t xml:space="preserve">instrument)</w:t>
      </w:r>
    </w:p>
    <w:p>
      <w:pPr>
        <w:pStyle w:val="FirstParagraph"/>
      </w:pPr>
      <w:r>
        <w:t xml:space="preserve">Total cross-border issuance</w:t>
      </w:r>
      <w:r>
        <w:t xml:space="preserve"> </w:t>
      </w:r>
      <w:r>
        <w:t xml:space="preserve">(value/volume)</w:t>
      </w:r>
    </w:p>
    <w:p>
      <w:pPr>
        <w:pStyle w:val="BodyText"/>
      </w:pPr>
      <w:r>
        <w:t xml:space="preserve">Number of CSDs that are</w:t>
      </w:r>
      <w:r>
        <w:t xml:space="preserve"> </w:t>
      </w:r>
      <w:r>
        <w:t xml:space="preserve">part of a group that engage</w:t>
      </w:r>
      <w:r>
        <w:t xml:space="preserve"> </w:t>
      </w:r>
      <w:r>
        <w:t xml:space="preserve">in intra-group outsourcing of</w:t>
      </w:r>
      <w:r>
        <w:t xml:space="preserve"> </w:t>
      </w:r>
      <w:r>
        <w:t xml:space="preserve">core CSD activities</w:t>
      </w:r>
    </w:p>
    <w:p>
      <w:pPr>
        <w:pStyle w:val="BodyText"/>
      </w:pPr>
      <w:r>
        <w:t xml:space="preserve">Number of CSDs</w:t>
      </w:r>
      <w:r>
        <w:t xml:space="preserve"> </w:t>
      </w:r>
      <w:r>
        <w:t xml:space="preserve">experimenting with new</w:t>
      </w:r>
      <w:r>
        <w:t xml:space="preserve"> </w:t>
      </w:r>
      <w:r>
        <w:t xml:space="preserve">technologies</w:t>
      </w:r>
    </w:p>
    <w:p>
      <w:pPr>
        <w:pStyle w:val="BodyText"/>
      </w:pPr>
      <w:r>
        <w:t xml:space="preserve">Volume and value of</w:t>
      </w:r>
      <w:r>
        <w:t xml:space="preserve"> </w:t>
      </w:r>
      <w:r>
        <w:t xml:space="preserve">settlement conducted by</w:t>
      </w:r>
      <w:r>
        <w:t xml:space="preserve"> </w:t>
      </w:r>
      <w:r>
        <w:t xml:space="preserve">settlement internalisers</w:t>
      </w:r>
    </w:p>
    <w:p>
      <w:pPr>
        <w:pStyle w:val="BodyText"/>
      </w:pPr>
      <w:r>
        <w:t xml:space="preserve">Number of CSDs that</w:t>
      </w:r>
      <w:r>
        <w:t xml:space="preserve"> </w:t>
      </w:r>
      <w:r>
        <w:t xml:space="preserve">designate credit institutions</w:t>
      </w:r>
      <w:r>
        <w:t xml:space="preserve"> </w:t>
      </w:r>
      <w:r>
        <w:t xml:space="preserve">to provide banking-type</w:t>
      </w:r>
      <w:r>
        <w:t xml:space="preserve"> </w:t>
      </w:r>
      <w:r>
        <w:t xml:space="preserve">ancillary services</w:t>
      </w:r>
    </w:p>
    <w:p>
      <w:pPr>
        <w:pStyle w:val="BodyText"/>
      </w:pPr>
      <w:r>
        <w:t xml:space="preserve">Volume and value of</w:t>
      </w:r>
      <w:r>
        <w:t xml:space="preserve"> </w:t>
      </w:r>
      <w:r>
        <w:t xml:space="preserve">settlement activity taking</w:t>
      </w:r>
      <w:r>
        <w:t xml:space="preserve"> </w:t>
      </w:r>
      <w:r>
        <w:t xml:space="preserve">place in T2S</w:t>
      </w:r>
    </w:p>
    <w:p>
      <w:pPr>
        <w:pStyle w:val="BodyText"/>
      </w:pPr>
      <w:r>
        <w:t xml:space="preserve">Total number of CSD links</w:t>
      </w:r>
    </w:p>
    <w:p>
      <w:pPr>
        <w:pStyle w:val="BodyText"/>
      </w:pPr>
      <w:r>
        <w:t xml:space="preserve">Date of</w:t>
      </w:r>
      <w:r>
        <w:t xml:space="preserve"> </w:t>
      </w:r>
      <w:r>
        <w:t xml:space="preserve">application.</w:t>
      </w:r>
      <w:r>
        <w:t xml:space="preserve"> </w:t>
      </w:r>
      <w:r>
        <w:t xml:space="preserve">ESMA/ESCB</w:t>
      </w:r>
      <w:r>
        <w:t xml:space="preserve"> </w:t>
      </w:r>
      <w:r>
        <w:t xml:space="preserve">ESMA/ESCB</w:t>
      </w:r>
    </w:p>
    <w:p>
      <w:pPr>
        <w:pStyle w:val="BodyText"/>
      </w:pPr>
      <w:r>
        <w:t xml:space="preserve">281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to</w:t>
      </w:r>
      <w:r>
        <w:t xml:space="preserve"> </w:t>
      </w:r>
      <w:r>
        <w:t xml:space="preserve">measure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When will</w:t>
      </w:r>
      <w:r>
        <w:t xml:space="preserve"> </w:t>
      </w:r>
      <w:r>
        <w:t xml:space="preserve">monitoring</w:t>
      </w:r>
      <w:r>
        <w:t xml:space="preserve"> </w:t>
      </w:r>
      <w:r>
        <w:t xml:space="preserve">start</w:t>
      </w:r>
      <w:r>
        <w:t xml:space="preserve"> </w:t>
      </w:r>
      <w:r>
        <w:t xml:space="preserve">By whom</w:t>
      </w:r>
      <w:r>
        <w:t xml:space="preserve"> </w:t>
      </w:r>
      <w:r>
        <w:t xml:space="preserve">Source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Total number of third-</w:t>
      </w:r>
      <w:r>
        <w:t xml:space="preserve"> </w:t>
      </w:r>
      <w:r>
        <w:t xml:space="preserve">country systems designated</w:t>
      </w:r>
      <w:r>
        <w:t xml:space="preserve"> </w:t>
      </w:r>
      <w:r>
        <w:t xml:space="preserve">under the SFD</w:t>
      </w:r>
    </w:p>
    <w:p>
      <w:pPr>
        <w:pStyle w:val="BodyText"/>
      </w:pPr>
      <w:r>
        <w:t xml:space="preserve">Total number of systems</w:t>
      </w:r>
      <w:r>
        <w:t xml:space="preserve"> </w:t>
      </w:r>
      <w:r>
        <w:t xml:space="preserve">designated under the SFD</w:t>
      </w:r>
    </w:p>
    <w:p>
      <w:pPr>
        <w:pStyle w:val="BodyText"/>
      </w:pPr>
      <w:r>
        <w:t xml:space="preserve">Total number of participants</w:t>
      </w:r>
      <w:r>
        <w:t xml:space="preserve"> </w:t>
      </w:r>
      <w:r>
        <w:t xml:space="preserve">that benefit from SFD</w:t>
      </w:r>
      <w:r>
        <w:t xml:space="preserve"> </w:t>
      </w:r>
      <w:r>
        <w:t xml:space="preserve">protection</w:t>
      </w:r>
      <w:r>
        <w:t xml:space="preserve"> </w:t>
      </w:r>
      <w:r>
        <w:t xml:space="preserve">Facilitate</w:t>
      </w:r>
      <w:r>
        <w:t xml:space="preserve"> </w:t>
      </w:r>
      <w:r>
        <w:t xml:space="preserve">innovation by</w:t>
      </w:r>
      <w:r>
        <w:t xml:space="preserve"> </w:t>
      </w:r>
      <w:r>
        <w:t xml:space="preserve">enabling the use of</w:t>
      </w:r>
      <w:r>
        <w:t xml:space="preserve"> </w:t>
      </w:r>
      <w:r>
        <w:t xml:space="preserve">new technologies</w:t>
      </w:r>
      <w:r>
        <w:t xml:space="preserve"> </w:t>
      </w:r>
      <w:r>
        <w:t xml:space="preserve">Settlement activity (in</w:t>
      </w:r>
      <w:r>
        <w:t xml:space="preserve"> </w:t>
      </w:r>
      <w:r>
        <w:t xml:space="preserve">volume and value terms)</w:t>
      </w:r>
      <w:r>
        <w:t xml:space="preserve"> </w:t>
      </w:r>
      <w:r>
        <w:t xml:space="preserve">executed using novel</w:t>
      </w:r>
      <w:r>
        <w:t xml:space="preserve"> </w:t>
      </w:r>
      <w:r>
        <w:t xml:space="preserve">technologies</w:t>
      </w:r>
    </w:p>
    <w:p>
      <w:pPr>
        <w:pStyle w:val="BodyText"/>
      </w:pPr>
      <w:r>
        <w:t xml:space="preserve">Total amount of cash leg</w:t>
      </w:r>
      <w:r>
        <w:t xml:space="preserve"> </w:t>
      </w:r>
      <w:r>
        <w:t xml:space="preserve">settlement executed with</w:t>
      </w:r>
      <w:r>
        <w:t xml:space="preserve"> </w:t>
      </w:r>
      <w:r>
        <w:t xml:space="preserve">digital money</w:t>
      </w:r>
    </w:p>
    <w:p>
      <w:pPr>
        <w:pStyle w:val="BodyText"/>
      </w:pPr>
      <w:r>
        <w:t xml:space="preserve">Total number of DLT based</w:t>
      </w:r>
      <w:r>
        <w:t xml:space="preserve"> </w:t>
      </w:r>
      <w:r>
        <w:t xml:space="preserve">SFD designated systems</w:t>
      </w:r>
      <w:r>
        <w:t xml:space="preserve"> </w:t>
      </w:r>
      <w:r>
        <w:t xml:space="preserve">Date of</w:t>
      </w:r>
      <w:r>
        <w:t xml:space="preserve"> </w:t>
      </w:r>
      <w:r>
        <w:t xml:space="preserve">application.</w:t>
      </w:r>
      <w:r>
        <w:t xml:space="preserve"> </w:t>
      </w:r>
      <w:r>
        <w:t xml:space="preserve">ESMA/ESCB</w:t>
      </w:r>
      <w:r>
        <w:t xml:space="preserve"> </w:t>
      </w:r>
      <w:r>
        <w:t xml:space="preserve">ESMA/ESCB</w:t>
      </w:r>
    </w:p>
    <w:p>
      <w:pPr>
        <w:pStyle w:val="BodyText"/>
      </w:pPr>
      <w:r>
        <w:t xml:space="preserve">282</w:t>
      </w:r>
      <w:r>
        <w:t xml:space="preserve"> </w:t>
      </w:r>
      <w:r>
        <w:t xml:space="preserve">ANNEX 9: SECTORAL ANNEX ON ASSET MANAGEMENT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Creating a unified single market for investment funds and asset managers is a key part of the</w:t>
      </w:r>
      <w:r>
        <w:t xml:space="preserve"> </w:t>
      </w:r>
      <w:r>
        <w:t xml:space="preserve">SIU because it would help raise capital in the EU, allocate that capital more efficiently and</w:t>
      </w:r>
      <w:r>
        <w:t xml:space="preserve"> </w:t>
      </w:r>
      <w:r>
        <w:t xml:space="preserve">provide greater choice and better value to EU investors. A single market for the asset</w:t>
      </w:r>
      <w:r>
        <w:t xml:space="preserve"> </w:t>
      </w:r>
      <w:r>
        <w:t xml:space="preserve">management sector has not been fully achieved to date. This is due to persistent regulatory and</w:t>
      </w:r>
      <w:r>
        <w:t xml:space="preserve"> </w:t>
      </w:r>
      <w:r>
        <w:t xml:space="preserve">operational barriers as well as diverging supervisory practices, at European and Member State</w:t>
      </w:r>
      <w:r>
        <w:t xml:space="preserve"> </w:t>
      </w:r>
      <w:r>
        <w:t xml:space="preserve">levels, despite the adoption of the CBDR and CBDD in 2019 (the ‘CBD framework’).</w:t>
      </w:r>
      <w:r>
        <w:t xml:space="preserve"> </w:t>
      </w:r>
      <w:r>
        <w:t xml:space="preserve">Indeed, the CBD framework introduced measures to impose certain requirements and increase</w:t>
      </w:r>
      <w:r>
        <w:t xml:space="preserve"> </w:t>
      </w:r>
      <w:r>
        <w:t xml:space="preserve">transparency, including requiring ESMA to establish a central database of national rules</w:t>
      </w:r>
      <w:r>
        <w:t xml:space="preserve"> </w:t>
      </w:r>
      <w:r>
        <w:t xml:space="preserve">concerning marketing requirements, as well as requiring competent authorities to publish</w:t>
      </w:r>
      <w:r>
        <w:t xml:space="preserve"> </w:t>
      </w:r>
      <w:r>
        <w:t xml:space="preserve">information on regulatory fees and charges. The Commission’s assessment shows that</w:t>
      </w:r>
      <w:r>
        <w:t xml:space="preserve"> </w:t>
      </w:r>
      <w:r>
        <w:t xml:space="preserve">transparency has not resulted in improved convergent approaches by Member States.</w:t>
      </w:r>
      <w:r>
        <w:br/>
      </w:r>
      <w:r>
        <w:t xml:space="preserve">Notification processes to exercise the marketing and management passports in the UCITS and</w:t>
      </w:r>
      <w:r>
        <w:t xml:space="preserve"> </w:t>
      </w:r>
      <w:r>
        <w:t xml:space="preserve">AIFM frameworks can often amount to a “re-authorisation” at host Member State level, making</w:t>
      </w:r>
      <w:r>
        <w:t xml:space="preserve"> </w:t>
      </w:r>
      <w:r>
        <w:t xml:space="preserve">cross-border marketing an administrative and financial challenge for fund viability. Indeed,</w:t>
      </w:r>
      <w:r>
        <w:t xml:space="preserve"> </w:t>
      </w:r>
      <w:r>
        <w:t xml:space="preserve">when national requirements are different or too complex, asset managers often set up new local</w:t>
      </w:r>
      <w:r>
        <w:t xml:space="preserve"> </w:t>
      </w:r>
      <w:r>
        <w:t xml:space="preserve">funds instead, or limit fundraising to familiar jurisdictions.445 This results in smaller fund sizes,</w:t>
      </w:r>
      <w:r>
        <w:t xml:space="preserve"> </w:t>
      </w:r>
      <w:r>
        <w:t xml:space="preserve">higher fees, fewer investment choices for investors, and smaller investing tickets. This latter</w:t>
      </w:r>
      <w:r>
        <w:t xml:space="preserve"> </w:t>
      </w:r>
      <w:r>
        <w:t xml:space="preserve">aspect is of particular significance for the SIU, especially in innovative sectors and, more</w:t>
      </w:r>
      <w:r>
        <w:t xml:space="preserve"> </w:t>
      </w:r>
      <w:r>
        <w:t xml:space="preserve">broadly, in infrastructure, where the small size of the EU fund sector remains a structural</w:t>
      </w:r>
      <w:r>
        <w:t xml:space="preserve"> </w:t>
      </w:r>
      <w:r>
        <w:t xml:space="preserve">weakness. In addition, there is currently no effective mechanism to address passport-related</w:t>
      </w:r>
      <w:r>
        <w:t xml:space="preserve"> </w:t>
      </w:r>
      <w:r>
        <w:t xml:space="preserve">issues between Member States in an efficient and timely manner. The absence of such</w:t>
      </w:r>
      <w:r>
        <w:t xml:space="preserve"> </w:t>
      </w:r>
      <w:r>
        <w:t xml:space="preserve">alignment can lead to divergences between NCAs and Member States, which may in turn create</w:t>
      </w:r>
      <w:r>
        <w:t xml:space="preserve"> </w:t>
      </w:r>
      <w:r>
        <w:t xml:space="preserve">or reinforce barriers to cross-border activities.</w:t>
      </w:r>
      <w:r>
        <w:t xml:space="preserve"> </w:t>
      </w:r>
      <w:r>
        <w:t xml:space="preserve">As well as national requirements, provisions in the EU framework also hinder efficient time</w:t>
      </w:r>
      <w:r>
        <w:t xml:space="preserve"> </w:t>
      </w:r>
      <w:r>
        <w:t xml:space="preserve">and access to the single market. There are variations in the UCITS authorisation process across</w:t>
      </w:r>
      <w:r>
        <w:t xml:space="preserve"> </w:t>
      </w:r>
      <w:r>
        <w:t xml:space="preserve">Member States, even though funds are authorised under the same EU framework. The</w:t>
      </w:r>
      <w:r>
        <w:t xml:space="preserve"> </w:t>
      </w:r>
      <w:r>
        <w:t xml:space="preserve">notification requirements for new UCITS share classes, as well as material changes to fund</w:t>
      </w:r>
      <w:r>
        <w:t xml:space="preserve"> </w:t>
      </w:r>
      <w:r>
        <w:t xml:space="preserve">documentation, are unnecessarily lengthy. The de-notification processes have also become too</w:t>
      </w:r>
      <w:r>
        <w:t xml:space="preserve"> </w:t>
      </w:r>
      <w:r>
        <w:t xml:space="preserve">complex, and the pre-marketing ban under AIFMD unnecessarily blocks marketing of new</w:t>
      </w:r>
      <w:r>
        <w:t xml:space="preserve"> </w:t>
      </w:r>
      <w:r>
        <w:t xml:space="preserve">AIFs. These provisions can be simplified to create a more streamlined single market for</w:t>
      </w:r>
      <w:r>
        <w:t xml:space="preserve"> </w:t>
      </w:r>
      <w:r>
        <w:t xml:space="preserve">investment funds, while at the same time ensuring the same level of investor protection that</w:t>
      </w:r>
      <w:r>
        <w:t xml:space="preserve"> </w:t>
      </w:r>
      <w:r>
        <w:t xml:space="preserve">exists today.</w:t>
      </w:r>
      <w:r>
        <w:br/>
      </w:r>
      <w:r>
        <w:t xml:space="preserve">Asset managers often operate through group structures with regulated subsidiaries across the</w:t>
      </w:r>
      <w:r>
        <w:t xml:space="preserve"> </w:t>
      </w:r>
      <w:r>
        <w:t xml:space="preserve">EU. The current regulatory and supervisory frameworks do not reflect these structures, and</w:t>
      </w:r>
      <w:r>
        <w:t xml:space="preserve"> </w:t>
      </w:r>
      <w:r>
        <w:t xml:space="preserve">duplicative requirements are often imposed on entities of the same group operating in more</w:t>
      </w:r>
      <w:r>
        <w:t xml:space="preserve"> </w:t>
      </w:r>
      <w:r>
        <w:t xml:space="preserve">than one Member State. Simplifying compliance and easing delegation rules for EU regulated</w:t>
      </w:r>
      <w:r>
        <w:t xml:space="preserve"> </w:t>
      </w:r>
      <w:r>
        <w:t xml:space="preserve">group entities operating in the single market would reduce administrative burdens and improve</w:t>
      </w:r>
      <w:r>
        <w:t xml:space="preserve"> </w:t>
      </w:r>
      <w:r>
        <w:t xml:space="preserve">scalability of the EU asset management sector.</w:t>
      </w:r>
    </w:p>
    <w:p>
      <w:pPr>
        <w:pStyle w:val="BodyText"/>
      </w:pPr>
      <w:r>
        <w:t xml:space="preserve">445 Study of barriers to, and drivers of, the scaling-up of funds investing in innovative and growth companies</w:t>
      </w:r>
    </w:p>
    <w:p>
      <w:pPr>
        <w:pStyle w:val="BodyText"/>
      </w:pPr>
      <w:r>
        <w:t xml:space="preserve">283</w:t>
      </w:r>
      <w:r>
        <w:t xml:space="preserve"> </w:t>
      </w:r>
      <w:r>
        <w:t xml:space="preserve">Under current rules, AIFs and UCITS funds are required to appoint a depositary located in the</w:t>
      </w:r>
      <w:r>
        <w:t xml:space="preserve"> </w:t>
      </w:r>
      <w:r>
        <w:t xml:space="preserve">same Member State where the investment fund is authorised. In Member States lacking</w:t>
      </w:r>
      <w:r>
        <w:t xml:space="preserve"> </w:t>
      </w:r>
      <w:r>
        <w:t xml:space="preserve">depositary services or with highly concentrated depositary markets where sometimes less than</w:t>
      </w:r>
      <w:r>
        <w:t xml:space="preserve"> </w:t>
      </w:r>
      <w:r>
        <w:t xml:space="preserve">a handful of entities offer depositary services, this requirement can limit operational flexibility</w:t>
      </w:r>
      <w:r>
        <w:t xml:space="preserve"> </w:t>
      </w:r>
      <w:r>
        <w:t xml:space="preserve">and increase costs for both UCITS and AIFs and for investors or limit the growth of the</w:t>
      </w:r>
      <w:r>
        <w:t xml:space="preserve"> </w:t>
      </w:r>
      <w:r>
        <w:t xml:space="preserve">investment fund sector for certain markets. During the most recent AIFMD review446, smaller</w:t>
      </w:r>
      <w:r>
        <w:t xml:space="preserve"> </w:t>
      </w:r>
      <w:r>
        <w:t xml:space="preserve">markets were permitted to appoint depositaries established in other Member States, but only</w:t>
      </w:r>
      <w:r>
        <w:t xml:space="preserve"> </w:t>
      </w:r>
      <w:r>
        <w:t xml:space="preserve">under strict economic conditions and at the discretion of the Member State concerned. The new</w:t>
      </w:r>
      <w:r>
        <w:t xml:space="preserve"> </w:t>
      </w:r>
      <w:r>
        <w:t xml:space="preserve">rules will apply from April 2026. For UCITS, the appointment of a depositary in another</w:t>
      </w:r>
      <w:r>
        <w:t xml:space="preserve"> </w:t>
      </w:r>
      <w:r>
        <w:t xml:space="preserve">Member State is still not possible. Allowing UCITS and AIFs to freely appoint depositaries in</w:t>
      </w:r>
      <w:r>
        <w:t xml:space="preserve"> </w:t>
      </w:r>
      <w:r>
        <w:t xml:space="preserve">Member States other than their home Member State, without preconditions such as economic</w:t>
      </w:r>
      <w:r>
        <w:t xml:space="preserve"> </w:t>
      </w:r>
      <w:r>
        <w:t xml:space="preserve">thresholds or Member State specific restrictions would help reduce market concentration, lower</w:t>
      </w:r>
      <w:r>
        <w:t xml:space="preserve"> </w:t>
      </w:r>
      <w:r>
        <w:t xml:space="preserve">costs, and enhance the overall efficiency and competitiveness of the EU depositary market.</w:t>
      </w:r>
      <w:r>
        <w:t xml:space="preserve"> </w:t>
      </w:r>
      <w:r>
        <w:t xml:space="preserve">Finally, the supervisory framework for the asset management sector would benefit from</w:t>
      </w:r>
      <w:r>
        <w:t xml:space="preserve"> </w:t>
      </w:r>
      <w:r>
        <w:t xml:space="preserve">enhanced coordination. This is addressed in Annex 11 on supervision.</w:t>
      </w:r>
      <w:r>
        <w:br/>
      </w:r>
      <w:r>
        <w:t xml:space="preserve">2. THE EU ASSET MANAGEMENT SECTOR AND LEGAL FRAMEWORK</w:t>
      </w:r>
      <w:r>
        <w:t xml:space="preserve"> </w:t>
      </w:r>
      <w:r>
        <w:t xml:space="preserve">2.1. SIGNIFICANT GROWTH BUT RELATIVE DECLINE GLOBALLY</w:t>
      </w:r>
    </w:p>
    <w:p>
      <w:pPr>
        <w:pStyle w:val="BodyText"/>
      </w:pPr>
      <w:r>
        <w:t xml:space="preserve">The EU’s asset management sector has undergone remarkable expansion over the past decades,</w:t>
      </w:r>
      <w:r>
        <w:t xml:space="preserve"> </w:t>
      </w:r>
      <w:r>
        <w:t xml:space="preserve">establishing itself as a central pillar of the region’s financial ecosystem. At the heart of this</w:t>
      </w:r>
      <w:r>
        <w:t xml:space="preserve"> </w:t>
      </w:r>
      <w:r>
        <w:t xml:space="preserve">growth lies the development of a minimum common regulatory framework most notably</w:t>
      </w:r>
      <w:r>
        <w:t xml:space="preserve"> </w:t>
      </w:r>
      <w:r>
        <w:t xml:space="preserve">through the introduction of the UCITS Directive in 1985 followed by the AIFMD in 2011.</w:t>
      </w:r>
    </w:p>
    <w:p>
      <w:pPr>
        <w:pStyle w:val="BodyText"/>
      </w:pPr>
      <w:r>
        <w:t xml:space="preserve">The UCITS framework is the EU’s flagship regime for retail investment funds. It provides a</w:t>
      </w:r>
      <w:r>
        <w:t xml:space="preserve"> </w:t>
      </w:r>
      <w:r>
        <w:t xml:space="preserve">harmonised set of rules on eligible assets, diversification, and investor protection, allowing</w:t>
      </w:r>
      <w:r>
        <w:t xml:space="preserve"> </w:t>
      </w:r>
      <w:r>
        <w:t xml:space="preserve">UCITS funds to be marketed to retail and professional investors and managed across the EU</w:t>
      </w:r>
      <w:r>
        <w:t xml:space="preserve"> </w:t>
      </w:r>
      <w:r>
        <w:t xml:space="preserve">via a passport. This cross-border distribution mechanism is a key feature, supporting a deep</w:t>
      </w:r>
      <w:r>
        <w:t xml:space="preserve"> </w:t>
      </w:r>
      <w:r>
        <w:t xml:space="preserve">and integrated single market for collective investment funds and asset managers.</w:t>
      </w:r>
    </w:p>
    <w:p>
      <w:pPr>
        <w:pStyle w:val="BodyText"/>
      </w:pPr>
      <w:r>
        <w:t xml:space="preserve">The AIFMD framework governs managers of AIFs such as private equity, hedge, and real</w:t>
      </w:r>
      <w:r>
        <w:t xml:space="preserve"> </w:t>
      </w:r>
      <w:r>
        <w:t xml:space="preserve">estate funds. It establishes a regulatory framework focused on transparency, risk management,</w:t>
      </w:r>
      <w:r>
        <w:t xml:space="preserve"> </w:t>
      </w:r>
      <w:r>
        <w:t xml:space="preserve">and investor protection, particularly for professional investors. Like the UCITSD, AIFMD</w:t>
      </w:r>
      <w:r>
        <w:t xml:space="preserve"> </w:t>
      </w:r>
      <w:r>
        <w:t xml:space="preserve">provides a passport, enabling authorised EU AIFMs to manage and market EU AIFs to</w:t>
      </w:r>
      <w:r>
        <w:t xml:space="preserve"> </w:t>
      </w:r>
      <w:r>
        <w:t xml:space="preserve">professional investors across the EU under a single regulatory approval. The UCITSD and</w:t>
      </w:r>
      <w:r>
        <w:t xml:space="preserve"> </w:t>
      </w:r>
      <w:r>
        <w:t xml:space="preserve">AIFMD underpin the EU’s asset management landscape, offering distinct but complementary</w:t>
      </w:r>
      <w:r>
        <w:t xml:space="preserve"> </w:t>
      </w:r>
      <w:r>
        <w:t xml:space="preserve">frameworks with single market scalability at their core.</w:t>
      </w:r>
    </w:p>
    <w:p>
      <w:pPr>
        <w:pStyle w:val="BodyText"/>
      </w:pPr>
      <w:r>
        <w:t xml:space="preserve">In terms of growth in collective investment schemes in the EU, as at end 2024, the total NAV</w:t>
      </w:r>
      <w:r>
        <w:t xml:space="preserve"> </w:t>
      </w:r>
      <w:r>
        <w:t xml:space="preserve">in the EU asset management industry amounted to approximately EUR 20.5 trillion447, of which</w:t>
      </w:r>
    </w:p>
    <w:p>
      <w:pPr>
        <w:pStyle w:val="BodyText"/>
      </w:pPr>
      <w:r>
        <w:t xml:space="preserve">446 Directive (EU) 2024/927 of the European Parliament and of the Council of 13 March 2024 amending</w:t>
      </w:r>
      <w:r>
        <w:t xml:space="preserve"> </w:t>
      </w:r>
      <w:r>
        <w:t xml:space="preserve">Directives 2011/61/EU and 2009/65/EC: Directive - EU - 2024/927 - EN - AIFMD II - EUR-Lex</w:t>
      </w:r>
      <w:r>
        <w:br/>
      </w:r>
      <w:r>
        <w:t xml:space="preserve">447 EFAMA Factbook 2025, page 14. Available: https://www.efama.org/sites/default/files/fact-book-</w:t>
      </w:r>
      <w:r>
        <w:t xml:space="preserve"> </w:t>
      </w:r>
      <w:r>
        <w:t xml:space="preserve">2025_lowres.pdf; supported by internal calculations.</w:t>
      </w:r>
    </w:p>
    <w:p>
      <w:pPr>
        <w:pStyle w:val="BodyText"/>
      </w:pPr>
      <w:r>
        <w:t xml:space="preserve">284</w:t>
      </w:r>
      <w:r>
        <w:t xml:space="preserve"> </w:t>
      </w:r>
      <w:r>
        <w:t xml:space="preserve">approximately EUR 12.6 trillion (61%) was held in UCITS funds448 and EUR 7.9 trillion449</w:t>
      </w:r>
      <w:r>
        <w:t xml:space="preserve"> </w:t>
      </w:r>
      <w:r>
        <w:t xml:space="preserve">(39%) in AIFs. Net assets of EU funds have effectively doubled over the past ten years (i.e. </w:t>
      </w:r>
      <w:r>
        <w:t xml:space="preserve"> </w:t>
      </w:r>
      <w:r>
        <w:t xml:space="preserve">95% growth over the decade). Between approximately 46% of this total net assets growth was</w:t>
      </w:r>
      <w:r>
        <w:t xml:space="preserve"> </w:t>
      </w:r>
      <w:r>
        <w:t xml:space="preserve">attributed to new net inflows and around 54% to asset appreciation.450 Taking inflation into</w:t>
      </w:r>
      <w:r>
        <w:t xml:space="preserve"> </w:t>
      </w:r>
      <w:r>
        <w:t xml:space="preserve">account, in inflation-adjusted terms, the real growth of the European fund segment over 10</w:t>
      </w:r>
      <w:r>
        <w:t xml:space="preserve"> </w:t>
      </w:r>
      <w:r>
        <w:t xml:space="preserve">years is approximately 60%.451 The growth of exchange-traded funds (‘ETFs’) in recent years</w:t>
      </w:r>
      <w:r>
        <w:t xml:space="preserve"> </w:t>
      </w:r>
      <w:r>
        <w:t xml:space="preserve">is also noteworthy. ETFs have become a widely popular investment vehicle with European</w:t>
      </w:r>
      <w:r>
        <w:t xml:space="preserve"> </w:t>
      </w:r>
      <w:r>
        <w:t xml:space="preserve">ETFs reaching a record of almost EUR 2.2 trillion in AuM at the end of 2024 (a 33% increase</w:t>
      </w:r>
      <w:r>
        <w:t xml:space="preserve"> </w:t>
      </w:r>
      <w:r>
        <w:t xml:space="preserve">from the previous year)452, with EUR 2 trillion consisting of UCITS funds.453</w:t>
      </w:r>
      <w:r>
        <w:t xml:space="preserve"> </w:t>
      </w:r>
      <w:r>
        <w:t xml:space="preserve">Overall, the above figures demonstrate that the EU fund industry has recorded steady growth</w:t>
      </w:r>
      <w:r>
        <w:t xml:space="preserve"> </w:t>
      </w:r>
      <w:r>
        <w:t xml:space="preserve">over the past decade. However, this growth should be contrasted to global peers, as well as</w:t>
      </w:r>
      <w:r>
        <w:t xml:space="preserve"> </w:t>
      </w:r>
      <w:r>
        <w:t xml:space="preserve">roughly estimated in inflation-adjusted terms. The EU fund industry growth over the past</w:t>
      </w:r>
      <w:r>
        <w:t xml:space="preserve"> </w:t>
      </w:r>
      <w:r>
        <w:t xml:space="preserve">decade lagged global and US trends in aggregate net assets growth. Notably, global investment</w:t>
      </w:r>
      <w:r>
        <w:t xml:space="preserve"> </w:t>
      </w:r>
      <w:r>
        <w:t xml:space="preserve">fund assets rose from USD 17.7 trillion (~ EUR 14.5 trillion) in 2014 to over USD 39 trillion</w:t>
      </w:r>
      <w:r>
        <w:t xml:space="preserve"> </w:t>
      </w:r>
      <w:r>
        <w:t xml:space="preserve">(~EUR 37.7 trillion) by end 2024, corresponding to a 120% growth over that time.454 Graph 1</w:t>
      </w:r>
      <w:r>
        <w:t xml:space="preserve"> </w:t>
      </w:r>
      <w:r>
        <w:t xml:space="preserve">shows that the US has the largest share of total NAVs of worldwide regulated open-ended</w:t>
      </w:r>
      <w:r>
        <w:t xml:space="preserve"> </w:t>
      </w:r>
      <w:r>
        <w:t xml:space="preserve">funds.</w:t>
      </w:r>
    </w:p>
    <w:p>
      <w:pPr>
        <w:pStyle w:val="BodyText"/>
      </w:pPr>
      <w:r>
        <w:t xml:space="preserve">448 EFAMA 2025 calculations and internal calculations conducted by Commission services based on commercial</w:t>
      </w:r>
      <w:r>
        <w:t xml:space="preserve"> </w:t>
      </w:r>
      <w:r>
        <w:t xml:space="preserve">databases that contain UCITS data.</w:t>
      </w:r>
      <w:r>
        <w:t xml:space="preserve"> </w:t>
      </w:r>
      <w:r>
        <w:t xml:space="preserve">449 ESMA data, from the AIFMD reporting.</w:t>
      </w:r>
      <w:r>
        <w:t xml:space="preserve"> </w:t>
      </w:r>
      <w:r>
        <w:t xml:space="preserve">450 EFAMA Factbook 2025, page 8. Available: https://www.efama.org/sites/default/files/fact-book-</w:t>
      </w:r>
      <w:r>
        <w:t xml:space="preserve"> </w:t>
      </w:r>
      <w:r>
        <w:t xml:space="preserve">2025_lowres.pdf</w:t>
      </w:r>
      <w:r>
        <w:t xml:space="preserve"> </w:t>
      </w:r>
      <w:r>
        <w:t xml:space="preserve">451 Based on estimates of the global consumer price inflation rates (annual % change) for 2014 to 2024, based on</w:t>
      </w:r>
      <w:r>
        <w:t xml:space="preserve"> </w:t>
      </w:r>
      <w:r>
        <w:t xml:space="preserve">FRED data from the World Bank / IMF, the cumulative price increase of assets (global inflation with a CAGR of</w:t>
      </w:r>
      <w:r>
        <w:t xml:space="preserve"> </w:t>
      </w:r>
      <w:r>
        <w:t xml:space="preserve">around 3.2%) from 2014 to 2014 was about 37%.</w:t>
      </w:r>
      <w:r>
        <w:t xml:space="preserve"> </w:t>
      </w:r>
      <w:r>
        <w:t xml:space="preserve">452 Source: European ETFs Attract Record Inflows in 2024, Morningstar, 28 January 2025. Available here:</w:t>
      </w:r>
      <w:r>
        <w:t xml:space="preserve"> </w:t>
      </w:r>
      <w:r>
        <w:t xml:space="preserve">European ETFs Attract Record Inflows in 2024 | Morningstar Europe</w:t>
      </w:r>
      <w:r>
        <w:t xml:space="preserve"> </w:t>
      </w:r>
      <w:r>
        <w:t xml:space="preserve">453 Source: EFAMA Industry perspective, Issue No. 1, April 2025. Available: efama-industry-perspective_active-</w:t>
      </w:r>
      <w:r>
        <w:t xml:space="preserve"> </w:t>
      </w:r>
      <w:r>
        <w:t xml:space="preserve">etfs_april-2025_0.pdf</w:t>
      </w:r>
      <w:r>
        <w:br/>
      </w:r>
      <w:r>
        <w:t xml:space="preserve">454 Investment Company Institute (ICI) 2025 Investment Company Fact Book. Available: 2025 Investment</w:t>
      </w:r>
      <w:r>
        <w:t xml:space="preserve"> </w:t>
      </w:r>
      <w:r>
        <w:t xml:space="preserve">Company Fact Book, and Worldwide Public Tables.</w:t>
      </w:r>
    </w:p>
    <w:p>
      <w:pPr>
        <w:pStyle w:val="BodyText"/>
      </w:pPr>
      <w:r>
        <w:t xml:space="preserve">285</w:t>
      </w:r>
      <w:r>
        <w:t xml:space="preserve"> </w:t>
      </w:r>
      <w:r>
        <w:t xml:space="preserve">Graph 1: Total NAVs of worldwide regulated open-ended funds (trillions of USD by</w:t>
      </w:r>
      <w:r>
        <w:t xml:space="preserve"> </w:t>
      </w:r>
      <w:r>
        <w:t xml:space="preserve">region, year-end)455</w:t>
      </w:r>
    </w:p>
    <w:p>
      <w:pPr>
        <w:pStyle w:val="BodyText"/>
      </w:pPr>
      <w:r>
        <w:t xml:space="preserve">2.2. UNEVEN DEVELOPMENT OF FUND MARKETS ACROSS THE EU</w:t>
      </w:r>
      <w:r>
        <w:br/>
      </w:r>
      <w:r>
        <w:t xml:space="preserve">Large asymmetries exist between Member States in terms of fund domiciliation. The top four</w:t>
      </w:r>
      <w:r>
        <w:t xml:space="preserve"> </w:t>
      </w:r>
      <w:r>
        <w:t xml:space="preserve">Member States for fund domiciles, Luxembourg, Ireland, Germany and France, held around</w:t>
      </w:r>
      <w:r>
        <w:t xml:space="preserve"> </w:t>
      </w:r>
      <w:r>
        <w:t xml:space="preserve">82% of total EU fund assets at the end of 2024. Luxembourg alone accounts for EUR 6.8 trillion</w:t>
      </w:r>
      <w:r>
        <w:t xml:space="preserve"> </w:t>
      </w:r>
      <w:r>
        <w:t xml:space="preserve">(33% of the EU total AuM). Ireland follows with EUR 4.9 trillion AuM (24% of the total).</w:t>
      </w:r>
      <w:r>
        <w:t xml:space="preserve"> </w:t>
      </w:r>
      <w:r>
        <w:t xml:space="preserve">These figures reflect the development, over several decades, of infrastructure conducive to fund</w:t>
      </w:r>
      <w:r>
        <w:t xml:space="preserve"> </w:t>
      </w:r>
      <w:r>
        <w:t xml:space="preserve">domiciliation, as well as favourable regulatory, tax and administrative environments.</w:t>
      </w:r>
      <w:r>
        <w:t xml:space="preserve"> </w:t>
      </w:r>
      <w:r>
        <w:t xml:space="preserve">The asymmetries are also apparent when comparing the aggregate net size of EU investment</w:t>
      </w:r>
      <w:r>
        <w:t xml:space="preserve"> </w:t>
      </w:r>
      <w:r>
        <w:t xml:space="preserve">funds with the total GDP. If the total EU AuM amounts to about 110% of EU GDP, the</w:t>
      </w:r>
      <w:r>
        <w:t xml:space="preserve"> </w:t>
      </w:r>
      <w:r>
        <w:t xml:space="preserve">divergences across the Member States are extreme. For example, if France and Sweden are</w:t>
      </w:r>
      <w:r>
        <w:t xml:space="preserve"> </w:t>
      </w:r>
      <w:r>
        <w:t xml:space="preserve">performing above the EU average at 90% and 120% of GDP respectively (around the EU</w:t>
      </w:r>
      <w:r>
        <w:t xml:space="preserve"> </w:t>
      </w:r>
      <w:r>
        <w:t xml:space="preserve">average of 110%), several Member States are falling behind. For instance, Spain has</w:t>
      </w:r>
      <w:r>
        <w:t xml:space="preserve"> </w:t>
      </w:r>
      <w:r>
        <w:t xml:space="preserve">investments at 28% of GDP, Italy at 20% and Poland at 13.6%.</w:t>
      </w:r>
      <w:r>
        <w:t xml:space="preserve"> </w:t>
      </w:r>
      <w:r>
        <w:t xml:space="preserve">This, combined with the very limited degree of cross-border provision of investment funds in</w:t>
      </w:r>
      <w:r>
        <w:t xml:space="preserve"> </w:t>
      </w:r>
      <w:r>
        <w:t xml:space="preserve">the EU generally (see below), shows that there is a low market penetration of investment funds</w:t>
      </w:r>
      <w:r>
        <w:t xml:space="preserve"> </w:t>
      </w:r>
      <w:r>
        <w:t xml:space="preserve">in many Member States and hence that many EU markets are underinvested.</w:t>
      </w:r>
    </w:p>
    <w:p>
      <w:pPr>
        <w:pStyle w:val="BodyText"/>
      </w:pPr>
      <w:r>
        <w:t xml:space="preserve">455 ICI 2025 Investment Company Fact Book, page 14.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Table 1: Net assets and number of funds in the EU (Q4 2024 data)456</w:t>
      </w:r>
      <w:r>
        <w:t xml:space="preserve"> </w:t>
      </w:r>
      <w:r>
        <w:t xml:space="preserve">Member State</w:t>
      </w:r>
      <w:r>
        <w:t xml:space="preserve"> </w:t>
      </w:r>
      <w:r>
        <w:t xml:space="preserve">Total Net Assets</w:t>
      </w:r>
      <w:r>
        <w:br/>
      </w:r>
      <w:r>
        <w:t xml:space="preserve">(millions of EUR)</w:t>
      </w:r>
      <w:r>
        <w:t xml:space="preserve"> </w:t>
      </w:r>
      <w:r>
        <w:t xml:space="preserve">Number of funds</w:t>
      </w:r>
      <w:r>
        <w:t xml:space="preserve"> </w:t>
      </w:r>
      <w:r>
        <w:t xml:space="preserve">Total</w:t>
      </w:r>
      <w:r>
        <w:br/>
      </w:r>
      <w:r>
        <w:t xml:space="preserve">UCITS</w:t>
      </w:r>
      <w:r>
        <w:br/>
      </w:r>
      <w:r>
        <w:t xml:space="preserve">AIFs</w:t>
      </w:r>
      <w:r>
        <w:br/>
      </w:r>
      <w:r>
        <w:t xml:space="preserve">Total</w:t>
      </w:r>
      <w:r>
        <w:t xml:space="preserve"> </w:t>
      </w:r>
      <w:r>
        <w:t xml:space="preserve">UCITS</w:t>
      </w:r>
      <w:r>
        <w:t xml:space="preserve"> </w:t>
      </w:r>
      <w:r>
        <w:t xml:space="preserve">AIFs</w:t>
      </w:r>
      <w:r>
        <w:t xml:space="preserve"> </w:t>
      </w:r>
      <w:r>
        <w:t xml:space="preserve">Austria</w:t>
      </w:r>
      <w:r>
        <w:t xml:space="preserve"> </w:t>
      </w:r>
      <w:r>
        <w:t xml:space="preserve">200.827</w:t>
      </w:r>
      <w:r>
        <w:br/>
      </w:r>
      <w:r>
        <w:t xml:space="preserve">105,827</w:t>
      </w:r>
      <w:r>
        <w:br/>
      </w:r>
      <w:r>
        <w:t xml:space="preserve">95.000</w:t>
      </w:r>
      <w:r>
        <w:br/>
      </w:r>
      <w:r>
        <w:t xml:space="preserve">1.902</w:t>
      </w:r>
      <w:r>
        <w:br/>
      </w:r>
      <w:r>
        <w:t xml:space="preserve">874</w:t>
      </w:r>
      <w:r>
        <w:br/>
      </w:r>
      <w:r>
        <w:t xml:space="preserve">1.028</w:t>
      </w:r>
      <w:r>
        <w:br/>
      </w:r>
      <w:r>
        <w:t xml:space="preserve">Belgium</w:t>
      </w:r>
      <w:r>
        <w:t xml:space="preserve"> </w:t>
      </w:r>
      <w:r>
        <w:t xml:space="preserve">276.212</w:t>
      </w:r>
      <w:r>
        <w:br/>
      </w:r>
      <w:r>
        <w:t xml:space="preserve">229,112</w:t>
      </w:r>
      <w:r>
        <w:br/>
      </w:r>
      <w:r>
        <w:t xml:space="preserve">47.100</w:t>
      </w:r>
      <w:r>
        <w:br/>
      </w:r>
      <w:r>
        <w:t xml:space="preserve">1.064</w:t>
      </w:r>
      <w:r>
        <w:br/>
      </w:r>
      <w:r>
        <w:t xml:space="preserve">583</w:t>
      </w:r>
      <w:r>
        <w:br/>
      </w:r>
      <w:r>
        <w:t xml:space="preserve">481</w:t>
      </w:r>
      <w:r>
        <w:br/>
      </w:r>
      <w:r>
        <w:t xml:space="preserve">Bulgaria</w:t>
      </w:r>
      <w:r>
        <w:t xml:space="preserve"> </w:t>
      </w:r>
      <w:r>
        <w:t xml:space="preserve">1.898</w:t>
      </w:r>
      <w:r>
        <w:br/>
      </w:r>
      <w:r>
        <w:t xml:space="preserve">1,498</w:t>
      </w:r>
      <w:r>
        <w:br/>
      </w:r>
      <w:r>
        <w:t xml:space="preserve">400</w:t>
      </w:r>
      <w:r>
        <w:br/>
      </w:r>
      <w:r>
        <w:t xml:space="preserve">163</w:t>
      </w:r>
      <w:r>
        <w:br/>
      </w:r>
      <w:r>
        <w:t xml:space="preserve">127</w:t>
      </w:r>
      <w:r>
        <w:br/>
      </w:r>
      <w:r>
        <w:t xml:space="preserve">36</w:t>
      </w:r>
      <w:r>
        <w:br/>
      </w:r>
      <w:r>
        <w:t xml:space="preserve">Croatia</w:t>
      </w:r>
      <w:r>
        <w:t xml:space="preserve"> </w:t>
      </w:r>
      <w:r>
        <w:t xml:space="preserve">4.528</w:t>
      </w:r>
      <w:r>
        <w:br/>
      </w:r>
      <w:r>
        <w:t xml:space="preserve">3,228</w:t>
      </w:r>
      <w:r>
        <w:br/>
      </w:r>
      <w:r>
        <w:t xml:space="preserve">1.300</w:t>
      </w:r>
      <w:r>
        <w:br/>
      </w:r>
      <w:r>
        <w:t xml:space="preserve">146</w:t>
      </w:r>
      <w:r>
        <w:br/>
      </w:r>
      <w:r>
        <w:t xml:space="preserve">117</w:t>
      </w:r>
      <w:r>
        <w:br/>
      </w:r>
      <w:r>
        <w:t xml:space="preserve">29</w:t>
      </w:r>
      <w:r>
        <w:br/>
      </w:r>
      <w:r>
        <w:t xml:space="preserve">Cyprus</w:t>
      </w:r>
      <w:r>
        <w:t xml:space="preserve"> </w:t>
      </w:r>
      <w:r>
        <w:t xml:space="preserve">8.623</w:t>
      </w:r>
      <w:r>
        <w:br/>
      </w:r>
      <w:r>
        <w:t xml:space="preserve">623</w:t>
      </w:r>
      <w:r>
        <w:br/>
      </w:r>
      <w:r>
        <w:t xml:space="preserve">8.000</w:t>
      </w:r>
      <w:r>
        <w:br/>
      </w:r>
      <w:r>
        <w:t xml:space="preserve">361</w:t>
      </w:r>
      <w:r>
        <w:br/>
      </w:r>
      <w:r>
        <w:t xml:space="preserve">31</w:t>
      </w:r>
      <w:r>
        <w:br/>
      </w:r>
      <w:r>
        <w:t xml:space="preserve">330</w:t>
      </w:r>
      <w:r>
        <w:br/>
      </w:r>
      <w:r>
        <w:t xml:space="preserve">Czech</w:t>
      </w:r>
      <w:r>
        <w:t xml:space="preserve"> </w:t>
      </w:r>
      <w:r>
        <w:t xml:space="preserve">57.876</w:t>
      </w:r>
      <w:r>
        <w:br/>
      </w:r>
      <w:r>
        <w:t xml:space="preserve">13,576</w:t>
      </w:r>
      <w:r>
        <w:br/>
      </w:r>
      <w:r>
        <w:t xml:space="preserve">44.300</w:t>
      </w:r>
      <w:r>
        <w:br/>
      </w:r>
      <w:r>
        <w:t xml:space="preserve">932</w:t>
      </w:r>
      <w:r>
        <w:br/>
      </w:r>
      <w:r>
        <w:t xml:space="preserve">119</w:t>
      </w:r>
      <w:r>
        <w:br/>
      </w:r>
      <w:r>
        <w:t xml:space="preserve">813</w:t>
      </w:r>
      <w:r>
        <w:br/>
      </w:r>
      <w:r>
        <w:t xml:space="preserve">Denmark</w:t>
      </w:r>
      <w:r>
        <w:t xml:space="preserve"> </w:t>
      </w:r>
      <w:r>
        <w:t xml:space="preserve">307.360</w:t>
      </w:r>
      <w:r>
        <w:br/>
      </w:r>
      <w:r>
        <w:t xml:space="preserve">199,299</w:t>
      </w:r>
      <w:r>
        <w:br/>
      </w:r>
      <w:r>
        <w:t xml:space="preserve">108.061</w:t>
      </w:r>
      <w:r>
        <w:br/>
      </w:r>
      <w:r>
        <w:t xml:space="preserve">959</w:t>
      </w:r>
      <w:r>
        <w:br/>
      </w:r>
      <w:r>
        <w:t xml:space="preserve">694</w:t>
      </w:r>
      <w:r>
        <w:br/>
      </w:r>
      <w:r>
        <w:t xml:space="preserve">265</w:t>
      </w:r>
      <w:r>
        <w:br/>
      </w:r>
      <w:r>
        <w:t xml:space="preserve">Estonia</w:t>
      </w:r>
      <w:r>
        <w:t xml:space="preserve"> </w:t>
      </w:r>
      <w:r>
        <w:t xml:space="preserve">2.300</w:t>
      </w:r>
      <w:r>
        <w:br/>
      </w:r>
      <w:r>
        <w:t xml:space="preserve">-</w:t>
      </w:r>
      <w:r>
        <w:br/>
      </w:r>
      <w:r>
        <w:t xml:space="preserve">2.300</w:t>
      </w:r>
      <w:r>
        <w:br/>
      </w:r>
      <w:r>
        <w:t xml:space="preserve">147</w:t>
      </w:r>
      <w:r>
        <w:br/>
      </w:r>
      <w:r>
        <w:t xml:space="preserve">-</w:t>
      </w:r>
      <w:r>
        <w:br/>
      </w:r>
      <w:r>
        <w:t xml:space="preserve">147</w:t>
      </w:r>
      <w:r>
        <w:br/>
      </w:r>
      <w:r>
        <w:t xml:space="preserve">Finland</w:t>
      </w:r>
      <w:r>
        <w:t xml:space="preserve"> </w:t>
      </w:r>
      <w:r>
        <w:t xml:space="preserve">185.667</w:t>
      </w:r>
      <w:r>
        <w:br/>
      </w:r>
      <w:r>
        <w:t xml:space="preserve">164,067</w:t>
      </w:r>
      <w:r>
        <w:br/>
      </w:r>
      <w:r>
        <w:t xml:space="preserve">21.600</w:t>
      </w:r>
      <w:r>
        <w:br/>
      </w:r>
      <w:r>
        <w:t xml:space="preserve">661</w:t>
      </w:r>
      <w:r>
        <w:br/>
      </w:r>
      <w:r>
        <w:t xml:space="preserve">390</w:t>
      </w:r>
      <w:r>
        <w:br/>
      </w:r>
      <w:r>
        <w:t xml:space="preserve">271</w:t>
      </w:r>
      <w:r>
        <w:br/>
      </w:r>
      <w:r>
        <w:t xml:space="preserve">France</w:t>
      </w:r>
      <w:r>
        <w:t xml:space="preserve"> </w:t>
      </w:r>
      <w:r>
        <w:t xml:space="preserve">2.135.150</w:t>
      </w:r>
      <w:r>
        <w:br/>
      </w:r>
      <w:r>
        <w:t xml:space="preserve">976,950</w:t>
      </w:r>
      <w:r>
        <w:br/>
      </w:r>
      <w:r>
        <w:t xml:space="preserve">1.158.200</w:t>
      </w:r>
      <w:r>
        <w:br/>
      </w:r>
      <w:r>
        <w:t xml:space="preserve">8.628</w:t>
      </w:r>
      <w:r>
        <w:br/>
      </w:r>
      <w:r>
        <w:t xml:space="preserve">3,093</w:t>
      </w:r>
      <w:r>
        <w:br/>
      </w:r>
      <w:r>
        <w:t xml:space="preserve">5.535</w:t>
      </w:r>
      <w:r>
        <w:br/>
      </w:r>
      <w:r>
        <w:t xml:space="preserve">Germany</w:t>
      </w:r>
      <w:r>
        <w:t xml:space="preserve"> </w:t>
      </w:r>
      <w:r>
        <w:t xml:space="preserve">2.945.331</w:t>
      </w:r>
      <w:r>
        <w:br/>
      </w:r>
      <w:r>
        <w:t xml:space="preserve">549,131</w:t>
      </w:r>
      <w:r>
        <w:br/>
      </w:r>
      <w:r>
        <w:t xml:space="preserve">2.396.200</w:t>
      </w:r>
      <w:r>
        <w:br/>
      </w:r>
      <w:r>
        <w:t xml:space="preserve">9.418</w:t>
      </w:r>
      <w:r>
        <w:br/>
      </w:r>
      <w:r>
        <w:t xml:space="preserve">2,959</w:t>
      </w:r>
      <w:r>
        <w:br/>
      </w:r>
      <w:r>
        <w:t xml:space="preserve">6.459</w:t>
      </w:r>
      <w:r>
        <w:br/>
      </w:r>
      <w:r>
        <w:t xml:space="preserve">Greece</w:t>
      </w:r>
      <w:r>
        <w:t xml:space="preserve"> </w:t>
      </w:r>
      <w:r>
        <w:t xml:space="preserve">19.694</w:t>
      </w:r>
      <w:r>
        <w:br/>
      </w:r>
      <w:r>
        <w:t xml:space="preserve">17,894</w:t>
      </w:r>
      <w:r>
        <w:br/>
      </w:r>
      <w:r>
        <w:t xml:space="preserve">1.800</w:t>
      </w:r>
      <w:r>
        <w:br/>
      </w:r>
      <w:r>
        <w:t xml:space="preserve">359</w:t>
      </w:r>
      <w:r>
        <w:br/>
      </w:r>
      <w:r>
        <w:t xml:space="preserve">312</w:t>
      </w:r>
      <w:r>
        <w:br/>
      </w:r>
      <w:r>
        <w:t xml:space="preserve">47</w:t>
      </w:r>
      <w:r>
        <w:br/>
      </w:r>
      <w:r>
        <w:t xml:space="preserve">Hungary</w:t>
      </w:r>
      <w:r>
        <w:t xml:space="preserve"> </w:t>
      </w:r>
      <w:r>
        <w:t xml:space="preserve">34.193</w:t>
      </w:r>
      <w:r>
        <w:br/>
      </w:r>
      <w:r>
        <w:t xml:space="preserve">3,793</w:t>
      </w:r>
      <w:r>
        <w:br/>
      </w:r>
      <w:r>
        <w:t xml:space="preserve">30.400</w:t>
      </w:r>
      <w:r>
        <w:br/>
      </w:r>
      <w:r>
        <w:t xml:space="preserve">579</w:t>
      </w:r>
      <w:r>
        <w:br/>
      </w:r>
      <w:r>
        <w:t xml:space="preserve">53</w:t>
      </w:r>
      <w:r>
        <w:br/>
      </w:r>
      <w:r>
        <w:t xml:space="preserve">526</w:t>
      </w:r>
      <w:r>
        <w:br/>
      </w:r>
      <w:r>
        <w:t xml:space="preserve">Ireland</w:t>
      </w:r>
      <w:r>
        <w:t xml:space="preserve"> </w:t>
      </w:r>
      <w:r>
        <w:t xml:space="preserve">4.920.103</w:t>
      </w:r>
      <w:r>
        <w:br/>
      </w:r>
      <w:r>
        <w:t xml:space="preserve">4,043,403</w:t>
      </w:r>
      <w:r>
        <w:br/>
      </w:r>
      <w:r>
        <w:t xml:space="preserve">876.700</w:t>
      </w:r>
      <w:r>
        <w:br/>
      </w:r>
      <w:r>
        <w:t xml:space="preserve">8.363</w:t>
      </w:r>
      <w:r>
        <w:br/>
      </w:r>
      <w:r>
        <w:t xml:space="preserve">5,531</w:t>
      </w:r>
      <w:r>
        <w:br/>
      </w:r>
      <w:r>
        <w:t xml:space="preserve">2.832</w:t>
      </w:r>
      <w:r>
        <w:br/>
      </w:r>
      <w:r>
        <w:t xml:space="preserve">Italy</w:t>
      </w:r>
      <w:r>
        <w:t xml:space="preserve"> </w:t>
      </w:r>
      <w:r>
        <w:t xml:space="preserve">453.502</w:t>
      </w:r>
      <w:r>
        <w:br/>
      </w:r>
      <w:r>
        <w:t xml:space="preserve">309,702</w:t>
      </w:r>
      <w:r>
        <w:br/>
      </w:r>
      <w:r>
        <w:t xml:space="preserve">143.800</w:t>
      </w:r>
      <w:r>
        <w:br/>
      </w:r>
      <w:r>
        <w:t xml:space="preserve">2.233</w:t>
      </w:r>
      <w:r>
        <w:br/>
      </w:r>
      <w:r>
        <w:t xml:space="preserve">1,115</w:t>
      </w:r>
      <w:r>
        <w:br/>
      </w:r>
      <w:r>
        <w:t xml:space="preserve">1.118</w:t>
      </w:r>
      <w:r>
        <w:br/>
      </w:r>
      <w:r>
        <w:t xml:space="preserve">Latvia</w:t>
      </w:r>
      <w:r>
        <w:t xml:space="preserve"> </w:t>
      </w:r>
      <w:r>
        <w:t xml:space="preserve">500</w:t>
      </w:r>
      <w:r>
        <w:br/>
      </w:r>
      <w:r>
        <w:t xml:space="preserve">-</w:t>
      </w:r>
      <w:r>
        <w:br/>
      </w:r>
      <w:r>
        <w:t xml:space="preserve">500</w:t>
      </w:r>
      <w:r>
        <w:br/>
      </w:r>
      <w:r>
        <w:t xml:space="preserve">50</w:t>
      </w:r>
      <w:r>
        <w:br/>
      </w:r>
      <w:r>
        <w:t xml:space="preserve">-</w:t>
      </w:r>
      <w:r>
        <w:br/>
      </w:r>
      <w:r>
        <w:t xml:space="preserve">50</w:t>
      </w:r>
      <w:r>
        <w:br/>
      </w:r>
      <w:r>
        <w:t xml:space="preserve">Lithuania</w:t>
      </w:r>
      <w:r>
        <w:t xml:space="preserve"> </w:t>
      </w:r>
      <w:r>
        <w:t xml:space="preserve">500</w:t>
      </w:r>
      <w:r>
        <w:br/>
      </w:r>
      <w:r>
        <w:t xml:space="preserve">-</w:t>
      </w:r>
      <w:r>
        <w:br/>
      </w:r>
      <w:r>
        <w:t xml:space="preserve">500</w:t>
      </w:r>
      <w:r>
        <w:br/>
      </w:r>
      <w:r>
        <w:t xml:space="preserve">11</w:t>
      </w:r>
      <w:r>
        <w:br/>
      </w:r>
      <w:r>
        <w:t xml:space="preserve">-</w:t>
      </w:r>
      <w:r>
        <w:br/>
      </w:r>
      <w:r>
        <w:t xml:space="preserve">11</w:t>
      </w:r>
      <w:r>
        <w:br/>
      </w:r>
      <w:r>
        <w:t xml:space="preserve">Luxembourg</w:t>
      </w:r>
      <w:r>
        <w:t xml:space="preserve"> </w:t>
      </w:r>
      <w:r>
        <w:t xml:space="preserve">6.836.951</w:t>
      </w:r>
      <w:r>
        <w:br/>
      </w:r>
      <w:r>
        <w:t xml:space="preserve">4,776,451</w:t>
      </w:r>
      <w:r>
        <w:br/>
      </w:r>
      <w:r>
        <w:t xml:space="preserve">2.060.500</w:t>
      </w:r>
      <w:r>
        <w:br/>
      </w:r>
      <w:r>
        <w:t xml:space="preserve">18.596</w:t>
      </w:r>
      <w:r>
        <w:br/>
      </w:r>
      <w:r>
        <w:t xml:space="preserve">9,746</w:t>
      </w:r>
      <w:r>
        <w:br/>
      </w:r>
      <w:r>
        <w:t xml:space="preserve">8.850</w:t>
      </w:r>
      <w:r>
        <w:br/>
      </w:r>
      <w:r>
        <w:t xml:space="preserve">Malta</w:t>
      </w:r>
      <w:r>
        <w:t xml:space="preserve"> </w:t>
      </w:r>
      <w:r>
        <w:t xml:space="preserve">32.111</w:t>
      </w:r>
      <w:r>
        <w:br/>
      </w:r>
      <w:r>
        <w:t xml:space="preserve">3,111</w:t>
      </w:r>
      <w:r>
        <w:br/>
      </w:r>
      <w:r>
        <w:t xml:space="preserve">29.000</w:t>
      </w:r>
      <w:r>
        <w:br/>
      </w:r>
      <w:r>
        <w:t xml:space="preserve">430</w:t>
      </w:r>
      <w:r>
        <w:br/>
      </w:r>
      <w:r>
        <w:t xml:space="preserve">112</w:t>
      </w:r>
      <w:r>
        <w:br/>
      </w:r>
      <w:r>
        <w:t xml:space="preserve">318</w:t>
      </w:r>
      <w:r>
        <w:br/>
      </w:r>
      <w:r>
        <w:t xml:space="preserve">Netherlands</w:t>
      </w:r>
      <w:r>
        <w:t xml:space="preserve"> </w:t>
      </w:r>
      <w:r>
        <w:t xml:space="preserve">766.535</w:t>
      </w:r>
      <w:r>
        <w:br/>
      </w:r>
      <w:r>
        <w:t xml:space="preserve">98,335</w:t>
      </w:r>
      <w:r>
        <w:br/>
      </w:r>
      <w:r>
        <w:t xml:space="preserve">668.200</w:t>
      </w:r>
      <w:r>
        <w:br/>
      </w:r>
      <w:r>
        <w:t xml:space="preserve">2.607</w:t>
      </w:r>
      <w:r>
        <w:br/>
      </w:r>
      <w:r>
        <w:t xml:space="preserve">94</w:t>
      </w:r>
      <w:r>
        <w:br/>
      </w:r>
      <w:r>
        <w:t xml:space="preserve">2.513</w:t>
      </w:r>
      <w:r>
        <w:br/>
      </w:r>
      <w:r>
        <w:t xml:space="preserve">Poland</w:t>
      </w:r>
      <w:r>
        <w:t xml:space="preserve"> </w:t>
      </w:r>
      <w:r>
        <w:t xml:space="preserve">93.682</w:t>
      </w:r>
      <w:r>
        <w:br/>
      </w:r>
      <w:r>
        <w:t xml:space="preserve">36,782</w:t>
      </w:r>
      <w:r>
        <w:br/>
      </w:r>
      <w:r>
        <w:t xml:space="preserve">56.900</w:t>
      </w:r>
      <w:r>
        <w:br/>
      </w:r>
      <w:r>
        <w:t xml:space="preserve">1.251</w:t>
      </w:r>
      <w:r>
        <w:br/>
      </w:r>
      <w:r>
        <w:t xml:space="preserve">257</w:t>
      </w:r>
      <w:r>
        <w:br/>
      </w:r>
      <w:r>
        <w:t xml:space="preserve">994</w:t>
      </w:r>
      <w:r>
        <w:br/>
      </w:r>
      <w:r>
        <w:t xml:space="preserve">Portugal</w:t>
      </w:r>
      <w:r>
        <w:t xml:space="preserve"> </w:t>
      </w:r>
      <w:r>
        <w:t xml:space="preserve">39.143</w:t>
      </w:r>
      <w:r>
        <w:br/>
      </w:r>
      <w:r>
        <w:t xml:space="preserve">20,043</w:t>
      </w:r>
      <w:r>
        <w:br/>
      </w:r>
      <w:r>
        <w:t xml:space="preserve">19.100</w:t>
      </w:r>
      <w:r>
        <w:br/>
      </w:r>
      <w:r>
        <w:t xml:space="preserve">560</w:t>
      </w:r>
      <w:r>
        <w:br/>
      </w:r>
      <w:r>
        <w:t xml:space="preserve">166</w:t>
      </w:r>
      <w:r>
        <w:br/>
      </w:r>
      <w:r>
        <w:t xml:space="preserve">394</w:t>
      </w:r>
      <w:r>
        <w:br/>
      </w:r>
      <w:r>
        <w:t xml:space="preserve">Romania</w:t>
      </w:r>
      <w:r>
        <w:t xml:space="preserve"> </w:t>
      </w:r>
      <w:r>
        <w:t xml:space="preserve">8.088</w:t>
      </w:r>
      <w:r>
        <w:br/>
      </w:r>
      <w:r>
        <w:t xml:space="preserve">4,688</w:t>
      </w:r>
      <w:r>
        <w:br/>
      </w:r>
      <w:r>
        <w:t xml:space="preserve">3.400</w:t>
      </w:r>
      <w:r>
        <w:br/>
      </w:r>
      <w:r>
        <w:t xml:space="preserve">126</w:t>
      </w:r>
      <w:r>
        <w:br/>
      </w:r>
      <w:r>
        <w:t xml:space="preserve">92</w:t>
      </w:r>
      <w:r>
        <w:br/>
      </w:r>
      <w:r>
        <w:t xml:space="preserve">34</w:t>
      </w:r>
      <w:r>
        <w:br/>
      </w:r>
      <w:r>
        <w:t xml:space="preserve">Slovakia</w:t>
      </w:r>
      <w:r>
        <w:t xml:space="preserve"> </w:t>
      </w:r>
      <w:r>
        <w:t xml:space="preserve">11.400</w:t>
      </w:r>
      <w:r>
        <w:br/>
      </w:r>
      <w:r>
        <w:t xml:space="preserve">7,600</w:t>
      </w:r>
      <w:r>
        <w:br/>
      </w:r>
      <w:r>
        <w:t xml:space="preserve">3.800</w:t>
      </w:r>
      <w:r>
        <w:br/>
      </w:r>
      <w:r>
        <w:t xml:space="preserve">117</w:t>
      </w:r>
      <w:r>
        <w:br/>
      </w:r>
      <w:r>
        <w:t xml:space="preserve">67</w:t>
      </w:r>
      <w:r>
        <w:br/>
      </w:r>
      <w:r>
        <w:t xml:space="preserve">50</w:t>
      </w:r>
      <w:r>
        <w:br/>
      </w:r>
      <w:r>
        <w:t xml:space="preserve">Slovenia</w:t>
      </w:r>
      <w:r>
        <w:t xml:space="preserve"> </w:t>
      </w:r>
      <w:r>
        <w:t xml:space="preserve">6.850</w:t>
      </w:r>
      <w:r>
        <w:br/>
      </w:r>
      <w:r>
        <w:t xml:space="preserve">6,250</w:t>
      </w:r>
      <w:r>
        <w:br/>
      </w:r>
      <w:r>
        <w:t xml:space="preserve">600</w:t>
      </w:r>
      <w:r>
        <w:br/>
      </w:r>
      <w:r>
        <w:t xml:space="preserve">125</w:t>
      </w:r>
      <w:r>
        <w:br/>
      </w:r>
      <w:r>
        <w:t xml:space="preserve">71</w:t>
      </w:r>
      <w:r>
        <w:br/>
      </w:r>
      <w:r>
        <w:t xml:space="preserve">54</w:t>
      </w:r>
      <w:r>
        <w:br/>
      </w:r>
      <w:r>
        <w:t xml:space="preserve">Spain</w:t>
      </w:r>
      <w:r>
        <w:t xml:space="preserve"> </w:t>
      </w:r>
      <w:r>
        <w:t xml:space="preserve">461.025</w:t>
      </w:r>
      <w:r>
        <w:br/>
      </w:r>
      <w:r>
        <w:t xml:space="preserve">381,225</w:t>
      </w:r>
      <w:r>
        <w:br/>
      </w:r>
      <w:r>
        <w:t xml:space="preserve">79.800</w:t>
      </w:r>
      <w:r>
        <w:br/>
      </w:r>
      <w:r>
        <w:t xml:space="preserve">4.561</w:t>
      </w:r>
      <w:r>
        <w:br/>
      </w:r>
      <w:r>
        <w:t xml:space="preserve">2,854</w:t>
      </w:r>
      <w:r>
        <w:br/>
      </w:r>
      <w:r>
        <w:t xml:space="preserve">1.707</w:t>
      </w:r>
      <w:r>
        <w:br/>
      </w:r>
      <w:r>
        <w:t xml:space="preserve">Sweden</w:t>
      </w:r>
      <w:r>
        <w:t xml:space="preserve"> </w:t>
      </w:r>
      <w:r>
        <w:t xml:space="preserve">671.868</w:t>
      </w:r>
      <w:r>
        <w:br/>
      </w:r>
      <w:r>
        <w:t xml:space="preserve">631,068</w:t>
      </w:r>
      <w:r>
        <w:br/>
      </w:r>
      <w:r>
        <w:t xml:space="preserve">40.800</w:t>
      </w:r>
      <w:r>
        <w:br/>
      </w:r>
      <w:r>
        <w:t xml:space="preserve">1.012</w:t>
      </w:r>
      <w:r>
        <w:br/>
      </w:r>
      <w:r>
        <w:t xml:space="preserve">609</w:t>
      </w:r>
      <w:r>
        <w:br/>
      </w:r>
      <w:r>
        <w:t xml:space="preserve">403</w:t>
      </w:r>
      <w:r>
        <w:br/>
      </w:r>
      <w:r>
        <w:t xml:space="preserve">Total</w:t>
      </w:r>
      <w:r>
        <w:t xml:space="preserve"> </w:t>
      </w:r>
      <w:r>
        <w:t xml:space="preserve">20.481.913</w:t>
      </w:r>
      <w:r>
        <w:br/>
      </w:r>
      <w:r>
        <w:t xml:space="preserve">12,583,652</w:t>
      </w:r>
      <w:r>
        <w:br/>
      </w:r>
      <w:r>
        <w:t xml:space="preserve">7.898.261</w:t>
      </w:r>
      <w:r>
        <w:br/>
      </w:r>
      <w:r>
        <w:t xml:space="preserve">65.361</w:t>
      </w:r>
      <w:r>
        <w:br/>
      </w:r>
      <w:r>
        <w:t xml:space="preserve">30,066</w:t>
      </w:r>
    </w:p>
    <w:p>
      <w:pPr>
        <w:pStyle w:val="BodyText"/>
      </w:pPr>
      <w:r>
        <w:t xml:space="preserve">35.295</w:t>
      </w:r>
      <w:r>
        <w:br/>
      </w:r>
      <w:r>
        <w:t xml:space="preserve">2.3. LIMITED CROSS-BORDER PROVISION OF INVESTMENT FUNDS</w:t>
      </w:r>
    </w:p>
    <w:p>
      <w:pPr>
        <w:pStyle w:val="BodyText"/>
      </w:pPr>
      <w:r>
        <w:t xml:space="preserve">Despite decades of regulatory efforts to create a single European capital market, the cross-</w:t>
      </w:r>
      <w:r>
        <w:t xml:space="preserve"> </w:t>
      </w:r>
      <w:r>
        <w:t xml:space="preserve">border marketing of investment funds within the EU remains limited. While the UCITSD and</w:t>
      </w:r>
    </w:p>
    <w:p>
      <w:pPr>
        <w:pStyle w:val="BodyText"/>
      </w:pPr>
      <w:r>
        <w:t xml:space="preserve">456 Source: Data on UCITS based on EFAMA Quarterly statistical release Q4 2024, available here: quarterly-</w:t>
      </w:r>
      <w:r>
        <w:t xml:space="preserve"> </w:t>
      </w:r>
      <w:r>
        <w:t xml:space="preserve">statistical-release-q4-2024.pdf. Data on AIFs provided by ESMA.</w:t>
      </w:r>
    </w:p>
    <w:p>
      <w:pPr>
        <w:pStyle w:val="BodyText"/>
      </w:pPr>
      <w:r>
        <w:t xml:space="preserve">287</w:t>
      </w:r>
      <w:r>
        <w:t xml:space="preserve"> </w:t>
      </w:r>
      <w:r>
        <w:t xml:space="preserve">the AIFMD have enabled the cross-border marketing of investment funds through an EU-</w:t>
      </w:r>
      <w:r>
        <w:t xml:space="preserve"> </w:t>
      </w:r>
      <w:r>
        <w:t xml:space="preserve">passport, both the share of assets, as well as the absolute number of investment funds marketed</w:t>
      </w:r>
      <w:r>
        <w:t xml:space="preserve"> </w:t>
      </w:r>
      <w:r>
        <w:t xml:space="preserve">on a cross-border basis continues to be disproportionately small compared to the size of the EU</w:t>
      </w:r>
      <w:r>
        <w:t xml:space="preserve"> </w:t>
      </w:r>
      <w:r>
        <w:t xml:space="preserve">net assets. To date, many EU-domiciled funds are still predominantly sold in their country of</w:t>
      </w:r>
      <w:r>
        <w:t xml:space="preserve"> </w:t>
      </w:r>
      <w:r>
        <w:t xml:space="preserve">domicile, and a significant portion of national fund markets remain highly fragmented.</w:t>
      </w:r>
      <w:r>
        <w:t xml:space="preserve"> </w:t>
      </w:r>
      <w:r>
        <w:t xml:space="preserve">The low cross-border activity of funds throughout the EU can be illustrated by the fact that,</w:t>
      </w:r>
      <w:r>
        <w:t xml:space="preserve"> </w:t>
      </w:r>
      <w:r>
        <w:t xml:space="preserve">despite the EU passport, UCITS funds are on average marketed in only one Member State in</w:t>
      </w:r>
      <w:r>
        <w:t xml:space="preserve"> </w:t>
      </w:r>
      <w:r>
        <w:t xml:space="preserve">addition to the home Member State of their domicile. There is only a noteworthy cross-border</w:t>
      </w:r>
      <w:r>
        <w:t xml:space="preserve"> </w:t>
      </w:r>
      <w:r>
        <w:t xml:space="preserve">activity from Ireland and Luxembourg in the EU. However, in contrast, UCITS funds</w:t>
      </w:r>
      <w:r>
        <w:t xml:space="preserve"> </w:t>
      </w:r>
      <w:r>
        <w:t xml:space="preserve">domiciled in Spain, Italy, Denmark, Portugal and Poland are often exclusively marketed in the</w:t>
      </w:r>
      <w:r>
        <w:t xml:space="preserve"> </w:t>
      </w:r>
      <w:r>
        <w:t xml:space="preserve">countries of domicile and are not marketed beyond these Member States.</w:t>
      </w:r>
      <w:r>
        <w:br/>
      </w:r>
      <w:r>
        <w:t xml:space="preserve">Table 2: Average number of Member States where UCITS are marketed on a cross-</w:t>
      </w:r>
      <w:r>
        <w:t xml:space="preserve"> </w:t>
      </w:r>
      <w:r>
        <w:t xml:space="preserve">border basis457</w:t>
      </w:r>
    </w:p>
    <w:p>
      <w:pPr>
        <w:pStyle w:val="BodyText"/>
      </w:pPr>
      <w:r>
        <w:t xml:space="preserve">Range</w:t>
      </w:r>
      <w:r>
        <w:br/>
      </w:r>
      <w:r>
        <w:t xml:space="preserve">(average number of</w:t>
      </w:r>
      <w:r>
        <w:t xml:space="preserve"> </w:t>
      </w:r>
      <w:r>
        <w:t xml:space="preserve">Member States)</w:t>
      </w:r>
      <w:r>
        <w:t xml:space="preserve"> </w:t>
      </w:r>
      <w:r>
        <w:t xml:space="preserve">UCITS Domicile</w:t>
      </w:r>
      <w:r>
        <w:br/>
      </w:r>
      <w:r>
        <w:t xml:space="preserve">(average number of Member States where funds are marketed</w:t>
      </w:r>
      <w:r>
        <w:t xml:space="preserve"> </w:t>
      </w:r>
      <w:r>
        <w:t xml:space="preserve">cross-border)</w:t>
      </w:r>
      <w:r>
        <w:t xml:space="preserve"> </w:t>
      </w:r>
      <w:r>
        <w:t xml:space="preserve">More than 4</w:t>
      </w:r>
      <w:r>
        <w:t xml:space="preserve"> </w:t>
      </w:r>
      <w:r>
        <w:t xml:space="preserve">Luxembourg (4.8), Lithuania (4.8), Ireland (4.1)</w:t>
      </w:r>
      <w:r>
        <w:t xml:space="preserve"> </w:t>
      </w:r>
      <w:r>
        <w:t xml:space="preserve">Between 2 and 4</w:t>
      </w:r>
      <w:r>
        <w:t xml:space="preserve"> </w:t>
      </w:r>
      <w:r>
        <w:t xml:space="preserve">Estonia (3.3), Malta (2.4)</w:t>
      </w:r>
      <w:r>
        <w:t xml:space="preserve"> </w:t>
      </w:r>
      <w:r>
        <w:t xml:space="preserve">Less than 2</w:t>
      </w:r>
      <w:r>
        <w:t xml:space="preserve"> </w:t>
      </w:r>
      <w:r>
        <w:t xml:space="preserve">France (1.7), Belgium (1.5), Finland (1.6), Sweden (1.5),</w:t>
      </w:r>
      <w:r>
        <w:t xml:space="preserve"> </w:t>
      </w:r>
      <w:r>
        <w:t xml:space="preserve">Netherlands (1.5), Germany (1.3), Austria (1.3), Latvia (1.3),</w:t>
      </w:r>
      <w:r>
        <w:t xml:space="preserve"> </w:t>
      </w:r>
      <w:r>
        <w:t xml:space="preserve">Denmark (1.1), Spain (1.0), Italy (1.0), Portugal (1.0), Poland (1.0)</w:t>
      </w:r>
      <w:r>
        <w:t xml:space="preserve"> </w:t>
      </w:r>
      <w:r>
        <w:t xml:space="preserve">Average across the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2.0</w:t>
      </w:r>
      <w:r>
        <w:t xml:space="preserve"> </w:t>
      </w:r>
      <w:r>
        <w:t xml:space="preserve">Average per fund</w:t>
      </w:r>
      <w:r>
        <w:t xml:space="preserve"> </w:t>
      </w:r>
      <w:r>
        <w:t xml:space="preserve">3.2</w:t>
      </w:r>
      <w:r>
        <w:t xml:space="preserve"> </w:t>
      </w:r>
      <w:r>
        <w:t xml:space="preserve">2.4. FRAGMENTED INVESTMENT FUND MARKETS</w:t>
      </w:r>
      <w:r>
        <w:br/>
      </w:r>
      <w:r>
        <w:t xml:space="preserve">The EU investment fund market is fragmented, which is apparent from the high number of</w:t>
      </w:r>
      <w:r>
        <w:t xml:space="preserve"> </w:t>
      </w:r>
      <w:r>
        <w:t xml:space="preserve">investment funds and the small size of funds.</w:t>
      </w:r>
      <w:r>
        <w:br/>
      </w:r>
      <w:r>
        <w:t xml:space="preserve"> There are approximately 35,000 EU AIFs and 4,500 AIFMs, which translates into an</w:t>
      </w:r>
      <w:r>
        <w:t xml:space="preserve"> </w:t>
      </w:r>
      <w:r>
        <w:t xml:space="preserve">average net asset size of an EU AIF of approximately EUR 224 million (EUR 318</w:t>
      </w:r>
      <w:r>
        <w:t xml:space="preserve"> </w:t>
      </w:r>
      <w:r>
        <w:t xml:space="preserve">million in terms of AuM).458</w:t>
      </w:r>
      <w:r>
        <w:br/>
      </w:r>
      <w:r>
        <w:t xml:space="preserve"> There are approximately 30,000 UCITS funds and 1,700 UCITS management</w:t>
      </w:r>
      <w:r>
        <w:t xml:space="preserve"> </w:t>
      </w:r>
      <w:r>
        <w:t xml:space="preserve">companies459, which translates into an average net asset size of an EU UCITS fund of</w:t>
      </w:r>
      <w:r>
        <w:t xml:space="preserve"> </w:t>
      </w:r>
      <w:r>
        <w:t xml:space="preserve">approximately EUR 420 million.</w:t>
      </w:r>
      <w:r>
        <w:br/>
      </w:r>
      <w:r>
        <w:t xml:space="preserve"> There are approximately 11,400 UCITS funds smaller than EUR 100 million,</w:t>
      </w:r>
      <w:r>
        <w:t xml:space="preserve"> </w:t>
      </w:r>
      <w:r>
        <w:t xml:space="preserve">accounting for 2% of UCITS assets.460</w:t>
      </w:r>
      <w:r>
        <w:br/>
      </w:r>
      <w:r>
        <w:t xml:space="preserve"> With approximately 65,000 EU investment funds and the total net size of the EU asset</w:t>
      </w:r>
      <w:r>
        <w:t xml:space="preserve"> </w:t>
      </w:r>
      <w:r>
        <w:t xml:space="preserve">industry representing EUR 20.5 trillion in terms of net assets (EUR 23.5 trillion in</w:t>
      </w:r>
    </w:p>
    <w:p>
      <w:pPr>
        <w:pStyle w:val="BodyText"/>
      </w:pPr>
      <w:r>
        <w:t xml:space="preserve">457 Source: Morningstar data; internal calculations by the Commission.</w:t>
      </w:r>
      <w:r>
        <w:t xml:space="preserve"> </w:t>
      </w:r>
      <w:r>
        <w:t xml:space="preserve">458 ESMA data, June 2025.</w:t>
      </w:r>
      <w:r>
        <w:t xml:space="preserve"> </w:t>
      </w:r>
      <w:r>
        <w:t xml:space="preserve">459 EFAMA data and ESMA database (quarterly-statistical-release-q4-2024.pdf), UCITS entities, available here:</w:t>
      </w:r>
      <w:r>
        <w:t xml:space="preserve"> </w:t>
      </w:r>
      <w:r>
        <w:t xml:space="preserve">https://registers.esma.europa.eu/publication/searchRegister?core=esma_registers_upreg</w:t>
      </w:r>
      <w:r>
        <w:t xml:space="preserve"> </w:t>
      </w:r>
      <w:r>
        <w:t xml:space="preserve">460 Morningstar data, by end 2024.</w:t>
      </w:r>
    </w:p>
    <w:p>
      <w:pPr>
        <w:pStyle w:val="BodyText"/>
      </w:pPr>
      <w:r>
        <w:t xml:space="preserve">288</w:t>
      </w:r>
      <w:r>
        <w:t xml:space="preserve"> </w:t>
      </w:r>
      <w:r>
        <w:t xml:space="preserve">terms of AuM), the average size of the EU investment fund is approximately EUR 313</w:t>
      </w:r>
      <w:r>
        <w:t xml:space="preserve"> </w:t>
      </w:r>
      <w:r>
        <w:t xml:space="preserve">million (EUR 365 million in terms of AuM).</w:t>
      </w:r>
      <w:r>
        <w:t xml:space="preserve"> </w:t>
      </w:r>
      <w:r>
        <w:t xml:space="preserve">In contrast, US-domiciled investment funds tend to be significantly larger, on average, than</w:t>
      </w:r>
      <w:r>
        <w:t xml:space="preserve"> </w:t>
      </w:r>
      <w:r>
        <w:t xml:space="preserve">their EU counterparts. The average US fund has approximately EUR 2.3 billion in assets461,</w:t>
      </w:r>
      <w:r>
        <w:t xml:space="preserve"> </w:t>
      </w:r>
      <w:r>
        <w:t xml:space="preserve">which partially reflects a different market structure as well as the high degree of market scale</w:t>
      </w:r>
      <w:r>
        <w:t xml:space="preserve"> </w:t>
      </w:r>
      <w:r>
        <w:t xml:space="preserve">and consolidation of the US fund industry. Furthermore, the average size of UK-domiciled</w:t>
      </w:r>
      <w:r>
        <w:t xml:space="preserve"> </w:t>
      </w:r>
      <w:r>
        <w:t xml:space="preserve">authorised investment funds is smaller than that of the US but significantly larger than that in</w:t>
      </w:r>
      <w:r>
        <w:t xml:space="preserve"> </w:t>
      </w:r>
      <w:r>
        <w:t xml:space="preserve">the EU. Based on industry-wide net assets of approximately EUR 2.2 trillion, the average UK</w:t>
      </w:r>
      <w:r>
        <w:t xml:space="preserve"> </w:t>
      </w:r>
      <w:r>
        <w:t xml:space="preserve">fund size is estimated at EUR 660 million.462</w:t>
      </w:r>
      <w:r>
        <w:t xml:space="preserve"> </w:t>
      </w:r>
      <w:r>
        <w:t xml:space="preserve">These figures highlight the scale advantage enjoyed by funds domiciled outside the EU,</w:t>
      </w:r>
      <w:r>
        <w:t xml:space="preserve"> </w:t>
      </w:r>
      <w:r>
        <w:t xml:space="preserve">particularly in the US, where deeper capital markets, distribution efficiencies and regulatory</w:t>
      </w:r>
      <w:r>
        <w:t xml:space="preserve"> </w:t>
      </w:r>
      <w:r>
        <w:t xml:space="preserve">scale effects enable greater fund consolidation. Scale is critical in investment funds because</w:t>
      </w:r>
      <w:r>
        <w:t xml:space="preserve"> </w:t>
      </w:r>
      <w:r>
        <w:t xml:space="preserve">many costs (legal, IT, reporting, compliance) have a fixed component. Larger funds spread</w:t>
      </w:r>
      <w:r>
        <w:t xml:space="preserve"> </w:t>
      </w:r>
      <w:r>
        <w:t xml:space="preserve">these costs over more assets, lowering unit costs and investor fees. Scale also increases</w:t>
      </w:r>
      <w:r>
        <w:t xml:space="preserve"> </w:t>
      </w:r>
      <w:r>
        <w:t xml:space="preserve">bargaining powers with service providers and counterparties, securing better terms. Finally, it</w:t>
      </w:r>
      <w:r>
        <w:t xml:space="preserve"> </w:t>
      </w:r>
      <w:r>
        <w:t xml:space="preserve">enables access to larger investment tickets, such as infrastructure or private markets, expanding</w:t>
      </w:r>
      <w:r>
        <w:t xml:space="preserve"> </w:t>
      </w:r>
      <w:r>
        <w:t xml:space="preserve">diversification for investors and providing investees with deeper capital pools. An ESMA</w:t>
      </w:r>
      <w:r>
        <w:t xml:space="preserve"> </w:t>
      </w:r>
      <w:r>
        <w:t xml:space="preserve">study463 has shown that in the EU and US fund markets, larger share classes and parent</w:t>
      </w:r>
      <w:r>
        <w:t xml:space="preserve"> </w:t>
      </w:r>
      <w:r>
        <w:t xml:space="preserve">companies have lower costs, confirming the importance of economies of scale. Furthermore,</w:t>
      </w:r>
      <w:r>
        <w:t xml:space="preserve"> </w:t>
      </w:r>
      <w:r>
        <w:t xml:space="preserve">the study shows that the negative relationship between share class size and costs is more</w:t>
      </w:r>
      <w:r>
        <w:t xml:space="preserve"> </w:t>
      </w:r>
      <w:r>
        <w:t xml:space="preserve">pronounced in the US market: this seems to indicate that, as they grow, US funds achieve</w:t>
      </w:r>
      <w:r>
        <w:t xml:space="preserve"> </w:t>
      </w:r>
      <w:r>
        <w:t xml:space="preserve">greater cost efficiencies than their EU peers. All this suggests that a single market with less</w:t>
      </w:r>
      <w:r>
        <w:t xml:space="preserve"> </w:t>
      </w:r>
      <w:r>
        <w:t xml:space="preserve">fragmentation and larger funds can – assuming unimpaired competition – bring efficiency gains</w:t>
      </w:r>
      <w:r>
        <w:t xml:space="preserve"> </w:t>
      </w:r>
      <w:r>
        <w:t xml:space="preserve">to the EU fund sector, and ultimately lower investor costs and provide greater value for money.</w:t>
      </w:r>
      <w:r>
        <w:br/>
      </w:r>
      <w:r>
        <w:t xml:space="preserve">Therefore, the EU market suffers from both the size of its investment funds and its asset</w:t>
      </w:r>
      <w:r>
        <w:t xml:space="preserve"> </w:t>
      </w:r>
      <w:r>
        <w:t xml:space="preserve">managers. There is evidence in academic literature that this also negatively affects</w:t>
      </w:r>
      <w:r>
        <w:t xml:space="preserve"> </w:t>
      </w:r>
      <w:r>
        <w:t xml:space="preserve">performance.464 A study from the Investment Company Institute465 shows that the EU’s cross-</w:t>
      </w:r>
      <w:r>
        <w:t xml:space="preserve"> </w:t>
      </w:r>
      <w:r>
        <w:t xml:space="preserve">border fund market tends to have larger costs (on average +20% for a fixed income fund).</w:t>
      </w:r>
    </w:p>
    <w:p>
      <w:pPr>
        <w:pStyle w:val="BodyText"/>
      </w:pPr>
      <w:r>
        <w:t xml:space="preserve">461 ICI, 2025 Investment Company Fact Book, available here: 2025-factbook-quick-facts-guide.pdf</w:t>
      </w:r>
      <w:r>
        <w:br/>
      </w:r>
      <w:r>
        <w:t xml:space="preserve">462 The Investment Association, Investment Management in the UK 2023-2024, available here:</w:t>
      </w:r>
      <w:r>
        <w:t xml:space="preserve"> </w:t>
      </w:r>
      <w:r>
        <w:t xml:space="preserve">https://www.theia.org/sites/default/files/2024-10/Investment%20Management%20in%20the%20UK%202023-</w:t>
      </w:r>
      <w:r>
        <w:t xml:space="preserve"> </w:t>
      </w:r>
      <w:r>
        <w:t xml:space="preserve">2024.pdf.</w:t>
      </w:r>
      <w:r>
        <w:br/>
      </w:r>
      <w:r>
        <w:t xml:space="preserve">463 ESMA, The scale factor: Impact of size on EU fund cost structures, February 2025</w:t>
      </w:r>
      <w:r>
        <w:t xml:space="preserve"> </w:t>
      </w:r>
      <w:r>
        <w:t xml:space="preserve">464 Ibid.</w:t>
      </w:r>
      <w:r>
        <w:t xml:space="preserve"> </w:t>
      </w:r>
      <w:r>
        <w:t xml:space="preserve">465 ICI Research perspective, October 2022, available: Ongoing Charges for UCITS in the European Union, 2021</w:t>
      </w:r>
    </w:p>
    <w:p>
      <w:pPr>
        <w:pStyle w:val="BodyText"/>
      </w:pPr>
      <w:r>
        <w:t xml:space="preserve">289</w:t>
      </w:r>
      <w:r>
        <w:t xml:space="preserve"> </w:t>
      </w:r>
      <w:r>
        <w:t xml:space="preserve">Graph 3: Costs for equity and fixed income funds466</w:t>
      </w:r>
    </w:p>
    <w:p>
      <w:pPr>
        <w:pStyle w:val="BodyText"/>
      </w:pPr>
      <w:r>
        <w:t xml:space="preserve">In addition to the small average size of EU investment funds, it is noteworthy that both the</w:t>
      </w:r>
      <w:r>
        <w:t xml:space="preserve"> </w:t>
      </w:r>
      <w:r>
        <w:t xml:space="preserve">UCITS and the AIFs segments are characterised by extremely high fragmentation with a pattern</w:t>
      </w:r>
      <w:r>
        <w:t xml:space="preserve"> </w:t>
      </w:r>
      <w:r>
        <w:t xml:space="preserve">of a relatively small number of funds concentrating the bulk of the assets and a large number</w:t>
      </w:r>
      <w:r>
        <w:t xml:space="preserve"> </w:t>
      </w:r>
      <w:r>
        <w:t xml:space="preserve">of small and very small funds. Notably:</w:t>
      </w:r>
      <w:r>
        <w:t xml:space="preserve"> </w:t>
      </w:r>
      <w:r>
        <w:t xml:space="preserve"> UCITS market: Only around 3,500 UCITS funds (13% of the total number of UCITS</w:t>
      </w:r>
      <w:r>
        <w:t xml:space="preserve"> </w:t>
      </w:r>
      <w:r>
        <w:t xml:space="preserve">funds) were above EUR 2 billion, whilst the remaining 87% of the UCITS funds were</w:t>
      </w:r>
      <w:r>
        <w:t xml:space="preserve"> </w:t>
      </w:r>
      <w:r>
        <w:t xml:space="preserve">below EUR 2 billion. Furthermore, approximately 5,300 funds (37% of the total</w:t>
      </w:r>
      <w:r>
        <w:t xml:space="preserve"> </w:t>
      </w:r>
      <w:r>
        <w:t xml:space="preserve">UCITS number) were below EUR 50 million. 467</w:t>
      </w:r>
      <w:r>
        <w:t xml:space="preserve"> </w:t>
      </w:r>
      <w:r>
        <w:t xml:space="preserve">•</w:t>
      </w:r>
      <w:r>
        <w:t xml:space="preserve"> </w:t>
      </w:r>
      <w:r>
        <w:t xml:space="preserve">AIFs market: This market fragmentation is even more pronounced where a few large</w:t>
      </w:r>
      <w:r>
        <w:t xml:space="preserve"> </w:t>
      </w:r>
      <w:r>
        <w:t xml:space="preserve">EU AIFs accounted for most of the AIF market. In 2020, AIFs with a NAV larger</w:t>
      </w:r>
      <w:r>
        <w:t xml:space="preserve"> </w:t>
      </w:r>
      <w:r>
        <w:t xml:space="preserve">than EUR 1 billion accounted for less than 3% of all AIFs but for 54% of the NAV. In</w:t>
      </w:r>
      <w:r>
        <w:t xml:space="preserve"> </w:t>
      </w:r>
      <w:r>
        <w:t xml:space="preserve">contrast, smaller AIFs with a NAV lower than EUR 500 million accounted for 93% of</w:t>
      </w:r>
      <w:r>
        <w:t xml:space="preserve"> </w:t>
      </w:r>
      <w:r>
        <w:t xml:space="preserve">all AIFs but only 32% of the NAV.468</w:t>
      </w:r>
      <w:r>
        <w:t xml:space="preserve"> </w:t>
      </w:r>
      <w:r>
        <w:t xml:space="preserve">Instead of relying on the cross-border passport, managers often create similar but legally</w:t>
      </w:r>
      <w:r>
        <w:t xml:space="preserve"> </w:t>
      </w:r>
      <w:r>
        <w:t xml:space="preserve">separate investment structures that are tailored to the regulatory, fiscal and commercial needs</w:t>
      </w:r>
      <w:r>
        <w:t xml:space="preserve"> </w:t>
      </w:r>
      <w:r>
        <w:t xml:space="preserve">of distinct EU local markets. This, in turn, results in fragmentation and duplication, since the</w:t>
      </w:r>
      <w:r>
        <w:t xml:space="preserve"> </w:t>
      </w:r>
      <w:r>
        <w:t xml:space="preserve">funds may (and often do) have the same investment strategy, portfolio composition and</w:t>
      </w:r>
      <w:r>
        <w:t xml:space="preserve"> </w:t>
      </w:r>
      <w:r>
        <w:t xml:space="preserve">management team, but are domiciled, authorised and supervised separately in different</w:t>
      </w:r>
      <w:r>
        <w:t xml:space="preserve"> </w:t>
      </w:r>
      <w:r>
        <w:t xml:space="preserve">Member States. Local regulatory restrictions or differences in marketing requirements or</w:t>
      </w:r>
      <w:r>
        <w:t xml:space="preserve"> </w:t>
      </w:r>
      <w:r>
        <w:t xml:space="preserve">duplicative authorisation needs often imply that fund managers either cannot or are</w:t>
      </w:r>
      <w:r>
        <w:t xml:space="preserve"> </w:t>
      </w:r>
      <w:r>
        <w:t xml:space="preserve">disincentivised to establish a single vehicle to raise capital across all EU Member States.</w:t>
      </w:r>
    </w:p>
    <w:p>
      <w:pPr>
        <w:pStyle w:val="BodyText"/>
      </w:pPr>
      <w:r>
        <w:t xml:space="preserve">466 ICI Research perspective, Ongoing Charges for UCITS in the European Union, 2021, page 19.</w:t>
      </w:r>
      <w:r>
        <w:t xml:space="preserve"> </w:t>
      </w:r>
      <w:r>
        <w:t xml:space="preserve">1.1.</w:t>
      </w:r>
      <w:r>
        <w:t xml:space="preserve"> </w:t>
      </w:r>
      <w:r>
        <w:t xml:space="preserve">467 INTERNAL CALCULATIONS BY COMMISSION SERVICES; MORNINGSTAR UCITS DATA, MAY 2025.</w:t>
      </w:r>
      <w:r>
        <w:t xml:space="preserve"> </w:t>
      </w:r>
      <w:r>
        <w:t xml:space="preserve">468 ESMA Annual Statistical Report of AIFs, 2022, available here: esma50-165-1948_asr_aif_2022.pdf</w:t>
      </w:r>
    </w:p>
    <w:p>
      <w:pPr>
        <w:pStyle w:val="BodyText"/>
      </w:pPr>
      <w:r>
        <w:t xml:space="preserve">290</w:t>
      </w:r>
      <w:r>
        <w:t xml:space="preserve"> </w:t>
      </w:r>
      <w:r>
        <w:t xml:space="preserve">2.5. LARGE PARTS OF DEPOSITARY SERVICES MARKETS ARE UNDER-SERVED OR HIGHLY</w:t>
      </w:r>
      <w:r>
        <w:t xml:space="preserve"> </w:t>
      </w:r>
      <w:r>
        <w:t xml:space="preserve">CONCENTRATED</w:t>
      </w:r>
      <w:r>
        <w:br/>
      </w:r>
      <w:r>
        <w:t xml:space="preserve">As regards underserved depositary markets, the breakdown of depositaries across Member</w:t>
      </w:r>
      <w:r>
        <w:t xml:space="preserve"> </w:t>
      </w:r>
      <w:r>
        <w:t xml:space="preserve">States is the same as the breakdown of UCITS domiciliation, since depositaries must be</w:t>
      </w:r>
      <w:r>
        <w:t xml:space="preserve"> </w:t>
      </w:r>
      <w:r>
        <w:t xml:space="preserve">established in the Member State where the UCITS are domiciled.</w:t>
      </w:r>
      <w:r>
        <w:br/>
      </w:r>
      <w:r>
        <w:t xml:space="preserve">2.6. FRAGMENTATION IN THE EU ASSET MANAGEMENT MARKET STRUCTURE AND</w:t>
      </w:r>
      <w:r>
        <w:t xml:space="preserve"> </w:t>
      </w:r>
      <w:r>
        <w:t xml:space="preserve">OPERATIONS</w:t>
      </w:r>
      <w:r>
        <w:br/>
      </w:r>
      <w:r>
        <w:t xml:space="preserve">The EU asset management industry is, just like the fund sector, fragmented with a mix of large,</w:t>
      </w:r>
      <w:r>
        <w:t xml:space="preserve"> </w:t>
      </w:r>
      <w:r>
        <w:t xml:space="preserve">mid-sized and small asset managers that operate in different Member States to a varying degree.</w:t>
      </w:r>
      <w:r>
        <w:t xml:space="preserve"> </w:t>
      </w:r>
      <w:r>
        <w:t xml:space="preserve">For UCITS funds, the top five asset management groups manage over EUR 3.5 trillion in</w:t>
      </w:r>
      <w:r>
        <w:t xml:space="preserve"> </w:t>
      </w:r>
      <w:r>
        <w:t xml:space="preserve">UCITS assets, which corresponds to 28.6% of total UCITS net assets, compared to more than</w:t>
      </w:r>
      <w:r>
        <w:t xml:space="preserve"> </w:t>
      </w:r>
      <w:r>
        <w:t xml:space="preserve">60% in the US. The top 10 groups manage around EUR 5 trillion of UCITS and account for</w:t>
      </w:r>
      <w:r>
        <w:t xml:space="preserve"> </w:t>
      </w:r>
      <w:r>
        <w:t xml:space="preserve">about 40% of total UCITS assets, and the top 20 manage over EUR 6.65 trillion in UCITS</w:t>
      </w:r>
      <w:r>
        <w:t xml:space="preserve"> </w:t>
      </w:r>
      <w:r>
        <w:t xml:space="preserve">assets, or about 53% of total UCITS assets. The relative size for the fund sector and comparison</w:t>
      </w:r>
      <w:r>
        <w:t xml:space="preserve"> </w:t>
      </w:r>
      <w:r>
        <w:t xml:space="preserve">with the US is depicted in the graph 4 below.</w:t>
      </w:r>
      <w:r>
        <w:t xml:space="preserve"> </w:t>
      </w:r>
      <w:r>
        <w:t xml:space="preserve">Graph 4: Relative size of the largest EU asset management groups469</w:t>
      </w:r>
    </w:p>
    <w:p>
      <w:pPr>
        <w:pStyle w:val="BodyText"/>
      </w:pPr>
      <w:r>
        <w:t xml:space="preserve">This pattern reflects a broader structural feature of the EU fund market, i.e. the persistence of</w:t>
      </w:r>
      <w:r>
        <w:t xml:space="preserve"> </w:t>
      </w:r>
      <w:r>
        <w:t xml:space="preserve">nationally siloed competitive dynamics and fragmentation, despite the existence of the UCITS</w:t>
      </w:r>
      <w:r>
        <w:t xml:space="preserve"> </w:t>
      </w:r>
      <w:r>
        <w:t xml:space="preserve">and AIFMD regimes. Competitive pressure across borders may be negatively affected, as the</w:t>
      </w:r>
      <w:r>
        <w:t xml:space="preserve"> </w:t>
      </w:r>
      <w:r>
        <w:t xml:space="preserve">leading asset managers in one Member State are often largely absent from the top rankings in</w:t>
      </w:r>
      <w:r>
        <w:t xml:space="preserve"> </w:t>
      </w:r>
      <w:r>
        <w:t xml:space="preserve">another.</w:t>
      </w:r>
    </w:p>
    <w:p>
      <w:pPr>
        <w:pStyle w:val="BodyText"/>
      </w:pPr>
      <w:r>
        <w:t xml:space="preserve">469 ESMA TRV Risk Analysis The scale factor: Impact of size on EU fund cost structures, available here:</w:t>
      </w:r>
      <w:r>
        <w:t xml:space="preserve"> </w:t>
      </w:r>
      <w:r>
        <w:t xml:space="preserve">ESMA50-524821-3575 The scale factor: Impact of size on EU fund cost structures</w:t>
      </w:r>
    </w:p>
    <w:p>
      <w:pPr>
        <w:pStyle w:val="BodyText"/>
      </w:pPr>
      <w:r>
        <w:t xml:space="preserve">291</w:t>
      </w:r>
      <w:r>
        <w:t xml:space="preserve"> </w:t>
      </w:r>
      <w:r>
        <w:t xml:space="preserve">Table 3: Market share of the top 5 largest asset managers by Member State470</w:t>
      </w:r>
      <w:r>
        <w:br/>
      </w:r>
      <w:r>
        <w:t xml:space="preserve">Top 5 Managers’</w:t>
      </w:r>
      <w:r>
        <w:t xml:space="preserve"> </w:t>
      </w:r>
      <w:r>
        <w:t xml:space="preserve">market share (%)</w:t>
      </w:r>
      <w:r>
        <w:t xml:space="preserve"> </w:t>
      </w:r>
      <w:r>
        <w:t xml:space="preserve">Countries (with %)</w:t>
      </w:r>
      <w:r>
        <w:t xml:space="preserve"> </w:t>
      </w:r>
      <w:r>
        <w:t xml:space="preserve">Above 75%</w:t>
      </w:r>
      <w:r>
        <w:t xml:space="preserve"> </w:t>
      </w:r>
      <w:r>
        <w:t xml:space="preserve">Slovenia (100%), Slovakia (91%), Greece (92%), Denmark (90%),</w:t>
      </w:r>
      <w:r>
        <w:t xml:space="preserve"> </w:t>
      </w:r>
      <w:r>
        <w:t xml:space="preserve">Finland (83%), Czech Republic (76%)</w:t>
      </w:r>
      <w:r>
        <w:t xml:space="preserve"> </w:t>
      </w:r>
      <w:r>
        <w:t xml:space="preserve">Between 75% and</w:t>
      </w:r>
      <w:r>
        <w:t xml:space="preserve"> </w:t>
      </w:r>
      <w:r>
        <w:t xml:space="preserve">50%</w:t>
      </w:r>
      <w:r>
        <w:t xml:space="preserve"> </w:t>
      </w:r>
      <w:r>
        <w:t xml:space="preserve">Croatia (74%), Belgium (71%), Hungary (68%), Austria (66%),</w:t>
      </w:r>
      <w:r>
        <w:t xml:space="preserve"> </w:t>
      </w:r>
      <w:r>
        <w:t xml:space="preserve">Romania (63%), Spain (62%), Bulgaria (60%), Sweden (59%),</w:t>
      </w:r>
      <w:r>
        <w:t xml:space="preserve"> </w:t>
      </w:r>
      <w:r>
        <w:t xml:space="preserve">Poland (58%), Portugal (57%), Germany (57%), Italy (54%),</w:t>
      </w:r>
      <w:r>
        <w:t xml:space="preserve"> </w:t>
      </w:r>
      <w:r>
        <w:t xml:space="preserve">Between 50% and</w:t>
      </w:r>
      <w:r>
        <w:t xml:space="preserve"> </w:t>
      </w:r>
      <w:r>
        <w:t xml:space="preserve">25%</w:t>
      </w:r>
      <w:r>
        <w:t xml:space="preserve"> </w:t>
      </w:r>
      <w:r>
        <w:t xml:space="preserve">France (46%), Ireland (42%), Cyprus (35%), Malta (35%)</w:t>
      </w:r>
      <w:r>
        <w:t xml:space="preserve"> </w:t>
      </w:r>
      <w:r>
        <w:t xml:space="preserve">Differences in business models explain part of the fragmentation: some groups consolidate</w:t>
      </w:r>
      <w:r>
        <w:t xml:space="preserve"> </w:t>
      </w:r>
      <w:r>
        <w:t xml:space="preserve">operations into a few cross-border hubs, while others maintain networks of local entities with</w:t>
      </w:r>
      <w:r>
        <w:t xml:space="preserve"> </w:t>
      </w:r>
      <w:r>
        <w:t xml:space="preserve">duplicated functions. A degree of localisation is often justified by investor expectations and</w:t>
      </w:r>
      <w:r>
        <w:t xml:space="preserve"> </w:t>
      </w:r>
      <w:r>
        <w:t xml:space="preserve">customer support needs. However, fragmentation also reflects non-commercial factors such as</w:t>
      </w:r>
      <w:r>
        <w:t xml:space="preserve"> </w:t>
      </w:r>
      <w:r>
        <w:t xml:space="preserve">divergent tax, corporate, securities and regulatory frameworks across Member States. This can</w:t>
      </w:r>
      <w:r>
        <w:t xml:space="preserve"> </w:t>
      </w:r>
      <w:r>
        <w:t xml:space="preserve">lead to inefficient resource allocation, hinder scale economies, and increase costs for investors.</w:t>
      </w:r>
      <w:r>
        <w:t xml:space="preserve"> </w:t>
      </w:r>
      <w:r>
        <w:t xml:space="preserve">It further complicates supervision, as oversight is spread across multiple legal entities and</w:t>
      </w:r>
      <w:r>
        <w:t xml:space="preserve"> </w:t>
      </w:r>
      <w:r>
        <w:t xml:space="preserve">jurisdictions, obscuring group-level risks and hampering timely cross-border coordination,</w:t>
      </w:r>
      <w:r>
        <w:t xml:space="preserve"> </w:t>
      </w:r>
      <w:r>
        <w:t xml:space="preserve">especially in times of stress.</w:t>
      </w:r>
      <w:r>
        <w:t xml:space="preserve"> </w:t>
      </w:r>
      <w:r>
        <w:t xml:space="preserve">Table 4: Number of EU entities composing the top 30 EU asset management groups471</w:t>
      </w:r>
    </w:p>
    <w:p>
      <w:pPr>
        <w:pStyle w:val="BodyText"/>
      </w:pPr>
      <w:r>
        <w:t xml:space="preserve">Number of UCITS</w:t>
      </w:r>
      <w:r>
        <w:t xml:space="preserve"> </w:t>
      </w:r>
      <w:r>
        <w:t xml:space="preserve">management companies and</w:t>
      </w:r>
      <w:r>
        <w:t xml:space="preserve"> </w:t>
      </w:r>
      <w:r>
        <w:t xml:space="preserve">AIMFs within large EU asset</w:t>
      </w:r>
      <w:r>
        <w:t xml:space="preserve"> </w:t>
      </w:r>
      <w:r>
        <w:t xml:space="preserve">management groups</w:t>
      </w:r>
      <w:r>
        <w:t xml:space="preserve"> </w:t>
      </w:r>
      <w:r>
        <w:t xml:space="preserve">% of asset</w:t>
      </w:r>
      <w:r>
        <w:t xml:space="preserve"> </w:t>
      </w:r>
      <w:r>
        <w:t xml:space="preserve">manager</w:t>
      </w:r>
      <w:r>
        <w:t xml:space="preserve"> </w:t>
      </w:r>
      <w:r>
        <w:t xml:space="preserve">groups</w:t>
      </w:r>
    </w:p>
    <w:p>
      <w:pPr>
        <w:pStyle w:val="BodyText"/>
      </w:pPr>
      <w:r>
        <w:t xml:space="preserve">Number of entities within</w:t>
      </w:r>
      <w:r>
        <w:t xml:space="preserve"> </w:t>
      </w:r>
      <w:r>
        <w:t xml:space="preserve">large EU asset manager</w:t>
      </w:r>
      <w:r>
        <w:t xml:space="preserve"> </w:t>
      </w:r>
      <w:r>
        <w:t xml:space="preserve">groups</w:t>
      </w:r>
      <w:r>
        <w:t xml:space="preserve"> </w:t>
      </w:r>
      <w:r>
        <w:t xml:space="preserve">% of asset</w:t>
      </w:r>
      <w:r>
        <w:t xml:space="preserve"> </w:t>
      </w:r>
      <w:r>
        <w:t xml:space="preserve">manager</w:t>
      </w:r>
      <w:r>
        <w:t xml:space="preserve"> </w:t>
      </w:r>
      <w:r>
        <w:t xml:space="preserve">groups</w:t>
      </w:r>
      <w:r>
        <w:t xml:space="preserve"> </w:t>
      </w:r>
      <w:r>
        <w:t xml:space="preserve">Between 1 to 4 asset managers</w:t>
      </w:r>
      <w:r>
        <w:t xml:space="preserve"> </w:t>
      </w:r>
      <w:r>
        <w:t xml:space="preserve">43%</w:t>
      </w:r>
      <w:r>
        <w:t xml:space="preserve"> </w:t>
      </w:r>
      <w:r>
        <w:t xml:space="preserve">Between 1 to 4 entities</w:t>
      </w:r>
      <w:r>
        <w:t xml:space="preserve"> </w:t>
      </w:r>
      <w:r>
        <w:t xml:space="preserve">23%</w:t>
      </w:r>
      <w:r>
        <w:t xml:space="preserve"> </w:t>
      </w:r>
      <w:r>
        <w:t xml:space="preserve">Between 5 to 10 asset managers</w:t>
      </w:r>
      <w:r>
        <w:t xml:space="preserve"> </w:t>
      </w:r>
      <w:r>
        <w:t xml:space="preserve">37%</w:t>
      </w:r>
      <w:r>
        <w:t xml:space="preserve"> </w:t>
      </w:r>
      <w:r>
        <w:t xml:space="preserve">Between 5 to 10 entities</w:t>
      </w:r>
      <w:r>
        <w:t xml:space="preserve"> </w:t>
      </w:r>
      <w:r>
        <w:t xml:space="preserve">33%</w:t>
      </w:r>
      <w:r>
        <w:t xml:space="preserve"> </w:t>
      </w:r>
      <w:r>
        <w:t xml:space="preserve">Between 11 to 15 asset</w:t>
      </w:r>
      <w:r>
        <w:t xml:space="preserve"> </w:t>
      </w:r>
      <w:r>
        <w:t xml:space="preserve">managers</w:t>
      </w:r>
      <w:r>
        <w:t xml:space="preserve"> </w:t>
      </w:r>
      <w:r>
        <w:t xml:space="preserve">17%</w:t>
      </w:r>
      <w:r>
        <w:t xml:space="preserve"> </w:t>
      </w:r>
      <w:r>
        <w:t xml:space="preserve">Between 11 to 15 entities</w:t>
      </w:r>
      <w:r>
        <w:t xml:space="preserve"> </w:t>
      </w:r>
      <w:r>
        <w:t xml:space="preserve">27%</w:t>
      </w:r>
      <w:r>
        <w:t xml:space="preserve"> </w:t>
      </w:r>
      <w:r>
        <w:t xml:space="preserve">&gt;15 asset managers</w:t>
      </w:r>
      <w:r>
        <w:t xml:space="preserve"> </w:t>
      </w:r>
      <w:r>
        <w:t xml:space="preserve">3%</w:t>
      </w:r>
      <w:r>
        <w:t xml:space="preserve"> </w:t>
      </w:r>
      <w:r>
        <w:t xml:space="preserve">&gt;15 entities</w:t>
      </w:r>
      <w:r>
        <w:t xml:space="preserve"> </w:t>
      </w:r>
      <w:r>
        <w:t xml:space="preserve">17%</w:t>
      </w:r>
      <w:r>
        <w:t xml:space="preserve"> </w:t>
      </w:r>
      <w:r>
        <w:t xml:space="preserve">3. ASSESSMENT OF PROBLEMS AND NEED TO ACT</w:t>
      </w:r>
      <w:r>
        <w:br/>
      </w:r>
      <w:r>
        <w:t xml:space="preserve">3.1. PROBLEM DEFINITION – BARRIERS TO CROSS-BORDER ACTIVITIES OF THE EU FUND</w:t>
      </w:r>
      <w:r>
        <w:t xml:space="preserve"> </w:t>
      </w:r>
      <w:r>
        <w:t xml:space="preserve">VALUE CHAIN</w:t>
      </w:r>
      <w:r>
        <w:t xml:space="preserve"> </w:t>
      </w:r>
      <w:r>
        <w:t xml:space="preserve">The value chain for the EU fund market remains fragmented and lacks scale, as evidenced in</w:t>
      </w:r>
      <w:r>
        <w:t xml:space="preserve"> </w:t>
      </w:r>
      <w:r>
        <w:t xml:space="preserve">Section 2.4. of this Annex, with declining competitiveness compared to other regions, under-</w:t>
      </w:r>
      <w:r>
        <w:t xml:space="preserve"> </w:t>
      </w:r>
      <w:r>
        <w:t xml:space="preserve">served investor segments, limited cross-border marketing activity and a patchwork of fund and</w:t>
      </w:r>
      <w:r>
        <w:t xml:space="preserve"> </w:t>
      </w:r>
      <w:r>
        <w:t xml:space="preserve">asset manager rules. Together, these weaknesses prevent the emergence of a truly integrated</w:t>
      </w:r>
      <w:r>
        <w:t xml:space="preserve"> </w:t>
      </w:r>
      <w:r>
        <w:t xml:space="preserve">and scalable ecosystem.</w:t>
      </w:r>
    </w:p>
    <w:p>
      <w:pPr>
        <w:pStyle w:val="BodyText"/>
      </w:pPr>
      <w:r>
        <w:t xml:space="preserve">470 Source: EFAMA data and DG FISMA internal calculations and estimates, June 2025.</w:t>
      </w:r>
      <w:r>
        <w:t xml:space="preserve"> </w:t>
      </w:r>
      <w:r>
        <w:t xml:space="preserve">471 Source: Morningstar and ESMA Database of UCITS management companies and AIFMs.</w:t>
      </w:r>
    </w:p>
    <w:p>
      <w:pPr>
        <w:pStyle w:val="BodyText"/>
      </w:pPr>
      <w:r>
        <w:t xml:space="preserve">292</w:t>
      </w:r>
      <w:r>
        <w:t xml:space="preserve"> </w:t>
      </w:r>
      <w:r>
        <w:t xml:space="preserve">The specific barriers described in this section are:</w:t>
      </w:r>
      <w:r>
        <w:br/>
      </w:r>
      <w:r>
        <w:t xml:space="preserve"> Barriers to cross-border activities of investment funds (section 3.2);</w:t>
      </w:r>
      <w:r>
        <w:br/>
      </w:r>
      <w:r>
        <w:t xml:space="preserve"> Barriers to cross-border activities of depositary services (section 3.3);</w:t>
      </w:r>
      <w:r>
        <w:t xml:space="preserve"> </w:t>
      </w:r>
      <w:r>
        <w:t xml:space="preserve"> Barriers to cross-border activities of asset managers and asset management groups (section</w:t>
      </w:r>
      <w:r>
        <w:t xml:space="preserve"> </w:t>
      </w:r>
      <w:r>
        <w:t xml:space="preserve">3.4); and</w:t>
      </w:r>
      <w:r>
        <w:t xml:space="preserve"> </w:t>
      </w:r>
      <w:r>
        <w:t xml:space="preserve"> Other barriers to the growth of the investment fund sector stemming notably from some</w:t>
      </w:r>
      <w:r>
        <w:t xml:space="preserve"> </w:t>
      </w:r>
      <w:r>
        <w:t xml:space="preserve">UCITS investment limits on securitisations and indices (section 3.5).</w:t>
      </w:r>
      <w:r>
        <w:t xml:space="preserve"> </w:t>
      </w:r>
      <w:r>
        <w:t xml:space="preserve">This analysis focuses only on barriers arising from financial regulation and its application,</w:t>
      </w:r>
      <w:r>
        <w:t xml:space="preserve"> </w:t>
      </w:r>
      <w:r>
        <w:t xml:space="preserve">excluding those related to tax, corporate, or securities law.</w:t>
      </w:r>
      <w:r>
        <w:br/>
      </w:r>
      <w:r>
        <w:t xml:space="preserve">3.2. BARRIERS TO CROSS-BORDER ACTIVITIES OF INVESTMENT FUNDS</w:t>
      </w:r>
      <w:r>
        <w:br/>
      </w:r>
      <w:r>
        <w:t xml:space="preserve">Desk research by the Commission together with the Commission consultation and bilateral</w:t>
      </w:r>
      <w:r>
        <w:t xml:space="preserve"> </w:t>
      </w:r>
      <w:r>
        <w:t xml:space="preserve">engagements with stakeholders show that EU and national requirements and practices still</w:t>
      </w:r>
      <w:r>
        <w:t xml:space="preserve"> </w:t>
      </w:r>
      <w:r>
        <w:t xml:space="preserve">makes the EU marketing passport extremely difficult to navigate. The CBDR created an ESMA</w:t>
      </w:r>
      <w:r>
        <w:t xml:space="preserve"> </w:t>
      </w:r>
      <w:r>
        <w:t xml:space="preserve">database with hyperlinks of NCAs’ websites with information on national marketing rules and</w:t>
      </w:r>
      <w:r>
        <w:t xml:space="preserve"> </w:t>
      </w:r>
      <w:r>
        <w:t xml:space="preserve">fees which enhanced the transparency somewhat. However, transparency alone cannot address</w:t>
      </w:r>
      <w:r>
        <w:t xml:space="preserve"> </w:t>
      </w:r>
      <w:r>
        <w:t xml:space="preserve">the root problem, which is the barriers themselves.</w:t>
      </w:r>
      <w:r>
        <w:t xml:space="preserve"> </w:t>
      </w:r>
      <w:r>
        <w:t xml:space="preserve">Barriers in the EU framework include the current notification procedure for the UCITS and</w:t>
      </w:r>
      <w:r>
        <w:t xml:space="preserve"> </w:t>
      </w:r>
      <w:r>
        <w:t xml:space="preserve">AIFM marketing passport (which is unnecessarily time consuming and administratively</w:t>
      </w:r>
      <w:r>
        <w:t xml:space="preserve"> </w:t>
      </w:r>
      <w:r>
        <w:t xml:space="preserve">demanding especially where a manager seeks to market a fund in EU 27), the one-month</w:t>
      </w:r>
      <w:r>
        <w:t xml:space="preserve"> </w:t>
      </w:r>
      <w:r>
        <w:t xml:space="preserve">notification of new share classes of a UCITS fund, the ability for Member States to impose ex-</w:t>
      </w:r>
      <w:r>
        <w:t xml:space="preserve"> </w:t>
      </w:r>
      <w:r>
        <w:t xml:space="preserve">ante verification requirements on marketing communications and translation requirements.</w:t>
      </w:r>
      <w:r>
        <w:t xml:space="preserve"> </w:t>
      </w:r>
      <w:r>
        <w:t xml:space="preserve">Barriers in national frameworks include country-specific disclosure requirements,</w:t>
      </w:r>
      <w:r>
        <w:t xml:space="preserve"> </w:t>
      </w:r>
      <w:r>
        <w:t xml:space="preserve">administrative and operational issues (e.g. bespoke filing systems), additional marketing rules,</w:t>
      </w:r>
      <w:r>
        <w:t xml:space="preserve"> </w:t>
      </w:r>
      <w:r>
        <w:t xml:space="preserve">regulatory fees and charges, reporting obligations, and local physical presence requirements.</w:t>
      </w:r>
      <w:r>
        <w:t xml:space="preserve"> </w:t>
      </w:r>
      <w:r>
        <w:t xml:space="preserve">There are several causes for these barriers. First, while notification rules have been harmonised</w:t>
      </w:r>
      <w:r>
        <w:t xml:space="preserve"> </w:t>
      </w:r>
      <w:r>
        <w:t xml:space="preserve">through changes to the UCITSD472 and AIFMD, a broad margin of discretion is left to Member</w:t>
      </w:r>
      <w:r>
        <w:t xml:space="preserve"> </w:t>
      </w:r>
      <w:r>
        <w:t xml:space="preserve">States, allowing them, to a large degree, to impose their own procedures, regulatory fees, IT</w:t>
      </w:r>
      <w:r>
        <w:t xml:space="preserve"> </w:t>
      </w:r>
      <w:r>
        <w:t xml:space="preserve">systems, and requirements. Second, under the fund frameworks, Member States can adopt</w:t>
      </w:r>
      <w:r>
        <w:t xml:space="preserve"> </w:t>
      </w:r>
      <w:r>
        <w:t xml:space="preserve">national rules where EU rules are absent. Since EU marketing rules are mostly principle-based</w:t>
      </w:r>
      <w:r>
        <w:t xml:space="preserve"> </w:t>
      </w:r>
      <w:r>
        <w:t xml:space="preserve">(e.g. requiring that information is clear, not misleading, and consistent with pre-contractual</w:t>
      </w:r>
      <w:r>
        <w:t xml:space="preserve"> </w:t>
      </w:r>
      <w:r>
        <w:t xml:space="preserve">documents), many Member States set out detailed marketing rules, which in turn affect product</w:t>
      </w:r>
      <w:r>
        <w:t xml:space="preserve"> </w:t>
      </w:r>
      <w:r>
        <w:t xml:space="preserve">design. Indeed, marketing is essential for raising capital. If a fund cannot be sold in a Member</w:t>
      </w:r>
      <w:r>
        <w:t xml:space="preserve"> </w:t>
      </w:r>
      <w:r>
        <w:t xml:space="preserve">State, managers must adapt to comply with local marketing rules, creating fund-specific</w:t>
      </w:r>
      <w:r>
        <w:t xml:space="preserve"> </w:t>
      </w:r>
      <w:r>
        <w:t xml:space="preserve">versions for national markets that can pass regulatory scrutiny. This fragmentation reduces the</w:t>
      </w:r>
      <w:r>
        <w:t xml:space="preserve"> </w:t>
      </w:r>
      <w:r>
        <w:t xml:space="preserve">overall size and growth of investment funds in the Union. These barriers impact the growth of</w:t>
      </w:r>
      <w:r>
        <w:t xml:space="preserve"> </w:t>
      </w:r>
      <w:r>
        <w:t xml:space="preserve">all fund types, including ETFs, which have experienced exponential levels of growth in recent</w:t>
      </w:r>
      <w:r>
        <w:t xml:space="preserve"> </w:t>
      </w:r>
      <w:r>
        <w:t xml:space="preserve">years, due to their attractiveness which can be attributed to their relative low cost, the ability</w:t>
      </w:r>
      <w:r>
        <w:t xml:space="preserve"> </w:t>
      </w:r>
      <w:r>
        <w:t xml:space="preserve">to invest in a simple and transparent manner in products that are diversified and liquid.</w:t>
      </w:r>
    </w:p>
    <w:p>
      <w:pPr>
        <w:pStyle w:val="BodyText"/>
      </w:pPr>
      <w:r>
        <w:t xml:space="preserve">472 Notably through the introduction of a system of “pre-authorisation” from the host NCAs (until UCITS III) to</w:t>
      </w:r>
      <w:r>
        <w:t xml:space="preserve"> </w:t>
      </w:r>
      <w:r>
        <w:t xml:space="preserve">a “notification-only” to host NCAs introduced by UCITS IV.</w:t>
      </w:r>
    </w:p>
    <w:p>
      <w:pPr>
        <w:pStyle w:val="BodyText"/>
      </w:pPr>
      <w:r>
        <w:t xml:space="preserve">293</w:t>
      </w:r>
      <w:r>
        <w:t xml:space="preserve"> </w:t>
      </w:r>
      <w:r>
        <w:t xml:space="preserve">It is questionable whether those diverging national requirements deliver any real benefits to</w:t>
      </w:r>
      <w:r>
        <w:t xml:space="preserve"> </w:t>
      </w:r>
      <w:r>
        <w:t xml:space="preserve">consumers. Where regulation of certain aspects is indeed needed, such rules should be</w:t>
      </w:r>
      <w:r>
        <w:t xml:space="preserve"> </w:t>
      </w:r>
      <w:r>
        <w:t xml:space="preserve">harmonised and applied consistently across the EU market.</w:t>
      </w:r>
      <w:r>
        <w:br/>
      </w:r>
      <w:r>
        <w:t xml:space="preserve">A more detailed description of the problem drivers is presented below.</w:t>
      </w:r>
      <w:r>
        <w:t xml:space="preserve"> </w:t>
      </w:r>
      <w:r>
        <w:t xml:space="preserve">a) Barriers related to the authorisation and notification requirements</w:t>
      </w:r>
      <w:r>
        <w:br/>
      </w:r>
      <w:r>
        <w:t xml:space="preserve">In the consultation, 68% of respondents reported divergent UCITS authorisation practices</w:t>
      </w:r>
      <w:r>
        <w:t xml:space="preserve"> </w:t>
      </w:r>
      <w:r>
        <w:t xml:space="preserve">across Member States and NCAs, noting that inconsistencies in procedures, information</w:t>
      </w:r>
      <w:r>
        <w:t xml:space="preserve"> </w:t>
      </w:r>
      <w:r>
        <w:t xml:space="preserve">requirements and timelines create complexity and inefficiency. Examples include the need for</w:t>
      </w:r>
      <w:r>
        <w:t xml:space="preserve"> </w:t>
      </w:r>
      <w:r>
        <w:t xml:space="preserve">board approval for a new sub-fund in some jurisdictions but not others, shareholder approval</w:t>
      </w:r>
      <w:r>
        <w:t xml:space="preserve"> </w:t>
      </w:r>
      <w:r>
        <w:t xml:space="preserve">for changes of investment objectives, and a general lack of transparency on approval timelines,</w:t>
      </w:r>
      <w:r>
        <w:t xml:space="preserve"> </w:t>
      </w:r>
      <w:r>
        <w:t xml:space="preserve">all of which hinder the seamless operations of investment funds across the Union.473</w:t>
      </w:r>
      <w:r>
        <w:t xml:space="preserve"> </w:t>
      </w:r>
      <w:r>
        <w:t xml:space="preserve">On the UCITS and AIFM passporting framework, 73% of respondents (asset managers and</w:t>
      </w:r>
      <w:r>
        <w:t xml:space="preserve"> </w:t>
      </w:r>
      <w:r>
        <w:t xml:space="preserve">professional associations) indicated that current marketing passport provisions are not</w:t>
      </w:r>
      <w:r>
        <w:t xml:space="preserve"> </w:t>
      </w:r>
      <w:r>
        <w:t xml:space="preserve">sufficiently simple or proportionate. They argued that passporting should be reduced to a</w:t>
      </w:r>
      <w:r>
        <w:t xml:space="preserve"> </w:t>
      </w:r>
      <w:r>
        <w:t xml:space="preserve">straightforward notification process given that funds are already authorised by their home</w:t>
      </w:r>
      <w:r>
        <w:t xml:space="preserve"> </w:t>
      </w:r>
      <w:r>
        <w:t xml:space="preserve">NCA. The existing web of bilateral notifications imposes unnecessary administrative burdens</w:t>
      </w:r>
      <w:r>
        <w:t xml:space="preserve"> </w:t>
      </w:r>
      <w:r>
        <w:t xml:space="preserve">on funds, fund managers and regulators.474 One large asset manager in the Nordic region</w:t>
      </w:r>
      <w:r>
        <w:t xml:space="preserve"> </w:t>
      </w:r>
      <w:r>
        <w:t xml:space="preserve">specifically mentioned challenges in processing passporting notifications, necessitating a one-</w:t>
      </w:r>
      <w:r>
        <w:t xml:space="preserve"> </w:t>
      </w:r>
      <w:r>
        <w:t xml:space="preserve">month timeframe before it can effectively begin marketing in host Member States due to</w:t>
      </w:r>
      <w:r>
        <w:t xml:space="preserve"> </w:t>
      </w:r>
      <w:r>
        <w:t xml:space="preserve">frequent delays in the process.</w:t>
      </w:r>
      <w:r>
        <w:t xml:space="preserve"> </w:t>
      </w:r>
      <w:r>
        <w:t xml:space="preserve">b) Marketing requirements</w:t>
      </w:r>
      <w:r>
        <w:t xml:space="preserve"> </w:t>
      </w:r>
      <w:r>
        <w:t xml:space="preserve">Most respondents to the targeted consultation noted that approaches to marketing rules differ</w:t>
      </w:r>
      <w:r>
        <w:t xml:space="preserve"> </w:t>
      </w:r>
      <w:r>
        <w:t xml:space="preserve">substantially across Member States, with the EU framework notably the CBDR offering</w:t>
      </w:r>
      <w:r>
        <w:t xml:space="preserve"> </w:t>
      </w:r>
      <w:r>
        <w:t xml:space="preserve">Member State discretion in this regard. Some NCAs require pre-approval (ex-ante verification)</w:t>
      </w:r>
      <w:r>
        <w:t xml:space="preserve"> </w:t>
      </w:r>
      <w:r>
        <w:t xml:space="preserve">of marketing communications, while others do not. Requirements around content standards</w:t>
      </w:r>
      <w:r>
        <w:t xml:space="preserve"> </w:t>
      </w:r>
      <w:r>
        <w:t xml:space="preserve">also vary, making it difficult for fund managers to use standardised marketing communications</w:t>
      </w:r>
      <w:r>
        <w:t xml:space="preserve"> </w:t>
      </w:r>
      <w:r>
        <w:t xml:space="preserve">in the single market. Respondents also noted that some Member States have requirements</w:t>
      </w:r>
      <w:r>
        <w:t xml:space="preserve"> </w:t>
      </w:r>
      <w:r>
        <w:t xml:space="preserve">regarding country-specific disclosures in fund documentation. One prominent fund industry</w:t>
      </w:r>
      <w:r>
        <w:t xml:space="preserve"> </w:t>
      </w:r>
      <w:r>
        <w:t xml:space="preserve">association noted that a country fund supplement is required in seven Member States (Austria,</w:t>
      </w:r>
      <w:r>
        <w:t xml:space="preserve"> </w:t>
      </w:r>
      <w:r>
        <w:t xml:space="preserve">Belgium, Denmark, France (in some cases), Germany, Ireland, Poland). A mid-sized fund</w:t>
      </w:r>
      <w:r>
        <w:t xml:space="preserve"> </w:t>
      </w:r>
      <w:r>
        <w:t xml:space="preserve">manager reported the cost of compliance with country-specific disclosure rules as EUR 65,000</w:t>
      </w:r>
      <w:r>
        <w:t xml:space="preserve"> </w:t>
      </w:r>
      <w:r>
        <w:t xml:space="preserve">annually.</w:t>
      </w:r>
      <w:r>
        <w:br/>
      </w:r>
      <w:r>
        <w:t xml:space="preserve">The UCITS and AIFM marketing passport enables funds authorised in one Member State to be</w:t>
      </w:r>
      <w:r>
        <w:t xml:space="preserve"> </w:t>
      </w:r>
      <w:r>
        <w:t xml:space="preserve">marketed across the EU via a notification procedure between NCAs. In principle, host NCAs</w:t>
      </w:r>
      <w:r>
        <w:t xml:space="preserve"> </w:t>
      </w:r>
      <w:r>
        <w:t xml:space="preserve">cannot block access or challenge the home authorisation. In practice, however, divergent</w:t>
      </w:r>
      <w:r>
        <w:t xml:space="preserve"> </w:t>
      </w:r>
      <w:r>
        <w:t xml:space="preserve">national marketing requirements, especially relating to the form and content of marketing</w:t>
      </w:r>
    </w:p>
    <w:p>
      <w:pPr>
        <w:pStyle w:val="BodyText"/>
      </w:pPr>
      <w:r>
        <w:t xml:space="preserve">473 In response to the targeted consultation, one mid-sized fund manager noted variable authorisation processing</w:t>
      </w:r>
      <w:r>
        <w:t xml:space="preserve"> </w:t>
      </w:r>
      <w:r>
        <w:t xml:space="preserve">times across NCAs, ranging from a couple to several months regardless of the complexity of the case, as well as</w:t>
      </w:r>
      <w:r>
        <w:t xml:space="preserve"> </w:t>
      </w:r>
      <w:r>
        <w:t xml:space="preserve">the variation in the level and style of information to be provided to, and approved by, NCAs which can complicate</w:t>
      </w:r>
      <w:r>
        <w:t xml:space="preserve"> </w:t>
      </w:r>
      <w:r>
        <w:t xml:space="preserve">cross-border operations and lead to an uneven playing field across Member States.</w:t>
      </w:r>
      <w:r>
        <w:t xml:space="preserve"> </w:t>
      </w:r>
      <w:r>
        <w:t xml:space="preserve">474 Examples: new share classes of an existing UCITS must be notified one month before marketing, the de-</w:t>
      </w:r>
      <w:r>
        <w:t xml:space="preserve"> </w:t>
      </w:r>
      <w:r>
        <w:t xml:space="preserve">notification process and obligation to publish an intention to terminate marketing even where no investors remain,</w:t>
      </w:r>
      <w:r>
        <w:t xml:space="preserve"> </w:t>
      </w:r>
      <w:r>
        <w:t xml:space="preserve">or the 36-month pre-marketing blackout for similar strategies to the one of the AIF that was de-notified.</w:t>
      </w:r>
    </w:p>
    <w:p>
      <w:pPr>
        <w:pStyle w:val="BodyText"/>
      </w:pPr>
      <w:r>
        <w:t xml:space="preserve">294</w:t>
      </w:r>
      <w:r>
        <w:t xml:space="preserve"> </w:t>
      </w:r>
      <w:r>
        <w:t xml:space="preserve">materials and ex-ante checks of marketing communications, create burdens and delays. A mid-</w:t>
      </w:r>
      <w:r>
        <w:t xml:space="preserve"> </w:t>
      </w:r>
      <w:r>
        <w:t xml:space="preserve">sized fund manager reported the cost of compliance with marketing communication rules as</w:t>
      </w:r>
      <w:r>
        <w:t xml:space="preserve"> </w:t>
      </w:r>
      <w:r>
        <w:t xml:space="preserve">EUR 100,000 annually.</w:t>
      </w:r>
      <w:r>
        <w:br/>
      </w:r>
      <w:r>
        <w:t xml:space="preserve">Finally, most industry respondents reported not using ESMA’s database on national marketing</w:t>
      </w:r>
      <w:r>
        <w:t xml:space="preserve"> </w:t>
      </w:r>
      <w:r>
        <w:t xml:space="preserve">requirements due to complex, incomplete, or outdated information. As a result, fund managers</w:t>
      </w:r>
      <w:r>
        <w:t xml:space="preserve"> </w:t>
      </w:r>
      <w:r>
        <w:t xml:space="preserve">face higher costs and slower market access, while the database underscores the complexity of</w:t>
      </w:r>
      <w:r>
        <w:t xml:space="preserve"> </w:t>
      </w:r>
      <w:r>
        <w:t xml:space="preserve">national rules despite common UCITD and AIFMD texts.</w:t>
      </w:r>
      <w:r>
        <w:t xml:space="preserve"> </w:t>
      </w:r>
      <w:r>
        <w:t xml:space="preserve">c) Administrative requirements – national rules concerning local physical</w:t>
      </w:r>
      <w:r>
        <w:t xml:space="preserve"> </w:t>
      </w:r>
      <w:r>
        <w:t xml:space="preserve">presence, regulatory fees and translations</w:t>
      </w:r>
      <w:r>
        <w:t xml:space="preserve"> </w:t>
      </w:r>
      <w:r>
        <w:t xml:space="preserve">The CBD framework prohibits host Member States from requiring UCITS and AIFs that are</w:t>
      </w:r>
      <w:r>
        <w:t xml:space="preserve"> </w:t>
      </w:r>
      <w:r>
        <w:t xml:space="preserve">marketed in their territory to have a local physical agent in their host jurisdiction or to appoint</w:t>
      </w:r>
      <w:r>
        <w:t xml:space="preserve"> </w:t>
      </w:r>
      <w:r>
        <w:t xml:space="preserve">a third party for the performance of certain tasks. Many respondents to the targeted consultation</w:t>
      </w:r>
      <w:r>
        <w:t xml:space="preserve"> </w:t>
      </w:r>
      <w:r>
        <w:t xml:space="preserve">reported that in practice several Member States continue to require funds from other Member</w:t>
      </w:r>
      <w:r>
        <w:t xml:space="preserve"> </w:t>
      </w:r>
      <w:r>
        <w:t xml:space="preserve">States to appoint such local agents. Consultation feedback highlighted that these requirements</w:t>
      </w:r>
      <w:r>
        <w:t xml:space="preserve"> </w:t>
      </w:r>
      <w:r>
        <w:t xml:space="preserve">undermine the UCITS and AIFM passport and can often deter managers from adopting a</w:t>
      </w:r>
      <w:r>
        <w:t xml:space="preserve"> </w:t>
      </w:r>
      <w:r>
        <w:t xml:space="preserve">European strategy. One large asset manager reported such requirements in Austria, Germany,</w:t>
      </w:r>
      <w:r>
        <w:t xml:space="preserve"> </w:t>
      </w:r>
      <w:r>
        <w:t xml:space="preserve">Italy, Spain Poland and Portugal.</w:t>
      </w:r>
      <w:r>
        <w:br/>
      </w:r>
      <w:r>
        <w:t xml:space="preserve">Desk-based research and consultation responses shows that at least 11 Member States require</w:t>
      </w:r>
      <w:r>
        <w:t xml:space="preserve"> </w:t>
      </w:r>
      <w:r>
        <w:t xml:space="preserve">UCITS and AIFs to appoint a local agent for varying reasons (tax representation,</w:t>
      </w:r>
      <w:r>
        <w:t xml:space="preserve"> </w:t>
      </w:r>
      <w:r>
        <w:t xml:space="preserve">payments/redemptions, regulatory fee handling, intermediary activities, reporting). In some</w:t>
      </w:r>
      <w:r>
        <w:t xml:space="preserve"> </w:t>
      </w:r>
      <w:r>
        <w:t xml:space="preserve">cases, this stems from NCA expectations rather than law. Information provided by a mid-sized</w:t>
      </w:r>
      <w:r>
        <w:t xml:space="preserve"> </w:t>
      </w:r>
      <w:r>
        <w:t xml:space="preserve">asset manager and a prominent industry association shows the average annual cost of EUR</w:t>
      </w:r>
      <w:r>
        <w:t xml:space="preserve"> </w:t>
      </w:r>
      <w:r>
        <w:t xml:space="preserve">42,500 for appointing a local physical agent in one Member State, with the highest reported</w:t>
      </w:r>
      <w:r>
        <w:t xml:space="preserve"> </w:t>
      </w:r>
      <w:r>
        <w:t xml:space="preserve">cost for one Member State being EUR 80,000.</w:t>
      </w:r>
      <w:r>
        <w:t xml:space="preserve"> </w:t>
      </w:r>
      <w:r>
        <w:t xml:space="preserve">On regulatory fees and charges levied by some NCAs, of the stakeholders that replied to this</w:t>
      </w:r>
      <w:r>
        <w:t xml:space="preserve"> </w:t>
      </w:r>
      <w:r>
        <w:t xml:space="preserve">part of the targeted consultation 58% considers fees and charges a significant barrier to the</w:t>
      </w:r>
      <w:r>
        <w:t xml:space="preserve"> </w:t>
      </w:r>
      <w:r>
        <w:t xml:space="preserve">distribution of investment funds. Stakeholders explain that whilst each individual fee may</w:t>
      </w:r>
      <w:r>
        <w:t xml:space="preserve"> </w:t>
      </w:r>
      <w:r>
        <w:t xml:space="preserve">sometimes appear as immaterial, it can very quickly lead to significant costs when taking into</w:t>
      </w:r>
      <w:r>
        <w:t xml:space="preserve"> </w:t>
      </w:r>
      <w:r>
        <w:t xml:space="preserve">account the administration burden of keeping track with all annual fees and the time they are</w:t>
      </w:r>
      <w:r>
        <w:t xml:space="preserve"> </w:t>
      </w:r>
      <w:r>
        <w:t xml:space="preserve">due. Respondents also noted that, for both UCITS and AIFs marketed in host Member States,</w:t>
      </w:r>
      <w:r>
        <w:t xml:space="preserve"> </w:t>
      </w:r>
      <w:r>
        <w:t xml:space="preserve">information on the fees levied by host competent authorities is not easily available, e.g. poorly</w:t>
      </w:r>
      <w:r>
        <w:t xml:space="preserve"> </w:t>
      </w:r>
      <w:r>
        <w:t xml:space="preserve">structured and hard to find fee information on NCAs websites, often resulting in the need to</w:t>
      </w:r>
      <w:r>
        <w:t xml:space="preserve"> </w:t>
      </w:r>
      <w:r>
        <w:t xml:space="preserve">engage local counsel for advice. Case Study 2 highlights a cost of EUR 65,000 associated with</w:t>
      </w:r>
      <w:r>
        <w:t xml:space="preserve"> </w:t>
      </w:r>
      <w:r>
        <w:t xml:space="preserve">the payment of regulatory fees for one AIF marketing on a pan-EU basis.</w:t>
      </w:r>
      <w:r>
        <w:br/>
      </w:r>
      <w:r>
        <w:t xml:space="preserve">The cross-border distribution framework sought to enhance transparency, including in relation</w:t>
      </w:r>
      <w:r>
        <w:t xml:space="preserve"> </w:t>
      </w:r>
      <w:r>
        <w:t xml:space="preserve">to fees and charges levied by host competent authorities for UCITS and AIFs marketed in their</w:t>
      </w:r>
      <w:r>
        <w:t xml:space="preserve"> </w:t>
      </w:r>
      <w:r>
        <w:t xml:space="preserve">territories, and to limit burdensome or opaque practices. One measure required NCAs to</w:t>
      </w:r>
      <w:r>
        <w:t xml:space="preserve"> </w:t>
      </w:r>
      <w:r>
        <w:t xml:space="preserve">publish applicable regulatory fees online and ESMA to maintain a database of such</w:t>
      </w:r>
      <w:r>
        <w:t xml:space="preserve"> </w:t>
      </w:r>
      <w:r>
        <w:t xml:space="preserve">information. However, in practice, fee transparency remains limited. In many cases, fees are</w:t>
      </w:r>
      <w:r>
        <w:t xml:space="preserve"> </w:t>
      </w:r>
      <w:r>
        <w:t xml:space="preserve">not clearly presented, complicated to follow or easily accessible on NCA websites, and fund</w:t>
      </w:r>
      <w:r>
        <w:t xml:space="preserve"> </w:t>
      </w:r>
      <w:r>
        <w:t xml:space="preserve">managers may only become aware of the full cost late in the registration process.</w:t>
      </w:r>
    </w:p>
    <w:p>
      <w:pPr>
        <w:pStyle w:val="BodyText"/>
      </w:pPr>
      <w:r>
        <w:t xml:space="preserve">295</w:t>
      </w:r>
      <w:r>
        <w:t xml:space="preserve"> </w:t>
      </w:r>
      <w:r>
        <w:t xml:space="preserve">Administrative issues linked to fees include:</w:t>
      </w:r>
      <w:r>
        <w:br/>
      </w:r>
      <w:r>
        <w:t xml:space="preserve">(i)</w:t>
      </w:r>
      <w:r>
        <w:t xml:space="preserve"> </w:t>
      </w:r>
      <w:r>
        <w:t xml:space="preserve">variability – the extent and clarity of fee disclosure varies across jurisdictions.</w:t>
      </w:r>
      <w:r>
        <w:t xml:space="preserve"> </w:t>
      </w:r>
      <w:r>
        <w:t xml:space="preserve">Some NCAs provide clear, comprehensive schedules, while others offer only</w:t>
      </w:r>
      <w:r>
        <w:t xml:space="preserve"> </w:t>
      </w:r>
      <w:r>
        <w:t xml:space="preserve">limited or outdated information;</w:t>
      </w:r>
      <w:r>
        <w:br/>
      </w:r>
      <w:r>
        <w:t xml:space="preserve">(ii)</w:t>
      </w:r>
      <w:r>
        <w:t xml:space="preserve"> </w:t>
      </w:r>
      <w:r>
        <w:t xml:space="preserve">structuration – differences in how fees are defined, structured, and presented make</w:t>
      </w:r>
      <w:r>
        <w:t xml:space="preserve"> </w:t>
      </w:r>
      <w:r>
        <w:t xml:space="preserve">it difficult for fund managers to compare costs across Member States. Some</w:t>
      </w:r>
      <w:r>
        <w:t xml:space="preserve"> </w:t>
      </w:r>
      <w:r>
        <w:t xml:space="preserve">NCAs aggregate multiple services into a single fee, others itemize extensively,</w:t>
      </w:r>
      <w:r>
        <w:t xml:space="preserve"> </w:t>
      </w:r>
      <w:r>
        <w:t xml:space="preserve">complicating cost transparency;</w:t>
      </w:r>
      <w:r>
        <w:br/>
      </w:r>
      <w:r>
        <w:t xml:space="preserve">(iii)</w:t>
      </w:r>
      <w:r>
        <w:t xml:space="preserve"> </w:t>
      </w:r>
      <w:r>
        <w:t xml:space="preserve">accessibility – fee information is not always easy to find or available in English,</w:t>
      </w:r>
      <w:r>
        <w:t xml:space="preserve"> </w:t>
      </w:r>
      <w:r>
        <w:t xml:space="preserve">which can hinder access for non-domestic managers; and</w:t>
      </w:r>
      <w:r>
        <w:br/>
      </w:r>
      <w:r>
        <w:t xml:space="preserve">(iv)</w:t>
      </w:r>
      <w:r>
        <w:t xml:space="preserve"> </w:t>
      </w:r>
      <w:r>
        <w:t xml:space="preserve">timing – it is frequent that authorities continue to request fee payments even after</w:t>
      </w:r>
      <w:r>
        <w:t xml:space="preserve"> </w:t>
      </w:r>
      <w:r>
        <w:t xml:space="preserve">fees have been paid and marketing has been closed.</w:t>
      </w:r>
      <w:r>
        <w:t xml:space="preserve"> </w:t>
      </w:r>
      <w:r>
        <w:t xml:space="preserve">The Impact Assessment undertaken in 2017 showed that the level of fees levied by host NCAs</w:t>
      </w:r>
      <w:r>
        <w:t xml:space="preserve"> </w:t>
      </w:r>
      <w:r>
        <w:t xml:space="preserve">varies considerably, both in absolute amount and how they are calculated.475 Significant</w:t>
      </w:r>
      <w:r>
        <w:t xml:space="preserve"> </w:t>
      </w:r>
      <w:r>
        <w:t xml:space="preserve">variations in the levels of fees charged remain today. Table 5 provides an overview of the</w:t>
      </w:r>
      <w:r>
        <w:t xml:space="preserve"> </w:t>
      </w:r>
      <w:r>
        <w:t xml:space="preserve">regulatory fees imposed on incoming funds by EU 27 host NCAs, based on research by the</w:t>
      </w:r>
      <w:r>
        <w:t xml:space="preserve"> </w:t>
      </w:r>
      <w:r>
        <w:t xml:space="preserve">Commission Services during H1 2025. It is based on one single sub-fund being marketed</w:t>
      </w:r>
      <w:r>
        <w:t xml:space="preserve"> </w:t>
      </w:r>
      <w:r>
        <w:t xml:space="preserve">cross-border and is compiled on a best-efforts basis, due to some constraints in finding the</w:t>
      </w:r>
      <w:r>
        <w:t xml:space="preserve"> </w:t>
      </w:r>
      <w:r>
        <w:t xml:space="preserve">correct information on NCA’s websites, and variations such as indexing, the number of sub-</w:t>
      </w:r>
      <w:r>
        <w:t xml:space="preserve"> </w:t>
      </w:r>
      <w:r>
        <w:t xml:space="preserve">funds and applying conversion rates in some cases.</w:t>
      </w:r>
      <w:r>
        <w:br/>
      </w:r>
      <w:r>
        <w:t xml:space="preserve">Table 5 – Fees charged by NCAs on a UCITS fund operating on a cross-border basis</w:t>
      </w:r>
      <w:r>
        <w:t xml:space="preserve"> </w:t>
      </w:r>
      <w:r>
        <w:t xml:space="preserve">Number of NCAs charging regulatory fees (initial and/or annual)</w:t>
      </w:r>
      <w:r>
        <w:t xml:space="preserve"> </w:t>
      </w:r>
      <w:r>
        <w:t xml:space="preserve">Approx. 18</w:t>
      </w:r>
      <w:r>
        <w:t xml:space="preserve"> </w:t>
      </w:r>
      <w:r>
        <w:t xml:space="preserve">Number of NCAs that do not charge regulatory fees</w:t>
      </w:r>
      <w:r>
        <w:t xml:space="preserve"> </w:t>
      </w:r>
      <w:r>
        <w:t xml:space="preserve">Approx. 9</w:t>
      </w:r>
      <w:r>
        <w:t xml:space="preserve"> </w:t>
      </w:r>
      <w:r>
        <w:t xml:space="preserve">Number of NCAs where information is unclear</w:t>
      </w:r>
      <w:r>
        <w:t xml:space="preserve"> </w:t>
      </w:r>
      <w:r>
        <w:t xml:space="preserve">14</w:t>
      </w:r>
      <w:r>
        <w:t xml:space="preserve"> </w:t>
      </w:r>
      <w:r>
        <w:t xml:space="preserve">Highest initial fee (EUR)</w:t>
      </w:r>
      <w:r>
        <w:t xml:space="preserve"> </w:t>
      </w:r>
      <w:r>
        <w:t xml:space="preserve">4400</w:t>
      </w:r>
      <w:r>
        <w:t xml:space="preserve"> </w:t>
      </w:r>
      <w:r>
        <w:t xml:space="preserve">Highest annual fee (EUR)</w:t>
      </w:r>
      <w:r>
        <w:t xml:space="preserve"> </w:t>
      </w:r>
      <w:r>
        <w:t xml:space="preserve">3452</w:t>
      </w:r>
      <w:r>
        <w:t xml:space="preserve"> </w:t>
      </w:r>
      <w:r>
        <w:t xml:space="preserve">Average initial fee (EUR)</w:t>
      </w:r>
      <w:r>
        <w:t xml:space="preserve"> </w:t>
      </w:r>
      <w:r>
        <w:t xml:space="preserve">985</w:t>
      </w:r>
      <w:r>
        <w:t xml:space="preserve"> </w:t>
      </w:r>
      <w:r>
        <w:t xml:space="preserve">Average annual fee (EUR)</w:t>
      </w:r>
      <w:r>
        <w:t xml:space="preserve"> </w:t>
      </w:r>
      <w:r>
        <w:t xml:space="preserve">1061</w:t>
      </w:r>
      <w:r>
        <w:t xml:space="preserve"> </w:t>
      </w:r>
      <w:r>
        <w:t xml:space="preserve">On translation requirements, most asset management industry association cite national</w:t>
      </w:r>
      <w:r>
        <w:t xml:space="preserve"> </w:t>
      </w:r>
      <w:r>
        <w:t xml:space="preserve">requirements on translating documents as a barrier. One prominent industry association noted</w:t>
      </w:r>
      <w:r>
        <w:t xml:space="preserve"> </w:t>
      </w:r>
      <w:r>
        <w:t xml:space="preserve">that there is no uniformity in local language translation obligations, meaning that in some</w:t>
      </w:r>
    </w:p>
    <w:p>
      <w:pPr>
        <w:pStyle w:val="BodyText"/>
      </w:pPr>
      <w:r>
        <w:t xml:space="preserve">475 For example, ongoing regulatory fees for a UCITS fund with five sub-funds marketed to retail investors vary</w:t>
      </w:r>
      <w:r>
        <w:t xml:space="preserve"> </w:t>
      </w:r>
      <w:r>
        <w:t xml:space="preserve">from EUR 0 to EUR 10,275 and for an AIF with the same structure marketed to professional investors vary from</w:t>
      </w:r>
      <w:r>
        <w:t xml:space="preserve"> </w:t>
      </w:r>
      <w:r>
        <w:t xml:space="preserve">EUR 0 to EUR 15,000.</w:t>
      </w:r>
    </w:p>
    <w:p>
      <w:pPr>
        <w:pStyle w:val="BodyText"/>
      </w:pPr>
      <w:r>
        <w:t xml:space="preserve">296</w:t>
      </w:r>
      <w:r>
        <w:t xml:space="preserve"> </w:t>
      </w:r>
      <w:r>
        <w:t xml:space="preserve">Member States, every investor-facing document, including prospectuses and key information</w:t>
      </w:r>
      <w:r>
        <w:t xml:space="preserve"> </w:t>
      </w:r>
      <w:r>
        <w:t xml:space="preserve">documents, must be translated into the local language unless investors explicitly consent</w:t>
      </w:r>
      <w:r>
        <w:t xml:space="preserve"> </w:t>
      </w:r>
      <w:r>
        <w:t xml:space="preserve">otherwise, while other Member States take a more flexible approach, permitting a single</w:t>
      </w:r>
      <w:r>
        <w:t xml:space="preserve"> </w:t>
      </w:r>
      <w:r>
        <w:t xml:space="preserve">marketing package to be used across borders. This fragmentation prevents the use of a single</w:t>
      </w:r>
      <w:r>
        <w:t xml:space="preserve"> </w:t>
      </w:r>
      <w:r>
        <w:t xml:space="preserve">marketing communication package across multiple countries, increasing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3.3. BARRIERS TO CROSS-BORDER ACTIVITIES FOR DEPOSITARY SERVICES</w:t>
      </w:r>
      <w:r>
        <w:br/>
      </w:r>
      <w:r>
        <w:t xml:space="preserve">One of the main pillars of the AIFMD and UCITSD frameworks that protects investors is a</w:t>
      </w:r>
      <w:r>
        <w:t xml:space="preserve"> </w:t>
      </w:r>
      <w:r>
        <w:t xml:space="preserve">depositary regime. AIFMs and UCITS managers are required to appoint for each fund they</w:t>
      </w:r>
      <w:r>
        <w:t xml:space="preserve"> </w:t>
      </w:r>
      <w:r>
        <w:t xml:space="preserve">manage a single depositary that should be authorised in the same country as the fund. For</w:t>
      </w:r>
      <w:r>
        <w:t xml:space="preserve"> </w:t>
      </w:r>
      <w:r>
        <w:t xml:space="preserve">AIFMs, the adoption of this regime was accompanied by a transitional period that lasted until</w:t>
      </w:r>
      <w:r>
        <w:t xml:space="preserve"> </w:t>
      </w:r>
      <w:r>
        <w:t xml:space="preserve">July 2017, during which the competent authorities of the home Member State of an AIF could</w:t>
      </w:r>
      <w:r>
        <w:t xml:space="preserve"> </w:t>
      </w:r>
      <w:r>
        <w:t xml:space="preserve">allow the appointment of a depositary established in another Member State.476 Several</w:t>
      </w:r>
      <w:r>
        <w:t xml:space="preserve"> </w:t>
      </w:r>
      <w:r>
        <w:t xml:space="preserve">competent authorities made use of this possibility to avoid a market concentration, which could</w:t>
      </w:r>
      <w:r>
        <w:t xml:space="preserve"> </w:t>
      </w:r>
      <w:r>
        <w:t xml:space="preserve">pose risks to the financial stability in the concerned Member States.</w:t>
      </w:r>
      <w:r>
        <w:br/>
      </w:r>
      <w:r>
        <w:t xml:space="preserve">The end of the transitional period caused difficulties for many UCITS and AIFs in smaller</w:t>
      </w:r>
      <w:r>
        <w:t xml:space="preserve"> </w:t>
      </w:r>
      <w:r>
        <w:t xml:space="preserve">markets where there was still a lack of supply of depositary services, mainly due to some</w:t>
      </w:r>
      <w:r>
        <w:t xml:space="preserve"> </w:t>
      </w:r>
      <w:r>
        <w:t xml:space="preserve">Member States having an extremely concentrated depositary market. Notably, in one Member</w:t>
      </w:r>
      <w:r>
        <w:t xml:space="preserve"> </w:t>
      </w:r>
      <w:r>
        <w:t xml:space="preserve">State two depositaries hold over 40% of the financial instruments and four depositaries hold</w:t>
      </w:r>
      <w:r>
        <w:t xml:space="preserve"> </w:t>
      </w:r>
      <w:r>
        <w:t xml:space="preserve">70% of the financial instruments. In another Member State, only three depositaries offer their</w:t>
      </w:r>
      <w:r>
        <w:t xml:space="preserve"> </w:t>
      </w:r>
      <w:r>
        <w:t xml:space="preserve">services.</w:t>
      </w:r>
      <w:r>
        <w:br/>
      </w:r>
      <w:r>
        <w:t xml:space="preserve">To address the challenges faced by certain Member States in ensuring an adequate supply of</w:t>
      </w:r>
      <w:r>
        <w:t xml:space="preserve"> </w:t>
      </w:r>
      <w:r>
        <w:t xml:space="preserve">depositary services, the co-legislators recently amended AIFMD to introduce a derogation</w:t>
      </w:r>
      <w:r>
        <w:t xml:space="preserve"> </w:t>
      </w:r>
      <w:r>
        <w:t xml:space="preserve">allowing certain AIFMs to appoint a depositary in a Member State other than the Member State</w:t>
      </w:r>
      <w:r>
        <w:t xml:space="preserve"> </w:t>
      </w:r>
      <w:r>
        <w:t xml:space="preserve">of the AIF.477 Such an appointment is subject to number of conditions:</w:t>
      </w:r>
      <w:r>
        <w:br/>
      </w:r>
      <w:r>
        <w:t xml:space="preserve"> that the competent authorities have received a reasoned request from an AIFM</w:t>
      </w:r>
      <w:r>
        <w:t xml:space="preserve"> </w:t>
      </w:r>
      <w:r>
        <w:t xml:space="preserve">demonstrating the lack of depositary services in the home Member State of the AIF;</w:t>
      </w:r>
      <w:r>
        <w:t xml:space="preserve"> </w:t>
      </w:r>
      <w:r>
        <w:t xml:space="preserve"> the aggregate amount in the national depositary market of the home Member State of</w:t>
      </w:r>
      <w:r>
        <w:t xml:space="preserve"> </w:t>
      </w:r>
      <w:r>
        <w:t xml:space="preserve">the AIF of assets entrusted for safekeeping on behalf of EU AIFs authorised or</w:t>
      </w:r>
      <w:r>
        <w:t xml:space="preserve"> </w:t>
      </w:r>
      <w:r>
        <w:t xml:space="preserve">registered managed by an EU AIFM does not exceed EUR 50 billion; and</w:t>
      </w:r>
      <w:r>
        <w:t xml:space="preserve"> </w:t>
      </w:r>
      <w:r>
        <w:t xml:space="preserve"> the Member State of the AIF has decided to allow the appointment of a depositary in</w:t>
      </w:r>
      <w:r>
        <w:t xml:space="preserve"> </w:t>
      </w:r>
      <w:r>
        <w:t xml:space="preserve">other Member States.</w:t>
      </w:r>
      <w:r>
        <w:t xml:space="preserve"> </w:t>
      </w:r>
      <w:r>
        <w:t xml:space="preserve">Even when the above-mentioned conditions are fulfilled, national authorities may still refuse</w:t>
      </w:r>
      <w:r>
        <w:t xml:space="preserve"> </w:t>
      </w:r>
      <w:r>
        <w:t xml:space="preserve">the appointment of a depositary located in another Member State, based solely on their</w:t>
      </w:r>
      <w:r>
        <w:t xml:space="preserve"> </w:t>
      </w:r>
      <w:r>
        <w:t xml:space="preserve">assessment that adequate depositary services are already available domestically, without being</w:t>
      </w:r>
      <w:r>
        <w:t xml:space="preserve"> </w:t>
      </w:r>
      <w:r>
        <w:t xml:space="preserve">required to provide justification or supporting evidence.</w:t>
      </w:r>
      <w:r>
        <w:t xml:space="preserve"> </w:t>
      </w:r>
      <w:r>
        <w:t xml:space="preserve">First, while the new rules introduce the possibility for cross-border provision of depositary</w:t>
      </w:r>
      <w:r>
        <w:t xml:space="preserve"> </w:t>
      </w:r>
      <w:r>
        <w:t xml:space="preserve">services for AIFs, the EUR 50 billion threshold significantly limits their application to only a</w:t>
      </w:r>
      <w:r>
        <w:t xml:space="preserve"> </w:t>
      </w:r>
      <w:r>
        <w:t xml:space="preserve">few Member States. Second, as EU financial markets evolve, several Member States currently</w:t>
      </w:r>
      <w:r>
        <w:t xml:space="preserve"> </w:t>
      </w:r>
      <w:r>
        <w:t xml:space="preserve">below the threshold may soon exceed it, potentially losing access to cross-border depositary</w:t>
      </w:r>
    </w:p>
    <w:p>
      <w:pPr>
        <w:pStyle w:val="BodyText"/>
      </w:pPr>
      <w:r>
        <w:t xml:space="preserve">476 Article 61(5) of AIFMD.</w:t>
      </w:r>
      <w:r>
        <w:t xml:space="preserve"> </w:t>
      </w:r>
      <w:r>
        <w:t xml:space="preserve">477 Article 21(5a) of AIFMD, introduced by Directive (EU) 2024/927.</w:t>
      </w:r>
    </w:p>
    <w:p>
      <w:pPr>
        <w:pStyle w:val="BodyText"/>
      </w:pPr>
      <w:r>
        <w:t xml:space="preserve">297</w:t>
      </w:r>
      <w:r>
        <w:t xml:space="preserve"> </w:t>
      </w:r>
      <w:r>
        <w:t xml:space="preserve">services shortly after the rules come into effect. Third, allowing Member States to decide</w:t>
      </w:r>
      <w:r>
        <w:t xml:space="preserve"> </w:t>
      </w:r>
      <w:r>
        <w:t xml:space="preserve">whether to permit the appointment of a depositary in another Member State, even when the</w:t>
      </w:r>
      <w:r>
        <w:t xml:space="preserve"> </w:t>
      </w:r>
      <w:r>
        <w:t xml:space="preserve">economic conditions are met, adds further fragmentation and undermines the creation of a truly</w:t>
      </w:r>
      <w:r>
        <w:t xml:space="preserve"> </w:t>
      </w:r>
      <w:r>
        <w:t xml:space="preserve">integrated single market for AIFs, AIFMs and depositaries.</w:t>
      </w:r>
      <w:r>
        <w:t xml:space="preserve"> </w:t>
      </w:r>
      <w:r>
        <w:t xml:space="preserve">As regards the UCITS depositary regime, under the current framework, UCITS are not allowed</w:t>
      </w:r>
      <w:r>
        <w:t xml:space="preserve"> </w:t>
      </w:r>
      <w:r>
        <w:t xml:space="preserve">to appoint a depositary in a Member State other than the home Member State of the UCITS.</w:t>
      </w:r>
      <w:r>
        <w:t xml:space="preserve"> </w:t>
      </w:r>
      <w:r>
        <w:t xml:space="preserve">While this requirement was initially introduced to ensure strong regulatory oversight and</w:t>
      </w:r>
      <w:r>
        <w:t xml:space="preserve"> </w:t>
      </w:r>
      <w:r>
        <w:t xml:space="preserve">investor protection, it presents several challenges that negatively affect the functioning and</w:t>
      </w:r>
      <w:r>
        <w:t xml:space="preserve"> </w:t>
      </w:r>
      <w:r>
        <w:t xml:space="preserve">competitiveness of the UCITS market across the EU.</w:t>
      </w:r>
      <w:r>
        <w:br/>
      </w:r>
      <w:r>
        <w:t xml:space="preserve">One public sector stakeholder replied to the targeted consultation that the AIFMD and UCITSD</w:t>
      </w:r>
      <w:r>
        <w:t xml:space="preserve"> </w:t>
      </w:r>
      <w:r>
        <w:t xml:space="preserve">should be revised to ensure authorised depositaries are allowed to provide depositary services</w:t>
      </w:r>
      <w:r>
        <w:t xml:space="preserve"> </w:t>
      </w:r>
      <w:r>
        <w:t xml:space="preserve">without restrictions across the EU. In their view, the recent amendments to the AIFMD</w:t>
      </w:r>
      <w:r>
        <w:t xml:space="preserve"> </w:t>
      </w:r>
      <w:r>
        <w:t xml:space="preserve">introduce too many conditions for allowing the appointment of a depositary in another Member</w:t>
      </w:r>
      <w:r>
        <w:t xml:space="preserve"> </w:t>
      </w:r>
      <w:r>
        <w:t xml:space="preserve">State and consider those conditions “restrictive and protectionist for no apparent reason.” In</w:t>
      </w:r>
      <w:r>
        <w:t xml:space="preserve"> </w:t>
      </w:r>
      <w:r>
        <w:t xml:space="preserve">addition, a large asset manager marketing UCITS in 16 Member States and AIFs in 18 Member</w:t>
      </w:r>
      <w:r>
        <w:t xml:space="preserve"> </w:t>
      </w:r>
      <w:r>
        <w:t xml:space="preserve">States supports the development of a European passport for depositaries and reported that</w:t>
      </w:r>
      <w:r>
        <w:t xml:space="preserve"> </w:t>
      </w:r>
      <w:r>
        <w:t xml:space="preserve">recognising a depositary established in another Member State should be allowed.</w:t>
      </w:r>
      <w:r>
        <w:t xml:space="preserve"> </w:t>
      </w:r>
      <w:r>
        <w:t xml:space="preserve">In particular, Member States with a limited number of licensed depositaries often face</w:t>
      </w:r>
      <w:r>
        <w:t xml:space="preserve"> </w:t>
      </w:r>
      <w:r>
        <w:t xml:space="preserve">difficulties in ensuring a sufficient and competitive supply of depositary services. This lack of</w:t>
      </w:r>
      <w:r>
        <w:t xml:space="preserve"> </w:t>
      </w:r>
      <w:r>
        <w:t xml:space="preserve">competition can result in higher fees for UCITS and AIFs, lower service quality, and reduced</w:t>
      </w:r>
      <w:r>
        <w:t xml:space="preserve"> </w:t>
      </w:r>
      <w:r>
        <w:t xml:space="preserve">operational efficiency, ultimately harming investors through increased costs and diminished</w:t>
      </w:r>
      <w:r>
        <w:t xml:space="preserve"> </w:t>
      </w:r>
      <w:r>
        <w:t xml:space="preserve">returns.</w:t>
      </w:r>
      <w:r>
        <w:t xml:space="preserve"> </w:t>
      </w:r>
      <w:r>
        <w:t xml:space="preserve">Moreover, this limitation acts as a barrier to market entry and growth, discouraging fund</w:t>
      </w:r>
      <w:r>
        <w:t xml:space="preserve"> </w:t>
      </w:r>
      <w:r>
        <w:t xml:space="preserve">promoters from establishing UCITS and AIFs in Member States where the depositary market</w:t>
      </w:r>
      <w:r>
        <w:t xml:space="preserve"> </w:t>
      </w:r>
      <w:r>
        <w:t xml:space="preserve">is underdeveloped. This contributes to a concentration of UCITS and AIFs in a few Member</w:t>
      </w:r>
      <w:r>
        <w:t xml:space="preserve"> </w:t>
      </w:r>
      <w:r>
        <w:t xml:space="preserve">States with large and mature financial sectors, while limiting the development of the fund</w:t>
      </w:r>
      <w:r>
        <w:t xml:space="preserve"> </w:t>
      </w:r>
      <w:r>
        <w:t xml:space="preserve">industry in others. As a result, the rule undermines the objectives of the single market by</w:t>
      </w:r>
      <w:r>
        <w:t xml:space="preserve"> </w:t>
      </w:r>
      <w:r>
        <w:t xml:space="preserve">perpetuating geographic disparities and hindering the integration of EU financial markets.</w:t>
      </w:r>
      <w:r>
        <w:t xml:space="preserve"> </w:t>
      </w:r>
      <w:r>
        <w:t xml:space="preserve">The inability of UCITS and the limited ability for AIFs to appoint a depositary in another</w:t>
      </w:r>
      <w:r>
        <w:t xml:space="preserve"> </w:t>
      </w:r>
      <w:r>
        <w:t xml:space="preserve">Member State also creates regulatory fragmentation within the single market. It prevents funds</w:t>
      </w:r>
      <w:r>
        <w:t xml:space="preserve"> </w:t>
      </w:r>
      <w:r>
        <w:t xml:space="preserve">from benefiting from cross-border efficiencies and accessing potentially more competitive or</w:t>
      </w:r>
      <w:r>
        <w:t xml:space="preserve"> </w:t>
      </w:r>
      <w:r>
        <w:t xml:space="preserve">specialised depositary services available elsewhere in the EU. This constraint is increasingly at</w:t>
      </w:r>
      <w:r>
        <w:t xml:space="preserve"> </w:t>
      </w:r>
      <w:r>
        <w:t xml:space="preserve">odds with the promotion of the freedom to provide services.</w:t>
      </w:r>
      <w:r>
        <w:t xml:space="preserve"> </w:t>
      </w:r>
      <w:r>
        <w:t xml:space="preserve">For smaller Member States in particular, the domestic supply of depositary services may be</w:t>
      </w:r>
      <w:r>
        <w:t xml:space="preserve"> </w:t>
      </w:r>
      <w:r>
        <w:t xml:space="preserve">insufficient to support a growing or diverse investment fund sector. In some cases, the volume</w:t>
      </w:r>
      <w:r>
        <w:t xml:space="preserve"> </w:t>
      </w:r>
      <w:r>
        <w:t xml:space="preserve">of activity is too low to attract multiple providers, which can result in over-reliance on one or</w:t>
      </w:r>
      <w:r>
        <w:t xml:space="preserve"> </w:t>
      </w:r>
      <w:r>
        <w:t xml:space="preserve">two institutions. This not only restricts competition but also raises concerns about financial</w:t>
      </w:r>
      <w:r>
        <w:t xml:space="preserve"> </w:t>
      </w:r>
      <w:r>
        <w:t xml:space="preserve">resilience and systemic risk.</w:t>
      </w:r>
      <w:r>
        <w:t xml:space="preserve"> </w:t>
      </w:r>
      <w:r>
        <w:t xml:space="preserve">Finally, the requirement to appoint a depositary in the same Member State as the UCITS or AIF</w:t>
      </w:r>
      <w:r>
        <w:t xml:space="preserve"> </w:t>
      </w:r>
      <w:r>
        <w:t xml:space="preserve">no longer fully reflects technological progress, as depositary functions (e.g. safekeeping,</w:t>
      </w:r>
      <w:r>
        <w:t xml:space="preserve"> </w:t>
      </w:r>
      <w:r>
        <w:t xml:space="preserve">oversight, and record-keeping) can increasingly be performed efficiently across borders</w:t>
      </w:r>
      <w:r>
        <w:t xml:space="preserve"> </w:t>
      </w:r>
      <w:r>
        <w:t xml:space="preserve">without the need for a physical presence in the same jurisdiction. Modern communication and</w:t>
      </w:r>
      <w:r>
        <w:t xml:space="preserve"> </w:t>
      </w:r>
      <w:r>
        <w:t xml:space="preserve">supervisory technologies facilitate the provision and monitoring of these services, suggesting</w:t>
      </w:r>
    </w:p>
    <w:p>
      <w:pPr>
        <w:pStyle w:val="BodyText"/>
      </w:pPr>
      <w:r>
        <w:t xml:space="preserve">298</w:t>
      </w:r>
      <w:r>
        <w:t xml:space="preserve"> </w:t>
      </w:r>
      <w:r>
        <w:t xml:space="preserve">that the current rule may impose unnecessary restrictions on cross-border integration of the EU</w:t>
      </w:r>
      <w:r>
        <w:t xml:space="preserve"> </w:t>
      </w:r>
      <w:r>
        <w:t xml:space="preserve">fund market.</w:t>
      </w:r>
      <w:r>
        <w:t xml:space="preserve"> </w:t>
      </w:r>
      <w:r>
        <w:t xml:space="preserve">3.4. BARRIERS TO CROSS-BORDER ACTIVITIES FOR ASSET MANAGERS</w:t>
      </w:r>
      <w:r>
        <w:br/>
      </w:r>
      <w:r>
        <w:t xml:space="preserve">The current regulatory framework under UCITSD and AIFMD does not recognise the group</w:t>
      </w:r>
      <w:r>
        <w:t xml:space="preserve"> </w:t>
      </w:r>
      <w:r>
        <w:t xml:space="preserve">dimension. Asset management groups operate based on authorisations of individual asset</w:t>
      </w:r>
      <w:r>
        <w:t xml:space="preserve"> </w:t>
      </w:r>
      <w:r>
        <w:t xml:space="preserve">management companies, with organisational requirements being met at the level of each</w:t>
      </w:r>
      <w:r>
        <w:t xml:space="preserve"> </w:t>
      </w:r>
      <w:r>
        <w:t xml:space="preserve">individual management company.</w:t>
      </w:r>
      <w:r>
        <w:br/>
      </w:r>
      <w:r>
        <w:t xml:space="preserve">First, when functions of a management company are delegated to another entity within the</w:t>
      </w:r>
      <w:r>
        <w:t xml:space="preserve"> </w:t>
      </w:r>
      <w:r>
        <w:t xml:space="preserve">same group, the delegating entity remains subject to the same stringent requirements that apply</w:t>
      </w:r>
      <w:r>
        <w:t xml:space="preserve"> </w:t>
      </w:r>
      <w:r>
        <w:t xml:space="preserve">to a delegation to a third party (e.g. due-diligences, monitoring, resource requirements). This</w:t>
      </w:r>
      <w:r>
        <w:t xml:space="preserve"> </w:t>
      </w:r>
      <w:r>
        <w:t xml:space="preserve">can be disproportionate and inefficient in cases where the delegate is another EU authorised</w:t>
      </w:r>
      <w:r>
        <w:t xml:space="preserve"> </w:t>
      </w:r>
      <w:r>
        <w:t xml:space="preserve">asset manager within the same group, placed under the supervision of an NCA. Several</w:t>
      </w:r>
      <w:r>
        <w:t xml:space="preserve"> </w:t>
      </w:r>
      <w:r>
        <w:t xml:space="preserve">respondents to the consultation (asset managers and professional associations) also indicated</w:t>
      </w:r>
      <w:r>
        <w:t xml:space="preserve"> </w:t>
      </w:r>
      <w:r>
        <w:t xml:space="preserve">that the obligation to maintain effective oversight of delegated functions in EU intra-group</w:t>
      </w:r>
      <w:r>
        <w:t xml:space="preserve"> </w:t>
      </w:r>
      <w:r>
        <w:t xml:space="preserve">delegation constitutes the main obstacle to the consolidation of the functions of asset-</w:t>
      </w:r>
      <w:r>
        <w:t xml:space="preserve"> </w:t>
      </w:r>
      <w:r>
        <w:t xml:space="preserve">management groups in the EU. One large asset manager, which is authorised in four Member</w:t>
      </w:r>
      <w:r>
        <w:t xml:space="preserve"> </w:t>
      </w:r>
      <w:r>
        <w:t xml:space="preserve">States and has branches in seven Member States noted, in its response to the consultation, that</w:t>
      </w:r>
      <w:r>
        <w:t xml:space="preserve"> </w:t>
      </w:r>
      <w:r>
        <w:t xml:space="preserve">it sees merit in recognising the notion of asset management group in the specific case of intra-</w:t>
      </w:r>
      <w:r>
        <w:t xml:space="preserve"> </w:t>
      </w:r>
      <w:r>
        <w:t xml:space="preserve">group delegation arrangements to avoid duplication of reporting, including to the same NCA.</w:t>
      </w:r>
      <w:r>
        <w:t xml:space="preserve"> </w:t>
      </w:r>
      <w:r>
        <w:t xml:space="preserve">It noted that reporting just once, instead of twice on the exact same things would substantially</w:t>
      </w:r>
      <w:r>
        <w:t xml:space="preserve"> </w:t>
      </w:r>
      <w:r>
        <w:t xml:space="preserve">alleviate the regulatory burden.</w:t>
      </w:r>
      <w:r>
        <w:br/>
      </w:r>
      <w:r>
        <w:t xml:space="preserve">Second, although the AIFMD and UCITSD frameworks have introduced harmonised rules for</w:t>
      </w:r>
      <w:r>
        <w:t xml:space="preserve"> </w:t>
      </w:r>
      <w:r>
        <w:t xml:space="preserve">the authorisation of AIFMs and UCITS management companies, as well as for the information</w:t>
      </w:r>
      <w:r>
        <w:t xml:space="preserve"> </w:t>
      </w:r>
      <w:r>
        <w:t xml:space="preserve">to be submitted to national competent authorities, divergent national practices in the</w:t>
      </w:r>
      <w:r>
        <w:t xml:space="preserve"> </w:t>
      </w:r>
      <w:r>
        <w:t xml:space="preserve">authorisation process continue to persist. 82% of respondents to the Commission’s consultation</w:t>
      </w:r>
      <w:r>
        <w:t xml:space="preserve"> </w:t>
      </w:r>
      <w:r>
        <w:t xml:space="preserve">(asset managers and professional associations) mentioned they face differing authorisation</w:t>
      </w:r>
      <w:r>
        <w:t xml:space="preserve"> </w:t>
      </w:r>
      <w:r>
        <w:t xml:space="preserve">processes and interpretations of key concepts by NCAs. The issue is particularly acute for</w:t>
      </w:r>
      <w:r>
        <w:t xml:space="preserve"> </w:t>
      </w:r>
      <w:r>
        <w:t xml:space="preserve">groups of asset management companies with subsidiaries in several Member States, as they</w:t>
      </w:r>
      <w:r>
        <w:t xml:space="preserve"> </w:t>
      </w:r>
      <w:r>
        <w:t xml:space="preserve">must comply with multiple diverging requirements, authorisation processes and regulatory</w:t>
      </w:r>
      <w:r>
        <w:t xml:space="preserve"> </w:t>
      </w:r>
      <w:r>
        <w:t xml:space="preserve">interpretations when establishing operations across the EU. It also affects the ability of AIFMs</w:t>
      </w:r>
      <w:r>
        <w:t xml:space="preserve"> </w:t>
      </w:r>
      <w:r>
        <w:t xml:space="preserve">and management companies to manage funds in Member States other than their home</w:t>
      </w:r>
      <w:r>
        <w:t xml:space="preserve"> </w:t>
      </w:r>
      <w:r>
        <w:t xml:space="preserve">jurisdiction, since they must navigate additional requirements, procedures, and disclosures</w:t>
      </w:r>
      <w:r>
        <w:t xml:space="preserve"> </w:t>
      </w:r>
      <w:r>
        <w:t xml:space="preserve">imposed by host authorities, which may diverge from those applicable in their home Member</w:t>
      </w:r>
      <w:r>
        <w:t xml:space="preserve"> </w:t>
      </w:r>
      <w:r>
        <w:t xml:space="preserve">State. These inconsistencies complicate cross-border operations and hinder the functioning of</w:t>
      </w:r>
      <w:r>
        <w:t xml:space="preserve"> </w:t>
      </w:r>
      <w:r>
        <w:t xml:space="preserve">the management passport, leading most respondents to call for greater harmonisation.</w:t>
      </w:r>
      <w:r>
        <w:t xml:space="preserve"> </w:t>
      </w:r>
      <w:r>
        <w:t xml:space="preserve">Third, the AIFMD and UCITSD frameworks follow a minimum harmonisation approach,</w:t>
      </w:r>
      <w:r>
        <w:t xml:space="preserve"> </w:t>
      </w:r>
      <w:r>
        <w:t xml:space="preserve">meaning that they set only a baseline of rules and allow Member States significant discretion</w:t>
      </w:r>
      <w:r>
        <w:t xml:space="preserve"> </w:t>
      </w:r>
      <w:r>
        <w:t xml:space="preserve">in transposing and implementing the provisions. These national discretions vary in form and</w:t>
      </w:r>
      <w:r>
        <w:t xml:space="preserve"> </w:t>
      </w:r>
      <w:r>
        <w:t xml:space="preserve">impact. In many instances, Member States are permitted to authorise or restrict certain activities</w:t>
      </w:r>
      <w:r>
        <w:t xml:space="preserve"> </w:t>
      </w:r>
      <w:r>
        <w:t xml:space="preserve">by AIFMs and UCITS beyond the minimum requirements set by EU law. For example, the</w:t>
      </w:r>
      <w:r>
        <w:t xml:space="preserve"> </w:t>
      </w:r>
      <w:r>
        <w:t xml:space="preserve">Directives allow Member States to permit or prohibit AIFMs and UCITS management</w:t>
      </w:r>
      <w:r>
        <w:t xml:space="preserve"> </w:t>
      </w:r>
      <w:r>
        <w:t xml:space="preserve">companies from carrying out certain ancillary services or set out an open list of reporting or</w:t>
      </w:r>
      <w:r>
        <w:t xml:space="preserve"> </w:t>
      </w:r>
      <w:r>
        <w:t xml:space="preserve">disclosure requirements, allowing Member States to require additional information beyond</w:t>
      </w:r>
      <w:r>
        <w:t xml:space="preserve"> </w:t>
      </w:r>
      <w:r>
        <w:t xml:space="preserve">what is mandated at the EU level. Similarly, under the UCITSD, Member States can allow</w:t>
      </w:r>
    </w:p>
    <w:p>
      <w:pPr>
        <w:pStyle w:val="BodyText"/>
      </w:pPr>
      <w:r>
        <w:t xml:space="preserve">299</w:t>
      </w:r>
      <w:r>
        <w:t xml:space="preserve"> </w:t>
      </w:r>
      <w:r>
        <w:t xml:space="preserve">UCITS to exceed investment and diversification limits, leading to divergent portfolio rules</w:t>
      </w:r>
      <w:r>
        <w:t xml:space="preserve"> </w:t>
      </w:r>
      <w:r>
        <w:t xml:space="preserve">across jurisdictions.</w:t>
      </w:r>
      <w:r>
        <w:t xml:space="preserve"> </w:t>
      </w:r>
      <w:r>
        <w:t xml:space="preserve">Such regulatory flexibility results in significant disparities in the legal and operational</w:t>
      </w:r>
      <w:r>
        <w:t xml:space="preserve"> </w:t>
      </w:r>
      <w:r>
        <w:t xml:space="preserve">conditions applicable to asset managers and investment funds across the EU. Particularly, fund</w:t>
      </w:r>
      <w:r>
        <w:t xml:space="preserve"> </w:t>
      </w:r>
      <w:r>
        <w:t xml:space="preserve">managers operating cross-border and asset management groups are confronted with a complex</w:t>
      </w:r>
      <w:r>
        <w:t xml:space="preserve"> </w:t>
      </w:r>
      <w:r>
        <w:t xml:space="preserve">patchwork of national rules, creating legal uncertainty, increasing compliance burdens, and</w:t>
      </w:r>
      <w:r>
        <w:t xml:space="preserve"> </w:t>
      </w:r>
      <w:r>
        <w:t xml:space="preserve">discouraging cross-border scalability. For example, a management company managing UCITS</w:t>
      </w:r>
      <w:r>
        <w:t xml:space="preserve"> </w:t>
      </w:r>
      <w:r>
        <w:t xml:space="preserve">across multiple Member States must ensure that each fund complies with the investment and</w:t>
      </w:r>
      <w:r>
        <w:t xml:space="preserve"> </w:t>
      </w:r>
      <w:r>
        <w:t xml:space="preserve">diversification limits as implemented in each jurisdiction, significantly increasing the</w:t>
      </w:r>
      <w:r>
        <w:t xml:space="preserve"> </w:t>
      </w:r>
      <w:r>
        <w:t xml:space="preserve">operational burden and costs of cross-border activities. Similarly, asset management groups</w:t>
      </w:r>
      <w:r>
        <w:t xml:space="preserve"> </w:t>
      </w:r>
      <w:r>
        <w:t xml:space="preserve">with subsidiaries in multiple Member States must navigate varying disclosure and reporting</w:t>
      </w:r>
      <w:r>
        <w:t xml:space="preserve"> </w:t>
      </w:r>
      <w:r>
        <w:t xml:space="preserve">requirements, as well as differing rules on whether ancillary services may be performed and</w:t>
      </w:r>
      <w:r>
        <w:t xml:space="preserve"> </w:t>
      </w:r>
      <w:r>
        <w:t xml:space="preserve">must adapt their IT systems to the specificities of each Member State in which they operate.</w:t>
      </w:r>
      <w:r>
        <w:t xml:space="preserve"> </w:t>
      </w:r>
      <w:r>
        <w:t xml:space="preserve">Stakeholders have consistently highlighted that divergent national practices and interpretations</w:t>
      </w:r>
      <w:r>
        <w:t xml:space="preserve"> </w:t>
      </w:r>
      <w:r>
        <w:t xml:space="preserve">hinder fund managers’ ability to operate cross-border and increase operational complexity, as</w:t>
      </w:r>
      <w:r>
        <w:t xml:space="preserve"> </w:t>
      </w:r>
      <w:r>
        <w:t xml:space="preserve">they must comply not only with the rules of their home Member State but also with host</w:t>
      </w:r>
      <w:r>
        <w:t xml:space="preserve"> </w:t>
      </w:r>
      <w:r>
        <w:t xml:space="preserve">Member States’ requirements, which often diverge due to the flexibility allowed under UCITS</w:t>
      </w:r>
      <w:r>
        <w:t xml:space="preserve"> </w:t>
      </w:r>
      <w:r>
        <w:t xml:space="preserve">and AIFMD. This fragmented landscape particularly affects smaller and newer fund managers</w:t>
      </w:r>
      <w:r>
        <w:t xml:space="preserve"> </w:t>
      </w:r>
      <w:r>
        <w:t xml:space="preserve">who may lack the resources to adapt to different regulatory regimes, effectively limiting their</w:t>
      </w:r>
      <w:r>
        <w:t xml:space="preserve"> </w:t>
      </w:r>
      <w:r>
        <w:t xml:space="preserve">ability to expand their operations beyond their domestic markets.</w:t>
      </w:r>
      <w:r>
        <w:t xml:space="preserve"> </w:t>
      </w:r>
      <w:r>
        <w:t xml:space="preserve">Moreover, regulatory divergence complicates supervisory cooperation between home and host</w:t>
      </w:r>
      <w:r>
        <w:t xml:space="preserve"> </w:t>
      </w:r>
      <w:r>
        <w:t xml:space="preserve">Member States and weakens the overall coherence of the EU framework. It undermines the</w:t>
      </w:r>
      <w:r>
        <w:t xml:space="preserve"> </w:t>
      </w:r>
      <w:r>
        <w:t xml:space="preserve">level playing field among funds and asset managers and creates inefficiencies for both market</w:t>
      </w:r>
      <w:r>
        <w:t xml:space="preserve"> </w:t>
      </w:r>
      <w:r>
        <w:t xml:space="preserve">participants and national competent authorities. Investors, too, may face inconsistent levels of</w:t>
      </w:r>
      <w:r>
        <w:t xml:space="preserve"> </w:t>
      </w:r>
      <w:r>
        <w:t xml:space="preserve">investor protection depending on the jurisdiction in which a fund and/or its manager are</w:t>
      </w:r>
      <w:r>
        <w:t xml:space="preserve"> </w:t>
      </w:r>
      <w:r>
        <w:t xml:space="preserve">domiciled or marketed. To illustrate the extent of the issue, the Commission has identified at</w:t>
      </w:r>
      <w:r>
        <w:t xml:space="preserve"> </w:t>
      </w:r>
      <w:r>
        <w:t xml:space="preserve">least 20 instances of national discretion in the AIFMD and UCITSD frameworks, which</w:t>
      </w:r>
      <w:r>
        <w:t xml:space="preserve"> </w:t>
      </w:r>
      <w:r>
        <w:t xml:space="preserve">contribute to inconsistent national practices, increase regulatory fragmentation, and create</w:t>
      </w:r>
      <w:r>
        <w:t xml:space="preserve"> </w:t>
      </w:r>
      <w:r>
        <w:t xml:space="preserve">unnecessary barriers to cross-border activity within the internal market. Appendix A provides</w:t>
      </w:r>
      <w:r>
        <w:t xml:space="preserve"> </w:t>
      </w:r>
      <w:r>
        <w:t xml:space="preserve">a list of relevant national discretions identified in UCITSD and AIFMD respectively.</w:t>
      </w:r>
      <w:r>
        <w:br/>
      </w:r>
      <w:r>
        <w:t xml:space="preserve">Fourth, the UCITSD requires each Member State to establish its own set of prudential rules</w:t>
      </w:r>
      <w:r>
        <w:t xml:space="preserve"> </w:t>
      </w:r>
      <w:r>
        <w:t xml:space="preserve">and rules of conduct applicable to management companies authorised within their jurisdiction</w:t>
      </w:r>
      <w:r>
        <w:t xml:space="preserve"> </w:t>
      </w:r>
      <w:r>
        <w:t xml:space="preserve">(Articles 12 and 14 UCITSD). AIFMD equally lacks a harmonised EU framework in this area.</w:t>
      </w:r>
      <w:r>
        <w:t xml:space="preserve"> </w:t>
      </w:r>
      <w:r>
        <w:t xml:space="preserve">Consequently, Member States have developed their own national rules, resulting in</w:t>
      </w:r>
      <w:r>
        <w:t xml:space="preserve"> </w:t>
      </w:r>
      <w:r>
        <w:t xml:space="preserve">considerable divergences in the regulatory and supervisory treatment of UCITS management</w:t>
      </w:r>
      <w:r>
        <w:t xml:space="preserve"> </w:t>
      </w:r>
      <w:r>
        <w:t xml:space="preserve">companies and AIFMs across the Union. This has led to national discrepancies that concern,</w:t>
      </w:r>
      <w:r>
        <w:t xml:space="preserve"> </w:t>
      </w:r>
      <w:r>
        <w:t xml:space="preserve">for example, organisational arrangements, risk management procedures or rules relating to</w:t>
      </w:r>
      <w:r>
        <w:t xml:space="preserve"> </w:t>
      </w:r>
      <w:r>
        <w:t xml:space="preserve">conflicts of interest and best execution. The problem is particularly acute for asset management</w:t>
      </w:r>
      <w:r>
        <w:t xml:space="preserve"> </w:t>
      </w:r>
      <w:r>
        <w:t xml:space="preserve">groups operating through subsidiaries in multiple Member States, as they must monitor and</w:t>
      </w:r>
      <w:r>
        <w:t xml:space="preserve"> </w:t>
      </w:r>
      <w:r>
        <w:t xml:space="preserve">comply with divergent national prudential requirements and conduct standards depending on</w:t>
      </w:r>
      <w:r>
        <w:t xml:space="preserve"> </w:t>
      </w:r>
      <w:r>
        <w:t xml:space="preserve">the jurisdiction of each subsidiary. The lack of harmonised prudential and conduct rules</w:t>
      </w:r>
      <w:r>
        <w:t xml:space="preserve"> </w:t>
      </w:r>
      <w:r>
        <w:t xml:space="preserve">undermines the goal of a uniform regulatory framework for UCITS and AIFMs, creating</w:t>
      </w:r>
      <w:r>
        <w:t xml:space="preserve"> </w:t>
      </w:r>
      <w:r>
        <w:t xml:space="preserve">market fragmentation, hindering cross-border activity, and raising costs for managers who must</w:t>
      </w:r>
      <w:r>
        <w:t xml:space="preserve"> </w:t>
      </w:r>
      <w:r>
        <w:t xml:space="preserve">adapt to varying national standards. Addressing it is essential to strengthen the integrity and</w:t>
      </w:r>
      <w:r>
        <w:t xml:space="preserve"> </w:t>
      </w:r>
      <w:r>
        <w:t xml:space="preserve">competitiveness of the market.</w:t>
      </w:r>
    </w:p>
    <w:p>
      <w:pPr>
        <w:pStyle w:val="BodyText"/>
      </w:pPr>
      <w:r>
        <w:t xml:space="preserve">300</w:t>
      </w:r>
      <w:r>
        <w:t xml:space="preserve"> </w:t>
      </w:r>
      <w:r>
        <w:t xml:space="preserve">3.5. OTHER BARRIERS TO THE GROWTH OF INVESTMENT FUNDS</w:t>
      </w:r>
      <w:r>
        <w:t xml:space="preserve"> </w:t>
      </w:r>
      <w:r>
        <w:t xml:space="preserve">The UCITSD establishes investment and diversification limits, which are designed to ensure</w:t>
      </w:r>
      <w:r>
        <w:t xml:space="preserve"> </w:t>
      </w:r>
      <w:r>
        <w:t xml:space="preserve">investor protection by promoting risk-spreading and limiting excessive exposure to any single</w:t>
      </w:r>
      <w:r>
        <w:t xml:space="preserve"> </w:t>
      </w:r>
      <w:r>
        <w:t xml:space="preserve">issuer or asset, reflecting the retail nature of the UCITS product. However, market participants</w:t>
      </w:r>
      <w:r>
        <w:t xml:space="preserve"> </w:t>
      </w:r>
      <w:r>
        <w:t xml:space="preserve">have expressed concerns that certain limits may hinder investment and the development of</w:t>
      </w:r>
      <w:r>
        <w:t xml:space="preserve"> </w:t>
      </w:r>
      <w:r>
        <w:t xml:space="preserve">specific market segments, particularly securitisations and equities held by active funds, thereby</w:t>
      </w:r>
      <w:r>
        <w:t xml:space="preserve"> </w:t>
      </w:r>
      <w:r>
        <w:t xml:space="preserve">undermining the competitiveness and growth of these segments in the EU.</w:t>
      </w:r>
      <w:r>
        <w:t xml:space="preserve"> </w:t>
      </w:r>
      <w:r>
        <w:t xml:space="preserve">First, under Article 56(2)(b) UCITSD, a UCITS may not acquire more than 10% of debt</w:t>
      </w:r>
      <w:r>
        <w:t xml:space="preserve"> </w:t>
      </w:r>
      <w:r>
        <w:t xml:space="preserve">securities from a single issuer. Intended to limit concentration in corporate debt, this rule also</w:t>
      </w:r>
      <w:r>
        <w:t xml:space="preserve"> </w:t>
      </w:r>
      <w:r>
        <w:t xml:space="preserve">affects securitisations. Most consultation respondents (72%, mainly large asset managers)</w:t>
      </w:r>
      <w:r>
        <w:t xml:space="preserve"> </w:t>
      </w:r>
      <w:r>
        <w:t xml:space="preserve">argued that the rule, which was adopted before Regulation (EU) 2017/2402, is outdated, as</w:t>
      </w:r>
      <w:r>
        <w:t xml:space="preserve"> </w:t>
      </w:r>
      <w:r>
        <w:t xml:space="preserve">securitisations are more diversified and subject to strict regulatory requirements. They stressed</w:t>
      </w:r>
      <w:r>
        <w:t xml:space="preserve"> </w:t>
      </w:r>
      <w:r>
        <w:t xml:space="preserve">that the 10% cap prevents meaningful portfolio allocations to securitisations and called for</w:t>
      </w:r>
      <w:r>
        <w:t xml:space="preserve"> </w:t>
      </w:r>
      <w:r>
        <w:t xml:space="preserve">exemptions or tailored adjustments to support competitive, diversified strategies. On the other</w:t>
      </w:r>
      <w:r>
        <w:t xml:space="preserve"> </w:t>
      </w:r>
      <w:r>
        <w:t xml:space="preserve">hand, several respondents to the consultation noted that their investments in securitisations</w:t>
      </w:r>
      <w:r>
        <w:t xml:space="preserve"> </w:t>
      </w:r>
      <w:r>
        <w:t xml:space="preserve">remain well below the 10% limit, and therefore they do not consider this restriction to be a</w:t>
      </w:r>
      <w:r>
        <w:t xml:space="preserve"> </w:t>
      </w:r>
      <w:r>
        <w:t xml:space="preserve">barrier to UCITS investing in such products. A few respondents also emphasized that UCITS</w:t>
      </w:r>
      <w:r>
        <w:t xml:space="preserve"> </w:t>
      </w:r>
      <w:r>
        <w:t xml:space="preserve">is a retail product, cautioning that greater exposure to securitisations would be inconsistent with</w:t>
      </w:r>
      <w:r>
        <w:t xml:space="preserve"> </w:t>
      </w:r>
      <w:r>
        <w:t xml:space="preserve">its retail character and could pose risks to investor protection.</w:t>
      </w:r>
      <w:r>
        <w:t xml:space="preserve"> </w:t>
      </w:r>
      <w:r>
        <w:t xml:space="preserve">Second, under the 5/10/40 rule in Article 52(2) UCITSD, as a general rule UCITS cannot invest</w:t>
      </w:r>
      <w:r>
        <w:t xml:space="preserve"> </w:t>
      </w:r>
      <w:r>
        <w:t xml:space="preserve">more than 10% in one issuer, and holdings above 5% cannot exceed 40% of assets. This seeks</w:t>
      </w:r>
      <w:r>
        <w:t xml:space="preserve"> </w:t>
      </w:r>
      <w:r>
        <w:t xml:space="preserve">to protect retail investors and prevent concentration risks. However, asset managers that</w:t>
      </w:r>
      <w:r>
        <w:t xml:space="preserve"> </w:t>
      </w:r>
      <w:r>
        <w:t xml:space="preserve">responded to the consultation noted it constrains equity fund managers in single European</w:t>
      </w:r>
      <w:r>
        <w:t xml:space="preserve"> </w:t>
      </w:r>
      <w:r>
        <w:t xml:space="preserve">markets, as they must underweight or sell outperforming companies exceeding 10% of assets.</w:t>
      </w:r>
      <w:r>
        <w:t xml:space="preserve"> </w:t>
      </w:r>
      <w:r>
        <w:t xml:space="preserve">On the contrary, passive funds replicating indices benefit from higher thresholds (20%, up to</w:t>
      </w:r>
      <w:r>
        <w:t xml:space="preserve"> </w:t>
      </w:r>
      <w:r>
        <w:t xml:space="preserve">35% under Article 53).</w:t>
      </w:r>
      <w:r>
        <w:t xml:space="preserve"> </w:t>
      </w:r>
      <w:r>
        <w:t xml:space="preserve">4. OBJECTIVES: ENABLE MARKET INTEGRATION AND SCALE EFFECTS IN CROSS-BORDER</w:t>
      </w:r>
      <w:r>
        <w:t xml:space="preserve"> </w:t>
      </w:r>
      <w:r>
        <w:t xml:space="preserve">ACTIVITIES FOR THE EU FUND MARKET VALUE CHAIN</w:t>
      </w:r>
      <w:r>
        <w:br/>
      </w:r>
      <w:r>
        <w:t xml:space="preserve">The objectives are to foster market integration and scale in the fund and asset management</w:t>
      </w:r>
      <w:r>
        <w:t xml:space="preserve"> </w:t>
      </w:r>
      <w:r>
        <w:t xml:space="preserve">sectors by enabling seamless cross-border operations. Greater competition will pressure</w:t>
      </w:r>
      <w:r>
        <w:t xml:space="preserve"> </w:t>
      </w:r>
      <w:r>
        <w:t xml:space="preserve">uncompetitive players to cut costs or exit, driving consolidation and specialisation. This should</w:t>
      </w:r>
      <w:r>
        <w:t xml:space="preserve"> </w:t>
      </w:r>
      <w:r>
        <w:t xml:space="preserve">generate scale benefits for investors while avoiding higher regulatory entry barriers, ensuring</w:t>
      </w:r>
      <w:r>
        <w:t xml:space="preserve"> </w:t>
      </w:r>
      <w:r>
        <w:t xml:space="preserve">competition remains strong and cost savings are passed on. Ultimately, the initiative seeks to</w:t>
      </w:r>
      <w:r>
        <w:t xml:space="preserve"> </w:t>
      </w:r>
      <w:r>
        <w:t xml:space="preserve">reduce costs borne by EU investors and remove barriers to sector growth and cross-border</w:t>
      </w:r>
      <w:r>
        <w:t xml:space="preserve"> </w:t>
      </w:r>
      <w:r>
        <w:t xml:space="preserve">activity.</w:t>
      </w:r>
      <w:r>
        <w:br/>
      </w:r>
      <w:r>
        <w:t xml:space="preserve">4.1. REDUCTION OF COSTS AND BURDENS STEMMING FROM THE UNNECESSARY</w:t>
      </w:r>
      <w:r>
        <w:t xml:space="preserve"> </w:t>
      </w:r>
      <w:r>
        <w:t xml:space="preserve">ADMINISTRATIVE BARRIERS</w:t>
      </w:r>
      <w:r>
        <w:br/>
      </w:r>
      <w:r>
        <w:t xml:space="preserve">Unnecessary administrative barriers continue to impose significant costs on EU asset</w:t>
      </w:r>
      <w:r>
        <w:t xml:space="preserve"> </w:t>
      </w:r>
      <w:r>
        <w:t xml:space="preserve">managers. These costs are higher particularly when funds are being marketed on a cross-border</w:t>
      </w:r>
      <w:r>
        <w:t xml:space="preserve"> </w:t>
      </w:r>
      <w:r>
        <w:t xml:space="preserve">basis. The burdens arise from persistent regulatory fragmentation, duplicative procedures,</w:t>
      </w:r>
      <w:r>
        <w:t xml:space="preserve"> </w:t>
      </w:r>
      <w:r>
        <w:t xml:space="preserve">divergent local interpretations of EU rules, and the lack of fully harmonised digital processes</w:t>
      </w:r>
      <w:r>
        <w:t xml:space="preserve"> </w:t>
      </w:r>
      <w:r>
        <w:t xml:space="preserve">among NCAs. Launching a UCITS fund still typically requires between EUR 300 000 and</w:t>
      </w:r>
      <w:r>
        <w:t xml:space="preserve"> </w:t>
      </w:r>
      <w:r>
        <w:t xml:space="preserve">EUR 500 000 in upfront costs, which among other costs comprises legal structuring,</w:t>
      </w:r>
    </w:p>
    <w:p>
      <w:pPr>
        <w:pStyle w:val="BodyText"/>
      </w:pPr>
      <w:r>
        <w:t xml:space="preserve">301</w:t>
      </w:r>
      <w:r>
        <w:t xml:space="preserve"> </w:t>
      </w:r>
      <w:r>
        <w:t xml:space="preserve">documentation, registration, and compliance with local marketing rules. The administrative</w:t>
      </w:r>
      <w:r>
        <w:t xml:space="preserve"> </w:t>
      </w:r>
      <w:r>
        <w:t xml:space="preserve">costs of registering a UCITS in one additional Member State can range from EUR 20 000 to</w:t>
      </w:r>
      <w:r>
        <w:t xml:space="preserve"> </w:t>
      </w:r>
      <w:r>
        <w:t xml:space="preserve">EUR 60 000, depending on translation, legal, and agent fees. For an EU AIFM, depending on</w:t>
      </w:r>
      <w:r>
        <w:t xml:space="preserve"> </w:t>
      </w:r>
      <w:r>
        <w:t xml:space="preserve">the Member State in question, the size and the intended investment and the marketing strategy,</w:t>
      </w:r>
      <w:r>
        <w:t xml:space="preserve"> </w:t>
      </w:r>
      <w:r>
        <w:t xml:space="preserve">the AIFMD authorisation costs can exceed EUR 750 000.478</w:t>
      </w:r>
      <w:r>
        <w:br/>
      </w:r>
      <w:r>
        <w:t xml:space="preserve">Taking account of pre-authorisation discussions with NCAs, the average time-to-market for a</w:t>
      </w:r>
      <w:r>
        <w:t xml:space="preserve"> </w:t>
      </w:r>
      <w:r>
        <w:t xml:space="preserve">UCITS fund on a cross-border basis is estimated at 4 to 6 months (with reports of much longer</w:t>
      </w:r>
      <w:r>
        <w:t xml:space="preserve"> </w:t>
      </w:r>
      <w:r>
        <w:t xml:space="preserve">timelines), while for an EU AIF it ranges from 6 to 12 months, particularly when marketed to</w:t>
      </w:r>
      <w:r>
        <w:t xml:space="preserve"> </w:t>
      </w:r>
      <w:r>
        <w:t xml:space="preserve">retail or semi-professional investors in jurisdictions with stricter local rules.479</w:t>
      </w:r>
      <w:r>
        <w:br/>
      </w:r>
      <w:r>
        <w:t xml:space="preserve">The costs borne by investors reflect all these factors. For instance, US mutual funds</w:t>
      </w:r>
      <w:r>
        <w:t xml:space="preserve"> </w:t>
      </w:r>
      <w:r>
        <w:t xml:space="preserve">demonstrate significantly lower asset-weighted average product costs—0.65% for active funds</w:t>
      </w:r>
      <w:r>
        <w:t xml:space="preserve"> </w:t>
      </w:r>
      <w:r>
        <w:t xml:space="preserve">and 0.05% for index equity funds—compared to UCITS.480 ESMA showed that the total costs</w:t>
      </w:r>
      <w:r>
        <w:t xml:space="preserve"> </w:t>
      </w:r>
      <w:r>
        <w:t xml:space="preserve">of smaller equity, bond and mixed funds are higher by respectively 14%, 27% and 17% than</w:t>
      </w:r>
      <w:r>
        <w:t xml:space="preserve"> </w:t>
      </w:r>
      <w:r>
        <w:t xml:space="preserve">the total costs of larger funds. This is aggravated by the size of the management company.</w:t>
      </w:r>
      <w:r>
        <w:t xml:space="preserve"> </w:t>
      </w:r>
      <w:r>
        <w:t xml:space="preserve">Coupled with the fragmentation due to distinct national requirements described earlier, this also</w:t>
      </w:r>
      <w:r>
        <w:t xml:space="preserve"> </w:t>
      </w:r>
      <w:r>
        <w:t xml:space="preserve">results in significant heterogeneity in the costs borne by investors for the same product across</w:t>
      </w:r>
      <w:r>
        <w:t xml:space="preserve"> </w:t>
      </w:r>
      <w:r>
        <w:t xml:space="preserve">Member States, which provides an indication of the benefits that further market integration</w:t>
      </w:r>
      <w:r>
        <w:t xml:space="preserve"> </w:t>
      </w:r>
      <w:r>
        <w:t xml:space="preserve">could bring.</w:t>
      </w:r>
      <w:r>
        <w:t xml:space="preserve"> </w:t>
      </w:r>
      <w:r>
        <w:t xml:space="preserve">Graph 5: Ongoing costs of investing in funds across Member States481</w:t>
      </w:r>
      <w:r>
        <w:t xml:space="preserve"> </w:t>
      </w:r>
      <w:r>
        <w:t xml:space="preserve">Ongoing costs across countries - UCITS</w:t>
      </w:r>
      <w:r>
        <w:t xml:space="preserve"> </w:t>
      </w:r>
      <w:r>
        <w:t xml:space="preserve">Significant heterogeneity across MS</w:t>
      </w:r>
      <w:r>
        <w:t xml:space="preserve"> </w:t>
      </w:r>
      <w:r>
        <w:t xml:space="preserve">Ongoing costs across countries - AIFs</w:t>
      </w:r>
      <w:r>
        <w:t xml:space="preserve"> </w:t>
      </w:r>
      <w:r>
        <w:t xml:space="preserve">Significant disparity across MS</w:t>
      </w:r>
    </w:p>
    <w:p>
      <w:pPr>
        <w:pStyle w:val="BodyText"/>
      </w:pPr>
      <w:r>
        <w:t xml:space="preserve">478 Source: DG FISMA calculations based on document annexed to Invest Europe’s contribution to the Targeted</w:t>
      </w:r>
      <w:r>
        <w:t xml:space="preserve"> </w:t>
      </w:r>
      <w:r>
        <w:t xml:space="preserve">consultation on integration of EU capital markets submission, 2025.</w:t>
      </w:r>
      <w:r>
        <w:br/>
      </w:r>
      <w:r>
        <w:t xml:space="preserve">479 Ibid.</w:t>
      </w:r>
      <w:r>
        <w:t xml:space="preserve"> </w:t>
      </w:r>
      <w:r>
        <w:t xml:space="preserve">480 Source : EFAMA report, February 2025 A like-for-like comparison of the cost of US mutual funds and UCITS</w:t>
      </w:r>
      <w:r>
        <w:t xml:space="preserve"> </w:t>
      </w:r>
      <w:r>
        <w:t xml:space="preserve">is missing from the latest ESMA report</w:t>
      </w:r>
      <w:r>
        <w:t xml:space="preserve"> </w:t>
      </w:r>
      <w:r>
        <w:t xml:space="preserve">481 ESMA Report on total costs of investing in UCITS and AIFs, 2025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Ongoing costs</w:t>
      </w:r>
      <w:r>
        <w:t xml:space="preserve"> </w:t>
      </w:r>
      <w:r>
        <w:t xml:space="preserve">Ongoing costs without</w:t>
      </w:r>
      <w:r>
        <w:t xml:space="preserve"> </w:t>
      </w:r>
      <w:r>
        <w:t xml:space="preserve">inducements</w:t>
      </w:r>
      <w:r>
        <w:t xml:space="preserve"> </w:t>
      </w:r>
      <w:r>
        <w:t xml:space="preserve">Note: Distribution of the median ongoing costs and ongoing costs without</w:t>
      </w:r>
      <w:r>
        <w:t xml:space="preserve"> </w:t>
      </w:r>
      <w:r>
        <w:t xml:space="preserve">inducements paid by investor for a 10,000 investment for equity, bond and</w:t>
      </w:r>
      <w:r>
        <w:t xml:space="preserve"> </w:t>
      </w:r>
      <w:r>
        <w:t xml:space="preserve">mixed UCITS across jurisdictions, in EUR. Sample includes share classes</w:t>
      </w:r>
      <w:r>
        <w:t xml:space="preserve"> </w:t>
      </w:r>
      <w:r>
        <w:t xml:space="preserve">sold to retail and institutional investors and paying rebates. The box</w:t>
      </w:r>
      <w:r>
        <w:t xml:space="preserve"> </w:t>
      </w:r>
      <w:r>
        <w:t xml:space="preserve">represents the interquartile range (25th to 75th percentiles), with the median</w:t>
      </w:r>
      <w:r>
        <w:t xml:space="preserve"> </w:t>
      </w:r>
      <w:r>
        <w:t xml:space="preserve">shown as the central line. The whiskers extend to the minimum and</w:t>
      </w:r>
      <w:r>
        <w:t xml:space="preserve"> </w:t>
      </w:r>
      <w:r>
        <w:t xml:space="preserve">maximum values, illustrating the full range of cost observations.</w:t>
      </w:r>
      <w:r>
        <w:t xml:space="preserve"> </w:t>
      </w:r>
      <w:r>
        <w:t xml:space="preserve">Sources: National Competent Authorities, ESMA.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Ongoing costs</w:t>
      </w:r>
      <w:r>
        <w:t xml:space="preserve"> </w:t>
      </w:r>
      <w:r>
        <w:t xml:space="preserve">Ongoing costs without</w:t>
      </w:r>
      <w:r>
        <w:t xml:space="preserve"> </w:t>
      </w:r>
      <w:r>
        <w:t xml:space="preserve">inducements</w:t>
      </w:r>
      <w:r>
        <w:t xml:space="preserve"> </w:t>
      </w:r>
      <w:r>
        <w:t xml:space="preserve">Note: Distribution of the median ongoing costs and ongoing costs without</w:t>
      </w:r>
      <w:r>
        <w:t xml:space="preserve"> </w:t>
      </w:r>
      <w:r>
        <w:t xml:space="preserve">inducements paid by investor for a 10,000 investment for other AIFs, funds</w:t>
      </w:r>
      <w:r>
        <w:t xml:space="preserve"> </w:t>
      </w:r>
      <w:r>
        <w:t xml:space="preserve">of funds and real estate AIFs share classes across jurisdictions, in EUR.</w:t>
      </w:r>
      <w:r>
        <w:t xml:space="preserve"> </w:t>
      </w:r>
      <w:r>
        <w:t xml:space="preserve">Sample includes share classes sold to retail and institutional investors and</w:t>
      </w:r>
      <w:r>
        <w:t xml:space="preserve"> </w:t>
      </w:r>
      <w:r>
        <w:t xml:space="preserve">paying rebates. The box represents the interquartile range (25th to 75th</w:t>
      </w:r>
      <w:r>
        <w:t xml:space="preserve"> </w:t>
      </w:r>
      <w:r>
        <w:t xml:space="preserve">percentiles), with the median shown as the central line. The whiskers extend</w:t>
      </w:r>
      <w:r>
        <w:t xml:space="preserve"> </w:t>
      </w:r>
      <w:r>
        <w:t xml:space="preserve">to the minimum and maximum values, illustrating the full range of cost</w:t>
      </w:r>
      <w:r>
        <w:t xml:space="preserve"> </w:t>
      </w:r>
      <w:r>
        <w:t xml:space="preserve">observations.</w:t>
      </w:r>
      <w:r>
        <w:t xml:space="preserve"> </w:t>
      </w:r>
      <w:r>
        <w:t xml:space="preserve">Sources: National Competent Authorities, ESMA.</w:t>
      </w:r>
    </w:p>
    <w:p>
      <w:pPr>
        <w:pStyle w:val="BodyText"/>
      </w:pPr>
      <w:r>
        <w:t xml:space="preserve">302</w:t>
      </w:r>
      <w:r>
        <w:t xml:space="preserve"> </w:t>
      </w:r>
      <w:r>
        <w:t xml:space="preserve">Case studies</w:t>
      </w:r>
    </w:p>
    <w:p>
      <w:pPr>
        <w:pStyle w:val="BodyText"/>
      </w:pPr>
      <w:r>
        <w:t xml:space="preserve">Case study 2 – Costs associated with cross-border marketing of UCITS funds</w:t>
      </w:r>
    </w:p>
    <w:p>
      <w:pPr>
        <w:pStyle w:val="BodyText"/>
      </w:pPr>
      <w:r>
        <w:t xml:space="preserve">As asset manager with a pan-European strategy for two UCITS umbrella funds,</w:t>
      </w:r>
      <w:r>
        <w:t xml:space="preserve"> </w:t>
      </w:r>
      <w:r>
        <w:t xml:space="preserve">comprising almost 50 sub-funds, incurs almost EUR 1 million in annual costs when</w:t>
      </w:r>
      <w:r>
        <w:t xml:space="preserve"> </w:t>
      </w:r>
      <w:r>
        <w:t xml:space="preserve">distributing those sub-funds across 14 Member States due to host Member State</w:t>
      </w:r>
      <w:r>
        <w:t xml:space="preserve"> </w:t>
      </w:r>
      <w:r>
        <w:t xml:space="preserve">requirements regarding regulatory fees, local agents and translations, together with</w:t>
      </w:r>
      <w:r>
        <w:t xml:space="preserve"> </w:t>
      </w:r>
      <w:r>
        <w:t xml:space="preserve">associated legal fees related to the maintenance of fund registrations.</w:t>
      </w:r>
    </w:p>
    <w:p>
      <w:pPr>
        <w:pStyle w:val="BodyText"/>
      </w:pPr>
      <w:r>
        <w:t xml:space="preserve">Once-off (EUR)</w:t>
      </w:r>
      <w:r>
        <w:t xml:space="preserve"> </w:t>
      </w:r>
      <w:r>
        <w:t xml:space="preserve">Annual (EUR)</w:t>
      </w:r>
      <w:r>
        <w:t xml:space="preserve"> </w:t>
      </w:r>
      <w:r>
        <w:t xml:space="preserve">Initial regulatory registration costs</w:t>
      </w:r>
      <w:r>
        <w:t xml:space="preserve"> </w:t>
      </w:r>
      <w:r>
        <w:t xml:space="preserve">600,000</w:t>
      </w:r>
    </w:p>
    <w:p>
      <w:pPr>
        <w:pStyle w:val="BodyText"/>
      </w:pPr>
      <w:r>
        <w:t xml:space="preserve">Annual maintenance regulatory costs</w:t>
      </w:r>
    </w:p>
    <w:p>
      <w:pPr>
        <w:pStyle w:val="BodyText"/>
      </w:pPr>
      <w:r>
        <w:t xml:space="preserve">600,000</w:t>
      </w:r>
      <w:r>
        <w:t xml:space="preserve"> </w:t>
      </w:r>
      <w:r>
        <w:t xml:space="preserve">Facilities Agent costs</w:t>
      </w:r>
    </w:p>
    <w:p>
      <w:pPr>
        <w:pStyle w:val="BodyText"/>
      </w:pPr>
      <w:r>
        <w:t xml:space="preserve">250,000</w:t>
      </w:r>
      <w:r>
        <w:t xml:space="preserve"> </w:t>
      </w:r>
      <w:r>
        <w:t xml:space="preserve">Legal costs related to the maintenance</w:t>
      </w:r>
      <w:r>
        <w:t xml:space="preserve"> </w:t>
      </w:r>
      <w:r>
        <w:t xml:space="preserve">of fund registrations</w:t>
      </w:r>
    </w:p>
    <w:p>
      <w:pPr>
        <w:pStyle w:val="BodyText"/>
      </w:pPr>
      <w:r>
        <w:t xml:space="preserve">90,000</w:t>
      </w:r>
      <w:r>
        <w:t xml:space="preserve"> </w:t>
      </w:r>
      <w:r>
        <w:t xml:space="preserve">Translation requirements</w:t>
      </w:r>
    </w:p>
    <w:p>
      <w:pPr>
        <w:pStyle w:val="BodyText"/>
      </w:pPr>
      <w:r>
        <w:t xml:space="preserve">45,000</w:t>
      </w:r>
      <w:r>
        <w:t xml:space="preserve"> </w:t>
      </w:r>
      <w:r>
        <w:t xml:space="preserve">Total annual</w:t>
      </w:r>
    </w:p>
    <w:p>
      <w:pPr>
        <w:pStyle w:val="BodyText"/>
      </w:pPr>
      <w:r>
        <w:t xml:space="preserve">EUR 985,000</w:t>
      </w:r>
    </w:p>
    <w:p>
      <w:pPr>
        <w:pStyle w:val="BodyText"/>
      </w:pPr>
      <w:r>
        <w:t xml:space="preserve">Source: European asset manager</w:t>
      </w:r>
    </w:p>
    <w:p>
      <w:pPr>
        <w:pStyle w:val="BodyText"/>
      </w:pPr>
      <w:r>
        <w:t xml:space="preserve">Case study 1 – Costs as represented by a P&amp;L model</w:t>
      </w:r>
      <w:r>
        <w:t xml:space="preserve"> </w:t>
      </w:r>
      <w:r>
        <w:t xml:space="preserve">The costs can be illustrated through a simplified P&amp;L model. For a UCITS fund managing</w:t>
      </w:r>
      <w:r>
        <w:t xml:space="preserve"> </w:t>
      </w:r>
      <w:r>
        <w:t xml:space="preserve">EUR 100 million in assets, earning a management fee of 0.75%, annual gross revenues</w:t>
      </w:r>
      <w:r>
        <w:t xml:space="preserve"> </w:t>
      </w:r>
      <w:r>
        <w:t xml:space="preserve">would be EUR 750,000, possibly supplemented by EUR 50,000 in other income (e.g. </w:t>
      </w:r>
      <w:r>
        <w:t xml:space="preserve"> </w:t>
      </w:r>
      <w:r>
        <w:t xml:space="preserve">performance fees or securities lending). However, administrative burdens erode this</w:t>
      </w:r>
      <w:r>
        <w:t xml:space="preserve"> </w:t>
      </w:r>
      <w:r>
        <w:t xml:space="preserve">margin. Operating costs for fund administration, custody, legal, regulatory and</w:t>
      </w:r>
      <w:r>
        <w:t xml:space="preserve"> </w:t>
      </w:r>
      <w:r>
        <w:t xml:space="preserve">compliance—including those directly attributable to fragmented EU rules - can total EUR</w:t>
      </w:r>
      <w:r>
        <w:t xml:space="preserve"> </w:t>
      </w:r>
      <w:r>
        <w:t xml:space="preserve">600,000 to EUR 700,000.</w:t>
      </w:r>
      <w:r>
        <w:br/>
      </w:r>
      <w:r>
        <w:t xml:space="preserve">This leaves a net profit before tax in the range of EUR 100,000 to EUR 200,000,</w:t>
      </w:r>
      <w:r>
        <w:t xml:space="preserve"> </w:t>
      </w:r>
      <w:r>
        <w:t xml:space="preserve">corresponding to a margin of just 13 to 25%, far below the global average for asset</w:t>
      </w:r>
      <w:r>
        <w:t xml:space="preserve"> </w:t>
      </w:r>
      <w:r>
        <w:t xml:space="preserve">management profitability. A reduction of EUR 100,000 in administrative burden could</w:t>
      </w:r>
      <w:r>
        <w:t xml:space="preserve"> </w:t>
      </w:r>
      <w:r>
        <w:t xml:space="preserve">boost profits by 50% or more, significantly improving scalability and attractiveness of</w:t>
      </w:r>
      <w:r>
        <w:t xml:space="preserve"> </w:t>
      </w:r>
      <w:r>
        <w:t xml:space="preserve">cross-border operations.</w:t>
      </w:r>
      <w:r>
        <w:t xml:space="preserve"> </w:t>
      </w:r>
      <w:r>
        <w:t xml:space="preserve">Moreover, indirect costs arise from delayed market entry, missed investment</w:t>
      </w:r>
      <w:r>
        <w:t xml:space="preserve"> </w:t>
      </w:r>
      <w:r>
        <w:t xml:space="preserve">opportunities, and the legal complexity of maintaining multiple small-scale fund</w:t>
      </w:r>
      <w:r>
        <w:t xml:space="preserve"> </w:t>
      </w:r>
      <w:r>
        <w:t xml:space="preserve">structures rather than consolidating operations. Eliminating administrative inefficiencies</w:t>
      </w:r>
      <w:r>
        <w:t xml:space="preserve"> </w:t>
      </w:r>
      <w:r>
        <w:t xml:space="preserve">and gold-plating across Member States is estimated to have the potential to generate</w:t>
      </w:r>
      <w:r>
        <w:t xml:space="preserve"> </w:t>
      </w:r>
      <w:r>
        <w:t xml:space="preserve">annual savings of EUR 1.5 to EUR 2 billion for the EU fund industry (European</w:t>
      </w:r>
      <w:r>
        <w:t xml:space="preserve"> </w:t>
      </w:r>
      <w:r>
        <w:t xml:space="preserve">Commission, CMU 2021 Progress Report).</w:t>
      </w:r>
    </w:p>
    <w:p>
      <w:pPr>
        <w:pStyle w:val="BodyText"/>
      </w:pPr>
      <w:r>
        <w:t xml:space="preserve">303</w:t>
      </w:r>
      <w:r>
        <w:t xml:space="preserve"> </w:t>
      </w:r>
      <w:r>
        <w:t xml:space="preserve">Case study 3 – Cost of NCA fees for a AIFM with an EU strategy for one AIF</w:t>
      </w:r>
    </w:p>
    <w:p>
      <w:pPr>
        <w:pStyle w:val="BodyText"/>
      </w:pPr>
      <w:r>
        <w:t xml:space="preserve">The table below sets out the costs associated with the payment of NCA fees in respect of</w:t>
      </w:r>
      <w:r>
        <w:t xml:space="preserve"> </w:t>
      </w:r>
      <w:r>
        <w:t xml:space="preserve">one AIF with a pan-EU strategy, as reported by a large AIFM. In short, one manager must</w:t>
      </w:r>
      <w:r>
        <w:t xml:space="preserve"> </w:t>
      </w:r>
      <w:r>
        <w:t xml:space="preserve">pay EUR 65,000 to adopt an EU-wide strategy for one AIF only, as a consequence of NCA</w:t>
      </w:r>
      <w:r>
        <w:t xml:space="preserve"> </w:t>
      </w:r>
      <w:r>
        <w:t xml:space="preserve">fees and charges.</w:t>
      </w:r>
    </w:p>
    <w:p>
      <w:pPr>
        <w:pStyle w:val="BodyText"/>
      </w:pPr>
      <w:r>
        <w:t xml:space="preserve">Type of cost</w:t>
      </w:r>
      <w:r>
        <w:t xml:space="preserve"> </w:t>
      </w:r>
      <w:r>
        <w:t xml:space="preserve">Costs of EU strategy for one AIF</w:t>
      </w:r>
      <w:r>
        <w:t xml:space="preserve"> </w:t>
      </w:r>
      <w:r>
        <w:t xml:space="preserve">Total NCA fees</w:t>
      </w:r>
      <w:r>
        <w:t xml:space="preserve"> </w:t>
      </w:r>
      <w:r>
        <w:t xml:space="preserve">EUR 38,000 (fees vary from EUR 800 to EUR</w:t>
      </w:r>
      <w:r>
        <w:t xml:space="preserve"> </w:t>
      </w:r>
      <w:r>
        <w:t xml:space="preserve">1,400 per fund/per year)</w:t>
      </w:r>
      <w:r>
        <w:t xml:space="preserve"> </w:t>
      </w:r>
      <w:r>
        <w:t xml:space="preserve">Use of “local agents”</w:t>
      </w:r>
      <w:r>
        <w:t xml:space="preserve"> </w:t>
      </w:r>
      <w:r>
        <w:t xml:space="preserve">EUR 25,000</w:t>
      </w:r>
      <w:r>
        <w:t xml:space="preserve"> </w:t>
      </w:r>
      <w:r>
        <w:t xml:space="preserve">Internal costs of organising</w:t>
      </w:r>
      <w:r>
        <w:t xml:space="preserve"> </w:t>
      </w:r>
      <w:r>
        <w:t xml:space="preserve">these arrangements</w:t>
      </w:r>
      <w:r>
        <w:t xml:space="preserve"> </w:t>
      </w:r>
      <w:r>
        <w:t xml:space="preserve">EUR 2,000</w:t>
      </w:r>
      <w:r>
        <w:t xml:space="preserve"> </w:t>
      </w:r>
      <w:r>
        <w:t xml:space="preserve">Total cost for one AIF</w:t>
      </w:r>
      <w:r>
        <w:t xml:space="preserve"> </w:t>
      </w:r>
      <w:r>
        <w:t xml:space="preserve">EUR 65,000</w:t>
      </w:r>
    </w:p>
    <w:p>
      <w:pPr>
        <w:pStyle w:val="BodyText"/>
      </w:pPr>
      <w:r>
        <w:t xml:space="preserve">The AIFM reported some additional costs for complying with marketing rules as follows:</w:t>
      </w:r>
      <w:r>
        <w:t xml:space="preserve"> </w:t>
      </w:r>
      <w:r>
        <w:t xml:space="preserve"> Costs associated with hiring 2-3 FTE compliance roles</w:t>
      </w:r>
      <w:r>
        <w:t xml:space="preserve"> </w:t>
      </w:r>
      <w:r>
        <w:t xml:space="preserve"> Approx. EUR 400,000 on costs of hiring secondees</w:t>
      </w:r>
      <w:r>
        <w:br/>
      </w:r>
      <w:r>
        <w:t xml:space="preserve"> Approx. EUR 400,000 on ad-hoc legal advice</w:t>
      </w:r>
    </w:p>
    <w:p>
      <w:pPr>
        <w:pStyle w:val="BodyText"/>
      </w:pPr>
      <w:r>
        <w:t xml:space="preserve">Source: Invest Europe</w:t>
      </w:r>
    </w:p>
    <w:p>
      <w:pPr>
        <w:pStyle w:val="BodyText"/>
      </w:pPr>
      <w:r>
        <w:t xml:space="preserve">304</w:t>
      </w:r>
      <w:r>
        <w:t xml:space="preserve"> </w:t>
      </w:r>
      <w:r>
        <w:t xml:space="preserve">Case study 4 – Cost savings and EU expansion potential for one large EU asset</w:t>
      </w:r>
      <w:r>
        <w:t xml:space="preserve"> </w:t>
      </w:r>
      <w:r>
        <w:t xml:space="preserve">manager</w:t>
      </w:r>
    </w:p>
    <w:p>
      <w:pPr>
        <w:pStyle w:val="BodyText"/>
      </w:pPr>
      <w:r>
        <w:t xml:space="preserve">An asset manager with a focus in the Nordic region faces significant costs and barriers in</w:t>
      </w:r>
      <w:r>
        <w:t xml:space="preserve"> </w:t>
      </w:r>
      <w:r>
        <w:t xml:space="preserve">the few Member States where its funds are marketed and even more challenges with</w:t>
      </w:r>
      <w:r>
        <w:t xml:space="preserve"> </w:t>
      </w:r>
      <w:r>
        <w:t xml:space="preserve">developing a pan-European strategy for its funds. It currently manages more than 100</w:t>
      </w:r>
      <w:r>
        <w:t xml:space="preserve"> </w:t>
      </w:r>
      <w:r>
        <w:t xml:space="preserve">funds and discretionary mandates on behalf of institutional investors and offers a wide</w:t>
      </w:r>
      <w:r>
        <w:t xml:space="preserve"> </w:t>
      </w:r>
      <w:r>
        <w:t xml:space="preserve">range of products and advisory services aimed at private individuals, institutional investors</w:t>
      </w:r>
      <w:r>
        <w:t xml:space="preserve"> </w:t>
      </w:r>
      <w:r>
        <w:t xml:space="preserve">and distributors. Its funds are currently available for marketing in four Member States,</w:t>
      </w:r>
      <w:r>
        <w:t xml:space="preserve"> </w:t>
      </w:r>
      <w:r>
        <w:t xml:space="preserve">including the home Member State.</w:t>
      </w:r>
    </w:p>
    <w:p>
      <w:pPr>
        <w:pStyle w:val="BodyText"/>
      </w:pPr>
      <w:r>
        <w:t xml:space="preserve">The total annual value of the managers distribution costs, excluding headcount, within the</w:t>
      </w:r>
      <w:r>
        <w:t xml:space="preserve"> </w:t>
      </w:r>
      <w:r>
        <w:t xml:space="preserve">EU, but outside the Nordic region, is approx. EUR 665,000. If the below proposals</w:t>
      </w:r>
      <w:r>
        <w:t xml:space="preserve"> </w:t>
      </w:r>
      <w:r>
        <w:t xml:space="preserve">(explained further in Section 5) were adopted, this would result in annual cost savings for</w:t>
      </w:r>
      <w:r>
        <w:t xml:space="preserve"> </w:t>
      </w:r>
      <w:r>
        <w:t xml:space="preserve">the manager and ultimately EU investors of EUR 673,900, as set out below. The manager</w:t>
      </w:r>
      <w:r>
        <w:t xml:space="preserve"> </w:t>
      </w:r>
      <w:r>
        <w:t xml:space="preserve">would also consider developing a true single market strategy by expanding the marketing</w:t>
      </w:r>
      <w:r>
        <w:t xml:space="preserve"> </w:t>
      </w:r>
      <w:r>
        <w:t xml:space="preserve">of its funds in 17 Member States.</w:t>
      </w:r>
    </w:p>
    <w:p>
      <w:pPr>
        <w:pStyle w:val="BodyText"/>
      </w:pPr>
      <w:r>
        <w:t xml:space="preserve">Proposal</w:t>
      </w:r>
      <w:r>
        <w:t xml:space="preserve"> </w:t>
      </w:r>
      <w:r>
        <w:t xml:space="preserve">Estimated costs savings</w:t>
      </w:r>
      <w:r>
        <w:t xml:space="preserve"> </w:t>
      </w:r>
      <w:r>
        <w:t xml:space="preserve">(annually in EUR)</w:t>
      </w:r>
      <w:r>
        <w:t xml:space="preserve"> </w:t>
      </w:r>
      <w:r>
        <w:t xml:space="preserve">Estimated</w:t>
      </w:r>
      <w:r>
        <w:t xml:space="preserve"> </w:t>
      </w:r>
      <w:r>
        <w:t xml:space="preserve">headcount savings</w:t>
      </w:r>
      <w:r>
        <w:t xml:space="preserve"> </w:t>
      </w:r>
      <w:r>
        <w:t xml:space="preserve">A more harmonised authorisation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300,000 on regulatory fees</w:t>
      </w:r>
      <w:r>
        <w:t xml:space="preserve"> </w:t>
      </w:r>
      <w:r>
        <w:t xml:space="preserve">1</w:t>
      </w:r>
      <w:r>
        <w:t xml:space="preserve"> </w:t>
      </w:r>
      <w:r>
        <w:t xml:space="preserve">20,000 on country specific</w:t>
      </w:r>
      <w:r>
        <w:t xml:space="preserve"> </w:t>
      </w:r>
      <w:r>
        <w:t xml:space="preserve">market research</w:t>
      </w:r>
      <w:r>
        <w:t xml:space="preserve"> </w:t>
      </w:r>
      <w:r>
        <w:t xml:space="preserve">10,000 on legal opinion to</w:t>
      </w:r>
      <w:r>
        <w:t xml:space="preserve"> </w:t>
      </w:r>
      <w:r>
        <w:t xml:space="preserve">enter a new market</w:t>
      </w:r>
      <w:r>
        <w:t xml:space="preserve"> </w:t>
      </w:r>
      <w:r>
        <w:t xml:space="preserve">Passporting upon authorisation</w:t>
      </w:r>
      <w:r>
        <w:t xml:space="preserve"> </w:t>
      </w:r>
      <w:r>
        <w:t xml:space="preserve">400 per requested country</w:t>
      </w:r>
      <w:r>
        <w:t xml:space="preserve"> </w:t>
      </w:r>
      <w:r>
        <w:t xml:space="preserve">+ 1 month time to market</w:t>
      </w:r>
      <w:r>
        <w:br/>
      </w:r>
      <w:r>
        <w:t xml:space="preserve">None reported</w:t>
      </w:r>
      <w:r>
        <w:t xml:space="preserve"> </w:t>
      </w:r>
      <w:r>
        <w:t xml:space="preserve">Removal of pre-marketing rules</w:t>
      </w:r>
      <w:r>
        <w:t xml:space="preserve"> </w:t>
      </w:r>
      <w:r>
        <w:t xml:space="preserve">under Articles 32a(3) and 32a(4) of</w:t>
      </w:r>
      <w:r>
        <w:t xml:space="preserve"> </w:t>
      </w:r>
      <w:r>
        <w:t xml:space="preserve">AIFMD</w:t>
      </w:r>
      <w:r>
        <w:t xml:space="preserve"> </w:t>
      </w:r>
      <w:r>
        <w:t xml:space="preserve">4,500</w:t>
      </w:r>
      <w:r>
        <w:br/>
      </w:r>
      <w:r>
        <w:t xml:space="preserve">(expected to increase)</w:t>
      </w:r>
      <w:r>
        <w:t xml:space="preserve"> </w:t>
      </w:r>
      <w:r>
        <w:t xml:space="preserve">None reported</w:t>
      </w:r>
      <w:r>
        <w:t xml:space="preserve"> </w:t>
      </w:r>
      <w:r>
        <w:t xml:space="preserve">Strengthen existing prohibition on</w:t>
      </w:r>
      <w:r>
        <w:t xml:space="preserve"> </w:t>
      </w:r>
      <w:r>
        <w:t xml:space="preserve">local physical agent</w:t>
      </w:r>
      <w:r>
        <w:br/>
      </w:r>
      <w:r>
        <w:t xml:space="preserve">144,000 for local agents in</w:t>
      </w:r>
      <w:r>
        <w:t xml:space="preserve"> </w:t>
      </w:r>
      <w:r>
        <w:t xml:space="preserve">3 Member States</w:t>
      </w:r>
      <w:r>
        <w:br/>
      </w:r>
      <w:r>
        <w:t xml:space="preserve">None reported</w:t>
      </w:r>
      <w:r>
        <w:t xml:space="preserve"> </w:t>
      </w:r>
      <w:r>
        <w:t xml:space="preserve">Marketing communications at EU</w:t>
      </w:r>
      <w:r>
        <w:t xml:space="preserve"> </w:t>
      </w:r>
      <w:r>
        <w:t xml:space="preserve">level</w:t>
      </w:r>
      <w:r>
        <w:br/>
      </w:r>
      <w:r>
        <w:t xml:space="preserve">50,000</w:t>
      </w:r>
      <w:r>
        <w:t xml:space="preserve"> </w:t>
      </w:r>
      <w:r>
        <w:t xml:space="preserve">for</w:t>
      </w:r>
      <w:r>
        <w:t xml:space="preserve"> </w:t>
      </w:r>
      <w:r>
        <w:t xml:space="preserve">marketing</w:t>
      </w:r>
      <w:r>
        <w:t xml:space="preserve"> </w:t>
      </w:r>
      <w:r>
        <w:t xml:space="preserve">communications tool</w:t>
      </w:r>
      <w:r>
        <w:t xml:space="preserve"> </w:t>
      </w:r>
      <w:r>
        <w:t xml:space="preserve">50,000 on legal opinions</w:t>
      </w:r>
      <w:r>
        <w:t xml:space="preserve"> </w:t>
      </w:r>
      <w:r>
        <w:t xml:space="preserve">2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county</w:t>
      </w:r>
      <w:r>
        <w:t xml:space="preserve"> </w:t>
      </w:r>
      <w:r>
        <w:t xml:space="preserve">specific</w:t>
      </w:r>
      <w:r>
        <w:t xml:space="preserve"> </w:t>
      </w:r>
      <w:r>
        <w:t xml:space="preserve">disclosures in fund documents</w:t>
      </w:r>
      <w:r>
        <w:br/>
      </w:r>
      <w:r>
        <w:t xml:space="preserve">30,000 for production</w:t>
      </w:r>
      <w:r>
        <w:br/>
      </w:r>
      <w:r>
        <w:t xml:space="preserve">35,000 for translation</w:t>
      </w:r>
      <w:r>
        <w:t xml:space="preserve"> </w:t>
      </w:r>
      <w:r>
        <w:t xml:space="preserve">1</w:t>
      </w:r>
      <w:r>
        <w:t xml:space="preserve"> </w:t>
      </w:r>
      <w:r>
        <w:t xml:space="preserve">Limit translation requirements to</w:t>
      </w:r>
      <w:r>
        <w:t xml:space="preserve"> </w:t>
      </w:r>
      <w:r>
        <w:t xml:space="preserve">key information document referred</w:t>
      </w:r>
      <w:r>
        <w:t xml:space="preserve"> </w:t>
      </w:r>
      <w:r>
        <w:t xml:space="preserve">to in Article 78 of UCITSD</w:t>
      </w:r>
      <w:r>
        <w:t xml:space="preserve"> </w:t>
      </w:r>
      <w:r>
        <w:t xml:space="preserve">20,000 for production</w:t>
      </w:r>
      <w:r>
        <w:br/>
      </w:r>
      <w:r>
        <w:t xml:space="preserve">10,000 for translation</w:t>
      </w:r>
      <w:r>
        <w:t xml:space="preserve"> </w:t>
      </w:r>
      <w:r>
        <w:t xml:space="preserve">1</w:t>
      </w:r>
      <w:r>
        <w:t xml:space="preserve"> </w:t>
      </w:r>
      <w:r>
        <w:t xml:space="preserve">Total estimated savings if these</w:t>
      </w:r>
      <w:r>
        <w:t xml:space="preserve"> </w:t>
      </w:r>
      <w:r>
        <w:t xml:space="preserve">proposals are adopted</w:t>
      </w:r>
      <w:r>
        <w:t xml:space="preserve"> </w:t>
      </w:r>
      <w:r>
        <w:t xml:space="preserve">EUR 673,900</w:t>
      </w:r>
      <w:r>
        <w:t xml:space="preserve"> </w:t>
      </w:r>
      <w:r>
        <w:t xml:space="preserve">5</w:t>
      </w:r>
      <w:r>
        <w:t xml:space="preserve"> </w:t>
      </w:r>
      <w:r>
        <w:t xml:space="preserve">Additional Member States where</w:t>
      </w:r>
      <w:r>
        <w:t xml:space="preserve"> </w:t>
      </w:r>
      <w:r>
        <w:t xml:space="preserve">marketing would take place if no</w:t>
      </w:r>
      <w:r>
        <w:t xml:space="preserve"> </w:t>
      </w:r>
      <w:r>
        <w:t xml:space="preserve">barriers</w:t>
      </w:r>
      <w:r>
        <w:br/>
      </w:r>
      <w:r>
        <w:t xml:space="preserve">17</w:t>
      </w:r>
      <w:r>
        <w:t xml:space="preserve"> </w:t>
      </w:r>
      <w:r>
        <w:t xml:space="preserve">Source: European asset manager</w:t>
      </w:r>
    </w:p>
    <w:p>
      <w:pPr>
        <w:pStyle w:val="BodyText"/>
      </w:pPr>
      <w:r>
        <w:t xml:space="preserve">305</w:t>
      </w:r>
      <w:r>
        <w:t xml:space="preserve"> </w:t>
      </w:r>
      <w:r>
        <w:t xml:space="preserve">Evidence of the adverse impacts of administrative barriers on cross-border funds can also be</w:t>
      </w:r>
      <w:r>
        <w:t xml:space="preserve"> </w:t>
      </w:r>
      <w:r>
        <w:t xml:space="preserve">found by comparing the costs of cross-border vs single-country funds. For example, a report</w:t>
      </w:r>
      <w:r>
        <w:t xml:space="preserve"> </w:t>
      </w:r>
      <w:r>
        <w:t xml:space="preserve">by the Investment Company Institute482 shows that in 2022 the fixed costs of cross-border</w:t>
      </w:r>
      <w:r>
        <w:t xml:space="preserve"> </w:t>
      </w:r>
      <w:r>
        <w:t xml:space="preserve">funds, measured as a percentage of the fund’s size, were 8.2% higher than those of single-</w:t>
      </w:r>
      <w:r>
        <w:t xml:space="preserve"> </w:t>
      </w:r>
      <w:r>
        <w:t xml:space="preserve">country funds: when applied to the average size of an equity cross-border fund of EUR 504</w:t>
      </w:r>
      <w:r>
        <w:t xml:space="preserve"> </w:t>
      </w:r>
      <w:r>
        <w:t xml:space="preserve">million, this results in an average extra cost of EUR 400,000 per cross-border fund per year.</w:t>
      </w:r>
      <w:r>
        <w:br/>
      </w:r>
      <w:r>
        <w:t xml:space="preserve">The lack of supervisory convergence and digital interoperability further exacerbates these</w:t>
      </w:r>
      <w:r>
        <w:t xml:space="preserve"> </w:t>
      </w:r>
      <w:r>
        <w:t xml:space="preserve">burdens. As of 2024, only a limited number of NCAs offer end-to-end digital submission</w:t>
      </w:r>
      <w:r>
        <w:t xml:space="preserve"> </w:t>
      </w:r>
      <w:r>
        <w:t xml:space="preserve">systems, and the absence of a unified passporting database means fund managers must often</w:t>
      </w:r>
      <w:r>
        <w:t xml:space="preserve"> </w:t>
      </w:r>
      <w:r>
        <w:t xml:space="preserve">duplicate filings and notifications.</w:t>
      </w:r>
      <w:r>
        <w:br/>
      </w:r>
      <w:r>
        <w:t xml:space="preserve">5. POLICY OPTIONS</w:t>
      </w:r>
      <w:r>
        <w:br/>
      </w:r>
      <w:r>
        <w:t xml:space="preserve">5.1. POLICY OPTIONS FOR INVESTMENT FUNDS</w:t>
      </w:r>
      <w:r>
        <w:br/>
      </w:r>
      <w:r>
        <w:t xml:space="preserve">This chapter sets out and assesses policy options linked to the problem drivers, covering</w:t>
      </w:r>
      <w:r>
        <w:t xml:space="preserve"> </w:t>
      </w:r>
      <w:r>
        <w:t xml:space="preserve">authorisation and notification, marketing, and administrative requirements, with the aim of</w:t>
      </w:r>
      <w:r>
        <w:t xml:space="preserve"> </w:t>
      </w:r>
      <w:r>
        <w:t xml:space="preserve">increasing harmonisation and transparency to improve single market access and ultimately</w:t>
      </w:r>
      <w:r>
        <w:t xml:space="preserve"> </w:t>
      </w:r>
      <w:r>
        <w:t xml:space="preserve">deliver benefits to EU investors.</w:t>
      </w:r>
      <w:r>
        <w:br/>
      </w:r>
      <w:r>
        <w:t xml:space="preserve">5.1.1. Baseline/Status quo</w:t>
      </w:r>
      <w:r>
        <w:t xml:space="preserve"> </w:t>
      </w:r>
      <w:r>
        <w:t xml:space="preserve">This option introduces no amendments to the asset management framework. It is the ‘do-</w:t>
      </w:r>
      <w:r>
        <w:t xml:space="preserve"> </w:t>
      </w:r>
      <w:r>
        <w:t xml:space="preserve">nothing’ option against which the other policy options will be assessed.</w:t>
      </w:r>
      <w:r>
        <w:t xml:space="preserve"> </w:t>
      </w:r>
      <w:r>
        <w:t xml:space="preserve">5.1.2. Comprehensive review to enhance the functioning of investment funds</w:t>
      </w:r>
      <w:r>
        <w:br/>
      </w:r>
      <w:r>
        <w:t xml:space="preserve">This option introduces targeted but ambitious measures to re-organise the marketing of UCITS</w:t>
      </w:r>
      <w:r>
        <w:t xml:space="preserve"> </w:t>
      </w:r>
      <w:r>
        <w:t xml:space="preserve">and AIFs in the single market, harmonise and streamline rules (e.g. relating to disclosures in</w:t>
      </w:r>
      <w:r>
        <w:t xml:space="preserve"> </w:t>
      </w:r>
      <w:r>
        <w:t xml:space="preserve">fund materials), reduce time, costs, and documentation for fund marketing, thereby easing</w:t>
      </w:r>
      <w:r>
        <w:t xml:space="preserve"> </w:t>
      </w:r>
      <w:r>
        <w:t xml:space="preserve">single market access, lowering investment costs, and expanding choices for EU investors.</w:t>
      </w:r>
      <w:r>
        <w:t xml:space="preserve"> </w:t>
      </w:r>
      <w:r>
        <w:t xml:space="preserve">a) Standardise authorisation and notification procedures</w:t>
      </w:r>
      <w:r>
        <w:br/>
      </w:r>
      <w:r>
        <w:t xml:space="preserve">This option would entail new proposals relating to the current fund authorisation and marketing</w:t>
      </w:r>
      <w:r>
        <w:t xml:space="preserve"> </w:t>
      </w:r>
      <w:r>
        <w:t xml:space="preserve">notification and de-notification rules for funds operating under the UCITS and AIFMD</w:t>
      </w:r>
      <w:r>
        <w:t xml:space="preserve"> </w:t>
      </w:r>
      <w:r>
        <w:t xml:space="preserve">frameworks. The proposals will necessitate amendments to the UCITSD, AIFMD, and the</w:t>
      </w:r>
      <w:r>
        <w:t xml:space="preserve"> </w:t>
      </w:r>
      <w:r>
        <w:t xml:space="preserve">CBDR. In particular, the new proposal for passporting upon authorisation seeks to dramatically</w:t>
      </w:r>
      <w:r>
        <w:t xml:space="preserve"> </w:t>
      </w:r>
      <w:r>
        <w:t xml:space="preserve">reduce the current time and administration involved for UCITS funds and certain AIFs</w:t>
      </w:r>
      <w:r>
        <w:t xml:space="preserve"> </w:t>
      </w:r>
      <w:r>
        <w:t xml:space="preserve">accessing host Member States. It also aims to increase harmonisation in marketing</w:t>
      </w:r>
      <w:r>
        <w:t xml:space="preserve"> </w:t>
      </w:r>
      <w:r>
        <w:t xml:space="preserve">requirements and notifications by importing the provisions on the marketing of UCITS and EU</w:t>
      </w:r>
      <w:r>
        <w:t xml:space="preserve"> </w:t>
      </w:r>
      <w:r>
        <w:t xml:space="preserve">AIFs managed by EU AIFMs to CBDR.</w:t>
      </w:r>
      <w:r>
        <w:br/>
      </w:r>
      <w:r>
        <w:t xml:space="preserve">Specifically, these proposals will:</w:t>
      </w:r>
      <w:r>
        <w:t xml:space="preserve"> </w:t>
      </w:r>
      <w:r>
        <w:t xml:space="preserve">1. Harmonise authorisation procedures and timelines to bring more predictability and</w:t>
      </w:r>
      <w:r>
        <w:t xml:space="preserve"> </w:t>
      </w:r>
      <w:r>
        <w:t xml:space="preserve">transparency to the authorisation processes, enabling pan-European managers to better plan</w:t>
      </w:r>
      <w:r>
        <w:t xml:space="preserve"> </w:t>
      </w:r>
      <w:r>
        <w:t xml:space="preserve">a European strategy, thereby reducing costs through efficiencies and potentially</w:t>
      </w:r>
    </w:p>
    <w:p>
      <w:pPr>
        <w:pStyle w:val="BodyText"/>
      </w:pPr>
      <w:r>
        <w:t xml:space="preserve">482 ICI research perspective: Ongoing Charges for UCITS in the European Union, 2022 (2023).</w:t>
      </w:r>
    </w:p>
    <w:p>
      <w:pPr>
        <w:pStyle w:val="BodyText"/>
      </w:pPr>
      <w:r>
        <w:t xml:space="preserve">306</w:t>
      </w:r>
      <w:r>
        <w:t xml:space="preserve"> </w:t>
      </w:r>
      <w:r>
        <w:t xml:space="preserve">encouraging access to more Member States and to better serve EU investors. For pan-</w:t>
      </w:r>
      <w:r>
        <w:t xml:space="preserve"> </w:t>
      </w:r>
      <w:r>
        <w:t xml:space="preserve">European managers, predictability regarding the timing of authorisations and other aspects</w:t>
      </w:r>
      <w:r>
        <w:t xml:space="preserve"> </w:t>
      </w:r>
      <w:r>
        <w:t xml:space="preserve">of the process in the EU is essential. Areas to be harmonised cover:</w:t>
      </w:r>
      <w:r>
        <w:t xml:space="preserve"> </w:t>
      </w:r>
      <w:r>
        <w:t xml:space="preserve">(i)</w:t>
      </w:r>
      <w:r>
        <w:t xml:space="preserve"> </w:t>
      </w:r>
      <w:r>
        <w:t xml:space="preserve">UCITS fund authorisations, to cover inter alia the information to be submitted</w:t>
      </w:r>
      <w:r>
        <w:t xml:space="preserve"> </w:t>
      </w:r>
      <w:r>
        <w:t xml:space="preserve">as part of the fund authorisation application;</w:t>
      </w:r>
      <w:r>
        <w:t xml:space="preserve"> </w:t>
      </w:r>
      <w:r>
        <w:t xml:space="preserve">(ii)</w:t>
      </w:r>
      <w:r>
        <w:t xml:space="preserve"> </w:t>
      </w:r>
      <w:r>
        <w:t xml:space="preserve">subsequent notification of changes in the scope of the initial authorisation; and</w:t>
      </w:r>
      <w:r>
        <w:t xml:space="preserve"> </w:t>
      </w:r>
      <w:r>
        <w:t xml:space="preserve">(iii) the timelines that managers can expect to experience for the above, subject to</w:t>
      </w:r>
      <w:r>
        <w:t xml:space="preserve"> </w:t>
      </w:r>
      <w:r>
        <w:t xml:space="preserve">complete information being submitted.</w:t>
      </w:r>
    </w:p>
    <w:p>
      <w:pPr>
        <w:numPr>
          <w:ilvl w:val="0"/>
          <w:numId w:val="1029"/>
        </w:numPr>
      </w:pPr>
      <w:r>
        <w:t xml:space="preserve">To improve timeliness and broaden access to the single market, a new regime would be</w:t>
      </w:r>
      <w:r>
        <w:t xml:space="preserve"> </w:t>
      </w:r>
      <w:r>
        <w:t xml:space="preserve">introduced to allow immediate single market access for UCITS upon authorisation</w:t>
      </w:r>
      <w:r>
        <w:t xml:space="preserve"> </w:t>
      </w:r>
      <w:r>
        <w:t xml:space="preserve">(“passporting upon authorisation”). Under this regime, UCITS funds would have</w:t>
      </w:r>
      <w:r>
        <w:t xml:space="preserve"> </w:t>
      </w:r>
      <w:r>
        <w:t xml:space="preserve">immediate access on authorisation to their chosen Member States. Operationally, the home</w:t>
      </w:r>
      <w:r>
        <w:t xml:space="preserve"> </w:t>
      </w:r>
      <w:r>
        <w:t xml:space="preserve">NCA would liaise with ESMA and the relevant host NCAs through an ESMA data platform,</w:t>
      </w:r>
      <w:r>
        <w:t xml:space="preserve"> </w:t>
      </w:r>
      <w:r>
        <w:t xml:space="preserve">ensuring that information on fund authorisations and related documentation is shared in a</w:t>
      </w:r>
      <w:r>
        <w:t xml:space="preserve"> </w:t>
      </w:r>
      <w:r>
        <w:t xml:space="preserve">harmonised and transparent manner. From the date of authorisation, UCITS would be able</w:t>
      </w:r>
      <w:r>
        <w:t xml:space="preserve"> </w:t>
      </w:r>
      <w:r>
        <w:t xml:space="preserve">to market in all designated Member States without additional notifications. The same</w:t>
      </w:r>
      <w:r>
        <w:t xml:space="preserve"> </w:t>
      </w:r>
      <w:r>
        <w:t xml:space="preserve">simplified procedure would also apply to authorised AIFMs seeking to market the AIFs</w:t>
      </w:r>
      <w:r>
        <w:t xml:space="preserve"> </w:t>
      </w:r>
      <w:r>
        <w:t xml:space="preserve">they manage on a cross-border basis. The aim is to reduce time, costs and administrative</w:t>
      </w:r>
      <w:r>
        <w:t xml:space="preserve"> </w:t>
      </w:r>
      <w:r>
        <w:t xml:space="preserve">burdens for UCITS, AIFMs and NCAs by replacing the current fragmented system of</w:t>
      </w:r>
      <w:r>
        <w:t xml:space="preserve"> </w:t>
      </w:r>
      <w:r>
        <w:t xml:space="preserve">bilateral notifications with a streamlined and centralised process and common rules.</w:t>
      </w:r>
    </w:p>
    <w:p>
      <w:pPr>
        <w:numPr>
          <w:ilvl w:val="0"/>
          <w:numId w:val="1029"/>
        </w:numPr>
      </w:pPr>
      <w:r>
        <w:t xml:space="preserve">Improve time to market and reduce administrative burden by introducing a simplified</w:t>
      </w:r>
      <w:r>
        <w:t xml:space="preserve"> </w:t>
      </w:r>
      <w:r>
        <w:t xml:space="preserve">procedure for the notification of material changes to marketing notifications and fund</w:t>
      </w:r>
      <w:r>
        <w:t xml:space="preserve"> </w:t>
      </w:r>
      <w:r>
        <w:t xml:space="preserve">documents by reducing the current one-month notice period to 15 business days. Material</w:t>
      </w:r>
      <w:r>
        <w:t xml:space="preserve"> </w:t>
      </w:r>
      <w:r>
        <w:t xml:space="preserve">changes will be shared swiftly with host NCAs and ESMA through the ESMA data</w:t>
      </w:r>
      <w:r>
        <w:t xml:space="preserve"> </w:t>
      </w:r>
      <w:r>
        <w:t xml:space="preserve">platform.</w:t>
      </w:r>
    </w:p>
    <w:p>
      <w:pPr>
        <w:numPr>
          <w:ilvl w:val="0"/>
          <w:numId w:val="1029"/>
        </w:numPr>
      </w:pPr>
      <w:r>
        <w:t xml:space="preserve">Improve time to market, reduce administrative burdens and improve investor experience,</w:t>
      </w:r>
      <w:r>
        <w:t xml:space="preserve"> </w:t>
      </w:r>
      <w:r>
        <w:t xml:space="preserve">by removing the requirement for one-month notification of new share classes in the</w:t>
      </w:r>
      <w:r>
        <w:t xml:space="preserve"> </w:t>
      </w:r>
      <w:r>
        <w:t xml:space="preserve">UCITSD. The notification requirement does not add value as investors must receive pre-</w:t>
      </w:r>
      <w:r>
        <w:t xml:space="preserve"> </w:t>
      </w:r>
      <w:r>
        <w:t xml:space="preserve">contractual registration documents before investing regardless of registration. According to</w:t>
      </w:r>
      <w:r>
        <w:t xml:space="preserve"> </w:t>
      </w:r>
      <w:r>
        <w:t xml:space="preserve">a large European funds industry association, this requirement impacts the timeline for</w:t>
      </w:r>
      <w:r>
        <w:t xml:space="preserve"> </w:t>
      </w:r>
      <w:r>
        <w:t xml:space="preserve">revenue earning for managers (e.g. USD 100m investment at 15bps; one month of not</w:t>
      </w:r>
      <w:r>
        <w:t xml:space="preserve"> </w:t>
      </w:r>
      <w:r>
        <w:t xml:space="preserve">earning revenue will cost the business USD 12,500 over that month).</w:t>
      </w:r>
    </w:p>
    <w:p>
      <w:pPr>
        <w:numPr>
          <w:ilvl w:val="0"/>
          <w:numId w:val="1029"/>
        </w:numPr>
      </w:pPr>
      <w:r>
        <w:t xml:space="preserve">Improve procedures and timelines for the de-notification of funds, which should be</w:t>
      </w:r>
      <w:r>
        <w:t xml:space="preserve"> </w:t>
      </w:r>
      <w:r>
        <w:t xml:space="preserve">processed by the home NCA and transmitted to the relevant host Member States and ESMA</w:t>
      </w:r>
      <w:r>
        <w:t xml:space="preserve"> </w:t>
      </w:r>
      <w:r>
        <w:t xml:space="preserve">through the ESMA data platform within five working days. This will trigger more timely</w:t>
      </w:r>
      <w:r>
        <w:t xml:space="preserve"> </w:t>
      </w:r>
      <w:r>
        <w:t xml:space="preserve">and accurate updates to ESMA’s register, making it clear where funds are no longer</w:t>
      </w:r>
      <w:r>
        <w:t xml:space="preserve"> </w:t>
      </w:r>
      <w:r>
        <w:t xml:space="preserve">marketed, bringing certainty to this area. Specifically on de-notifications relating to AIFs,</w:t>
      </w:r>
      <w:r>
        <w:t xml:space="preserve"> </w:t>
      </w:r>
      <w:r>
        <w:t xml:space="preserve">under this option, the 36-month pre-marketing ban contained in Article 32a(3) of AIFMD</w:t>
      </w:r>
      <w:r>
        <w:t xml:space="preserve"> </w:t>
      </w:r>
      <w:r>
        <w:t xml:space="preserve">would be repealed. The pre-marketing ban has the following negative impacts: (i)</w:t>
      </w:r>
      <w:r>
        <w:t xml:space="preserve"> </w:t>
      </w:r>
      <w:r>
        <w:t xml:space="preserve">additional cost to investors, if the AIFM has no mechanism by which to test investor</w:t>
      </w:r>
      <w:r>
        <w:t xml:space="preserve"> </w:t>
      </w:r>
      <w:r>
        <w:t xml:space="preserve">appetite other than by registering the fund under marketing in the EU; (ii) barrier to</w:t>
      </w:r>
      <w:r>
        <w:t xml:space="preserve"> </w:t>
      </w:r>
      <w:r>
        <w:t xml:space="preserve">investment opportunities for investors, if the AIFM is disincentivised from registering for</w:t>
      </w:r>
      <w:r>
        <w:t xml:space="preserve"> </w:t>
      </w:r>
      <w:r>
        <w:t xml:space="preserve">marketing and distortion in demand for similar strategy products; (iii) barrier to investment</w:t>
      </w:r>
      <w:r>
        <w:t xml:space="preserve"> </w:t>
      </w:r>
      <w:r>
        <w:t xml:space="preserve">capital in EU investee companies, resulting in slower European economic growth; and (iv)</w:t>
      </w:r>
      <w:r>
        <w:t xml:space="preserve"> </w:t>
      </w:r>
      <w:r>
        <w:t xml:space="preserve">increased bureaucracy, and administrative and compliance costs for the AIFM. AIFMs need</w:t>
      </w:r>
      <w:r>
        <w:t xml:space="preserve"> </w:t>
      </w:r>
      <w:r>
        <w:t xml:space="preserve">to adjust internal processes and systems to ensure that (a) a new offer is not inadvertently</w:t>
      </w:r>
    </w:p>
    <w:p>
      <w:pPr>
        <w:pStyle w:val="FirstParagraph"/>
      </w:pPr>
      <w:r>
        <w:t xml:space="preserve">307</w:t>
      </w:r>
      <w:r>
        <w:t xml:space="preserve"> </w:t>
      </w:r>
      <w:r>
        <w:t xml:space="preserve">made to investors in the relevant Member State in respect of an AIF which has been de-</w:t>
      </w:r>
      <w:r>
        <w:t xml:space="preserve"> </w:t>
      </w:r>
      <w:r>
        <w:t xml:space="preserve">notified, and (b) an AIF with</w:t>
      </w:r>
      <w:r>
        <w:t xml:space="preserve"> </w:t>
      </w:r>
      <w:r>
        <w:t xml:space="preserve">“similar investment strategies or investment ideas”</w:t>
      </w:r>
      <w:r>
        <w:t xml:space="preserve"> </w:t>
      </w:r>
      <w:r>
        <w:t xml:space="preserve">is not</w:t>
      </w:r>
      <w:r>
        <w:t xml:space="preserve"> </w:t>
      </w:r>
      <w:r>
        <w:t xml:space="preserve">subsequently pre-marketed in that Member State. This measure will result in substantial</w:t>
      </w:r>
      <w:r>
        <w:t xml:space="preserve"> </w:t>
      </w:r>
      <w:r>
        <w:t xml:space="preserve">costs savings as illustrated by the below example provided by a fund association of behalf</w:t>
      </w:r>
      <w:r>
        <w:t xml:space="preserve"> </w:t>
      </w:r>
      <w:r>
        <w:t xml:space="preserve">of a large AIFM:</w:t>
      </w:r>
    </w:p>
    <w:p>
      <w:pPr>
        <w:pStyle w:val="BodyText"/>
      </w:pPr>
      <w:r>
        <w:t xml:space="preserve">Taking an example of an AIF with a 10-year lifespan marketing in 10 EU jurisdictions,</w:t>
      </w:r>
      <w:r>
        <w:t xml:space="preserve"> </w:t>
      </w:r>
      <w:r>
        <w:t xml:space="preserve">this could incur approximately EUR 210,00 per AIF in fees payable for registration</w:t>
      </w:r>
      <w:r>
        <w:t xml:space="preserve"> </w:t>
      </w:r>
      <w:r>
        <w:t xml:space="preserve">outside of the fundraising period. Where a manager has a single vintage of a full range</w:t>
      </w:r>
      <w:r>
        <w:t xml:space="preserve"> </w:t>
      </w:r>
      <w:r>
        <w:t xml:space="preserve">of AIFs (18 different AIFs across various strategies, including master/feeder and sleeve</w:t>
      </w:r>
      <w:r>
        <w:t xml:space="preserve"> </w:t>
      </w:r>
      <w:r>
        <w:t xml:space="preserve">structures), this could amount to EUR 3,780,000.</w:t>
      </w:r>
    </w:p>
    <w:p>
      <w:pPr>
        <w:pStyle w:val="Compact"/>
        <w:numPr>
          <w:ilvl w:val="0"/>
          <w:numId w:val="1030"/>
        </w:numPr>
      </w:pPr>
      <w:r>
        <w:t xml:space="preserve">Harmonise and enhance marketing rules</w:t>
      </w:r>
      <w:r>
        <w:br/>
      </w:r>
      <w:r>
        <w:t xml:space="preserve">Streamlining some of the current marketing rules and regimes at EU and national level would</w:t>
      </w:r>
      <w:r>
        <w:t xml:space="preserve"> </w:t>
      </w:r>
      <w:r>
        <w:t xml:space="preserve">involve repealing some EU provisions and addressing national frameworks. A more</w:t>
      </w:r>
      <w:r>
        <w:t xml:space="preserve"> </w:t>
      </w:r>
      <w:r>
        <w:t xml:space="preserve">harmonised framework would promote access for funds to enter more markets and improve</w:t>
      </w:r>
      <w:r>
        <w:t xml:space="preserve"> </w:t>
      </w:r>
      <w:r>
        <w:t xml:space="preserve">time to market. The CBD framework covers different aspects of marketing, including bringing</w:t>
      </w:r>
      <w:r>
        <w:t xml:space="preserve"> </w:t>
      </w:r>
      <w:r>
        <w:t xml:space="preserve">more transparency on national frameworks. However, such national frameworks inhibit</w:t>
      </w:r>
      <w:r>
        <w:t xml:space="preserve"> </w:t>
      </w:r>
      <w:r>
        <w:t xml:space="preserve">investment funds from being marketed in a seamless way in the single market, thus impacting</w:t>
      </w:r>
      <w:r>
        <w:t xml:space="preserve"> </w:t>
      </w:r>
      <w:r>
        <w:t xml:space="preserve">the experience for the end-user, i.e. EU investors.</w:t>
      </w:r>
      <w:r>
        <w:br/>
      </w:r>
      <w:r>
        <w:t xml:space="preserve">This option would entail various revisions, as well as new proposals relating to the current</w:t>
      </w:r>
      <w:r>
        <w:t xml:space="preserve"> </w:t>
      </w:r>
      <w:r>
        <w:t xml:space="preserve">marketing rules and regimes for funds operating under the UCITS and AIFMD frameworks.</w:t>
      </w:r>
      <w:r>
        <w:br/>
      </w:r>
      <w:r>
        <w:t xml:space="preserve">The proposals to introduce enhancements will necessitate amendments to the CBDR.</w:t>
      </w:r>
      <w:r>
        <w:br/>
      </w:r>
      <w:r>
        <w:t xml:space="preserve">Specifically, these measures would:</w:t>
      </w:r>
    </w:p>
    <w:p>
      <w:pPr>
        <w:numPr>
          <w:ilvl w:val="0"/>
          <w:numId w:val="1031"/>
        </w:numPr>
      </w:pPr>
      <w:r>
        <w:t xml:space="preserve">Replace Article 7 of the CBDR concerning ex-ante verification of marketing</w:t>
      </w:r>
      <w:r>
        <w:t xml:space="preserve"> </w:t>
      </w:r>
      <w:r>
        <w:t xml:space="preserve">communications. This provision allows Member States/NCAs to require prior notification</w:t>
      </w:r>
      <w:r>
        <w:t xml:space="preserve"> </w:t>
      </w:r>
      <w:r>
        <w:t xml:space="preserve">of marketing communications which AIFMs/ UCITS management companies intend to use</w:t>
      </w:r>
      <w:r>
        <w:t xml:space="preserve"> </w:t>
      </w:r>
      <w:r>
        <w:t xml:space="preserve">directly or indirectly in their dealings with investors. This provision impacts time to market</w:t>
      </w:r>
      <w:r>
        <w:t xml:space="preserve"> </w:t>
      </w:r>
      <w:r>
        <w:t xml:space="preserve">and has very little added value considering that UCITS and AIFMs are authorised products.</w:t>
      </w:r>
      <w:r>
        <w:t xml:space="preserve"> </w:t>
      </w:r>
      <w:r>
        <w:t xml:space="preserve">In addition, the NCA from only one jurisdiction (Belgium) carries out systematic ex-ante</w:t>
      </w:r>
      <w:r>
        <w:t xml:space="preserve"> </w:t>
      </w:r>
      <w:r>
        <w:t xml:space="preserve">verifications of marketing communications.483 It is therefore proposed to replace this</w:t>
      </w:r>
      <w:r>
        <w:t xml:space="preserve"> </w:t>
      </w:r>
      <w:r>
        <w:t xml:space="preserve">optionality with the possibility for NCAs to verify marketing communications ex post and</w:t>
      </w:r>
      <w:r>
        <w:t xml:space="preserve"> </w:t>
      </w:r>
      <w:r>
        <w:t xml:space="preserve">to request home competent authorities to take action, where they have reasonable grounds</w:t>
      </w:r>
      <w:r>
        <w:t xml:space="preserve"> </w:t>
      </w:r>
      <w:r>
        <w:t xml:space="preserve">to suspect that marketing communications do not comply with the requirements of CBDR.</w:t>
      </w:r>
      <w:r>
        <w:t xml:space="preserve"> </w:t>
      </w:r>
      <w:r>
        <w:t xml:space="preserve">ESMA’s powers to address cross-border barriers would allow home and host NCAs to</w:t>
      </w:r>
      <w:r>
        <w:t xml:space="preserve"> </w:t>
      </w:r>
      <w:r>
        <w:t xml:space="preserve">exchange views and reach consensus where issues on marketing communications arise.</w:t>
      </w:r>
      <w:r>
        <w:t xml:space="preserve"> </w:t>
      </w:r>
      <w:r>
        <w:t xml:space="preserve">Where necessary, ESMA could also exercise binding mediation powers. Convergence in</w:t>
      </w:r>
      <w:r>
        <w:t xml:space="preserve"> </w:t>
      </w:r>
      <w:r>
        <w:t xml:space="preserve">this area allows for the use of a single marketing communication package across the single</w:t>
      </w:r>
      <w:r>
        <w:t xml:space="preserve"> </w:t>
      </w:r>
      <w:r>
        <w:t xml:space="preserve">market.</w:t>
      </w:r>
    </w:p>
    <w:p>
      <w:pPr>
        <w:numPr>
          <w:ilvl w:val="0"/>
          <w:numId w:val="1031"/>
        </w:numPr>
      </w:pPr>
      <w:r>
        <w:t xml:space="preserve">Remove Member States’ discretion as regards national laws, regulations and administrative</w:t>
      </w:r>
      <w:r>
        <w:t xml:space="preserve"> </w:t>
      </w:r>
      <w:r>
        <w:t xml:space="preserve">provisions governing the marketing requirements for UCITS and AIFs concerning the</w:t>
      </w:r>
      <w:r>
        <w:t xml:space="preserve"> </w:t>
      </w:r>
      <w:r>
        <w:t xml:space="preserve">format and content of marketing material. It is proposed to introduce an empowerment for</w:t>
      </w:r>
    </w:p>
    <w:p>
      <w:pPr>
        <w:pStyle w:val="FirstParagraph"/>
      </w:pPr>
      <w:r>
        <w:t xml:space="preserve">483 ESMA report on Marketing requirements and marketing communications under the Regulation on cross-border</w:t>
      </w:r>
      <w:r>
        <w:t xml:space="preserve"> </w:t>
      </w:r>
      <w:r>
        <w:t xml:space="preserve">distribution of funds, 3 July 2023, at page 8, available here.</w:t>
      </w:r>
    </w:p>
    <w:p>
      <w:pPr>
        <w:pStyle w:val="BodyText"/>
      </w:pPr>
      <w:r>
        <w:t xml:space="preserve">308</w:t>
      </w:r>
      <w:r>
        <w:t xml:space="preserve"> </w:t>
      </w:r>
      <w:r>
        <w:t xml:space="preserve">a Commission delegated act, specifying the content and format of marketing</w:t>
      </w:r>
      <w:r>
        <w:t xml:space="preserve"> </w:t>
      </w:r>
      <w:r>
        <w:t xml:space="preserve">communications. The intention of these reforms would be to have harmonised, pan-</w:t>
      </w:r>
      <w:r>
        <w:t xml:space="preserve"> </w:t>
      </w:r>
      <w:r>
        <w:t xml:space="preserve">European standards for marketing materials, whilst preventing Member States from</w:t>
      </w:r>
      <w:r>
        <w:t xml:space="preserve"> </w:t>
      </w:r>
      <w:r>
        <w:t xml:space="preserve">imposing additional elements and requirements, thereby reducing administrative burdens</w:t>
      </w:r>
      <w:r>
        <w:t xml:space="preserve"> </w:t>
      </w:r>
      <w:r>
        <w:t xml:space="preserve">and making access to the single market easier. According to a review performed by ESMA,</w:t>
      </w:r>
      <w:r>
        <w:t xml:space="preserve"> </w:t>
      </w:r>
      <w:r>
        <w:t xml:space="preserve">NCAs broadly apply the rules on marketing materials stemming from the AIFMD and</w:t>
      </w:r>
      <w:r>
        <w:t xml:space="preserve"> </w:t>
      </w:r>
      <w:r>
        <w:t xml:space="preserve">UCITS Directive, including the provisions introduced by the CBD framework and the</w:t>
      </w:r>
      <w:r>
        <w:t xml:space="preserve"> </w:t>
      </w:r>
      <w:r>
        <w:t xml:space="preserve">ESMA Guidelines. However, it is reported that the NCAs from two jurisdictions (Bulgaria</w:t>
      </w:r>
      <w:r>
        <w:t xml:space="preserve"> </w:t>
      </w:r>
      <w:r>
        <w:t xml:space="preserve">and Ireland) apply additional requirements on the content, format and manner of</w:t>
      </w:r>
      <w:r>
        <w:t xml:space="preserve"> </w:t>
      </w:r>
      <w:r>
        <w:t xml:space="preserve">presentation of marketing communications, including compulsory warnings and</w:t>
      </w:r>
      <w:r>
        <w:t xml:space="preserve"> </w:t>
      </w:r>
      <w:r>
        <w:t xml:space="preserve">restrictions on the use of certain words or phrases.484</w:t>
      </w:r>
    </w:p>
    <w:p>
      <w:pPr>
        <w:numPr>
          <w:ilvl w:val="0"/>
          <w:numId w:val="1032"/>
        </w:numPr>
      </w:pPr>
      <w:r>
        <w:t xml:space="preserve">Address divergences in Member State rules concerning disclosures in fund documentation</w:t>
      </w:r>
      <w:r>
        <w:t xml:space="preserve"> </w:t>
      </w:r>
      <w:r>
        <w:t xml:space="preserve">(e.g. country-specific disclosures in the prospectus or supplements) by harmonising the</w:t>
      </w:r>
      <w:r>
        <w:t xml:space="preserve"> </w:t>
      </w:r>
      <w:r>
        <w:t xml:space="preserve">existing requirements in the UCITSD and AIFMD on disclosures in fund documentation</w:t>
      </w:r>
      <w:r>
        <w:t xml:space="preserve"> </w:t>
      </w:r>
      <w:r>
        <w:t xml:space="preserve">(i.e. the content of the prospectus and annual and half-yearly reports), resulting in a truly</w:t>
      </w:r>
      <w:r>
        <w:t xml:space="preserve"> </w:t>
      </w:r>
      <w:r>
        <w:t xml:space="preserve">pan-European framework for disclosures in fund documentation.</w:t>
      </w:r>
    </w:p>
    <w:p>
      <w:pPr>
        <w:numPr>
          <w:ilvl w:val="0"/>
          <w:numId w:val="1032"/>
        </w:numPr>
      </w:pPr>
      <w:r>
        <w:t xml:space="preserve">Harmonise marketing communication rules and reduce national divergences, by repealing</w:t>
      </w:r>
      <w:r>
        <w:t xml:space="preserve"> </w:t>
      </w:r>
      <w:r>
        <w:t xml:space="preserve">the following provisions of the CBDR:</w:t>
      </w:r>
      <w:r>
        <w:t xml:space="preserve"> </w:t>
      </w:r>
      <w:r>
        <w:t xml:space="preserve"> Article 5 – Publication of national provisions concerning marketing</w:t>
      </w:r>
      <w:r>
        <w:t xml:space="preserve"> </w:t>
      </w:r>
      <w:r>
        <w:t xml:space="preserve">communications;</w:t>
      </w:r>
      <w:r>
        <w:br/>
      </w:r>
      <w:r>
        <w:t xml:space="preserve"> Article 6 – ESMA central database on national provisions concerning marketing</w:t>
      </w:r>
      <w:r>
        <w:t xml:space="preserve"> </w:t>
      </w:r>
      <w:r>
        <w:t xml:space="preserve">requirements; and</w:t>
      </w:r>
      <w:r>
        <w:t xml:space="preserve"> </w:t>
      </w:r>
      <w:r>
        <w:t xml:space="preserve"> Article 8 – ESMA report on marketing communications.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Strengthen provisions to prohibit host Member States from requiring the</w:t>
      </w:r>
      <w:r>
        <w:t xml:space="preserve"> </w:t>
      </w:r>
      <w:r>
        <w:t xml:space="preserve">appointment of local physical agents, streamline regulatory fees information</w:t>
      </w:r>
      <w:r>
        <w:t xml:space="preserve"> </w:t>
      </w:r>
      <w:r>
        <w:t xml:space="preserve">and translation requirements</w:t>
      </w:r>
      <w:r>
        <w:br/>
      </w:r>
      <w:r>
        <w:t xml:space="preserve">On physical local presence regimes, Article 92(2) UCITSD provides that Member States shall</w:t>
      </w:r>
      <w:r>
        <w:t xml:space="preserve"> </w:t>
      </w:r>
      <w:r>
        <w:t xml:space="preserve">not require a UCITS to have a physical presence in the host Member State or to appoint a third</w:t>
      </w:r>
      <w:r>
        <w:t xml:space="preserve"> </w:t>
      </w:r>
      <w:r>
        <w:t xml:space="preserve">party for the purposes of undertaking various activities relating to the fund, such as processing</w:t>
      </w:r>
      <w:r>
        <w:t xml:space="preserve"> </w:t>
      </w:r>
      <w:r>
        <w:t xml:space="preserve">subscription, repurchase and redemption orders, making information and documents available</w:t>
      </w:r>
      <w:r>
        <w:t xml:space="preserve"> </w:t>
      </w:r>
      <w:r>
        <w:t xml:space="preserve">to investors and acting as a contact point for communicating with the NCAs. A similar</w:t>
      </w:r>
      <w:r>
        <w:t xml:space="preserve"> </w:t>
      </w:r>
      <w:r>
        <w:t xml:space="preserve">requirement exists for AIFs that are marketed to retail investors under Article 43a(2) of the</w:t>
      </w:r>
      <w:r>
        <w:t xml:space="preserve"> </w:t>
      </w:r>
      <w:r>
        <w:t xml:space="preserve">AIFMD.</w:t>
      </w:r>
      <w:r>
        <w:br/>
      </w:r>
      <w:r>
        <w:t xml:space="preserve">Under this option, it is proposed to strengthen the UCITSD and AIFMD rules to solidify this</w:t>
      </w:r>
      <w:r>
        <w:t xml:space="preserve"> </w:t>
      </w:r>
      <w:r>
        <w:t xml:space="preserve">provision so that host Member States and NCAs no longer require a local presence, through</w:t>
      </w:r>
      <w:r>
        <w:t xml:space="preserve"> </w:t>
      </w:r>
      <w:r>
        <w:t xml:space="preserve">any means, such as law, handbooks, market practice or otherwise and under all circumstances,</w:t>
      </w:r>
      <w:r>
        <w:t xml:space="preserve"> </w:t>
      </w:r>
      <w:r>
        <w:t xml:space="preserve">not only those currently listed in the above-mentioned Articles.</w:t>
      </w:r>
      <w:r>
        <w:br/>
      </w:r>
      <w:r>
        <w:t xml:space="preserve">On regulatory fees, Article 10 CBDR requires host competent authorities to publish and</w:t>
      </w:r>
      <w:r>
        <w:t xml:space="preserve"> </w:t>
      </w:r>
      <w:r>
        <w:t xml:space="preserve">maintain up-to-date information on their websites listing the fees or charges that they levy on</w:t>
      </w:r>
      <w:r>
        <w:t xml:space="preserve"> </w:t>
      </w:r>
      <w:r>
        <w:t xml:space="preserve">UCITS and AIFs that are marketed in their territory. Under this option, it is proposed remove</w:t>
      </w:r>
    </w:p>
    <w:p>
      <w:pPr>
        <w:pStyle w:val="FirstParagraph"/>
      </w:pPr>
      <w:r>
        <w:t xml:space="preserve">484 ESMA report on Marketing requirements and marketing communications under the Regulation on cross-border</w:t>
      </w:r>
      <w:r>
        <w:t xml:space="preserve"> </w:t>
      </w:r>
      <w:r>
        <w:t xml:space="preserve">distribution of funds, 3 July 2023, at page 7, available here: ESMA34-45-1814 - 2023 Report to EU Institutions</w:t>
      </w:r>
      <w:r>
        <w:t xml:space="preserve"> </w:t>
      </w:r>
      <w:r>
        <w:t xml:space="preserve">on national rules governing marketing requirements</w:t>
      </w:r>
    </w:p>
    <w:p>
      <w:pPr>
        <w:pStyle w:val="BodyText"/>
      </w:pPr>
      <w:r>
        <w:t xml:space="preserve">309</w:t>
      </w:r>
      <w:r>
        <w:t xml:space="preserve"> </w:t>
      </w:r>
      <w:r>
        <w:t xml:space="preserve">this obligation and instead introduce an obligation for NCAs to communicate information on</w:t>
      </w:r>
      <w:r>
        <w:t xml:space="preserve"> </w:t>
      </w:r>
      <w:r>
        <w:t xml:space="preserve">the applicable fees and charges, their frequency and the modalities of their payment to ESMA,</w:t>
      </w:r>
      <w:r>
        <w:t xml:space="preserve"> </w:t>
      </w:r>
      <w:r>
        <w:t xml:space="preserve">which should in turn publish this information on its website. NCAs can still choose to publish</w:t>
      </w:r>
      <w:r>
        <w:t xml:space="preserve"> </w:t>
      </w:r>
      <w:r>
        <w:t xml:space="preserve">the information on their own website, but it is only the information on ESMA’s website that</w:t>
      </w:r>
      <w:r>
        <w:t xml:space="preserve"> </w:t>
      </w:r>
      <w:r>
        <w:t xml:space="preserve">should be relied on, the rationale being that the ESMA resource should be a “one stop shop”</w:t>
      </w:r>
      <w:r>
        <w:t xml:space="preserve"> </w:t>
      </w:r>
      <w:r>
        <w:t xml:space="preserve">for funds operating in the single market. This streamlined approach should dramatically reduce</w:t>
      </w:r>
      <w:r>
        <w:t xml:space="preserve"> </w:t>
      </w:r>
      <w:r>
        <w:t xml:space="preserve">costs on funds/managers associated with the administration burden of keeping track of all</w:t>
      </w:r>
      <w:r>
        <w:t xml:space="preserve"> </w:t>
      </w:r>
      <w:r>
        <w:t xml:space="preserve">annual fees and the time they are due (see Case Study 2 and Case Study 3 in Section 4.1 on</w:t>
      </w:r>
      <w:r>
        <w:t xml:space="preserve"> </w:t>
      </w:r>
      <w:r>
        <w:t xml:space="preserve">costs). In addition, ESMA would be tasked with conducting a review of the NCA regulatory</w:t>
      </w:r>
      <w:r>
        <w:t xml:space="preserve"> </w:t>
      </w:r>
      <w:r>
        <w:t xml:space="preserve">fees and charges in relation to the activities of AIFs and UCITS marketed in their territory and</w:t>
      </w:r>
      <w:r>
        <w:t xml:space="preserve"> </w:t>
      </w:r>
      <w:r>
        <w:t xml:space="preserve">shall submit a report to the Commission indicating whether such fees or charges are consistent</w:t>
      </w:r>
      <w:r>
        <w:t xml:space="preserve"> </w:t>
      </w:r>
      <w:r>
        <w:t xml:space="preserve">with the overall cost relating to the performance of the functions of those competent authorities</w:t>
      </w:r>
      <w:r>
        <w:t xml:space="preserve"> </w:t>
      </w:r>
      <w:r>
        <w:t xml:space="preserve">On translation requirements, fragmented national rules prevent the use of a single marketing</w:t>
      </w:r>
      <w:r>
        <w:t xml:space="preserve"> </w:t>
      </w:r>
      <w:r>
        <w:t xml:space="preserve">communication package across the single market and increase the administrative burden for</w:t>
      </w:r>
      <w:r>
        <w:t xml:space="preserve"> </w:t>
      </w:r>
      <w:r>
        <w:t xml:space="preserve">managers wishing to follow a pan-European strategy. Under this option, it is proposed to limit</w:t>
      </w:r>
      <w:r>
        <w:t xml:space="preserve"> </w:t>
      </w:r>
      <w:r>
        <w:t xml:space="preserve">translation requirements to the key investor information referred to in Article 78 UCITSD and</w:t>
      </w:r>
      <w:r>
        <w:t xml:space="preserve"> </w:t>
      </w:r>
      <w:r>
        <w:t xml:space="preserve">the key information document referred to in Article 82a UCITSD, while all remaining</w:t>
      </w:r>
      <w:r>
        <w:t xml:space="preserve"> </w:t>
      </w:r>
      <w:r>
        <w:t xml:space="preserve">documentation should be provided at least in a language customary in the sphere of</w:t>
      </w:r>
      <w:r>
        <w:t xml:space="preserve"> </w:t>
      </w:r>
      <w:r>
        <w:t xml:space="preserve">international finance. The ESMA data platform should allow for the automatic translation of</w:t>
      </w:r>
      <w:r>
        <w:t xml:space="preserve"> </w:t>
      </w:r>
      <w:r>
        <w:t xml:space="preserve">all documentation accompanying marketing notifications in any official language of the Union.</w:t>
      </w:r>
      <w:r>
        <w:br/>
      </w:r>
      <w:r>
        <w:t xml:space="preserve">5.2. POLICY OPTIONS FOR DEPOSITARIES</w:t>
      </w:r>
      <w:r>
        <w:t xml:space="preserve"> </w:t>
      </w:r>
      <w:r>
        <w:t xml:space="preserve">5.2.1. Baseline/Status quo</w:t>
      </w:r>
      <w:r>
        <w:t xml:space="preserve"> </w:t>
      </w:r>
      <w:r>
        <w:t xml:space="preserve">In the absence of any policy action, the baseline scenario applies. The current AIFMD and</w:t>
      </w:r>
      <w:r>
        <w:t xml:space="preserve"> </w:t>
      </w:r>
      <w:r>
        <w:t xml:space="preserve">UCITS frameworks on the provision of depositary services would remain unchanged, leaving</w:t>
      </w:r>
      <w:r>
        <w:t xml:space="preserve"> </w:t>
      </w:r>
      <w:r>
        <w:t xml:space="preserve">existing challenges unresolved. For instance, economic research485 concluded that despite the</w:t>
      </w:r>
      <w:r>
        <w:t xml:space="preserve"> </w:t>
      </w:r>
      <w:r>
        <w:t xml:space="preserve">CBDR that aimed to drive convergence or complete removal of local requirements that</w:t>
      </w:r>
      <w:r>
        <w:t xml:space="preserve"> </w:t>
      </w:r>
      <w:r>
        <w:t xml:space="preserve">Member States impose on cross-border funds, some EU Member States have sought to</w:t>
      </w:r>
      <w:r>
        <w:t xml:space="preserve"> </w:t>
      </w:r>
      <w:r>
        <w:t xml:space="preserve">maintain or even strengthen their requirements.</w:t>
      </w:r>
      <w:r>
        <w:t xml:space="preserve"> </w:t>
      </w:r>
      <w:r>
        <w:t xml:space="preserve">5.2.2. Comprehensive review: EU-depositary passport</w:t>
      </w:r>
      <w:r>
        <w:t xml:space="preserve"> </w:t>
      </w:r>
      <w:r>
        <w:t xml:space="preserve">This option would introduce an additional building block to the internal market by creating an</w:t>
      </w:r>
      <w:r>
        <w:t xml:space="preserve"> </w:t>
      </w:r>
      <w:r>
        <w:t xml:space="preserve">EU-level depositary passport, complementing the existing AIFM management and marketing</w:t>
      </w:r>
      <w:r>
        <w:t xml:space="preserve"> </w:t>
      </w:r>
      <w:r>
        <w:t xml:space="preserve">passports. Considering that most depositaries are credit institutions or investment firms, the</w:t>
      </w:r>
      <w:r>
        <w:t xml:space="preserve"> </w:t>
      </w:r>
      <w:r>
        <w:t xml:space="preserve">EU-level depositary passport would build on the passport that already exists for those</w:t>
      </w:r>
      <w:r>
        <w:t xml:space="preserve"> </w:t>
      </w:r>
      <w:r>
        <w:t xml:space="preserve">institutions under Directive 2013/36/EU and Directive 2014/65/EU. Limiting the passport to</w:t>
      </w:r>
      <w:r>
        <w:t xml:space="preserve"> </w:t>
      </w:r>
      <w:r>
        <w:t xml:space="preserve">such entities would also be more optimal from a financial stability and investor protection</w:t>
      </w:r>
      <w:r>
        <w:t xml:space="preserve"> </w:t>
      </w:r>
      <w:r>
        <w:t xml:space="preserve">perspective, as they are already subject to harmonised EU-level authorisation, prudential</w:t>
      </w:r>
      <w:r>
        <w:t xml:space="preserve"> </w:t>
      </w:r>
      <w:r>
        <w:t xml:space="preserve">requirements, and supervision, ensuring consistent safeguards across Member States.</w:t>
      </w:r>
    </w:p>
    <w:p>
      <w:pPr>
        <w:pStyle w:val="BodyText"/>
      </w:pPr>
      <w:r>
        <w:t xml:space="preserve">485 Investment Company Institute (ICI), Cross-Border Frictions Within EU Capital Markets Can Drive Up Costs,</w:t>
      </w:r>
      <w:r>
        <w:t xml:space="preserve"> </w:t>
      </w:r>
      <w:r>
        <w:t xml:space="preserve">June 2023, available here: Cross-Border Frictions Within EU Capital Markets Can Drive Up Costs | Investment</w:t>
      </w:r>
      <w:r>
        <w:t xml:space="preserve"> </w:t>
      </w:r>
      <w:r>
        <w:t xml:space="preserve">Company Institute</w:t>
      </w:r>
    </w:p>
    <w:p>
      <w:pPr>
        <w:pStyle w:val="BodyText"/>
      </w:pPr>
      <w:r>
        <w:t xml:space="preserve">310</w:t>
      </w:r>
      <w:r>
        <w:t xml:space="preserve"> </w:t>
      </w:r>
      <w:r>
        <w:t xml:space="preserve">A depositary passport would enable AIFMs and UCITS to appoint a depositary located</w:t>
      </w:r>
      <w:r>
        <w:t xml:space="preserve"> </w:t>
      </w:r>
      <w:r>
        <w:t xml:space="preserve">anywhere within the EU, while allowing depositaries to offer their services on a cross-border</w:t>
      </w:r>
      <w:r>
        <w:t xml:space="preserve"> </w:t>
      </w:r>
      <w:r>
        <w:t xml:space="preserve">basis. In practice, this would remove the current restriction requiring the depositary to be</w:t>
      </w:r>
      <w:r>
        <w:t xml:space="preserve"> </w:t>
      </w:r>
      <w:r>
        <w:t xml:space="preserve">established in the same Member State as the fund, thereby facilitating cross-border access to</w:t>
      </w:r>
      <w:r>
        <w:t xml:space="preserve"> </w:t>
      </w:r>
      <w:r>
        <w:t xml:space="preserve">depositary services.</w:t>
      </w:r>
      <w:r>
        <w:br/>
      </w:r>
      <w:r>
        <w:t xml:space="preserve">5.3. POLICY OPTIONS FOR ASSET MANAGERS</w:t>
      </w:r>
      <w:r>
        <w:t xml:space="preserve"> </w:t>
      </w:r>
      <w:r>
        <w:t xml:space="preserve">5.3.1. Baseline/Status quo</w:t>
      </w:r>
      <w:r>
        <w:t xml:space="preserve"> </w:t>
      </w:r>
      <w:r>
        <w:t xml:space="preserve">Under the baseline scenario, divergent national practices in the authorisation and operations of</w:t>
      </w:r>
      <w:r>
        <w:t xml:space="preserve"> </w:t>
      </w:r>
      <w:r>
        <w:t xml:space="preserve">AIFMs and UCITS management companies, as well as national discretions would persist. Asset</w:t>
      </w:r>
      <w:r>
        <w:t xml:space="preserve"> </w:t>
      </w:r>
      <w:r>
        <w:t xml:space="preserve">managers and asset management groups operating across several Member States would</w:t>
      </w:r>
      <w:r>
        <w:t xml:space="preserve"> </w:t>
      </w:r>
      <w:r>
        <w:t xml:space="preserve">continue to face duplicative and inconsistent requirements, such as differing documentation</w:t>
      </w:r>
      <w:r>
        <w:t xml:space="preserve"> </w:t>
      </w:r>
      <w:r>
        <w:t xml:space="preserve">standards, and procedural variations.</w:t>
      </w:r>
      <w:r>
        <w:br/>
      </w:r>
      <w:r>
        <w:t xml:space="preserve">5.3.2. Comprehensive review: Standardise the authorisation process, streamline</w:t>
      </w:r>
      <w:r>
        <w:t xml:space="preserve"> </w:t>
      </w:r>
      <w:r>
        <w:t xml:space="preserve">organisational and delegation requirements for asset management groups</w:t>
      </w:r>
      <w:r>
        <w:t xml:space="preserve"> </w:t>
      </w:r>
      <w:r>
        <w:t xml:space="preserve">and eliminate national divergences for asset managers</w:t>
      </w:r>
      <w:r>
        <w:t xml:space="preserve"> </w:t>
      </w:r>
      <w:r>
        <w:t xml:space="preserve">a) Policy options for asset management groups</w:t>
      </w:r>
      <w:r>
        <w:t xml:space="preserve"> </w:t>
      </w:r>
      <w:r>
        <w:t xml:space="preserve">Option 2 would necessitate to define the notion of the EU group of a management company or</w:t>
      </w:r>
      <w:r>
        <w:t xml:space="preserve"> </w:t>
      </w:r>
      <w:r>
        <w:t xml:space="preserve">AIFM for the purposes of UCITS/AIFMD, building on the existing acquis with possible</w:t>
      </w:r>
      <w:r>
        <w:t xml:space="preserve"> </w:t>
      </w:r>
      <w:r>
        <w:t xml:space="preserve">adaptations where required. Said notion would comprise all management companies and</w:t>
      </w:r>
      <w:r>
        <w:t xml:space="preserve"> </w:t>
      </w:r>
      <w:r>
        <w:t xml:space="preserve">AIFMs, as well as investment firms and credit institutions that are duly authorised under</w:t>
      </w:r>
      <w:r>
        <w:t xml:space="preserve"> </w:t>
      </w:r>
      <w:r>
        <w:t xml:space="preserve">Directive 2013/36/EU and Directive 2014/65/EU, respectively. All entities within the group</w:t>
      </w:r>
      <w:r>
        <w:t xml:space="preserve"> </w:t>
      </w:r>
      <w:r>
        <w:t xml:space="preserve">should be established in the EU and controlled by the same parent. Option 2 would further</w:t>
      </w:r>
      <w:r>
        <w:t xml:space="preserve"> </w:t>
      </w:r>
      <w:r>
        <w:t xml:space="preserve">allow EU-based management companies and AIFMs that form part of a group to be able to</w:t>
      </w:r>
      <w:r>
        <w:t xml:space="preserve"> </w:t>
      </w:r>
      <w:r>
        <w:t xml:space="preserve">utilise the human and technical resources of other entities within the group in order to conduct</w:t>
      </w:r>
      <w:r>
        <w:t xml:space="preserve"> </w:t>
      </w:r>
      <w:r>
        <w:t xml:space="preserve">their business. This option would require an amendment to Article 7(1) UCITSD and 7(2)</w:t>
      </w:r>
      <w:r>
        <w:t xml:space="preserve"> </w:t>
      </w:r>
      <w:r>
        <w:t xml:space="preserve">AIFMD to clarify that an EU management company within a group will be able to rely on the</w:t>
      </w:r>
      <w:r>
        <w:t xml:space="preserve"> </w:t>
      </w:r>
      <w:r>
        <w:t xml:space="preserve">human and technical resources of other entities within the group to conduct its business. In</w:t>
      </w:r>
      <w:r>
        <w:t xml:space="preserve"> </w:t>
      </w:r>
      <w:r>
        <w:t xml:space="preserve">those cases, the management should specify in its application for authorisation the human and</w:t>
      </w:r>
      <w:r>
        <w:t xml:space="preserve"> </w:t>
      </w:r>
      <w:r>
        <w:t xml:space="preserve">technical resources that are utilised for this purpose within the group.</w:t>
      </w:r>
      <w:r>
        <w:br/>
      </w:r>
      <w:r>
        <w:t xml:space="preserve">National competent authorities should neither prohibit nor discourage such intra-group</w:t>
      </w:r>
      <w:r>
        <w:t xml:space="preserve"> </w:t>
      </w:r>
      <w:r>
        <w:t xml:space="preserve">resource sharing. Instead, they should recognise and actively facilitate the consolidation and</w:t>
      </w:r>
      <w:r>
        <w:t xml:space="preserve"> </w:t>
      </w:r>
      <w:r>
        <w:t xml:space="preserve">optimisation of group-wide resources if so wished, provided that robust governance and risk</w:t>
      </w:r>
      <w:r>
        <w:t xml:space="preserve"> </w:t>
      </w:r>
      <w:r>
        <w:t xml:space="preserve">management arrangements are in place.</w:t>
      </w:r>
    </w:p>
    <w:p>
      <w:pPr>
        <w:pStyle w:val="BodyText"/>
      </w:pPr>
      <w:r>
        <w:t xml:space="preserve">In addition, Option 2 would amend the delegation provisions in the AIFMD (Article 20) and</w:t>
      </w:r>
      <w:r>
        <w:t xml:space="preserve"> </w:t>
      </w:r>
      <w:r>
        <w:t xml:space="preserve">UCITSD (Article 13) to exclude intra-group delegation arrangements (i.e. specifically, the</w:t>
      </w:r>
      <w:r>
        <w:t xml:space="preserve"> </w:t>
      </w:r>
      <w:r>
        <w:t xml:space="preserve">mutualisation of functions between entities within the same EU group) from the scope of</w:t>
      </w:r>
      <w:r>
        <w:t xml:space="preserve"> </w:t>
      </w:r>
      <w:r>
        <w:t xml:space="preserve">delegation rules. This would apply to all groups independently of their size.486 Such amendment</w:t>
      </w:r>
      <w:r>
        <w:t xml:space="preserve"> </w:t>
      </w:r>
      <w:r>
        <w:t xml:space="preserve">would clarify that the transfer of functions between management companies, AIFMs,</w:t>
      </w:r>
    </w:p>
    <w:p>
      <w:pPr>
        <w:pStyle w:val="BodyText"/>
      </w:pPr>
      <w:r>
        <w:t xml:space="preserve">486 See Sectoral Annex 11 on supervision as regards suggested enhanced supervisory arrangements for large</w:t>
      </w:r>
      <w:r>
        <w:t xml:space="preserve"> </w:t>
      </w:r>
      <w:r>
        <w:t xml:space="preserve">groups, intended to facilitate the supervision in case of such arrangements for such groups.</w:t>
      </w:r>
    </w:p>
    <w:p>
      <w:pPr>
        <w:pStyle w:val="BodyText"/>
      </w:pPr>
      <w:r>
        <w:t xml:space="preserve">311</w:t>
      </w:r>
      <w:r>
        <w:t xml:space="preserve"> </w:t>
      </w:r>
      <w:r>
        <w:t xml:space="preserve">investment firms and credit institutions within the same EU group should not qualify as</w:t>
      </w:r>
      <w:r>
        <w:t xml:space="preserve"> </w:t>
      </w:r>
      <w:r>
        <w:t xml:space="preserve">delegation within the meaning of Article 20 AIFMD and Article 13 UCITSD. Accordingly,</w:t>
      </w:r>
      <w:r>
        <w:t xml:space="preserve"> </w:t>
      </w:r>
      <w:r>
        <w:t xml:space="preserve">these intra-group arrangements would no longer be subject to the full set of delegation-related</w:t>
      </w:r>
      <w:r>
        <w:t xml:space="preserve"> </w:t>
      </w:r>
      <w:r>
        <w:t xml:space="preserve">compliance requirements, with the exception of the obligation to inform the national competent</w:t>
      </w:r>
      <w:r>
        <w:t xml:space="preserve"> </w:t>
      </w:r>
      <w:r>
        <w:t xml:space="preserve">authorities of the delegation arrangement, alleviating unnecessary administrative burdens while</w:t>
      </w:r>
      <w:r>
        <w:t xml:space="preserve"> </w:t>
      </w:r>
      <w:r>
        <w:t xml:space="preserve">preserving high supervisory standards. However, management companies and AIFMs will</w:t>
      </w:r>
      <w:r>
        <w:t xml:space="preserve"> </w:t>
      </w:r>
      <w:r>
        <w:t xml:space="preserve">remain fully liable for any functions or services carried out by other entities within their EU</w:t>
      </w:r>
      <w:r>
        <w:t xml:space="preserve"> </w:t>
      </w:r>
      <w:r>
        <w:t xml:space="preserve">group and should ensure that reliance on such entities does not render them mere letter-box</w:t>
      </w:r>
      <w:r>
        <w:t xml:space="preserve"> </w:t>
      </w:r>
      <w:r>
        <w:t xml:space="preserve">entities.</w:t>
      </w:r>
    </w:p>
    <w:p>
      <w:pPr>
        <w:pStyle w:val="BodyText"/>
      </w:pPr>
      <w:r>
        <w:t xml:space="preserve">To ensure legal certainty, enhance the competitiveness of the EU asset management sector and</w:t>
      </w:r>
      <w:r>
        <w:t xml:space="preserve"> </w:t>
      </w:r>
      <w:r>
        <w:t xml:space="preserve">strengthen the EU’s open strategic autonomy in financial services, Option 2 would apply</w:t>
      </w:r>
      <w:r>
        <w:t xml:space="preserve"> </w:t>
      </w:r>
      <w:r>
        <w:t xml:space="preserve">exclusively to delegation arrangements between entities within the same group that are</w:t>
      </w:r>
      <w:r>
        <w:t xml:space="preserve"> </w:t>
      </w:r>
      <w:r>
        <w:t xml:space="preserve">established in the Union. Limiting this option to EU-based regulated firms would ensure that</w:t>
      </w:r>
      <w:r>
        <w:t xml:space="preserve"> </w:t>
      </w:r>
      <w:r>
        <w:t xml:space="preserve">all entities within the same group operate under a common legal, regulatory, and supervisory</w:t>
      </w:r>
      <w:r>
        <w:t xml:space="preserve"> </w:t>
      </w:r>
      <w:r>
        <w:t xml:space="preserve">framework, which is essential for maintaining a high level of investor protection and effective</w:t>
      </w:r>
      <w:r>
        <w:t xml:space="preserve"> </w:t>
      </w:r>
      <w:r>
        <w:t xml:space="preserve">oversight. EU management companies are subject to harmonised rules under the AIFMD and</w:t>
      </w:r>
      <w:r>
        <w:t xml:space="preserve"> </w:t>
      </w:r>
      <w:r>
        <w:t xml:space="preserve">UCITSD, as well as to supervision by national competent authorities within the European</w:t>
      </w:r>
      <w:r>
        <w:t xml:space="preserve"> </w:t>
      </w:r>
      <w:r>
        <w:t xml:space="preserve">System of Financial Supervision. Similarly, investment firms and credit institutions are duly</w:t>
      </w:r>
      <w:r>
        <w:t xml:space="preserve"> </w:t>
      </w:r>
      <w:r>
        <w:t xml:space="preserve">authorised and supervised in the Union and are subject to prudential and organisation</w:t>
      </w:r>
      <w:r>
        <w:t xml:space="preserve"> </w:t>
      </w:r>
      <w:r>
        <w:t xml:space="preserve">requirements. This shared regulatory environment facilitates mutual trust and consistent</w:t>
      </w:r>
      <w:r>
        <w:t xml:space="preserve"> </w:t>
      </w:r>
      <w:r>
        <w:t xml:space="preserve">supervisory practices.</w:t>
      </w:r>
      <w:r>
        <w:br/>
      </w:r>
      <w:r>
        <w:t xml:space="preserve">b) Policy options to remove barriers arising from national divergences</w:t>
      </w:r>
      <w:r>
        <w:t xml:space="preserve"> </w:t>
      </w:r>
      <w:r>
        <w:t xml:space="preserve">First, Option 2 seeks to harmonise authorisation requirements by clearly defining the</w:t>
      </w:r>
      <w:r>
        <w:t xml:space="preserve"> </w:t>
      </w:r>
      <w:r>
        <w:t xml:space="preserve">information that management companies and AIFMs must submit as part of the authorisation</w:t>
      </w:r>
      <w:r>
        <w:t xml:space="preserve"> </w:t>
      </w:r>
      <w:r>
        <w:t xml:space="preserve">process. This would ensure that all applicants are subject to consistent regulatory expectations</w:t>
      </w:r>
      <w:r>
        <w:t xml:space="preserve"> </w:t>
      </w:r>
      <w:r>
        <w:t xml:space="preserve">and reporting standards across the EU. With a view to eliminating national divergences and</w:t>
      </w:r>
      <w:r>
        <w:t xml:space="preserve"> </w:t>
      </w:r>
      <w:r>
        <w:t xml:space="preserve">ensuring consistent harmonisation of the authorisation process across the EU, this option would</w:t>
      </w:r>
      <w:r>
        <w:t xml:space="preserve"> </w:t>
      </w:r>
      <w:r>
        <w:t xml:space="preserve">require ESMA to develop Regulatory Technical Standards specifying the information that must</w:t>
      </w:r>
      <w:r>
        <w:t xml:space="preserve"> </w:t>
      </w:r>
      <w:r>
        <w:t xml:space="preserve">be submitted to competent authorities as part of an authorisation application. In parallel, ESMA</w:t>
      </w:r>
      <w:r>
        <w:t xml:space="preserve"> </w:t>
      </w:r>
      <w:r>
        <w:t xml:space="preserve">would also be empowered to develop Implementing Technical Standards to define the</w:t>
      </w:r>
      <w:r>
        <w:t xml:space="preserve"> </w:t>
      </w:r>
      <w:r>
        <w:t xml:space="preserve">standardised format, templates, and procedures for submitting such information.</w:t>
      </w:r>
      <w:r>
        <w:t xml:space="preserve"> </w:t>
      </w:r>
      <w:r>
        <w:t xml:space="preserve">Second, Option 2 proposes amending the UCITSD and AIFMD to remove the provisions that</w:t>
      </w:r>
      <w:r>
        <w:t xml:space="preserve"> </w:t>
      </w:r>
      <w:r>
        <w:t xml:space="preserve">allow Member States to interpret, supplement, or derogate from core rules and which impose</w:t>
      </w:r>
      <w:r>
        <w:t xml:space="preserve"> </w:t>
      </w:r>
      <w:r>
        <w:t xml:space="preserve">barriers to the development of the single market. Instead, the Directives would be revised to</w:t>
      </w:r>
      <w:r>
        <w:t xml:space="preserve"> </w:t>
      </w:r>
      <w:r>
        <w:t xml:space="preserve">provide fully harmonised requirements that all UCITS management companies and AIFMs</w:t>
      </w:r>
      <w:r>
        <w:t xml:space="preserve"> </w:t>
      </w:r>
      <w:r>
        <w:t xml:space="preserve">must follow across the EU, irrespective of where they are established or operate. In particular,</w:t>
      </w:r>
      <w:r>
        <w:t xml:space="preserve"> </w:t>
      </w:r>
      <w:r>
        <w:t xml:space="preserve">Option 2 would entail the replacement of optional provisions such as those allowing Member</w:t>
      </w:r>
      <w:r>
        <w:t xml:space="preserve"> </w:t>
      </w:r>
      <w:r>
        <w:t xml:space="preserve">States to authorise additional services (e.g. Article 6(3) UCITSD and Article 6(4) AIFMD) with</w:t>
      </w:r>
      <w:r>
        <w:t xml:space="preserve"> </w:t>
      </w:r>
      <w:r>
        <w:t xml:space="preserve">uniform rules defining the permissible scope of services. It would also seek to establish</w:t>
      </w:r>
      <w:r>
        <w:t xml:space="preserve"> </w:t>
      </w:r>
      <w:r>
        <w:t xml:space="preserve">harmonised EU rules on investment and diversification limits for UCITS, removing Member</w:t>
      </w:r>
      <w:r>
        <w:t xml:space="preserve"> </w:t>
      </w:r>
      <w:r>
        <w:t xml:space="preserve">States’ discretion to raise or lower those limits (Article 51-57 UCITSD). In addition, this option</w:t>
      </w:r>
      <w:r>
        <w:t xml:space="preserve"> </w:t>
      </w:r>
      <w:r>
        <w:t xml:space="preserve">aims to standardise rules for depositaries, eliminating Member State discretion to allow</w:t>
      </w:r>
      <w:r>
        <w:t xml:space="preserve"> </w:t>
      </w:r>
      <w:r>
        <w:t xml:space="preserve">alternative depositary models.</w:t>
      </w:r>
      <w:r>
        <w:br/>
      </w:r>
      <w:r>
        <w:t xml:space="preserve">Moreover, Option 2 proposes to align reporting and disclosure standards, ensuring that periodic</w:t>
      </w:r>
      <w:r>
        <w:t xml:space="preserve"> </w:t>
      </w:r>
      <w:r>
        <w:t xml:space="preserve">reporting (e.g. Article 21 UCITSD and Article 22 AIFMD) and prospectus disclosures are</w:t>
      </w:r>
      <w:r>
        <w:t xml:space="preserve"> </w:t>
      </w:r>
      <w:r>
        <w:t xml:space="preserve">consistent across Member States, and have the same exemptions or transitional periods, such</w:t>
      </w:r>
    </w:p>
    <w:p>
      <w:pPr>
        <w:pStyle w:val="BodyText"/>
      </w:pPr>
      <w:r>
        <w:t xml:space="preserve">312</w:t>
      </w:r>
      <w:r>
        <w:t xml:space="preserve"> </w:t>
      </w:r>
      <w:r>
        <w:t xml:space="preserve">as the 6-month derogation for newly authorised UCITS to comply with certain UCITS</w:t>
      </w:r>
      <w:r>
        <w:t xml:space="preserve"> </w:t>
      </w:r>
      <w:r>
        <w:t xml:space="preserve">requirements (Article 57(1) UCITSD).</w:t>
      </w:r>
      <w:r>
        <w:t xml:space="preserve"> </w:t>
      </w:r>
      <w:r>
        <w:t xml:space="preserve">Finally, Option 2 proposes to further harmonised conduct and prudential rules, by allowing</w:t>
      </w:r>
      <w:r>
        <w:t xml:space="preserve"> </w:t>
      </w:r>
      <w:r>
        <w:t xml:space="preserve">ESMA to develop guidelines, so that each management company and AIFM would be subject</w:t>
      </w:r>
      <w:r>
        <w:t xml:space="preserve"> </w:t>
      </w:r>
      <w:r>
        <w:t xml:space="preserve">to the same risk management, organisational, and conduct-of-business obligations regardless</w:t>
      </w:r>
      <w:r>
        <w:t xml:space="preserve"> </w:t>
      </w:r>
      <w:r>
        <w:t xml:space="preserve">of their home jurisdiction.</w:t>
      </w:r>
      <w:r>
        <w:t xml:space="preserve"> </w:t>
      </w:r>
      <w:r>
        <w:t xml:space="preserve">5.3.3. Extensive review: Group level authorisation of asset managers</w:t>
      </w:r>
      <w:r>
        <w:br/>
      </w:r>
      <w:r>
        <w:t xml:space="preserve">This option would entail a fundamental overhaul of the current authorisation regime for asset</w:t>
      </w:r>
      <w:r>
        <w:t xml:space="preserve"> </w:t>
      </w:r>
      <w:r>
        <w:t xml:space="preserve">manager groups under the AIFMD and UCITS frameworks. Specifically, it would introduce a</w:t>
      </w:r>
      <w:r>
        <w:t xml:space="preserve"> </w:t>
      </w:r>
      <w:r>
        <w:t xml:space="preserve">group-level authorisation mechanism whereby, in cases where asset managers operate as part</w:t>
      </w:r>
      <w:r>
        <w:t xml:space="preserve"> </w:t>
      </w:r>
      <w:r>
        <w:t xml:space="preserve">of a group, a single authorisation would be granted to the parent undertaking of the group.</w:t>
      </w:r>
      <w:r>
        <w:t xml:space="preserve"> </w:t>
      </w:r>
      <w:r>
        <w:t xml:space="preserve">Under this option, organisational and prudential requirements (own funds, full-time employees,</w:t>
      </w:r>
      <w:r>
        <w:t xml:space="preserve"> </w:t>
      </w:r>
      <w:r>
        <w:t xml:space="preserve">human and technical resources etc.) will no longer be assessed at the level of each individual</w:t>
      </w:r>
      <w:r>
        <w:t xml:space="preserve"> </w:t>
      </w:r>
      <w:r>
        <w:t xml:space="preserve">management company but will be consolidated and assessed at the level of the group.</w:t>
      </w:r>
      <w:r>
        <w:br/>
      </w:r>
      <w:r>
        <w:t xml:space="preserve">The competent authority of the parent entity would be responsible for granting this</w:t>
      </w:r>
      <w:r>
        <w:t xml:space="preserve"> </w:t>
      </w:r>
      <w:r>
        <w:t xml:space="preserve">authorisation and would be in charge of supervising all companies within the group. National</w:t>
      </w:r>
      <w:r>
        <w:t xml:space="preserve"> </w:t>
      </w:r>
      <w:r>
        <w:t xml:space="preserve">competent authorities in other Member States where the group operates will no longer have</w:t>
      </w:r>
      <w:r>
        <w:t xml:space="preserve"> </w:t>
      </w:r>
      <w:r>
        <w:t xml:space="preserve">supervisory powers over the companies within the group that operate in their territory but could</w:t>
      </w:r>
      <w:r>
        <w:t xml:space="preserve"> </w:t>
      </w:r>
      <w:r>
        <w:t xml:space="preserve">have the right to regularly receive information from the NCAs of the parent company of the</w:t>
      </w:r>
      <w:r>
        <w:t xml:space="preserve"> </w:t>
      </w:r>
      <w:r>
        <w:t xml:space="preserve">group on group operations and to inform those national competent authorities where they have</w:t>
      </w:r>
      <w:r>
        <w:t xml:space="preserve"> </w:t>
      </w:r>
      <w:r>
        <w:t xml:space="preserve">grounds to believe that the subsidiaries of the group in their jurisdictions act contrary to the EU</w:t>
      </w:r>
      <w:r>
        <w:t xml:space="preserve"> </w:t>
      </w:r>
      <w:r>
        <w:t xml:space="preserve">acquis. Once authorised at group level, the home NCA would notify the competent authorities</w:t>
      </w:r>
      <w:r>
        <w:t xml:space="preserve"> </w:t>
      </w:r>
      <w:r>
        <w:t xml:space="preserve">of all Member States in which the group operates through subsidiaries. This would allow all</w:t>
      </w:r>
      <w:r>
        <w:t xml:space="preserve"> </w:t>
      </w:r>
      <w:r>
        <w:t xml:space="preserve">EU-based management companies within the group to carry out activities across the Union</w:t>
      </w:r>
      <w:r>
        <w:t xml:space="preserve"> </w:t>
      </w:r>
      <w:r>
        <w:t xml:space="preserve">based on this single authorisation, significantly reducing regulatory duplication for each group.</w:t>
      </w:r>
      <w:r>
        <w:t xml:space="preserve"> </w:t>
      </w:r>
      <w:r>
        <w:t xml:space="preserve">Where this is not already the case, EU financial conglomerates would have to designate a parent</w:t>
      </w:r>
      <w:r>
        <w:t xml:space="preserve"> </w:t>
      </w:r>
      <w:r>
        <w:t xml:space="preserve">for the asset management part of a conglomerate. Similarly, third country conglomerates or</w:t>
      </w:r>
      <w:r>
        <w:t xml:space="preserve"> </w:t>
      </w:r>
      <w:r>
        <w:t xml:space="preserve">standalone asset management groups would also have to designate an EU parent. The parent</w:t>
      </w:r>
      <w:r>
        <w:t xml:space="preserve"> </w:t>
      </w:r>
      <w:r>
        <w:t xml:space="preserve">would also need to effectively control all subsidiaries and branches for the purposes of this</w:t>
      </w:r>
      <w:r>
        <w:t xml:space="preserve"> </w:t>
      </w:r>
      <w:r>
        <w:t xml:space="preserve">framework.</w:t>
      </w:r>
      <w:r>
        <w:br/>
      </w:r>
      <w:r>
        <w:t xml:space="preserve">This option would not affect asset managers operating as stand-alone entities, which would</w:t>
      </w:r>
      <w:r>
        <w:t xml:space="preserve"> </w:t>
      </w:r>
      <w:r>
        <w:t xml:space="preserve">continue to be authorised individually under existing national procedures.</w:t>
      </w:r>
      <w:r>
        <w:t xml:space="preserve"> </w:t>
      </w:r>
      <w:r>
        <w:t xml:space="preserve">This option would require an amendment to AIFMD and UCITSD to introduce a group level</w:t>
      </w:r>
      <w:r>
        <w:t xml:space="preserve"> </w:t>
      </w:r>
      <w:r>
        <w:t xml:space="preserve">authorisation by the NCA of the parent company or another designated entity within the group.</w:t>
      </w:r>
      <w:r>
        <w:t xml:space="preserve"> </w:t>
      </w:r>
      <w:r>
        <w:t xml:space="preserve">Similarly to Option 2, this option would also necessitate clarifying what is an “asset</w:t>
      </w:r>
      <w:r>
        <w:t xml:space="preserve"> </w:t>
      </w:r>
      <w:r>
        <w:t xml:space="preserve">management group” for the purposes of UCITS/AIFMD. Existing mechanisms for interaction</w:t>
      </w:r>
      <w:r>
        <w:t xml:space="preserve"> </w:t>
      </w:r>
      <w:r>
        <w:t xml:space="preserve">with other legal frameworks would be maintained but attached to the group level. In addition,</w:t>
      </w:r>
      <w:r>
        <w:t xml:space="preserve"> </w:t>
      </w:r>
      <w:r>
        <w:t xml:space="preserve">this option may affect all investment funds, as the designated asset manager (or AIFM or</w:t>
      </w:r>
      <w:r>
        <w:t xml:space="preserve"> </w:t>
      </w:r>
      <w:r>
        <w:t xml:space="preserve">UCITS management company), which is responsible for managing the fund, would need to be</w:t>
      </w:r>
      <w:r>
        <w:t xml:space="preserve"> </w:t>
      </w:r>
      <w:r>
        <w:t xml:space="preserve">replaced in all fund documentation to reflect the new functioning of the asset management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313</w:t>
      </w:r>
      <w:r>
        <w:t xml:space="preserve"> </w:t>
      </w:r>
      <w:r>
        <w:t xml:space="preserve">5.4. POLICY OPTIONS FOR OTHER BARRIERS TO THE GROWTH OF THE INVESTMENT FUND</w:t>
      </w:r>
      <w:r>
        <w:t xml:space="preserve"> </w:t>
      </w:r>
      <w:r>
        <w:t xml:space="preserve">SECTOR</w:t>
      </w:r>
      <w:r>
        <w:t xml:space="preserve"> </w:t>
      </w:r>
      <w:r>
        <w:t xml:space="preserve">5.4.1. Baseline/ Status quo</w:t>
      </w:r>
      <w:r>
        <w:t xml:space="preserve"> </w:t>
      </w:r>
      <w:r>
        <w:t xml:space="preserve">Under the baseline scenario, the current UCITS framework would remain unchanged. The</w:t>
      </w:r>
      <w:r>
        <w:t xml:space="preserve"> </w:t>
      </w:r>
      <w:r>
        <w:t xml:space="preserve">existing investment and diversification limits would continue to apply, including the 10% cap</w:t>
      </w:r>
      <w:r>
        <w:t xml:space="preserve"> </w:t>
      </w:r>
      <w:r>
        <w:t xml:space="preserve">on debt securities issued by a single body under Article 56(2)(b), which also covers investments</w:t>
      </w:r>
      <w:r>
        <w:t xml:space="preserve"> </w:t>
      </w:r>
      <w:r>
        <w:t xml:space="preserve">in securitisations, and the 5/10/40 issuer concentration rule under Article 52. The higher</w:t>
      </w:r>
      <w:r>
        <w:t xml:space="preserve"> </w:t>
      </w:r>
      <w:r>
        <w:t xml:space="preserve">thresholds of 20% and 35% for index-tracking UCITS under Article 53 would also remain</w:t>
      </w:r>
      <w:r>
        <w:t xml:space="preserve"> </w:t>
      </w:r>
      <w:r>
        <w:t xml:space="preserve">limited to passive funds. No exemptions or adjustments would be introduced for securitisations</w:t>
      </w:r>
      <w:r>
        <w:t xml:space="preserve"> </w:t>
      </w:r>
      <w:r>
        <w:t xml:space="preserve">or for actively managed funds seeking to replicate or outperform indices.</w:t>
      </w:r>
      <w:r>
        <w:t xml:space="preserve"> </w:t>
      </w:r>
      <w:r>
        <w:t xml:space="preserve">5.4.2. Comprehensive review: UCITS investment limits</w:t>
      </w:r>
      <w:r>
        <w:t xml:space="preserve"> </w:t>
      </w:r>
      <w:r>
        <w:t xml:space="preserve">Under Option 2, the UCITSD would be amended to allow greater flexibility in specific cases.</w:t>
      </w:r>
      <w:r>
        <w:br/>
      </w:r>
      <w:r>
        <w:t xml:space="preserve">The current 10% cap on debt securities under Article 56(2)(b) UCITSD would be increased to</w:t>
      </w:r>
      <w:r>
        <w:t xml:space="preserve"> </w:t>
      </w:r>
      <w:r>
        <w:t xml:space="preserve">15% only for UCITS investing in securitisations recognising their distinct characteristics and</w:t>
      </w:r>
      <w:r>
        <w:t xml:space="preserve"> </w:t>
      </w:r>
      <w:r>
        <w:t xml:space="preserve">regulatory safeguards. During the consultation, some large asset managers and professional</w:t>
      </w:r>
      <w:r>
        <w:t xml:space="preserve"> </w:t>
      </w:r>
      <w:r>
        <w:t xml:space="preserve">associations advocated for removing the limit entirely or raising it to 50%, citing the inherently</w:t>
      </w:r>
      <w:r>
        <w:t xml:space="preserve"> </w:t>
      </w:r>
      <w:r>
        <w:t xml:space="preserve">diversified nature of securitisations. At the same time, several smaller asset managers noted</w:t>
      </w:r>
      <w:r>
        <w:t xml:space="preserve"> </w:t>
      </w:r>
      <w:r>
        <w:t xml:space="preserve">that their current allocations to securitisations are well below the existing 10% threshold. A few</w:t>
      </w:r>
      <w:r>
        <w:t xml:space="preserve"> </w:t>
      </w:r>
      <w:r>
        <w:t xml:space="preserve">stakeholders (notably NCAs) also highlighted potential financial stability and investor</w:t>
      </w:r>
      <w:r>
        <w:t xml:space="preserve"> </w:t>
      </w:r>
      <w:r>
        <w:t xml:space="preserve">protection risks arising from excessive exposure to securitisations, stressing that UCITS is a</w:t>
      </w:r>
      <w:r>
        <w:t xml:space="preserve"> </w:t>
      </w:r>
      <w:r>
        <w:t xml:space="preserve">retail product primarily targeted at retail investors. Given that diversification and investment</w:t>
      </w:r>
      <w:r>
        <w:t xml:space="preserve"> </w:t>
      </w:r>
      <w:r>
        <w:t xml:space="preserve">limits are a fundamental principle of the UCITS framework, designed to ensure investor</w:t>
      </w:r>
      <w:r>
        <w:t xml:space="preserve"> </w:t>
      </w:r>
      <w:r>
        <w:t xml:space="preserve">protection and financial stability, a more moderate adjustment is warranted. Increasing the limit</w:t>
      </w:r>
      <w:r>
        <w:t xml:space="preserve"> </w:t>
      </w:r>
      <w:r>
        <w:t xml:space="preserve">to 15% strikes a sensible balance: it reflects the consultation feedback, acknowledges the</w:t>
      </w:r>
      <w:r>
        <w:t xml:space="preserve"> </w:t>
      </w:r>
      <w:r>
        <w:t xml:space="preserve">current market practices, and allows UCITS greater flexibility to invest in securitisations</w:t>
      </w:r>
      <w:r>
        <w:t xml:space="preserve"> </w:t>
      </w:r>
      <w:r>
        <w:t xml:space="preserve">without undermining the core principles of risk-spreading and investor protection.</w:t>
      </w:r>
      <w:r>
        <w:br/>
      </w:r>
      <w:r>
        <w:t xml:space="preserve">In addition, the 20% issuer limit currently applicable to index-tracking UCITS under Article</w:t>
      </w:r>
      <w:r>
        <w:t xml:space="preserve"> </w:t>
      </w:r>
      <w:r>
        <w:t xml:space="preserve">53 UCITSD would also be extended to UCITS that are managed by reference to an index that</w:t>
      </w:r>
      <w:r>
        <w:t xml:space="preserve"> </w:t>
      </w:r>
      <w:r>
        <w:t xml:space="preserve">is be recognised by ESMA. ESMA would establish and regularly update a list of recognised</w:t>
      </w:r>
      <w:r>
        <w:t xml:space="preserve"> </w:t>
      </w:r>
      <w:r>
        <w:t xml:space="preserve">indices, providing clarity and ensuring consistency across the EU.</w:t>
      </w:r>
    </w:p>
    <w:p>
      <w:pPr>
        <w:pStyle w:val="BodyText"/>
      </w:pPr>
      <w:r>
        <w:t xml:space="preserve">314</w:t>
      </w:r>
      <w:r>
        <w:t xml:space="preserve"> </w:t>
      </w:r>
      <w:r>
        <w:t xml:space="preserve">6. IMPACT OF POLICY OPTIONS</w:t>
      </w:r>
      <w:r>
        <w:t xml:space="preserve"> </w:t>
      </w:r>
      <w:r>
        <w:t xml:space="preserve">6.1. IMPACT OF THE POLICY OPTIONS REGARDING INVESTMENT FUNDS</w:t>
      </w:r>
      <w:r>
        <w:br/>
      </w:r>
      <w:r>
        <w:t xml:space="preserve">6.1.1. Baseline/Status quo</w:t>
      </w:r>
      <w:r>
        <w:t xml:space="preserve"> </w:t>
      </w:r>
      <w:r>
        <w:t xml:space="preserve">PROS:</w:t>
      </w:r>
      <w:r>
        <w:t xml:space="preserve"> </w:t>
      </w:r>
      <w:r>
        <w:t xml:space="preserve">An advantage of “doing nothing” would mean that stakeholders and NCAs do not have to</w:t>
      </w:r>
      <w:r>
        <w:t xml:space="preserve"> </w:t>
      </w:r>
      <w:r>
        <w:t xml:space="preserve">consider any changes to their current operating and compliance frameworks and can continue</w:t>
      </w:r>
      <w:r>
        <w:t xml:space="preserve"> </w:t>
      </w:r>
      <w:r>
        <w:t xml:space="preserve">operating in the existing environment in the same manner.</w:t>
      </w:r>
      <w:r>
        <w:t xml:space="preserve"> </w:t>
      </w:r>
      <w:r>
        <w:t xml:space="preserve">CONS:</w:t>
      </w:r>
      <w:r>
        <w:t xml:space="preserve"> </w:t>
      </w:r>
      <w:r>
        <w:t xml:space="preserve">Conversely, the disadvantage of “doing nothing” would be that stakeholders’ continue</w:t>
      </w:r>
      <w:r>
        <w:t xml:space="preserve"> </w:t>
      </w:r>
      <w:r>
        <w:t xml:space="preserve">operating in an environment which is not conducive to a “single market” for investment funds.</w:t>
      </w:r>
      <w:r>
        <w:br/>
      </w:r>
      <w:r>
        <w:t xml:space="preserve">Asset managers will continue to have to manage barriers and inconsistencies in operating in</w:t>
      </w:r>
      <w:r>
        <w:t xml:space="preserve"> </w:t>
      </w:r>
      <w:r>
        <w:t xml:space="preserve">different Member States. This exiting environment will continue to have a detrimental impact</w:t>
      </w:r>
      <w:r>
        <w:t xml:space="preserve"> </w:t>
      </w:r>
      <w:r>
        <w:t xml:space="preserve">on the end user, i.e. EU investors, in terms of lack of choice and competition and unnecessary</w:t>
      </w:r>
      <w:r>
        <w:t xml:space="preserve"> </w:t>
      </w:r>
      <w:r>
        <w:t xml:space="preserve">costs.</w:t>
      </w:r>
      <w:r>
        <w:br/>
      </w:r>
      <w:r>
        <w:t xml:space="preserve">Option 1 did not receive support during the targeted public consultation. A majority of</w:t>
      </w:r>
      <w:r>
        <w:t xml:space="preserve"> </w:t>
      </w:r>
      <w:r>
        <w:t xml:space="preserve">stakeholders, including industry representatives, supported improvements in this regard.</w:t>
      </w:r>
      <w:r>
        <w:t xml:space="preserve"> </w:t>
      </w:r>
      <w:r>
        <w:t xml:space="preserve">6.1.2. Comprehensive review to enhance the functioning of investment funds</w:t>
      </w:r>
      <w:r>
        <w:t xml:space="preserve"> </w:t>
      </w:r>
      <w:r>
        <w:t xml:space="preserve">PROS:</w:t>
      </w:r>
      <w:r>
        <w:t xml:space="preserve"> </w:t>
      </w:r>
      <w:r>
        <w:t xml:space="preserve">First, Option 2 directly addresses shortcomings, recognised by the Commission services and</w:t>
      </w:r>
      <w:r>
        <w:t xml:space="preserve"> </w:t>
      </w:r>
      <w:r>
        <w:t xml:space="preserve">reported by stakeholders, in the current regulatory framework by introducing explicit</w:t>
      </w:r>
      <w:r>
        <w:t xml:space="preserve"> </w:t>
      </w:r>
      <w:r>
        <w:t xml:space="preserve">provisions to harmonise and improve time and access for funds entering the single market, as</w:t>
      </w:r>
      <w:r>
        <w:t xml:space="preserve"> </w:t>
      </w:r>
      <w:r>
        <w:t xml:space="preserve">well as repealing unnecessary provisions that hinder market access. These enhancements will</w:t>
      </w:r>
      <w:r>
        <w:t xml:space="preserve"> </w:t>
      </w:r>
      <w:r>
        <w:t xml:space="preserve">address the current fragmented nature for UCITS and AIFs accessing EU markets outside their</w:t>
      </w:r>
      <w:r>
        <w:t xml:space="preserve"> </w:t>
      </w:r>
      <w:r>
        <w:t xml:space="preserve">home Member State. Moreover, importing marketing rules from AIFMD and UCITSD into</w:t>
      </w:r>
      <w:r>
        <w:t xml:space="preserve"> </w:t>
      </w:r>
      <w:r>
        <w:t xml:space="preserve">CBDR would achieve greater harmonisation and eliminate diverging national interpretations</w:t>
      </w:r>
      <w:r>
        <w:t xml:space="preserve"> </w:t>
      </w:r>
      <w:r>
        <w:t xml:space="preserve">in that area.</w:t>
      </w:r>
      <w:r>
        <w:br/>
      </w:r>
      <w:r>
        <w:t xml:space="preserve">Second, standardising and simplifying the procedures and timelines for the fund authorisation,</w:t>
      </w:r>
      <w:r>
        <w:t xml:space="preserve"> </w:t>
      </w:r>
      <w:r>
        <w:t xml:space="preserve">marketing notification and de-notification procedures will bring more predictability and</w:t>
      </w:r>
      <w:r>
        <w:t xml:space="preserve"> </w:t>
      </w:r>
      <w:r>
        <w:t xml:space="preserve">transparency around these processes, supporting consistency, convergence and enabling</w:t>
      </w:r>
      <w:r>
        <w:t xml:space="preserve"> </w:t>
      </w:r>
      <w:r>
        <w:t xml:space="preserve">stakeholders to have clear expectations and be better placed to plan. This will save time and</w:t>
      </w:r>
      <w:r>
        <w:t xml:space="preserve"> </w:t>
      </w:r>
      <w:r>
        <w:t xml:space="preserve">costs, which will ultimately benefit EU investors.</w:t>
      </w:r>
      <w:r>
        <w:t xml:space="preserve"> </w:t>
      </w:r>
      <w:r>
        <w:t xml:space="preserve">Third, the development of a data platform that would allow NCAs to share information and</w:t>
      </w:r>
      <w:r>
        <w:t xml:space="preserve"> </w:t>
      </w:r>
      <w:r>
        <w:t xml:space="preserve">documentation on the cross-border marketing of UCITS and AIFs would simplify and expedite</w:t>
      </w:r>
      <w:r>
        <w:t xml:space="preserve"> </w:t>
      </w:r>
      <w:r>
        <w:t xml:space="preserve">the marketing procedure, facilitate market access and increase transparency and cooperation</w:t>
      </w:r>
      <w:r>
        <w:t xml:space="preserve"> </w:t>
      </w:r>
      <w:r>
        <w:t xml:space="preserve">among NCAs.</w:t>
      </w:r>
      <w:r>
        <w:br/>
      </w:r>
      <w:r>
        <w:t xml:space="preserve">Fourth, Option 2 will improve time to market, reduce administrative burdens and improve</w:t>
      </w:r>
      <w:r>
        <w:t xml:space="preserve"> </w:t>
      </w:r>
      <w:r>
        <w:t xml:space="preserve">investor experience, by removing the requirement for one-month notification of new share</w:t>
      </w:r>
    </w:p>
    <w:p>
      <w:pPr>
        <w:pStyle w:val="BodyText"/>
      </w:pPr>
      <w:r>
        <w:t xml:space="preserve">315</w:t>
      </w:r>
      <w:r>
        <w:t xml:space="preserve"> </w:t>
      </w:r>
      <w:r>
        <w:t xml:space="preserve">classes in the UCITSD. The current notification requirement does not add value as investors</w:t>
      </w:r>
      <w:r>
        <w:t xml:space="preserve"> </w:t>
      </w:r>
      <w:r>
        <w:t xml:space="preserve">must receive pre-contractual registration documents before investing regardless of registration.</w:t>
      </w:r>
      <w:r>
        <w:br/>
      </w:r>
      <w:r>
        <w:t xml:space="preserve">Fifth, standardising the framework for marketing communications, in particular under CBDR</w:t>
      </w:r>
      <w:r>
        <w:t xml:space="preserve"> </w:t>
      </w:r>
      <w:r>
        <w:t xml:space="preserve">will bring more predictability and transparency, supporting consistency, convergence and</w:t>
      </w:r>
      <w:r>
        <w:t xml:space="preserve"> </w:t>
      </w:r>
      <w:r>
        <w:t xml:space="preserve">enabling stakeholders to have clear expectations and be better placed to plan. This will save</w:t>
      </w:r>
      <w:r>
        <w:t xml:space="preserve"> </w:t>
      </w:r>
      <w:r>
        <w:t xml:space="preserve">time and costs, which will ultimately benefit EU investors.</w:t>
      </w:r>
      <w:r>
        <w:br/>
      </w:r>
      <w:r>
        <w:t xml:space="preserve">Sixth, Option 2 would greatly reduce unnecessary complexity and burdensome requirements</w:t>
      </w:r>
      <w:r>
        <w:t xml:space="preserve"> </w:t>
      </w:r>
      <w:r>
        <w:t xml:space="preserve">(and associated costs) for funds and fund managers, as they would have more certainty that a</w:t>
      </w:r>
      <w:r>
        <w:t xml:space="preserve"> </w:t>
      </w:r>
      <w:r>
        <w:t xml:space="preserve">local physical agent is no longer needed or required in host Member States. It will remove the</w:t>
      </w:r>
      <w:r>
        <w:t xml:space="preserve"> </w:t>
      </w:r>
      <w:r>
        <w:t xml:space="preserve">uncertainty brought about in some host Member States, where the market practice is to appoint</w:t>
      </w:r>
      <w:r>
        <w:t xml:space="preserve"> </w:t>
      </w:r>
      <w:r>
        <w:t xml:space="preserve">a local agent in all circumstances. Fund managers would have less need to obtain legal advice</w:t>
      </w:r>
      <w:r>
        <w:t xml:space="preserve"> </w:t>
      </w:r>
      <w:r>
        <w:t xml:space="preserve">to understand national requirements for funds accessing the single market.</w:t>
      </w:r>
      <w:r>
        <w:br/>
      </w:r>
      <w:r>
        <w:t xml:space="preserve">CONS:</w:t>
      </w:r>
      <w:r>
        <w:br/>
      </w:r>
      <w:r>
        <w:t xml:space="preserve">Implementing Option 2 would necessitate a comprehensive review of the current authorisation</w:t>
      </w:r>
      <w:r>
        <w:t xml:space="preserve"> </w:t>
      </w:r>
      <w:r>
        <w:t xml:space="preserve">timelines and procedures, as well as assessing what is considered material and non-material</w:t>
      </w:r>
      <w:r>
        <w:t xml:space="preserve"> </w:t>
      </w:r>
      <w:r>
        <w:t xml:space="preserve">changes.</w:t>
      </w:r>
      <w:r>
        <w:br/>
      </w:r>
      <w:r>
        <w:t xml:space="preserve">Finally, strengthening the requirement against physical presence in the host Member State</w:t>
      </w:r>
      <w:r>
        <w:t xml:space="preserve"> </w:t>
      </w:r>
      <w:r>
        <w:t xml:space="preserve">might be perceived as affecting negatively the effectiveness of investor protection, whereby</w:t>
      </w:r>
      <w:r>
        <w:t xml:space="preserve"> </w:t>
      </w:r>
      <w:r>
        <w:t xml:space="preserve">investors will not know where or how to access relevant fund information, particularly in their</w:t>
      </w:r>
      <w:r>
        <w:t xml:space="preserve"> </w:t>
      </w:r>
      <w:r>
        <w:t xml:space="preserve">own language. However, the language requirement for investor communication will be</w:t>
      </w:r>
      <w:r>
        <w:t xml:space="preserve"> </w:t>
      </w:r>
      <w:r>
        <w:t xml:space="preserve">maintained, in view of digitalisation, this requirement anyhow is inefficient and outdated, and</w:t>
      </w:r>
      <w:r>
        <w:t xml:space="preserve"> </w:t>
      </w:r>
      <w:r>
        <w:t xml:space="preserve">investors will continue to have the choice to opt for an asset manager with physical presence</w:t>
      </w:r>
      <w:r>
        <w:t xml:space="preserve"> </w:t>
      </w:r>
      <w:r>
        <w:t xml:space="preserve">in their jurisdiction.</w:t>
      </w:r>
      <w:r>
        <w:br/>
      </w:r>
      <w:r>
        <w:t xml:space="preserve">6.1.3. Comparison of the options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</w:t>
      </w:r>
      <w:r>
        <w:t xml:space="preserve"> </w:t>
      </w:r>
      <w:r>
        <w:t xml:space="preserve">score</w:t>
      </w:r>
      <w:r>
        <w:t xml:space="preserve"> </w:t>
      </w:r>
      <w:r>
        <w:t xml:space="preserve">Option 1 Baseline scenario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Option 2</w:t>
      </w:r>
      <w:r>
        <w:br/>
      </w:r>
      <w:r>
        <w:t xml:space="preserve">Comprehensive review</w:t>
      </w:r>
      <w:r>
        <w:t xml:space="preserve"> </w:t>
      </w:r>
      <w:r>
        <w:t xml:space="preserve">regarding investment funds</w:t>
      </w:r>
      <w:r>
        <w:t xml:space="preserve"> </w:t>
      </w:r>
      <w:r>
        <w:t xml:space="preserve">authorisation and marketing</w:t>
      </w:r>
      <w:r>
        <w:t xml:space="preserve"> </w:t>
      </w:r>
      <w:r>
        <w:t xml:space="preserve">++</w:t>
      </w:r>
      <w:r>
        <w:br/>
      </w:r>
      <w:r>
        <w:t xml:space="preserve">++</w:t>
      </w:r>
      <w:r>
        <w:br/>
      </w:r>
      <w:r>
        <w:t xml:space="preserve">+++</w:t>
      </w:r>
      <w:r>
        <w:br/>
      </w:r>
      <w:r>
        <w:t xml:space="preserve">++</w:t>
      </w:r>
      <w:r>
        <w:br/>
      </w:r>
      <w:r>
        <w:t xml:space="preserve">Legend: +++ = very positive ++ = positive + = slightly positive +/- = mixed effect 0 = no effect</w:t>
      </w:r>
      <w:r>
        <w:br/>
      </w:r>
      <w:r>
        <w:t xml:space="preserve">- = slightly negative – = negative — = very negative</w:t>
      </w:r>
    </w:p>
    <w:p>
      <w:pPr>
        <w:pStyle w:val="BodyText"/>
      </w:pPr>
      <w:r>
        <w:t xml:space="preserve">6.1.4. Preferred option</w:t>
      </w:r>
      <w:r>
        <w:br/>
      </w:r>
      <w:r>
        <w:t xml:space="preserve">Option 2 is the preferred option because it directly addresses recognized shortcomings in the</w:t>
      </w:r>
      <w:r>
        <w:t xml:space="preserve"> </w:t>
      </w:r>
      <w:r>
        <w:t xml:space="preserve">cross-border operations of investment funds in a targeted manner by harmonising procedures</w:t>
      </w:r>
      <w:r>
        <w:t xml:space="preserve"> </w:t>
      </w:r>
      <w:r>
        <w:t xml:space="preserve">for fund authorisation, marketing notification and de-notification procedures across the EU. It</w:t>
      </w:r>
      <w:r>
        <w:t xml:space="preserve"> </w:t>
      </w:r>
      <w:r>
        <w:t xml:space="preserve">removes unnecessary provisions that hinder cross-border market access, standardises timelines</w:t>
      </w:r>
      <w:r>
        <w:t xml:space="preserve"> </w:t>
      </w:r>
      <w:r>
        <w:t xml:space="preserve">and establishes a common data platform for the sharing of marketing notifications, resulting in</w:t>
      </w:r>
      <w:r>
        <w:t xml:space="preserve"> </w:t>
      </w:r>
      <w:r>
        <w:t xml:space="preserve">greater predictability, transparency, and convergence for both UCITS and AIFs. These changes</w:t>
      </w:r>
      <w:r>
        <w:t xml:space="preserve"> </w:t>
      </w:r>
      <w:r>
        <w:t xml:space="preserve">would reduce administrative burdens, simplify regulatory obligations and save time and costs</w:t>
      </w:r>
      <w:r>
        <w:t xml:space="preserve"> </w:t>
      </w:r>
      <w:r>
        <w:t xml:space="preserve">for funds and fund managers, while facilitating a faster access to the single market for</w:t>
      </w:r>
      <w:r>
        <w:t xml:space="preserve"> </w:t>
      </w:r>
      <w:r>
        <w:t xml:space="preserve">investment funds.</w:t>
      </w:r>
    </w:p>
    <w:p>
      <w:pPr>
        <w:pStyle w:val="BodyText"/>
      </w:pPr>
      <w:r>
        <w:t xml:space="preserve">316</w:t>
      </w:r>
      <w:r>
        <w:t xml:space="preserve"> </w:t>
      </w:r>
      <w:r>
        <w:t xml:space="preserve">Additionally, Option 2 would improve the single market environment by removing the need</w:t>
      </w:r>
      <w:r>
        <w:t xml:space="preserve"> </w:t>
      </w:r>
      <w:r>
        <w:t xml:space="preserve">for local agents in host jurisdictions. This would simplify administration, lower compliance</w:t>
      </w:r>
      <w:r>
        <w:t xml:space="preserve"> </w:t>
      </w:r>
      <w:r>
        <w:t xml:space="preserve">costs and encourage fund managers to market in more Member States, increasing competition</w:t>
      </w:r>
      <w:r>
        <w:t xml:space="preserve"> </w:t>
      </w:r>
      <w:r>
        <w:t xml:space="preserve">and investment choices for EU investors.</w:t>
      </w:r>
      <w:r>
        <w:br/>
      </w:r>
      <w:r>
        <w:t xml:space="preserve">6.2. IMPACT OF THE POLICY OPTIONS REGARDING DEPOSITARY SERVICES</w:t>
      </w:r>
      <w:r>
        <w:t xml:space="preserve"> </w:t>
      </w:r>
      <w:r>
        <w:t xml:space="preserve">6.2.1. Baseline/Status quo</w:t>
      </w:r>
      <w:r>
        <w:t xml:space="preserve"> </w:t>
      </w:r>
      <w:r>
        <w:t xml:space="preserve">PROS:</w:t>
      </w:r>
      <w:r>
        <w:t xml:space="preserve"> </w:t>
      </w:r>
      <w:r>
        <w:t xml:space="preserve">An advantage of “doing nothing” would mean that fund managers would not have to consider</w:t>
      </w:r>
      <w:r>
        <w:t xml:space="preserve"> </w:t>
      </w:r>
      <w:r>
        <w:t xml:space="preserve">any changes to their current frameworks on the provision of depositary services and could</w:t>
      </w:r>
      <w:r>
        <w:t xml:space="preserve"> </w:t>
      </w:r>
      <w:r>
        <w:t xml:space="preserve">continue operating in the existing environment in the same manner.</w:t>
      </w:r>
      <w:r>
        <w:t xml:space="preserve"> </w:t>
      </w:r>
      <w:r>
        <w:t xml:space="preserve">CONS:</w:t>
      </w:r>
      <w:r>
        <w:t xml:space="preserve"> </w:t>
      </w:r>
      <w:r>
        <w:t xml:space="preserve">First, under Option 1, the recent targeted amendment of AIFMD allowing cross-border</w:t>
      </w:r>
      <w:r>
        <w:t xml:space="preserve"> </w:t>
      </w:r>
      <w:r>
        <w:t xml:space="preserve">depositary appointments would have limited positive effects, as the EUR 50 billion threshold</w:t>
      </w:r>
      <w:r>
        <w:t xml:space="preserve"> </w:t>
      </w:r>
      <w:r>
        <w:t xml:space="preserve">restricts its use to only a few Member States, with others likely to lose eligibility as their</w:t>
      </w:r>
      <w:r>
        <w:t xml:space="preserve"> </w:t>
      </w:r>
      <w:r>
        <w:t xml:space="preserve">markets grow. Second, national authorities would retain broad discretion to refuse cross-border</w:t>
      </w:r>
      <w:r>
        <w:t xml:space="preserve"> </w:t>
      </w:r>
      <w:r>
        <w:t xml:space="preserve">appointments even where conditions are met, perpetuating fragmentation and uncertainty.</w:t>
      </w:r>
      <w:r>
        <w:t xml:space="preserve"> </w:t>
      </w:r>
      <w:r>
        <w:t xml:space="preserve">Smaller markets with few depositary providers would therefore continue to face structural</w:t>
      </w:r>
      <w:r>
        <w:t xml:space="preserve"> </w:t>
      </w:r>
      <w:r>
        <w:t xml:space="preserve">difficulties, discouraging the establishment of AIFs in those jurisdictions.</w:t>
      </w:r>
      <w:r>
        <w:t xml:space="preserve"> </w:t>
      </w:r>
      <w:r>
        <w:t xml:space="preserve">Third, maintaining the status quo would imply that for UCITS the historical prohibition on</w:t>
      </w:r>
      <w:r>
        <w:t xml:space="preserve"> </w:t>
      </w:r>
      <w:r>
        <w:t xml:space="preserve">appointing a depositary in another Member State would sustain high concentration and limited</w:t>
      </w:r>
      <w:r>
        <w:t xml:space="preserve"> </w:t>
      </w:r>
      <w:r>
        <w:t xml:space="preserve">competition in smaller markets, resulting in higher costs, lower service quality, and operational</w:t>
      </w:r>
      <w:r>
        <w:t xml:space="preserve"> </w:t>
      </w:r>
      <w:r>
        <w:t xml:space="preserve">risks from over-reliance on a small number of providers. Investors would ultimately bear these</w:t>
      </w:r>
      <w:r>
        <w:t xml:space="preserve"> </w:t>
      </w:r>
      <w:r>
        <w:t xml:space="preserve">costs, while fund promoters would be discouraged from setting up UCITS in Member States</w:t>
      </w:r>
      <w:r>
        <w:t xml:space="preserve"> </w:t>
      </w:r>
      <w:r>
        <w:t xml:space="preserve">with underdeveloped depositary markets.</w:t>
      </w:r>
      <w:r>
        <w:br/>
      </w:r>
      <w:r>
        <w:t xml:space="preserve">Overall, Option 1 would preserve market fragmentation, reinforce geographic imbalances,</w:t>
      </w:r>
      <w:r>
        <w:t xml:space="preserve"> </w:t>
      </w:r>
      <w:r>
        <w:t xml:space="preserve">and undermine the creation of a more integrated and competitive single market for funds.</w:t>
      </w:r>
      <w:r>
        <w:t xml:space="preserve"> </w:t>
      </w:r>
      <w:r>
        <w:t xml:space="preserve">6.2.2. Comprehensive review: EU-depositary passport</w:t>
      </w:r>
      <w:r>
        <w:t xml:space="preserve"> </w:t>
      </w:r>
      <w:r>
        <w:t xml:space="preserve">PROS:</w:t>
      </w:r>
      <w:r>
        <w:br/>
      </w:r>
      <w:r>
        <w:t xml:space="preserve">Option 2 would allow the cross-border provision of depositary services across all Member</w:t>
      </w:r>
      <w:r>
        <w:t xml:space="preserve"> </w:t>
      </w:r>
      <w:r>
        <w:t xml:space="preserve">States. It aligns with the principles of the internal single market and would be the most effective</w:t>
      </w:r>
      <w:r>
        <w:t xml:space="preserve"> </w:t>
      </w:r>
      <w:r>
        <w:t xml:space="preserve">way to enhance competition in the depositary sector.</w:t>
      </w:r>
      <w:r>
        <w:br/>
      </w:r>
      <w:r>
        <w:t xml:space="preserve">A depositary passport would promote integration of EU financial markets and strengthen the</w:t>
      </w:r>
      <w:r>
        <w:t xml:space="preserve"> </w:t>
      </w:r>
      <w:r>
        <w:t xml:space="preserve">cross-border provision of depositary services. At the same time, it would foster greater</w:t>
      </w:r>
      <w:r>
        <w:t xml:space="preserve"> </w:t>
      </w:r>
      <w:r>
        <w:t xml:space="preserve">competition among depositaries and improve the quality and cost of depositary services which,</w:t>
      </w:r>
      <w:r>
        <w:t xml:space="preserve"> </w:t>
      </w:r>
      <w:r>
        <w:t xml:space="preserve">according to some stakeholders (asset managers and NCAs from Member States with more</w:t>
      </w:r>
      <w:r>
        <w:t xml:space="preserve"> </w:t>
      </w:r>
      <w:r>
        <w:t xml:space="preserve">concentrated depositary markets), are prohibitive in some smaller Member States. Moreover, a</w:t>
      </w:r>
      <w:r>
        <w:t xml:space="preserve"> </w:t>
      </w:r>
      <w:r>
        <w:t xml:space="preserve">depositary passport would help jurisdictions with limited local depositary capacity by widening</w:t>
      </w:r>
      <w:r>
        <w:t xml:space="preserve"> </w:t>
      </w:r>
      <w:r>
        <w:t xml:space="preserve">access to services and addressing supply shortages. This, in turn, would support the growth of</w:t>
      </w:r>
      <w:r>
        <w:t xml:space="preserve"> </w:t>
      </w:r>
      <w:r>
        <w:t xml:space="preserve">their investment fund markets, which are often constrained by the scarcity of depositary</w:t>
      </w:r>
      <w:r>
        <w:t xml:space="preserve"> </w:t>
      </w:r>
      <w:r>
        <w:t xml:space="preserve">providers, ultimately benefiting fund investors across the EU.</w:t>
      </w:r>
    </w:p>
    <w:p>
      <w:pPr>
        <w:pStyle w:val="BodyText"/>
      </w:pPr>
      <w:r>
        <w:t xml:space="preserve">317</w:t>
      </w:r>
      <w:r>
        <w:t xml:space="preserve"> </w:t>
      </w:r>
      <w:r>
        <w:t xml:space="preserve">CONS:</w:t>
      </w:r>
      <w:r>
        <w:br/>
      </w:r>
      <w:r>
        <w:t xml:space="preserve">This option is not supported by the majority of stakeholders (asset managers, business</w:t>
      </w:r>
      <w:r>
        <w:t xml:space="preserve"> </w:t>
      </w:r>
      <w:r>
        <w:t xml:space="preserve">associations and NCAs), who argue against the need for an EU-wide depositary passport and</w:t>
      </w:r>
      <w:r>
        <w:t xml:space="preserve"> </w:t>
      </w:r>
      <w:r>
        <w:t xml:space="preserve">emphasise the risks and operational complexities of having depositaries and funds supervised</w:t>
      </w:r>
      <w:r>
        <w:t xml:space="preserve"> </w:t>
      </w:r>
      <w:r>
        <w:t xml:space="preserve">by different national authorities. The idea of a depositary passport was already examined during</w:t>
      </w:r>
      <w:r>
        <w:t xml:space="preserve"> </w:t>
      </w:r>
      <w:r>
        <w:t xml:space="preserve">the recent review of the AIFMD and UCITS frameworks, where it met with strong resistance</w:t>
      </w:r>
      <w:r>
        <w:t xml:space="preserve"> </w:t>
      </w:r>
      <w:r>
        <w:t xml:space="preserve">from both Member States and stakeholders. Feedback to the current consultation confirms that</w:t>
      </w:r>
      <w:r>
        <w:t xml:space="preserve"> </w:t>
      </w:r>
      <w:r>
        <w:t xml:space="preserve">these positions have not changed, with stakeholders continuing to oppose the introduction of</w:t>
      </w:r>
      <w:r>
        <w:t xml:space="preserve"> </w:t>
      </w:r>
      <w:r>
        <w:t xml:space="preserve">such a passport.</w:t>
      </w:r>
      <w:r>
        <w:t xml:space="preserve"> </w:t>
      </w:r>
      <w:r>
        <w:t xml:space="preserve">6.2.3. Comparison of the options</w:t>
      </w:r>
    </w:p>
    <w:p>
      <w:pPr>
        <w:pStyle w:val="BodyText"/>
      </w:pPr>
      <w:r>
        <w:t xml:space="preserve">Effectiveness Efficiency Coherence Overall score</w:t>
      </w:r>
      <w:r>
        <w:t xml:space="preserve"> </w:t>
      </w:r>
      <w:r>
        <w:t xml:space="preserve">Option 1 Baseline scenario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Option 2</w:t>
      </w:r>
      <w:r>
        <w:br/>
      </w:r>
      <w:r>
        <w:t xml:space="preserve">Comprehensive review</w:t>
      </w:r>
      <w:r>
        <w:br/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Legend: +++ = very positive ++ = positive + = slightly positive +/- = mixed effect 0 = no effect</w:t>
      </w:r>
      <w:r>
        <w:br/>
      </w:r>
      <w:r>
        <w:t xml:space="preserve">- = slightly negative – = negative — = very negative</w:t>
      </w:r>
    </w:p>
    <w:p>
      <w:pPr>
        <w:pStyle w:val="BodyText"/>
      </w:pPr>
      <w:r>
        <w:t xml:space="preserve">6.2.4. Preferred Option</w:t>
      </w:r>
      <w:r>
        <w:br/>
      </w:r>
      <w:r>
        <w:t xml:space="preserve">Option 2 would be the preferred option as it delivers a fully integrated internal market solution</w:t>
      </w:r>
      <w:r>
        <w:t xml:space="preserve"> </w:t>
      </w:r>
      <w:r>
        <w:t xml:space="preserve">and directly addresses the structural fragmentation of the EU depositary market. Unlike more</w:t>
      </w:r>
      <w:r>
        <w:t xml:space="preserve"> </w:t>
      </w:r>
      <w:r>
        <w:t xml:space="preserve">limited measures, a full depositary passport would create a coherent EU-wide framework,</w:t>
      </w:r>
      <w:r>
        <w:t xml:space="preserve"> </w:t>
      </w:r>
      <w:r>
        <w:t xml:space="preserve">complementing the existing UCITS and AIFM management and marketing passports and</w:t>
      </w:r>
      <w:r>
        <w:t xml:space="preserve"> </w:t>
      </w:r>
      <w:r>
        <w:t xml:space="preserve">ensuring consistency across fund regulation. By allowing fund managers to appoint a</w:t>
      </w:r>
      <w:r>
        <w:t xml:space="preserve"> </w:t>
      </w:r>
      <w:r>
        <w:t xml:space="preserve">depositary located anywhere in the Union, this option removes national barriers, enhances</w:t>
      </w:r>
      <w:r>
        <w:t xml:space="preserve"> </w:t>
      </w:r>
      <w:r>
        <w:t xml:space="preserve">competition, and encourages greater efficiency in the provision of depositary services.</w:t>
      </w:r>
      <w:r>
        <w:t xml:space="preserve"> </w:t>
      </w:r>
      <w:r>
        <w:t xml:space="preserve">Increased competition is expected to lower costs for fund managers and, ultimately, for</w:t>
      </w:r>
      <w:r>
        <w:t xml:space="preserve"> </w:t>
      </w:r>
      <w:r>
        <w:t xml:space="preserve">investors, while also incentivising improvements in service quality.</w:t>
      </w:r>
      <w:r>
        <w:t xml:space="preserve"> </w:t>
      </w:r>
      <w:r>
        <w:t xml:space="preserve">From a policy perspective, Option 2 supports the SIU by removing one of the remaining</w:t>
      </w:r>
      <w:r>
        <w:t xml:space="preserve"> </w:t>
      </w:r>
      <w:r>
        <w:t xml:space="preserve">barriers to an integrated invest funds marker. Importantly, the passport would build on existing</w:t>
      </w:r>
      <w:r>
        <w:t xml:space="preserve"> </w:t>
      </w:r>
      <w:r>
        <w:t xml:space="preserve">EU-level authorisations and prudential rules for credit institutions and investment firms,</w:t>
      </w:r>
      <w:r>
        <w:t xml:space="preserve"> </w:t>
      </w:r>
      <w:r>
        <w:t xml:space="preserve">ensuring high standards of investor protection and supervisory consistency. In this way, Option</w:t>
      </w:r>
      <w:r>
        <w:t xml:space="preserve"> </w:t>
      </w:r>
      <w:r>
        <w:t xml:space="preserve">2 represents a proportionate and future-proof response to the shortcomings of the current</w:t>
      </w:r>
      <w:r>
        <w:t xml:space="preserve"> </w:t>
      </w:r>
      <w:r>
        <w:t xml:space="preserve">system, offering clear benefits for both fund managers and investors across the Union.</w:t>
      </w:r>
      <w:r>
        <w:t xml:space="preserve"> </w:t>
      </w:r>
      <w:r>
        <w:t xml:space="preserve">6.3. IMPACT OF THE POLICY OPTIONS REGARDING ASSET MANAGERS</w:t>
      </w:r>
      <w:r>
        <w:t xml:space="preserve"> </w:t>
      </w:r>
      <w:r>
        <w:t xml:space="preserve">6.3.1. Baseline/Status quo</w:t>
      </w:r>
      <w:r>
        <w:t xml:space="preserve"> </w:t>
      </w:r>
      <w:r>
        <w:t xml:space="preserve">PROS:</w:t>
      </w:r>
      <w:r>
        <w:br/>
      </w:r>
      <w:r>
        <w:t xml:space="preserve">An advantage of “doing nothing” would mean that fund managers would not have to consider</w:t>
      </w:r>
      <w:r>
        <w:t xml:space="preserve"> </w:t>
      </w:r>
      <w:r>
        <w:t xml:space="preserve">any changes to their current frameworks on the operations of asset managers and their groups</w:t>
      </w:r>
      <w:r>
        <w:t xml:space="preserve"> </w:t>
      </w:r>
      <w:r>
        <w:t xml:space="preserve">and could continue operating in the existing environment in the same manner. Option 1 will</w:t>
      </w:r>
      <w:r>
        <w:t xml:space="preserve"> </w:t>
      </w:r>
      <w:r>
        <w:t xml:space="preserve">not disturb the current well-established national supervisory and regulatory practices and will</w:t>
      </w:r>
    </w:p>
    <w:p>
      <w:pPr>
        <w:pStyle w:val="BodyText"/>
      </w:pPr>
      <w:r>
        <w:t xml:space="preserve">318</w:t>
      </w:r>
      <w:r>
        <w:t xml:space="preserve"> </w:t>
      </w:r>
      <w:r>
        <w:t xml:space="preserve">not require management companies and AIFMs to adapt their organisational structures and</w:t>
      </w:r>
      <w:r>
        <w:t xml:space="preserve"> </w:t>
      </w:r>
      <w:r>
        <w:t xml:space="preserve">portfolios to a new set of requirements.</w:t>
      </w:r>
      <w:r>
        <w:t xml:space="preserve"> </w:t>
      </w:r>
      <w:r>
        <w:t xml:space="preserve">Moreover, retaining the current system preserves the flexibility of Member States to adapt</w:t>
      </w:r>
      <w:r>
        <w:t xml:space="preserve"> </w:t>
      </w:r>
      <w:r>
        <w:t xml:space="preserve">regulatory requirements to their specific market structures, supervisory traditions, and investor</w:t>
      </w:r>
      <w:r>
        <w:t xml:space="preserve"> </w:t>
      </w:r>
      <w:r>
        <w:t xml:space="preserve">profiles. This flexibility can be useful in ensuring that rules are proportionate to national</w:t>
      </w:r>
      <w:r>
        <w:t xml:space="preserve"> </w:t>
      </w:r>
      <w:r>
        <w:t xml:space="preserve">conditions, allowing national competent authorities to respond to local market risks. However,</w:t>
      </w:r>
      <w:r>
        <w:t xml:space="preserve"> </w:t>
      </w:r>
      <w:r>
        <w:t xml:space="preserve">such flexibility creates barriers to the cross-border operations of asset managers and to the</w:t>
      </w:r>
      <w:r>
        <w:t xml:space="preserve"> </w:t>
      </w:r>
      <w:r>
        <w:t xml:space="preserve">development of an integrated market for investment funds.</w:t>
      </w:r>
      <w:r>
        <w:br/>
      </w:r>
      <w:r>
        <w:t xml:space="preserve">CONS:</w:t>
      </w:r>
      <w:r>
        <w:t xml:space="preserve"> </w:t>
      </w:r>
      <w:r>
        <w:t xml:space="preserve">First, under Option 1, divergent national practices in the authorisation and operations of AIFMs</w:t>
      </w:r>
      <w:r>
        <w:t xml:space="preserve"> </w:t>
      </w:r>
      <w:r>
        <w:t xml:space="preserve">and UCITS management companies would persist. This Option would perpetuate the</w:t>
      </w:r>
      <w:r>
        <w:t xml:space="preserve"> </w:t>
      </w:r>
      <w:r>
        <w:t xml:space="preserve">fragmentation of supervisory and regulatory practices across Member States. This would</w:t>
      </w:r>
      <w:r>
        <w:t xml:space="preserve"> </w:t>
      </w:r>
      <w:r>
        <w:t xml:space="preserve">maintain high administrative costs, prolong authorisation timelines, and discourage cross-</w:t>
      </w:r>
      <w:r>
        <w:t xml:space="preserve"> </w:t>
      </w:r>
      <w:r>
        <w:t xml:space="preserve">border activity, ultimately reinforcing market fragmentation and limiting the competitiveness</w:t>
      </w:r>
      <w:r>
        <w:t xml:space="preserve"> </w:t>
      </w:r>
      <w:r>
        <w:t xml:space="preserve">of EU asset managers.</w:t>
      </w:r>
      <w:r>
        <w:t xml:space="preserve"> </w:t>
      </w:r>
      <w:r>
        <w:t xml:space="preserve">Second, asset management groups would continue to face duplicative and inconsistent</w:t>
      </w:r>
      <w:r>
        <w:t xml:space="preserve"> </w:t>
      </w:r>
      <w:r>
        <w:t xml:space="preserve">requirements and intra-group delegation would remain subject to the same requirements as</w:t>
      </w:r>
      <w:r>
        <w:t xml:space="preserve"> </w:t>
      </w:r>
      <w:r>
        <w:t xml:space="preserve">third-party delegation, creating inefficiencies and disproportionate compliance burdens.</w:t>
      </w:r>
      <w:r>
        <w:br/>
      </w:r>
      <w:r>
        <w:t xml:space="preserve">Third, noting the EU’s broader objectives to advance the SIU, a policy option to retain the</w:t>
      </w:r>
      <w:r>
        <w:t xml:space="preserve"> </w:t>
      </w:r>
      <w:r>
        <w:t xml:space="preserve">current regime would represent a missed opportunity to reduce barriers to market integration,</w:t>
      </w:r>
      <w:r>
        <w:t xml:space="preserve"> </w:t>
      </w:r>
      <w:r>
        <w:t xml:space="preserve">streamline regulatory oversight, and enhance investor confidence across the EU.</w:t>
      </w:r>
      <w:r>
        <w:t xml:space="preserve"> </w:t>
      </w:r>
      <w:r>
        <w:t xml:space="preserve">6.3.2. Comprehensive review: Standardise the authorisation process, streamline</w:t>
      </w:r>
      <w:r>
        <w:t xml:space="preserve"> </w:t>
      </w:r>
      <w:r>
        <w:t xml:space="preserve">organisational and delegation requirements for asset management groups</w:t>
      </w:r>
      <w:r>
        <w:t xml:space="preserve"> </w:t>
      </w:r>
      <w:r>
        <w:t xml:space="preserve">and eliminate national divergences for asset managers</w:t>
      </w:r>
      <w:r>
        <w:t xml:space="preserve"> </w:t>
      </w:r>
      <w:r>
        <w:t xml:space="preserve">PROS:</w:t>
      </w:r>
      <w:r>
        <w:br/>
      </w:r>
      <w:r>
        <w:t xml:space="preserve">First, Option 2 would alleviate some of the operational and financial burden that groups of</w:t>
      </w:r>
      <w:r>
        <w:t xml:space="preserve"> </w:t>
      </w:r>
      <w:r>
        <w:t xml:space="preserve">management companies currently face. Permitting the sharing of resources would contribute</w:t>
      </w:r>
      <w:r>
        <w:t xml:space="preserve"> </w:t>
      </w:r>
      <w:r>
        <w:t xml:space="preserve">to avoiding unnecessary duplication of resources across different entities within the group and</w:t>
      </w:r>
      <w:r>
        <w:t xml:space="preserve"> </w:t>
      </w:r>
      <w:r>
        <w:t xml:space="preserve">would allow the efficient centralisation of resources, such as IT systems, compliance teams,</w:t>
      </w:r>
      <w:r>
        <w:t xml:space="preserve"> </w:t>
      </w:r>
      <w:r>
        <w:t xml:space="preserve">risk management functions, or administrative staff. Recognising the concept of an asset</w:t>
      </w:r>
      <w:r>
        <w:t xml:space="preserve"> </w:t>
      </w:r>
      <w:r>
        <w:t xml:space="preserve">management group would also enhance the effectiveness of supervisory oversight of such</w:t>
      </w:r>
      <w:r>
        <w:t xml:space="preserve"> </w:t>
      </w:r>
      <w:r>
        <w:t xml:space="preserve">entities, as further detailed in the Annex on supervision.</w:t>
      </w:r>
      <w:r>
        <w:t xml:space="preserve"> </w:t>
      </w:r>
      <w:r>
        <w:t xml:space="preserve">Second, as regards delegation, Option 2 would substantially reduce the burden asset</w:t>
      </w:r>
      <w:r>
        <w:t xml:space="preserve"> </w:t>
      </w:r>
      <w:r>
        <w:t xml:space="preserve">management groups, as it will remove the need to establish and maintain distinct resources</w:t>
      </w:r>
      <w:r>
        <w:t xml:space="preserve"> </w:t>
      </w:r>
      <w:r>
        <w:t xml:space="preserve">dedicated solely to the oversight and monitoring of delegated activities carried out by another</w:t>
      </w:r>
      <w:r>
        <w:t xml:space="preserve"> </w:t>
      </w:r>
      <w:r>
        <w:t xml:space="preserve">group entity. Requiring duplicative oversight structures for intragroup arrangements creates</w:t>
      </w:r>
      <w:r>
        <w:t xml:space="preserve"> </w:t>
      </w:r>
      <w:r>
        <w:t xml:space="preserve">unnecessary administrative complexity and costs, without enhancing investor protection or</w:t>
      </w:r>
      <w:r>
        <w:t xml:space="preserve"> </w:t>
      </w:r>
      <w:r>
        <w:t xml:space="preserve">improving risk management outcomes. Option 2 also enjoyed the support of the majority of</w:t>
      </w:r>
      <w:r>
        <w:t xml:space="preserve"> </w:t>
      </w:r>
      <w:r>
        <w:t xml:space="preserve">stakeholders (mainly asset managers and business associations) that responded to the public</w:t>
      </w:r>
      <w:r>
        <w:t xml:space="preserve"> </w:t>
      </w:r>
      <w:r>
        <w:t xml:space="preserve">consultation. Third, by harmonising the content and structure of authorisation submissions,</w:t>
      </w:r>
      <w:r>
        <w:t xml:space="preserve"> </w:t>
      </w:r>
      <w:r>
        <w:t xml:space="preserve">Option 2 would enhance legal clarity, improve the consistency of assessments across Member</w:t>
      </w:r>
      <w:r>
        <w:t xml:space="preserve"> </w:t>
      </w:r>
      <w:r>
        <w:t xml:space="preserve">States, and increase the overall efficiency of the authorisation process, thereby fostering greater</w:t>
      </w:r>
      <w:r>
        <w:t xml:space="preserve"> </w:t>
      </w:r>
      <w:r>
        <w:t xml:space="preserve">supervisory convergence.</w:t>
      </w:r>
    </w:p>
    <w:p>
      <w:pPr>
        <w:pStyle w:val="BodyText"/>
      </w:pPr>
      <w:r>
        <w:t xml:space="preserve">319</w:t>
      </w:r>
      <w:r>
        <w:t xml:space="preserve"> </w:t>
      </w:r>
      <w:r>
        <w:t xml:space="preserve">Fourth, eliminating national discretions and replacing them with harmonised rules would</w:t>
      </w:r>
      <w:r>
        <w:t xml:space="preserve"> </w:t>
      </w:r>
      <w:r>
        <w:t xml:space="preserve">significantly reduce regulatory fragmentation. This would create a more level playing field for</w:t>
      </w:r>
      <w:r>
        <w:t xml:space="preserve"> </w:t>
      </w:r>
      <w:r>
        <w:t xml:space="preserve">UCITS and AIFMs, facilitating cross-border activity and contributing to the creation of a truly</w:t>
      </w:r>
      <w:r>
        <w:t xml:space="preserve"> </w:t>
      </w:r>
      <w:r>
        <w:t xml:space="preserve">integrated internal market for investment funds. Harmonisation would also improve legal</w:t>
      </w:r>
      <w:r>
        <w:t xml:space="preserve"> </w:t>
      </w:r>
      <w:r>
        <w:t xml:space="preserve">clarity for fund managers operating across multiple Member States by replacing a patchwork</w:t>
      </w:r>
      <w:r>
        <w:t xml:space="preserve"> </w:t>
      </w:r>
      <w:r>
        <w:t xml:space="preserve">of national rules with a single set of EU rules.</w:t>
      </w:r>
      <w:r>
        <w:br/>
      </w:r>
      <w:r>
        <w:t xml:space="preserve">Fifth, better harmonised conduct and prudential rules would help ensure consistent standards</w:t>
      </w:r>
      <w:r>
        <w:t xml:space="preserve"> </w:t>
      </w:r>
      <w:r>
        <w:t xml:space="preserve">of investor protection across the EU, regardless of the jurisdiction in which a fund is domiciled</w:t>
      </w:r>
      <w:r>
        <w:t xml:space="preserve"> </w:t>
      </w:r>
      <w:r>
        <w:t xml:space="preserve">or marketed.</w:t>
      </w:r>
      <w:r>
        <w:t xml:space="preserve"> </w:t>
      </w:r>
      <w:r>
        <w:t xml:space="preserve">CONS:</w:t>
      </w:r>
      <w:r>
        <w:br/>
      </w:r>
      <w:r>
        <w:t xml:space="preserve">First, Option 2 alone would not address the existing divergences in supervisory practices among</w:t>
      </w:r>
      <w:r>
        <w:t xml:space="preserve"> </w:t>
      </w:r>
      <w:r>
        <w:t xml:space="preserve">national competent authorities, since supervision would remain fragmented. Each entity within</w:t>
      </w:r>
      <w:r>
        <w:t xml:space="preserve"> </w:t>
      </w:r>
      <w:r>
        <w:t xml:space="preserve">the group would continue to fall under the jurisdiction of its respective home NCA, preventing</w:t>
      </w:r>
      <w:r>
        <w:t xml:space="preserve"> </w:t>
      </w:r>
      <w:r>
        <w:t xml:space="preserve">a unified supervisory approach. However, other measures are proposed under the SIU proposal</w:t>
      </w:r>
      <w:r>
        <w:t xml:space="preserve"> </w:t>
      </w:r>
      <w:r>
        <w:t xml:space="preserve">to give ESMA a stronger operational coordination role over groups of asset managers, with the</w:t>
      </w:r>
      <w:r>
        <w:t xml:space="preserve"> </w:t>
      </w:r>
      <w:r>
        <w:t xml:space="preserve">aim of increasing supervisory cooperation and convergence in their oversight (see Sectoral</w:t>
      </w:r>
      <w:r>
        <w:t xml:space="preserve"> </w:t>
      </w:r>
      <w:r>
        <w:t xml:space="preserve">Annex 11 on supervision).</w:t>
      </w:r>
      <w:r>
        <w:t xml:space="preserve"> </w:t>
      </w:r>
      <w:r>
        <w:t xml:space="preserve">Second, Option 2 would be administratively complex and may involve significant transition</w:t>
      </w:r>
      <w:r>
        <w:t xml:space="preserve"> </w:t>
      </w:r>
      <w:r>
        <w:t xml:space="preserve">costs for both regulators and fund managers that would be required to abandon well-established</w:t>
      </w:r>
      <w:r>
        <w:t xml:space="preserve"> </w:t>
      </w:r>
      <w:r>
        <w:t xml:space="preserve">market practices and national requirements and adapt their organisational and prudential</w:t>
      </w:r>
      <w:r>
        <w:t xml:space="preserve"> </w:t>
      </w:r>
      <w:r>
        <w:t xml:space="preserve">frameworks as well as the portfolios of the funds they manage to the new requirements.</w:t>
      </w:r>
      <w:r>
        <w:t xml:space="preserve"> </w:t>
      </w:r>
      <w:r>
        <w:t xml:space="preserve">However, these transitional costs are expected to be outweighed by long-term cost savings</w:t>
      </w:r>
      <w:r>
        <w:t xml:space="preserve"> </w:t>
      </w:r>
      <w:r>
        <w:t xml:space="preserve">resulting from compliance with a single, harmonised set of rules rather than navigating 27</w:t>
      </w:r>
      <w:r>
        <w:t xml:space="preserve"> </w:t>
      </w:r>
      <w:r>
        <w:t xml:space="preserve">different national regimes.</w:t>
      </w:r>
      <w:r>
        <w:t xml:space="preserve"> </w:t>
      </w:r>
      <w:r>
        <w:t xml:space="preserve">6.3.3. Extensive review: Group level authorisation of asset managers</w:t>
      </w:r>
      <w:r>
        <w:t xml:space="preserve"> </w:t>
      </w:r>
      <w:r>
        <w:t xml:space="preserve">PROS:</w:t>
      </w:r>
      <w:r>
        <w:br/>
      </w:r>
      <w:r>
        <w:t xml:space="preserve">First, Option 3 directly addresses a significant shortcoming in the current regulatory framework</w:t>
      </w:r>
      <w:r>
        <w:t xml:space="preserve"> </w:t>
      </w:r>
      <w:r>
        <w:t xml:space="preserve">by introducing explicit provisions for asset management groups, which are currently not</w:t>
      </w:r>
      <w:r>
        <w:t xml:space="preserve"> </w:t>
      </w:r>
      <w:r>
        <w:t xml:space="preserve">formally recognised nor subject to coordinated supervision. By establishing a group-level</w:t>
      </w:r>
      <w:r>
        <w:t xml:space="preserve"> </w:t>
      </w:r>
      <w:r>
        <w:t xml:space="preserve">authorisation regime, Option 3 would streamline regulatory oversight, reduce administrative</w:t>
      </w:r>
      <w:r>
        <w:t xml:space="preserve"> </w:t>
      </w:r>
      <w:r>
        <w:t xml:space="preserve">and compliance burdens, and promote greater integration of the EU asset management market.</w:t>
      </w:r>
      <w:r>
        <w:t xml:space="preserve"> </w:t>
      </w:r>
      <w:r>
        <w:t xml:space="preserve">It would eliminate duplicative and potentially inconsistent authorisation processes across</w:t>
      </w:r>
      <w:r>
        <w:t xml:space="preserve"> </w:t>
      </w:r>
      <w:r>
        <w:t xml:space="preserve">Member States, allowing groups to consolidate internal functions (e.g. compliance, risk</w:t>
      </w:r>
      <w:r>
        <w:t xml:space="preserve"> </w:t>
      </w:r>
      <w:r>
        <w:t xml:space="preserve">management, IT systems) and achieve operational efficiencies. Option 3 would also enhance</w:t>
      </w:r>
      <w:r>
        <w:t xml:space="preserve"> </w:t>
      </w:r>
      <w:r>
        <w:t xml:space="preserve">supervisory consistency and effectiveness by ensuring that the entire group is overseen by the</w:t>
      </w:r>
      <w:r>
        <w:t xml:space="preserve"> </w:t>
      </w:r>
      <w:r>
        <w:t xml:space="preserve">competent authority of the parent entity. This centralised supervision would provide a holistic</w:t>
      </w:r>
      <w:r>
        <w:t xml:space="preserve"> </w:t>
      </w:r>
      <w:r>
        <w:t xml:space="preserve">and comprehensive view of the group’s operations, reducing the risk of conflicting supervisory</w:t>
      </w:r>
      <w:r>
        <w:t xml:space="preserve"> </w:t>
      </w:r>
      <w:r>
        <w:t xml:space="preserve">practices and improving the quality of oversight across jurisdictions.</w:t>
      </w:r>
      <w:r>
        <w:br/>
      </w:r>
      <w:r>
        <w:t xml:space="preserve">Second, by standardising the information to be provided as part of the authorisation procedure,</w:t>
      </w:r>
      <w:r>
        <w:t xml:space="preserve"> </w:t>
      </w:r>
      <w:r>
        <w:t xml:space="preserve">Option 3 would contribute to greater legal certainty, comparability, and efficiency in the</w:t>
      </w:r>
      <w:r>
        <w:t xml:space="preserve"> </w:t>
      </w:r>
      <w:r>
        <w:t xml:space="preserve">authorisation process, while supporting supervisory convergence across Member States.</w:t>
      </w:r>
      <w:r>
        <w:br/>
      </w:r>
      <w:r>
        <w:t xml:space="preserve">CONS:</w:t>
      </w:r>
      <w:r>
        <w:br/>
      </w:r>
      <w:r>
        <w:t xml:space="preserve">First, under Option 3, the authorisation and supervision of the entire asset management group</w:t>
      </w:r>
      <w:r>
        <w:t xml:space="preserve"> </w:t>
      </w:r>
      <w:r>
        <w:t xml:space="preserve">would be centralised under the competent authority of the parent entity requiring host</w:t>
      </w:r>
    </w:p>
    <w:p>
      <w:pPr>
        <w:pStyle w:val="BodyText"/>
      </w:pPr>
      <w:r>
        <w:t xml:space="preserve">320</w:t>
      </w:r>
      <w:r>
        <w:t xml:space="preserve"> </w:t>
      </w:r>
      <w:r>
        <w:t xml:space="preserve">supervisors to relinquish oversight of local subsidiaries and raising concerns about the loss of</w:t>
      </w:r>
      <w:r>
        <w:t xml:space="preserve"> </w:t>
      </w:r>
      <w:r>
        <w:t xml:space="preserve">local insight. It also risks weakening supervision, as home authorities may lack knowledge of</w:t>
      </w:r>
      <w:r>
        <w:t xml:space="preserve"> </w:t>
      </w:r>
      <w:r>
        <w:t xml:space="preserve">specific activities and risks in other Member States. Moreover, it would require a major</w:t>
      </w:r>
      <w:r>
        <w:t xml:space="preserve"> </w:t>
      </w:r>
      <w:r>
        <w:t xml:space="preserve">overhaul of current procedures and supervisory frameworks also in areas where problems were</w:t>
      </w:r>
      <w:r>
        <w:t xml:space="preserve"> </w:t>
      </w:r>
      <w:r>
        <w:t xml:space="preserve">not identified, creating significant disruption and transitional challenges for regulators and</w:t>
      </w:r>
      <w:r>
        <w:t xml:space="preserve"> </w:t>
      </w:r>
      <w:r>
        <w:t xml:space="preserve">market participants.</w:t>
      </w:r>
      <w:r>
        <w:br/>
      </w:r>
      <w:r>
        <w:t xml:space="preserve">Second, this option may affect all investment funds, as the designated asset manager (AIFM or</w:t>
      </w:r>
      <w:r>
        <w:t xml:space="preserve"> </w:t>
      </w:r>
      <w:r>
        <w:t xml:space="preserve">UCITS management company), which is responsible for managing the fund, would need to be</w:t>
      </w:r>
      <w:r>
        <w:t xml:space="preserve"> </w:t>
      </w:r>
      <w:r>
        <w:t xml:space="preserve">replaced in all fund documentation to reflect the new functioning of the asset management</w:t>
      </w:r>
      <w:r>
        <w:t xml:space="preserve"> </w:t>
      </w:r>
      <w:r>
        <w:t xml:space="preserve">framework.</w:t>
      </w:r>
      <w:r>
        <w:t xml:space="preserve"> </w:t>
      </w:r>
      <w:r>
        <w:t xml:space="preserve">Third, Option 3 did not receive broad support during the public consultation. The majority of</w:t>
      </w:r>
      <w:r>
        <w:t xml:space="preserve"> </w:t>
      </w:r>
      <w:r>
        <w:t xml:space="preserve">stakeholders (55%), including industry representatives and national authorities, did not identify</w:t>
      </w:r>
      <w:r>
        <w:t xml:space="preserve"> </w:t>
      </w:r>
      <w:r>
        <w:t xml:space="preserve">significant issues with the current authorisation framework for asset management groups, apart</w:t>
      </w:r>
      <w:r>
        <w:t xml:space="preserve"> </w:t>
      </w:r>
      <w:r>
        <w:t xml:space="preserve">from national divergences, and expressed reservations about introducing a group-level</w:t>
      </w:r>
      <w:r>
        <w:t xml:space="preserve"> </w:t>
      </w:r>
      <w:r>
        <w:t xml:space="preserve">authorisation regime. Those respondents argued that asset managers operate under diverse</w:t>
      </w:r>
      <w:r>
        <w:t xml:space="preserve"> </w:t>
      </w:r>
      <w:r>
        <w:t xml:space="preserve">business models with no uniform structure, and that granting an AIFMD/UCITSD licence to</w:t>
      </w:r>
      <w:r>
        <w:t xml:space="preserve"> </w:t>
      </w:r>
      <w:r>
        <w:t xml:space="preserve">an entity other than the one carrying out regulated activities could create supervisory and</w:t>
      </w:r>
      <w:r>
        <w:t xml:space="preserve"> </w:t>
      </w:r>
      <w:r>
        <w:t xml:space="preserve">investor protection risks. They also cautioned that concentrating resources in a few entities</w:t>
      </w:r>
      <w:r>
        <w:t xml:space="preserve"> </w:t>
      </w:r>
      <w:r>
        <w:t xml:space="preserve">might raise substance-related challenges and additional risks.</w:t>
      </w:r>
      <w:r>
        <w:br/>
      </w:r>
      <w:r>
        <w:t xml:space="preserve">6.3.4. Comparison of the options</w:t>
      </w:r>
    </w:p>
    <w:p>
      <w:pPr>
        <w:pStyle w:val="BodyText"/>
      </w:pPr>
      <w:r>
        <w:t xml:space="preserve">Effectiveness Efficiency Coherence Overall score</w:t>
      </w:r>
      <w:r>
        <w:t xml:space="preserve"> </w:t>
      </w:r>
      <w:r>
        <w:t xml:space="preserve">Option 1 Baseline scenario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Option 2</w:t>
      </w:r>
      <w:r>
        <w:br/>
      </w:r>
      <w:r>
        <w:t xml:space="preserve">Comprehensive review</w:t>
      </w:r>
      <w:r>
        <w:t xml:space="preserve"> </w:t>
      </w:r>
      <w:r>
        <w:t xml:space="preserve">++</w:t>
      </w:r>
      <w:r>
        <w:br/>
      </w:r>
      <w:r>
        <w:t xml:space="preserve">++</w:t>
      </w:r>
      <w:r>
        <w:br/>
      </w:r>
      <w:r>
        <w:t xml:space="preserve">+++</w:t>
      </w:r>
      <w:r>
        <w:br/>
      </w:r>
      <w:r>
        <w:t xml:space="preserve">++</w:t>
      </w:r>
      <w:r>
        <w:br/>
      </w:r>
      <w:r>
        <w:t xml:space="preserve">Option 3</w:t>
      </w:r>
      <w:r>
        <w:br/>
      </w:r>
      <w:r>
        <w:t xml:space="preserve">Extensive review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Legend: +++ = very positive ++ = positive + = slightly positive +/- = mixed effect 0 = no effect</w:t>
      </w:r>
      <w:r>
        <w:br/>
      </w:r>
      <w:r>
        <w:t xml:space="preserve">- = slightly negative – = negative — = very negative</w:t>
      </w:r>
    </w:p>
    <w:p>
      <w:pPr>
        <w:pStyle w:val="BodyText"/>
      </w:pPr>
      <w:r>
        <w:t xml:space="preserve">6.3.5. Preferred Option</w:t>
      </w:r>
      <w:r>
        <w:br/>
      </w:r>
      <w:r>
        <w:t xml:space="preserve">Option 2 is considered the most appropriate and proportionate solution. It addresses</w:t>
      </w:r>
      <w:r>
        <w:t xml:space="preserve"> </w:t>
      </w:r>
      <w:r>
        <w:t xml:space="preserve">inefficiencies in authorisation and delegation requirements for asset management groups in a</w:t>
      </w:r>
      <w:r>
        <w:t xml:space="preserve"> </w:t>
      </w:r>
      <w:r>
        <w:t xml:space="preserve">targeted way while preserving the current regime, which stakeholders generally view as</w:t>
      </w:r>
      <w:r>
        <w:t xml:space="preserve"> </w:t>
      </w:r>
      <w:r>
        <w:t xml:space="preserve">functioning well. It would enable groups to use resources across subsidiaries without</w:t>
      </w:r>
      <w:r>
        <w:t xml:space="preserve"> </w:t>
      </w:r>
      <w:r>
        <w:t xml:space="preserve">duplicating core functions such as compliance or IT, resulting in significant savings. By</w:t>
      </w:r>
      <w:r>
        <w:t xml:space="preserve"> </w:t>
      </w:r>
      <w:r>
        <w:t xml:space="preserve">streamlining intra-group delegation and oversight, Option 2 removes the need to create parallel</w:t>
      </w:r>
      <w:r>
        <w:t xml:space="preserve"> </w:t>
      </w:r>
      <w:r>
        <w:t xml:space="preserve">resources solely for monitoring activities performed by other group entities. Unlike a shift to</w:t>
      </w:r>
      <w:r>
        <w:t xml:space="preserve"> </w:t>
      </w:r>
      <w:r>
        <w:t xml:space="preserve">group-level authorisation this option also avoids investor protection risks linked to limited</w:t>
      </w:r>
      <w:r>
        <w:t xml:space="preserve"> </w:t>
      </w:r>
      <w:r>
        <w:t xml:space="preserve">supervisory insight into cross-border operations.</w:t>
      </w:r>
      <w:r>
        <w:t xml:space="preserve"> </w:t>
      </w:r>
      <w:r>
        <w:t xml:space="preserve">Compared with other options, Option 2 strikes the right balance between effectiveness and</w:t>
      </w:r>
      <w:r>
        <w:t xml:space="preserve"> </w:t>
      </w:r>
      <w:r>
        <w:t xml:space="preserve">proportionality, as it removes national discretions and divergent rules and replaces them with</w:t>
      </w:r>
      <w:r>
        <w:t xml:space="preserve"> </w:t>
      </w:r>
      <w:r>
        <w:t xml:space="preserve">harmonised rules across the EU, enhancing legal clarity, ensuring consistent investor</w:t>
      </w:r>
      <w:r>
        <w:t xml:space="preserve"> </w:t>
      </w:r>
      <w:r>
        <w:t xml:space="preserve">protection, and facilitating cross-border activity. It would also improve supervisory</w:t>
      </w:r>
      <w:r>
        <w:t xml:space="preserve"> </w:t>
      </w:r>
      <w:r>
        <w:t xml:space="preserve">convergence and cooperation, strengthening the EU’s competitiveness as a global asset</w:t>
      </w:r>
      <w:r>
        <w:t xml:space="preserve"> </w:t>
      </w:r>
      <w:r>
        <w:t xml:space="preserve">management hub and advancing the broader objective of a strong SIU.</w:t>
      </w:r>
    </w:p>
    <w:p>
      <w:pPr>
        <w:pStyle w:val="BodyText"/>
      </w:pPr>
      <w:r>
        <w:t xml:space="preserve">321</w:t>
      </w:r>
      <w:r>
        <w:t xml:space="preserve"> </w:t>
      </w:r>
      <w:r>
        <w:t xml:space="preserve">6.4. IMPACT OF THE POLICY OPTIONS REGARDING OTHER BARRIERS TO THE GROWTH OF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6.4.1. Baseline/ Status quo</w:t>
      </w:r>
      <w:r>
        <w:t xml:space="preserve"> </w:t>
      </w:r>
      <w:r>
        <w:t xml:space="preserve">PROS:</w:t>
      </w:r>
      <w:r>
        <w:br/>
      </w:r>
      <w:r>
        <w:t xml:space="preserve">Maintaining the current framework under the UCITSD would preserve the existing investment</w:t>
      </w:r>
      <w:r>
        <w:t xml:space="preserve"> </w:t>
      </w:r>
      <w:r>
        <w:t xml:space="preserve">and diversification limits. This would ensure continuity and stability in the regulatory</w:t>
      </w:r>
      <w:r>
        <w:t xml:space="preserve"> </w:t>
      </w:r>
      <w:r>
        <w:t xml:space="preserve">framework, but it would also mean that the concerns raised by stakeholders regarding</w:t>
      </w:r>
      <w:r>
        <w:t xml:space="preserve"> </w:t>
      </w:r>
      <w:r>
        <w:t xml:space="preserve">investments in securitisations and high-performing equities through an active investment</w:t>
      </w:r>
      <w:r>
        <w:t xml:space="preserve"> </w:t>
      </w:r>
      <w:r>
        <w:t xml:space="preserve">strategy remain unaddressed.</w:t>
      </w:r>
      <w:r>
        <w:t xml:space="preserve"> </w:t>
      </w:r>
      <w:r>
        <w:t xml:space="preserve">CONS:</w:t>
      </w:r>
      <w:r>
        <w:t xml:space="preserve"> </w:t>
      </w:r>
      <w:r>
        <w:t xml:space="preserve">First, maintaining the current 10% limit for investments in securitisations would continue to</w:t>
      </w:r>
      <w:r>
        <w:t xml:space="preserve"> </w:t>
      </w:r>
      <w:r>
        <w:t xml:space="preserve">restrict UCITS’ ability to allocate meaningful portions of their portfolios to these asset classes,</w:t>
      </w:r>
      <w:r>
        <w:t xml:space="preserve"> </w:t>
      </w:r>
      <w:r>
        <w:t xml:space="preserve">hindering the development of the EU securitisation market, and failing to acknowledge that</w:t>
      </w:r>
      <w:r>
        <w:t xml:space="preserve"> </w:t>
      </w:r>
      <w:r>
        <w:t xml:space="preserve">securitisations are diversified and well regulated under the Securitisation Regulation.</w:t>
      </w:r>
      <w:r>
        <w:t xml:space="preserve"> </w:t>
      </w:r>
      <w:r>
        <w:t xml:space="preserve">Second, Option 1 would continue to force active managers, with an investment strategy aimed</w:t>
      </w:r>
      <w:r>
        <w:t xml:space="preserve"> </w:t>
      </w:r>
      <w:r>
        <w:t xml:space="preserve">at outperforming a benchmark, to underweight or divest from successful companies once their</w:t>
      </w:r>
      <w:r>
        <w:t xml:space="preserve"> </w:t>
      </w:r>
      <w:r>
        <w:t xml:space="preserve">index weight exceeds 10%. As a result, actively managed funds would remain disadvantaged</w:t>
      </w:r>
      <w:r>
        <w:t xml:space="preserve"> </w:t>
      </w:r>
      <w:r>
        <w:t xml:space="preserve">compared to passive funds, with constraints that could narrow investor choice and potentially</w:t>
      </w:r>
      <w:r>
        <w:t xml:space="preserve"> </w:t>
      </w:r>
      <w:r>
        <w:t xml:space="preserve">dampen returns.</w:t>
      </w:r>
      <w:r>
        <w:t xml:space="preserve"> </w:t>
      </w:r>
      <w:r>
        <w:t xml:space="preserve">Third, under the baseline scenario, successful companies whose growing market capitalisation</w:t>
      </w:r>
      <w:r>
        <w:t xml:space="preserve"> </w:t>
      </w:r>
      <w:r>
        <w:t xml:space="preserve">leads to an increased weight in major indices would remain penalised, which could hinder the</w:t>
      </w:r>
      <w:r>
        <w:t xml:space="preserve"> </w:t>
      </w:r>
      <w:r>
        <w:t xml:space="preserve">development of the European equity market.</w:t>
      </w:r>
      <w:r>
        <w:t xml:space="preserve"> </w:t>
      </w:r>
      <w:r>
        <w:t xml:space="preserve">Fourth, Option 1 does not enjoy the support of the majority of stakeholders (mainly large asset</w:t>
      </w:r>
      <w:r>
        <w:t xml:space="preserve"> </w:t>
      </w:r>
      <w:r>
        <w:t xml:space="preserve">managers), most of whom called for targeted adjustments to both the equity and securitisation</w:t>
      </w:r>
      <w:r>
        <w:t xml:space="preserve"> </w:t>
      </w:r>
      <w:r>
        <w:t xml:space="preserve">limits.</w:t>
      </w:r>
      <w:r>
        <w:t xml:space="preserve"> </w:t>
      </w:r>
      <w:r>
        <w:t xml:space="preserve">6.4.2. Comprehensive review: other barriers to the growth of investment funds</w:t>
      </w:r>
      <w:r>
        <w:t xml:space="preserve"> </w:t>
      </w:r>
      <w:r>
        <w:t xml:space="preserve">PROS:</w:t>
      </w:r>
      <w:r>
        <w:t xml:space="preserve"> </w:t>
      </w:r>
      <w:r>
        <w:t xml:space="preserve">First, Option 2 would provide a targeted and proportionate adjustment to the UCITSD,</w:t>
      </w:r>
      <w:r>
        <w:t xml:space="preserve"> </w:t>
      </w:r>
      <w:r>
        <w:t xml:space="preserve">addressing two areas where the current limits have been criticised as overly restrictive. By</w:t>
      </w:r>
      <w:r>
        <w:t xml:space="preserve"> </w:t>
      </w:r>
      <w:r>
        <w:t xml:space="preserve">raising the 10% cap for securitisations to 15%, the framework would better reflect the</w:t>
      </w:r>
      <w:r>
        <w:t xml:space="preserve"> </w:t>
      </w:r>
      <w:r>
        <w:t xml:space="preserve">diversified nature of securitisations, and the regulatory safeguards introduced under the</w:t>
      </w:r>
      <w:r>
        <w:t xml:space="preserve"> </w:t>
      </w:r>
      <w:r>
        <w:t xml:space="preserve">Securitisation Regulation. This would give UCITS managers greater flexibility to allocate</w:t>
      </w:r>
      <w:r>
        <w:t xml:space="preserve"> </w:t>
      </w:r>
      <w:r>
        <w:t xml:space="preserve">meaningful exposures to securitisations and contributing to the development of the EU</w:t>
      </w:r>
      <w:r>
        <w:t xml:space="preserve"> </w:t>
      </w:r>
      <w:r>
        <w:t xml:space="preserve">securitisation market.</w:t>
      </w:r>
      <w:r>
        <w:t xml:space="preserve"> </w:t>
      </w:r>
      <w:r>
        <w:t xml:space="preserve">Second, Option 2 would level the playing field between passive and active index funds. It</w:t>
      </w:r>
      <w:r>
        <w:t xml:space="preserve"> </w:t>
      </w:r>
      <w:r>
        <w:t xml:space="preserve">would enable active strategies to better reflect the composition of relevant indices and allow</w:t>
      </w:r>
      <w:r>
        <w:t xml:space="preserve"> </w:t>
      </w:r>
      <w:r>
        <w:t xml:space="preserve">investors broader access to high-performing equities. Option 2 would also contribute to the</w:t>
      </w:r>
      <w:r>
        <w:t xml:space="preserve"> </w:t>
      </w:r>
      <w:r>
        <w:t xml:space="preserve">development and growth of the European equity market. ESMA’s role in maintaining a list of</w:t>
      </w:r>
      <w:r>
        <w:t xml:space="preserve"> </w:t>
      </w:r>
      <w:r>
        <w:t xml:space="preserve">recognised indices would enhance legal certainty and ensure consistent application across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Third, Option 2 enjoyed the support of the majority of the respondents to the consultation.</w:t>
      </w:r>
      <w:r>
        <w:br/>
      </w:r>
      <w:r>
        <w:t xml:space="preserve">CONS:</w:t>
      </w:r>
    </w:p>
    <w:p>
      <w:pPr>
        <w:pStyle w:val="BodyText"/>
      </w:pPr>
      <w:r>
        <w:t xml:space="preserve">322</w:t>
      </w:r>
      <w:r>
        <w:t xml:space="preserve"> </w:t>
      </w:r>
      <w:r>
        <w:t xml:space="preserve">Option 2 introduces additional complexity to the framework by creating differentiated rules</w:t>
      </w:r>
      <w:r>
        <w:t xml:space="preserve"> </w:t>
      </w:r>
      <w:r>
        <w:t xml:space="preserve">depending on the type of assets and the active or passive strategy of a fund. This may require</w:t>
      </w:r>
      <w:r>
        <w:t xml:space="preserve"> </w:t>
      </w:r>
      <w:r>
        <w:t xml:space="preserve">UCITS managers to adapt compliance and reporting systems, while national competent</w:t>
      </w:r>
      <w:r>
        <w:t xml:space="preserve"> </w:t>
      </w:r>
      <w:r>
        <w:t xml:space="preserve">authorities would need to monitor adherence to ESMA’s evolving list of benchmarks.</w:t>
      </w:r>
      <w:r>
        <w:t xml:space="preserve"> </w:t>
      </w:r>
      <w:r>
        <w:t xml:space="preserve">6.4.3. Comparison of the options</w:t>
      </w:r>
    </w:p>
    <w:p>
      <w:pPr>
        <w:pStyle w:val="BodyText"/>
      </w:pPr>
      <w:r>
        <w:t xml:space="preserve">Effectiveness Efficiency Coherence Overall score</w:t>
      </w:r>
      <w:r>
        <w:t xml:space="preserve"> </w:t>
      </w:r>
      <w:r>
        <w:t xml:space="preserve">Option 1 Baseline scenario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Option 2</w:t>
      </w:r>
      <w:r>
        <w:br/>
      </w:r>
      <w:r>
        <w:t xml:space="preserve">Comprehensive review</w:t>
      </w:r>
      <w:r>
        <w:t xml:space="preserve"> </w:t>
      </w:r>
      <w:r>
        <w:t xml:space="preserve">++</w:t>
      </w:r>
      <w:r>
        <w:br/>
      </w:r>
      <w:r>
        <w:t xml:space="preserve">++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br/>
      </w:r>
      <w:r>
        <w:t xml:space="preserve">Legend: +++ = very positive ++ = positive + = slightly positive +/- = mixed effect 0 = no effect</w:t>
      </w:r>
      <w:r>
        <w:br/>
      </w:r>
      <w:r>
        <w:t xml:space="preserve">- = slightly negative – = negative — = very negative</w:t>
      </w:r>
    </w:p>
    <w:p>
      <w:pPr>
        <w:pStyle w:val="BodyText"/>
      </w:pPr>
      <w:r>
        <w:t xml:space="preserve">6.4.4. Preferred option</w:t>
      </w:r>
      <w:r>
        <w:t xml:space="preserve"> </w:t>
      </w:r>
      <w:r>
        <w:t xml:space="preserve">Option 2 is the preferred choice as it offers a targeted and proportionate adjustment that</w:t>
      </w:r>
      <w:r>
        <w:t xml:space="preserve"> </w:t>
      </w:r>
      <w:r>
        <w:t xml:space="preserve">addresses key shortcomings of the current UCITS framework without requiring a full overhaul.</w:t>
      </w:r>
      <w:r>
        <w:t xml:space="preserve"> </w:t>
      </w:r>
      <w:r>
        <w:t xml:space="preserve">By modestly raising the securitisation cap and aligning rules for active and passive funds, this</w:t>
      </w:r>
      <w:r>
        <w:t xml:space="preserve"> </w:t>
      </w:r>
      <w:r>
        <w:t xml:space="preserve">option enhances diversification, supports the development of EU securitisation and equity</w:t>
      </w:r>
      <w:r>
        <w:t xml:space="preserve"> </w:t>
      </w:r>
      <w:r>
        <w:t xml:space="preserve">markets, and improves investor choice.</w:t>
      </w:r>
    </w:p>
    <w:p>
      <w:pPr>
        <w:pStyle w:val="BodyText"/>
      </w:pPr>
      <w:r>
        <w:t xml:space="preserve">323</w:t>
      </w:r>
      <w:r>
        <w:t xml:space="preserve"> </w:t>
      </w:r>
      <w:r>
        <w:t xml:space="preserve">APPENDIX A – LIST OF NATIONAL DISCRETIONS</w:t>
      </w:r>
      <w:r>
        <w:t xml:space="preserve"> </w:t>
      </w:r>
      <w:r>
        <w:t xml:space="preserve">The table below provides a list of national discretions in the UCITS Directive and AIFMD that</w:t>
      </w:r>
      <w:r>
        <w:t xml:space="preserve"> </w:t>
      </w:r>
      <w:r>
        <w:t xml:space="preserve">constitute barriers to cross-border activities in the asset management sector.</w:t>
      </w:r>
      <w:r>
        <w:t xml:space="preserve"> </w:t>
      </w:r>
      <w:r>
        <w:t xml:space="preserve">No. </w:t>
      </w:r>
      <w:r>
        <w:t xml:space="preserve"> </w:t>
      </w:r>
      <w:r>
        <w:t xml:space="preserve">Article</w:t>
      </w:r>
      <w:r>
        <w:t xml:space="preserve"> </w:t>
      </w:r>
      <w:r>
        <w:t xml:space="preserve">Description</w:t>
      </w:r>
      <w:r>
        <w:t xml:space="preserve"> </w:t>
      </w:r>
      <w:r>
        <w:t xml:space="preserve">UCITS Directive</w:t>
      </w:r>
      <w:r>
        <w:t xml:space="preserve"> </w:t>
      </w:r>
      <w:r>
        <w:t xml:space="preserve">1.</w:t>
      </w:r>
      <w:r>
        <w:br/>
      </w:r>
      <w:r>
        <w:t xml:space="preserve">Article 6</w:t>
      </w:r>
      <w:r>
        <w:t xml:space="preserve"> </w:t>
      </w:r>
      <w:r>
        <w:t xml:space="preserve">3. Member States may authorise management companies to provide, in</w:t>
      </w:r>
      <w:r>
        <w:t xml:space="preserve"> </w:t>
      </w:r>
      <w:r>
        <w:t xml:space="preserve">addition to the management of UCITS, the following services:</w:t>
      </w:r>
      <w:r>
        <w:t xml:space="preserve"> </w:t>
      </w:r>
      <w:r>
        <w:t xml:space="preserve">2.</w:t>
      </w:r>
      <w:r>
        <w:br/>
      </w:r>
      <w:r>
        <w:t xml:space="preserve">Article 7</w:t>
      </w:r>
      <w:r>
        <w:t xml:space="preserve"> </w:t>
      </w:r>
      <w:r>
        <w:t xml:space="preserve">1. Without prejudice to other conditions of general application laid</w:t>
      </w:r>
      <w:r>
        <w:t xml:space="preserve"> </w:t>
      </w:r>
      <w:r>
        <w:t xml:space="preserve">down by national law, the competent authorities shall not grant</w:t>
      </w:r>
      <w:r>
        <w:t xml:space="preserve"> </w:t>
      </w:r>
      <w:r>
        <w:t xml:space="preserve">authorisation to a management company unless the following conditions</w:t>
      </w:r>
      <w:r>
        <w:t xml:space="preserve"> </w:t>
      </w:r>
      <w:r>
        <w:t xml:space="preserve">are met:</w:t>
      </w:r>
    </w:p>
    <w:p>
      <w:pPr>
        <w:numPr>
          <w:ilvl w:val="0"/>
          <w:numId w:val="1034"/>
        </w:numPr>
      </w:pPr>
      <w:r>
        <w:t xml:space="preserve">the application for authorisation is accompanied by a programme of</w:t>
      </w:r>
      <w:r>
        <w:t xml:space="preserve"> </w:t>
      </w:r>
      <w:r>
        <w:t xml:space="preserve">activity setting out, at least, the organisational structure of the</w:t>
      </w:r>
      <w:r>
        <w:t xml:space="preserve"> </w:t>
      </w:r>
      <w:r>
        <w:t xml:space="preserve">management company</w:t>
      </w:r>
    </w:p>
    <w:p>
      <w:pPr>
        <w:numPr>
          <w:ilvl w:val="0"/>
          <w:numId w:val="1034"/>
        </w:numPr>
      </w:pPr>
      <w:r>
        <w:t xml:space="preserve">information is provided by the management company on arrangements</w:t>
      </w:r>
      <w:r>
        <w:t xml:space="preserve"> </w:t>
      </w:r>
      <w:r>
        <w:t xml:space="preserve">made for the delegation and sub-delegation to third parties of functions in</w:t>
      </w:r>
      <w:r>
        <w:t xml:space="preserve"> </w:t>
      </w:r>
      <w:r>
        <w:t xml:space="preserve">accordance with Article 13, comprising at least the following:</w:t>
      </w:r>
    </w:p>
    <w:p>
      <w:pPr>
        <w:pStyle w:val="FirstParagraph"/>
      </w:pPr>
      <w:r>
        <w:t xml:space="preserve">For the purposes of point (a) of the first subparagraph, Member States may</w:t>
      </w:r>
      <w:r>
        <w:t xml:space="preserve"> </w:t>
      </w:r>
      <w:r>
        <w:t xml:space="preserve">authorise management companies not to provide up to 50 % of the</w:t>
      </w:r>
      <w:r>
        <w:t xml:space="preserve"> </w:t>
      </w:r>
      <w:r>
        <w:t xml:space="preserve">additional amount of own funds referred to in point (i) of point (a) if they</w:t>
      </w:r>
      <w:r>
        <w:t xml:space="preserve"> </w:t>
      </w:r>
      <w:r>
        <w:t xml:space="preserve">benefit from a guarantee of the same amount given by a credit institution</w:t>
      </w:r>
      <w:r>
        <w:t xml:space="preserve"> </w:t>
      </w:r>
      <w:r>
        <w:t xml:space="preserve">or an insurance undertaking which has its registered office in a Member</w:t>
      </w:r>
      <w:r>
        <w:t xml:space="preserve"> </w:t>
      </w:r>
      <w:r>
        <w:t xml:space="preserve">State, or in a third country where it is subject to prudential rules considered</w:t>
      </w:r>
      <w:r>
        <w:t xml:space="preserve"> </w:t>
      </w:r>
      <w:r>
        <w:t xml:space="preserve">by the competent authorities as equivalent to those laid down in</w:t>
      </w:r>
      <w:r>
        <w:t xml:space="preserve"> </w:t>
      </w:r>
      <w:r>
        <w:t xml:space="preserve">Community law.</w:t>
      </w:r>
      <w:r>
        <w:t xml:space="preserve"> </w:t>
      </w:r>
      <w:r>
        <w:t xml:space="preserve">3.</w:t>
      </w:r>
      <w:r>
        <w:br/>
      </w:r>
      <w:r>
        <w:t xml:space="preserve">Article 29</w:t>
      </w:r>
      <w:r>
        <w:t xml:space="preserve"> </w:t>
      </w:r>
      <w:r>
        <w:t xml:space="preserve">1. Without prejudice to other conditions of general application laid</w:t>
      </w:r>
      <w:r>
        <w:t xml:space="preserve"> </w:t>
      </w:r>
      <w:r>
        <w:t xml:space="preserve">down by national law, the competent authorities of the investment</w:t>
      </w:r>
      <w:r>
        <w:t xml:space="preserve"> </w:t>
      </w:r>
      <w:r>
        <w:t xml:space="preserve">company’s home Member State shall not grant authorisation to an</w:t>
      </w:r>
      <w:r>
        <w:t xml:space="preserve"> </w:t>
      </w:r>
      <w:r>
        <w:t xml:space="preserve">investment company that has not designated a management company</w:t>
      </w:r>
      <w:r>
        <w:t xml:space="preserve"> </w:t>
      </w:r>
      <w:r>
        <w:t xml:space="preserve">unless the investment company has a sufficient initial capital of at least</w:t>
      </w:r>
      <w:r>
        <w:t xml:space="preserve"> </w:t>
      </w:r>
      <w:r>
        <w:t xml:space="preserve">EUR 300 000.</w:t>
      </w:r>
      <w:r>
        <w:t xml:space="preserve"> </w:t>
      </w:r>
      <w:r>
        <w:t xml:space="preserve">4.</w:t>
      </w:r>
      <w:r>
        <w:br/>
      </w:r>
      <w:r>
        <w:t xml:space="preserve">Article 39</w:t>
      </w:r>
      <w:r>
        <w:br/>
      </w:r>
      <w:r>
        <w:t xml:space="preserve">6. Member States may, in accordance with the second subparagraph of</w:t>
      </w:r>
      <w:r>
        <w:t xml:space="preserve"> </w:t>
      </w:r>
      <w:r>
        <w:t xml:space="preserve">Article 57(1), provide for a derogation from Articles 52 to 55 for receiving</w:t>
      </w:r>
      <w:r>
        <w:t xml:space="preserve"> </w:t>
      </w:r>
      <w:r>
        <w:t xml:space="preserve">UCITS.</w:t>
      </w:r>
      <w:r>
        <w:br/>
      </w:r>
      <w:r>
        <w:t xml:space="preserve">5.</w:t>
      </w:r>
      <w:r>
        <w:t xml:space="preserve"> </w:t>
      </w:r>
      <w:r>
        <w:t xml:space="preserve">Article 45</w:t>
      </w:r>
      <w:r>
        <w:t xml:space="preserve"> </w:t>
      </w:r>
      <w:r>
        <w:t xml:space="preserve">2. Without prejudice to paragraph 1, for mergers between UCITS and by</w:t>
      </w:r>
      <w:r>
        <w:t xml:space="preserve"> </w:t>
      </w:r>
      <w:r>
        <w:t xml:space="preserve">way of derogation from Article 84(1), Member States may allow the</w:t>
      </w:r>
      <w:r>
        <w:t xml:space="preserve"> </w:t>
      </w:r>
      <w:r>
        <w:t xml:space="preserve">competent authorities to require or to allow the temporary suspension of</w:t>
      </w:r>
      <w:r>
        <w:t xml:space="preserve"> </w:t>
      </w:r>
      <w:r>
        <w:t xml:space="preserve">the subscription, repurchase or redemption of units provided that such</w:t>
      </w:r>
      <w:r>
        <w:t xml:space="preserve"> </w:t>
      </w:r>
      <w:r>
        <w:t xml:space="preserve">suspension is justified for the protection of the unitholders.</w:t>
      </w:r>
      <w:r>
        <w:t xml:space="preserve"> </w:t>
      </w:r>
      <w:r>
        <w:t xml:space="preserve">6.</w:t>
      </w:r>
      <w:r>
        <w:t xml:space="preserve"> </w:t>
      </w:r>
      <w:r>
        <w:t xml:space="preserve">Article 51</w:t>
      </w:r>
      <w:r>
        <w:t xml:space="preserve"> </w:t>
      </w:r>
      <w:r>
        <w:t xml:space="preserve">2. Member States may authorise UCITS to employ techniques and</w:t>
      </w:r>
      <w:r>
        <w:t xml:space="preserve"> </w:t>
      </w:r>
      <w:r>
        <w:t xml:space="preserve">instruments relating to transferable securities and money market</w:t>
      </w:r>
      <w:r>
        <w:t xml:space="preserve"> </w:t>
      </w:r>
      <w:r>
        <w:t xml:space="preserve">instruments under the conditions and within the limits which they lay</w:t>
      </w:r>
      <w:r>
        <w:t xml:space="preserve"> </w:t>
      </w:r>
      <w:r>
        <w:t xml:space="preserve">down provided that such techniques and instruments are used for the</w:t>
      </w:r>
      <w:r>
        <w:t xml:space="preserve"> </w:t>
      </w:r>
      <w:r>
        <w:t xml:space="preserve">purpose of efficient portfolio management.</w:t>
      </w:r>
    </w:p>
    <w:p>
      <w:pPr>
        <w:pStyle w:val="BodyText"/>
      </w:pPr>
      <w:r>
        <w:t xml:space="preserve">324</w:t>
      </w:r>
    </w:p>
    <w:p>
      <w:pPr>
        <w:numPr>
          <w:ilvl w:val="0"/>
          <w:numId w:val="1035"/>
        </w:numPr>
      </w:pPr>
      <w:r>
        <w:t xml:space="preserve">Member States may provide that a UCITS invests in index-based</w:t>
      </w:r>
      <w:r>
        <w:t xml:space="preserve"> </w:t>
      </w:r>
      <w:r>
        <w:t xml:space="preserve">financial derivative instruments, those investments are not required to be</w:t>
      </w:r>
      <w:r>
        <w:t xml:space="preserve"> </w:t>
      </w:r>
      <w:r>
        <w:t xml:space="preserve">combined for the purposes of the limits laid down in Article 52.</w:t>
      </w:r>
    </w:p>
    <w:p>
      <w:pPr>
        <w:numPr>
          <w:ilvl w:val="0"/>
          <w:numId w:val="1035"/>
        </w:numPr>
      </w:pPr>
      <w:r>
        <w:t xml:space="preserve">Article 52</w:t>
      </w:r>
    </w:p>
    <w:p>
      <w:pPr>
        <w:numPr>
          <w:ilvl w:val="0"/>
          <w:numId w:val="1035"/>
        </w:numPr>
      </w:pPr>
      <w:r>
        <w:t xml:space="preserve">Member States may raise the 5 % limit laid down in the first</w:t>
      </w:r>
      <w:r>
        <w:t xml:space="preserve"> </w:t>
      </w:r>
      <w:r>
        <w:t xml:space="preserve">subparagraph of paragraph 1 to a maximum of 10 %. If they do so,</w:t>
      </w:r>
      <w:r>
        <w:t xml:space="preserve"> </w:t>
      </w:r>
      <w:r>
        <w:t xml:space="preserve">however, the total value of the transferable securities and the money</w:t>
      </w:r>
      <w:r>
        <w:t xml:space="preserve"> </w:t>
      </w:r>
      <w:r>
        <w:t xml:space="preserve">market instruments held by the UCITS in the issuing bodies in each of</w:t>
      </w:r>
      <w:r>
        <w:t xml:space="preserve"> </w:t>
      </w:r>
      <w:r>
        <w:t xml:space="preserve">which it invests more than 5 % of its assets shall not exceed 40 % of the</w:t>
      </w:r>
      <w:r>
        <w:t xml:space="preserve"> </w:t>
      </w:r>
      <w:r>
        <w:t xml:space="preserve">value of its assets. That limitation shall not apply to deposits or OTC</w:t>
      </w:r>
      <w:r>
        <w:t xml:space="preserve"> </w:t>
      </w:r>
      <w:r>
        <w:t xml:space="preserve">derivative transactions made with financial institutions subject to</w:t>
      </w:r>
      <w:r>
        <w:t xml:space="preserve"> </w:t>
      </w:r>
      <w:r>
        <w:t xml:space="preserve">prudential supervision</w:t>
      </w:r>
    </w:p>
    <w:p>
      <w:pPr>
        <w:numPr>
          <w:ilvl w:val="0"/>
          <w:numId w:val="1035"/>
        </w:numPr>
      </w:pPr>
      <w:r>
        <w:t xml:space="preserve">Member States may raise the 5 % limit laid down in the first</w:t>
      </w:r>
      <w:r>
        <w:t xml:space="preserve"> </w:t>
      </w:r>
      <w:r>
        <w:t xml:space="preserve">subparagraph of paragraph 1 to a maximum of 35 % if the transferable</w:t>
      </w:r>
      <w:r>
        <w:t xml:space="preserve"> </w:t>
      </w:r>
      <w:r>
        <w:t xml:space="preserve">securities or money market instruments are issued or guaranteed by a</w:t>
      </w:r>
      <w:r>
        <w:t xml:space="preserve"> </w:t>
      </w:r>
      <w:r>
        <w:t xml:space="preserve">Member State, by its local authorities, by a third country or by a public</w:t>
      </w:r>
      <w:r>
        <w:t xml:space="preserve"> </w:t>
      </w:r>
      <w:r>
        <w:t xml:space="preserve">international body to which one or more Member States belong.</w:t>
      </w:r>
    </w:p>
    <w:p>
      <w:pPr>
        <w:numPr>
          <w:ilvl w:val="0"/>
          <w:numId w:val="1035"/>
        </w:numPr>
      </w:pPr>
      <w:r>
        <w:t xml:space="preserve">Member States may raise the 5 % limit laid down in the first</w:t>
      </w:r>
      <w:r>
        <w:t xml:space="preserve"> </w:t>
      </w:r>
      <w:r>
        <w:t xml:space="preserve">subparagraph of paragraph 1 to a maximum of 25 % where bonds were</w:t>
      </w:r>
      <w:r>
        <w:t xml:space="preserve"> </w:t>
      </w:r>
      <w:r>
        <w:t xml:space="preserve">issued before 8 July 2022 and met the requirements set out in this</w:t>
      </w:r>
      <w:r>
        <w:t xml:space="preserve"> </w:t>
      </w:r>
      <w:r>
        <w:t xml:space="preserve">paragraph as applicable on the date of their issue, or where bonds fall</w:t>
      </w:r>
      <w:r>
        <w:t xml:space="preserve"> </w:t>
      </w:r>
      <w:r>
        <w:t xml:space="preserve">under the definition of covered bonds in point (1) of Article 3 of Directive</w:t>
      </w:r>
      <w:r>
        <w:t xml:space="preserve"> </w:t>
      </w:r>
      <w:r>
        <w:t xml:space="preserve">(EU) 2019/2162 of the European Parliament and of the Council.</w:t>
      </w:r>
    </w:p>
    <w:p>
      <w:pPr>
        <w:numPr>
          <w:ilvl w:val="0"/>
          <w:numId w:val="1035"/>
        </w:numPr>
      </w:pPr>
      <w:r>
        <w:t xml:space="preserve">Member States may allow cumulative investment in transferable</w:t>
      </w:r>
      <w:r>
        <w:t xml:space="preserve"> </w:t>
      </w:r>
      <w:r>
        <w:t xml:space="preserve">securities and money market instruments within the same group up to a</w:t>
      </w:r>
      <w:r>
        <w:t xml:space="preserve"> </w:t>
      </w:r>
      <w:r>
        <w:t xml:space="preserve">limit of 20 %.</w:t>
      </w:r>
    </w:p>
    <w:p>
      <w:pPr>
        <w:numPr>
          <w:ilvl w:val="0"/>
          <w:numId w:val="1035"/>
        </w:numPr>
      </w:pPr>
      <w:r>
        <w:t xml:space="preserve">Article 53</w:t>
      </w:r>
      <w:r>
        <w:br/>
      </w:r>
    </w:p>
    <w:p>
      <w:pPr>
        <w:numPr>
          <w:ilvl w:val="0"/>
          <w:numId w:val="1035"/>
        </w:numPr>
      </w:pPr>
      <w:r>
        <w:t xml:space="preserve">Without prejudice to the limits laid down in Article 56, Member States</w:t>
      </w:r>
      <w:r>
        <w:t xml:space="preserve"> </w:t>
      </w:r>
      <w:r>
        <w:t xml:space="preserve">may raise the limits laid down in Article 52 to a maximum of 20 % for</w:t>
      </w:r>
      <w:r>
        <w:t xml:space="preserve"> </w:t>
      </w:r>
      <w:r>
        <w:t xml:space="preserve">investment in shares or debt securities issued by the same body when,</w:t>
      </w:r>
      <w:r>
        <w:t xml:space="preserve"> </w:t>
      </w:r>
      <w:r>
        <w:t xml:space="preserve">according to the fund rules or instruments of incorporation, the aim of the</w:t>
      </w:r>
      <w:r>
        <w:t xml:space="preserve"> </w:t>
      </w:r>
      <w:r>
        <w:t xml:space="preserve">UCITS’ investment policy is to replicate the composition of a certain stock</w:t>
      </w:r>
      <w:r>
        <w:t xml:space="preserve"> </w:t>
      </w:r>
      <w:r>
        <w:t xml:space="preserve">or debt securities index which is recognised by the competent authorities,</w:t>
      </w:r>
      <w:r>
        <w:t xml:space="preserve"> </w:t>
      </w:r>
      <w:r>
        <w:t xml:space="preserve">on the following basis: […]</w:t>
      </w:r>
    </w:p>
    <w:p>
      <w:pPr>
        <w:numPr>
          <w:ilvl w:val="0"/>
          <w:numId w:val="1035"/>
        </w:numPr>
      </w:pPr>
      <w:r>
        <w:t xml:space="preserve">Article 54</w:t>
      </w:r>
    </w:p>
    <w:p>
      <w:pPr>
        <w:numPr>
          <w:ilvl w:val="0"/>
          <w:numId w:val="1035"/>
        </w:numPr>
      </w:pPr>
      <w:r>
        <w:t xml:space="preserve">By way of derogation from Article 52, Member States may authorise</w:t>
      </w:r>
      <w:r>
        <w:t xml:space="preserve"> </w:t>
      </w:r>
      <w:r>
        <w:t xml:space="preserve">UCITS to invest in accordance with the principle of risk-spreading up to</w:t>
      </w:r>
      <w:r>
        <w:t xml:space="preserve"> </w:t>
      </w:r>
      <w:r>
        <w:t xml:space="preserve">100 % of their assets in different transferable securities and money market</w:t>
      </w:r>
      <w:r>
        <w:t xml:space="preserve"> </w:t>
      </w:r>
      <w:r>
        <w:t xml:space="preserve">instruments issued or guaranteed by a Member State, one or more of its</w:t>
      </w:r>
      <w:r>
        <w:t xml:space="preserve"> </w:t>
      </w:r>
      <w:r>
        <w:t xml:space="preserve">local authorities, a third country, or a public international body to which</w:t>
      </w:r>
      <w:r>
        <w:t xml:space="preserve"> </w:t>
      </w:r>
      <w:r>
        <w:t xml:space="preserve">one or more Member States belong.</w:t>
      </w:r>
    </w:p>
    <w:p>
      <w:pPr>
        <w:pStyle w:val="FirstParagraph"/>
      </w:pPr>
      <w:r>
        <w:t xml:space="preserve">The competent authorities of the UCITS home Member State shall grant</w:t>
      </w:r>
      <w:r>
        <w:t xml:space="preserve"> </w:t>
      </w:r>
      <w:r>
        <w:t xml:space="preserve">such a derogation only if they consider that unitholders in the UCITS have</w:t>
      </w:r>
      <w:r>
        <w:t xml:space="preserve"> </w:t>
      </w:r>
      <w:r>
        <w:t xml:space="preserve">protection equivalent to that of unitholders in UCITS complying with the</w:t>
      </w:r>
      <w:r>
        <w:t xml:space="preserve"> </w:t>
      </w:r>
      <w:r>
        <w:t xml:space="preserve">limits laid down in Article 52.</w:t>
      </w:r>
      <w:r>
        <w:br/>
      </w:r>
      <w:r>
        <w:t xml:space="preserve">10.</w:t>
      </w:r>
      <w:r>
        <w:t xml:space="preserve"> </w:t>
      </w:r>
      <w:r>
        <w:t xml:space="preserve">Article 55</w:t>
      </w:r>
      <w:r>
        <w:t xml:space="preserve"> </w:t>
      </w:r>
      <w:r>
        <w:t xml:space="preserve">1. A UCITS may acquire the units of UCITS or other collective investment</w:t>
      </w:r>
      <w:r>
        <w:t xml:space="preserve"> </w:t>
      </w:r>
      <w:r>
        <w:t xml:space="preserve">undertakings referred to in Article 50(1)(e), provided that no more than 10</w:t>
      </w:r>
      <w:r>
        <w:t xml:space="preserve"> </w:t>
      </w:r>
      <w:r>
        <w:t xml:space="preserve">% of its assets are invested in units of a single UCITS or other collective</w:t>
      </w:r>
    </w:p>
    <w:p>
      <w:pPr>
        <w:pStyle w:val="BodyText"/>
      </w:pPr>
      <w:r>
        <w:t xml:space="preserve">325</w:t>
      </w:r>
      <w:r>
        <w:t xml:space="preserve"> </w:t>
      </w:r>
      <w:r>
        <w:t xml:space="preserve">investment undertaking. Member States may raise that limit to a</w:t>
      </w:r>
      <w:r>
        <w:t xml:space="preserve"> </w:t>
      </w:r>
      <w:r>
        <w:t xml:space="preserve">maximum of 20 %.</w:t>
      </w:r>
    </w:p>
    <w:p>
      <w:pPr>
        <w:numPr>
          <w:ilvl w:val="0"/>
          <w:numId w:val="1036"/>
        </w:numPr>
      </w:pPr>
      <w:r>
        <w:t xml:space="preserve">Member States may, where a UCITS has acquired units of another</w:t>
      </w:r>
      <w:r>
        <w:t xml:space="preserve"> </w:t>
      </w:r>
      <w:r>
        <w:t xml:space="preserve">UCITS or collective investment undertakings, provide that the assets of</w:t>
      </w:r>
      <w:r>
        <w:t xml:space="preserve"> </w:t>
      </w:r>
      <w:r>
        <w:t xml:space="preserve">the respective UCITS or other collective investment undertakings are not</w:t>
      </w:r>
      <w:r>
        <w:t xml:space="preserve"> </w:t>
      </w:r>
      <w:r>
        <w:t xml:space="preserve">required to be combined for the purposes of the limits laid down in Article</w:t>
      </w:r>
    </w:p>
    <w:p>
      <w:pPr>
        <w:numPr>
          <w:ilvl w:val="0"/>
          <w:numId w:val="1036"/>
        </w:numPr>
      </w:pPr>
      <w:r>
        <w:t xml:space="preserve">Article 56</w:t>
      </w:r>
    </w:p>
    <w:p>
      <w:pPr>
        <w:numPr>
          <w:ilvl w:val="0"/>
          <w:numId w:val="1036"/>
        </w:numPr>
      </w:pPr>
      <w:r>
        <w:t xml:space="preserve">Member State may waive the application of paragraphs 1 and 2 as</w:t>
      </w:r>
      <w:r>
        <w:t xml:space="preserve"> </w:t>
      </w:r>
      <w:r>
        <w:t xml:space="preserve">regards: […]</w:t>
      </w:r>
    </w:p>
    <w:p>
      <w:pPr>
        <w:numPr>
          <w:ilvl w:val="0"/>
          <w:numId w:val="1036"/>
        </w:numPr>
      </w:pPr>
      <w:r>
        <w:t xml:space="preserve">Article 57</w:t>
      </w:r>
    </w:p>
    <w:p>
      <w:pPr>
        <w:numPr>
          <w:ilvl w:val="0"/>
          <w:numId w:val="1036"/>
        </w:numPr>
      </w:pPr>
      <w:r>
        <w:t xml:space="preserve">While ensuring observance of the principle of risk spreading, Member</w:t>
      </w:r>
      <w:r>
        <w:t xml:space="preserve"> </w:t>
      </w:r>
      <w:r>
        <w:t xml:space="preserve">States may allow recently authorised UCITS to derogate from Articles 52</w:t>
      </w:r>
      <w:r>
        <w:t xml:space="preserve"> </w:t>
      </w:r>
      <w:r>
        <w:t xml:space="preserve">to 55 for six months following the date of their authorisation.</w:t>
      </w:r>
    </w:p>
    <w:p>
      <w:pPr>
        <w:numPr>
          <w:ilvl w:val="0"/>
          <w:numId w:val="1036"/>
        </w:numPr>
      </w:pPr>
      <w:r>
        <w:t xml:space="preserve">Article 69</w:t>
      </w:r>
    </w:p>
    <w:p>
      <w:pPr>
        <w:numPr>
          <w:ilvl w:val="0"/>
          <w:numId w:val="1036"/>
        </w:numPr>
      </w:pPr>
      <w:r>
        <w:t xml:space="preserve">The prospectus shall contain at least the information provided for in</w:t>
      </w:r>
      <w:r>
        <w:t xml:space="preserve"> </w:t>
      </w:r>
      <w:r>
        <w:t xml:space="preserve">Schedule A of Annex I, in so far as that information does not already</w:t>
      </w:r>
      <w:r>
        <w:t xml:space="preserve"> </w:t>
      </w:r>
      <w:r>
        <w:t xml:space="preserve">appear in the fund rules or instruments of incorporation annexed to the</w:t>
      </w:r>
      <w:r>
        <w:t xml:space="preserve"> </w:t>
      </w:r>
      <w:r>
        <w:t xml:space="preserve">prospectus in accordance with Article 71(1).</w:t>
      </w:r>
    </w:p>
    <w:p>
      <w:pPr>
        <w:numPr>
          <w:ilvl w:val="0"/>
          <w:numId w:val="1036"/>
        </w:numPr>
      </w:pPr>
      <w:r>
        <w:t xml:space="preserve">The half-yearly report shall include at least the information provided</w:t>
      </w:r>
      <w:r>
        <w:t xml:space="preserve"> </w:t>
      </w:r>
      <w:r>
        <w:t xml:space="preserve">for in Sections I to IV of Schedule B of Annex I.</w:t>
      </w:r>
    </w:p>
    <w:p>
      <w:pPr>
        <w:numPr>
          <w:ilvl w:val="0"/>
          <w:numId w:val="1036"/>
        </w:numPr>
      </w:pPr>
      <w:r>
        <w:t xml:space="preserve">Article 83</w:t>
      </w:r>
    </w:p>
    <w:p>
      <w:pPr>
        <w:numPr>
          <w:ilvl w:val="0"/>
          <w:numId w:val="1036"/>
        </w:numPr>
      </w:pPr>
      <w:r>
        <w:t xml:space="preserve">By way of derogation from paragraph 1, a Member State may authorise</w:t>
      </w:r>
      <w:r>
        <w:t xml:space="preserve"> </w:t>
      </w:r>
      <w:r>
        <w:t xml:space="preserve">a UCITS to borrow provided that such borrowing is:</w:t>
      </w:r>
      <w:r>
        <w:t xml:space="preserve"> </w:t>
      </w:r>
      <w:r>
        <w:t xml:space="preserve">AIFMD</w:t>
      </w:r>
    </w:p>
    <w:p>
      <w:pPr>
        <w:numPr>
          <w:ilvl w:val="0"/>
          <w:numId w:val="1036"/>
        </w:numPr>
      </w:pPr>
      <w:r>
        <w:t xml:space="preserve">Article 6</w:t>
      </w:r>
    </w:p>
    <w:p>
      <w:pPr>
        <w:numPr>
          <w:ilvl w:val="0"/>
          <w:numId w:val="1036"/>
        </w:numPr>
      </w:pPr>
      <w:r>
        <w:t xml:space="preserve">By way of derogation from paragraph 2, Member States may authorise</w:t>
      </w:r>
      <w:r>
        <w:t xml:space="preserve"> </w:t>
      </w:r>
      <w:r>
        <w:t xml:space="preserve">an external AIFM to provide the following services: […]</w:t>
      </w:r>
    </w:p>
    <w:p>
      <w:pPr>
        <w:numPr>
          <w:ilvl w:val="0"/>
          <w:numId w:val="1036"/>
        </w:numPr>
      </w:pPr>
      <w:r>
        <w:t xml:space="preserve">Article 7</w:t>
      </w:r>
    </w:p>
    <w:p>
      <w:pPr>
        <w:numPr>
          <w:ilvl w:val="0"/>
          <w:numId w:val="1036"/>
        </w:numPr>
      </w:pPr>
      <w:r>
        <w:t xml:space="preserve">(e) information on arrangements made for the delegation and sub-</w:t>
      </w:r>
      <w:r>
        <w:t xml:space="preserve"> </w:t>
      </w:r>
      <w:r>
        <w:t xml:space="preserve">delegation to third parties of functions in accordance with Article 20,</w:t>
      </w:r>
      <w:r>
        <w:t xml:space="preserve"> </w:t>
      </w:r>
      <w:r>
        <w:t xml:space="preserve">comprising at least the following: […]</w:t>
      </w:r>
    </w:p>
    <w:p>
      <w:pPr>
        <w:numPr>
          <w:ilvl w:val="0"/>
          <w:numId w:val="1036"/>
        </w:numPr>
      </w:pPr>
      <w:r>
        <w:t xml:space="preserve">Article 9</w:t>
      </w:r>
    </w:p>
    <w:p>
      <w:pPr>
        <w:numPr>
          <w:ilvl w:val="0"/>
          <w:numId w:val="1036"/>
        </w:numPr>
      </w:pPr>
      <w:r>
        <w:t xml:space="preserve">Member States may authorise AIFMs not to provide up to 50 % of the</w:t>
      </w:r>
      <w:r>
        <w:t xml:space="preserve"> </w:t>
      </w:r>
      <w:r>
        <w:t xml:space="preserve">additional amount of own funds referred to in paragraph 3 if they benefit</w:t>
      </w:r>
      <w:r>
        <w:t xml:space="preserve"> </w:t>
      </w:r>
      <w:r>
        <w:t xml:space="preserve">from a guarantee of the same amount given by a credit institution or an</w:t>
      </w:r>
      <w:r>
        <w:t xml:space="preserve"> </w:t>
      </w:r>
      <w:r>
        <w:t xml:space="preserve">insurance undertaking which has its registered office in a Member State,</w:t>
      </w:r>
      <w:r>
        <w:t xml:space="preserve"> </w:t>
      </w:r>
      <w:r>
        <w:t xml:space="preserve">or in a third country where it is subject to prudential rules considered by</w:t>
      </w:r>
      <w:r>
        <w:t xml:space="preserve"> </w:t>
      </w:r>
      <w:r>
        <w:t xml:space="preserve">the competent authorities as equivalent to those laid down in Union law.</w:t>
      </w:r>
      <w:r>
        <w:br/>
      </w:r>
    </w:p>
    <w:p>
      <w:pPr>
        <w:numPr>
          <w:ilvl w:val="0"/>
          <w:numId w:val="1036"/>
        </w:numPr>
      </w:pPr>
      <w:r>
        <w:t xml:space="preserve">Article 21</w:t>
      </w:r>
    </w:p>
    <w:p>
      <w:pPr>
        <w:numPr>
          <w:ilvl w:val="0"/>
          <w:numId w:val="1036"/>
        </w:numPr>
      </w:pPr>
      <w:r>
        <w:t xml:space="preserve">In addition, Member States may allow that in relation to AIFs which</w:t>
      </w:r>
      <w:r>
        <w:t xml:space="preserve"> </w:t>
      </w:r>
      <w:r>
        <w:t xml:space="preserve">have no redemption rights exercisable during the period of 5 years from</w:t>
      </w:r>
      <w:r>
        <w:t xml:space="preserve"> </w:t>
      </w:r>
      <w:r>
        <w:t xml:space="preserve">the date of the initial investments and which, in accordance with their core</w:t>
      </w:r>
      <w:r>
        <w:t xml:space="preserve"> </w:t>
      </w:r>
      <w:r>
        <w:t xml:space="preserve">investment policy, generally do not invest in assets that must be held in</w:t>
      </w:r>
      <w:r>
        <w:t xml:space="preserve"> </w:t>
      </w:r>
      <w:r>
        <w:t xml:space="preserve">custody in accordance with point (a) of paragraph 8 or generally invest in</w:t>
      </w:r>
      <w:r>
        <w:t xml:space="preserve"> </w:t>
      </w:r>
      <w:r>
        <w:t xml:space="preserve">issuers or non-listed companies in order to potentially acquire control over</w:t>
      </w:r>
      <w:r>
        <w:t xml:space="preserve"> </w:t>
      </w:r>
      <w:r>
        <w:t xml:space="preserve">such companies in accordance with Article 26, the depositary may be an</w:t>
      </w:r>
      <w:r>
        <w:t xml:space="preserve"> </w:t>
      </w:r>
      <w:r>
        <w:t xml:space="preserve">entity which carries out depositary functions as part of its professional or</w:t>
      </w:r>
      <w:r>
        <w:t xml:space="preserve"> </w:t>
      </w:r>
      <w:r>
        <w:t xml:space="preserve">business activities in respect of which such entity is subject to mandatory</w:t>
      </w:r>
      <w:r>
        <w:t xml:space="preserve"> </w:t>
      </w:r>
      <w:r>
        <w:t xml:space="preserve">professional registration recognised by law or to legal or regulatory</w:t>
      </w:r>
      <w:r>
        <w:t xml:space="preserve"> </w:t>
      </w:r>
      <w:r>
        <w:t xml:space="preserve">provisions or rules of professional conduct and which can provide</w:t>
      </w:r>
      <w:r>
        <w:t xml:space="preserve"> </w:t>
      </w:r>
      <w:r>
        <w:t xml:space="preserve">sufficient financial and professional guarantees to enable it to perform</w:t>
      </w:r>
      <w:r>
        <w:t xml:space="preserve"> </w:t>
      </w:r>
      <w:r>
        <w:t xml:space="preserve">effectively the relevant depositary functions and meet the commitments</w:t>
      </w:r>
      <w:r>
        <w:t xml:space="preserve"> </w:t>
      </w:r>
      <w:r>
        <w:t xml:space="preserve">inherent in those functions.</w:t>
      </w:r>
    </w:p>
    <w:p>
      <w:pPr>
        <w:pStyle w:val="FirstParagraph"/>
      </w:pPr>
      <w:r>
        <w:t xml:space="preserve">326</w:t>
      </w:r>
      <w:r>
        <w:t xml:space="preserve"> </w:t>
      </w:r>
      <w:r>
        <w:t xml:space="preserve">19.</w:t>
      </w:r>
      <w:r>
        <w:t xml:space="preserve"> </w:t>
      </w:r>
      <w:r>
        <w:t xml:space="preserve">Article 22</w:t>
      </w:r>
      <w:r>
        <w:t xml:space="preserve"> </w:t>
      </w:r>
      <w:r>
        <w:t xml:space="preserve">2. The annual report shall at least contain the following: […]</w:t>
      </w:r>
      <w:r>
        <w:t xml:space="preserve"> </w:t>
      </w:r>
      <w:r>
        <w:t xml:space="preserve">20.</w:t>
      </w:r>
      <w:r>
        <w:t xml:space="preserve"> </w:t>
      </w:r>
      <w:r>
        <w:t xml:space="preserve">Article 29</w:t>
      </w:r>
      <w:r>
        <w:t xml:space="preserve"> </w:t>
      </w:r>
      <w:r>
        <w:t xml:space="preserve">2. The additional information to be included in the annual report of the</w:t>
      </w:r>
      <w:r>
        <w:t xml:space="preserve"> </w:t>
      </w:r>
      <w:r>
        <w:t xml:space="preserve">company or the AIF, in accordance with paragraph 1, shall include at least</w:t>
      </w:r>
      <w:r>
        <w:t xml:space="preserve"> </w:t>
      </w:r>
      <w:r>
        <w:t xml:space="preserve">a fair review of the development of the company’s business representing</w:t>
      </w:r>
      <w:r>
        <w:t xml:space="preserve"> </w:t>
      </w:r>
      <w:r>
        <w:t xml:space="preserve">the situation at the end of the period covered by the annual report.</w:t>
      </w:r>
    </w:p>
    <w:p>
      <w:pPr>
        <w:pStyle w:val="BodyText"/>
      </w:pPr>
      <w:r>
        <w:t xml:space="preserve">327</w:t>
      </w:r>
      <w:r>
        <w:t xml:space="preserve"> </w:t>
      </w:r>
      <w:r>
        <w:t xml:space="preserve">ANNEX 10: SECTORAL ANNEX ON INNOVATION (DLTPR)</w:t>
      </w:r>
      <w:r>
        <w:t xml:space="preserve"> </w:t>
      </w:r>
      <w:r>
        <w:t xml:space="preserve">1. INTRODUCTION</w:t>
      </w:r>
      <w:r>
        <w:br/>
      </w:r>
      <w:r>
        <w:t xml:space="preserve">Stifled innovation is one of the problems negatively impacting SIU progress. This annex</w:t>
      </w:r>
      <w:r>
        <w:t xml:space="preserve"> </w:t>
      </w:r>
      <w:r>
        <w:t xml:space="preserve">elaborates the problem through the lens of problems affecting the DLTPR framework, which</w:t>
      </w:r>
      <w:r>
        <w:t xml:space="preserve"> </w:t>
      </w:r>
      <w:r>
        <w:t xml:space="preserve">was set up precisely to support DLT-based innovation in financial services. After describing</w:t>
      </w:r>
      <w:r>
        <w:t xml:space="preserve"> </w:t>
      </w:r>
      <w:r>
        <w:t xml:space="preserve">the problem and its drivers, the annex explores a set of targeted policy measures aimed at</w:t>
      </w:r>
      <w:r>
        <w:t xml:space="preserve"> </w:t>
      </w:r>
      <w:r>
        <w:t xml:space="preserve">making the DLTPR more usable for the issuance, trading, settlement and safekeeping of</w:t>
      </w:r>
      <w:r>
        <w:t xml:space="preserve"> </w:t>
      </w:r>
      <w:r>
        <w:t xml:space="preserve">tokenised financial assets. The policy measures analysed aim at ensuring that the DLTPR</w:t>
      </w:r>
      <w:r>
        <w:t xml:space="preserve"> </w:t>
      </w:r>
      <w:r>
        <w:t xml:space="preserve">attracts the observed increase in market interest, globally and in Europe, in leveraging DLT</w:t>
      </w:r>
      <w:r>
        <w:t xml:space="preserve"> </w:t>
      </w:r>
      <w:r>
        <w:t xml:space="preserve">for financial services. The annex concludes with the choice of the preferred option for</w:t>
      </w:r>
      <w:r>
        <w:t xml:space="preserve"> </w:t>
      </w:r>
      <w:r>
        <w:t xml:space="preserve">mitigating the problem drivers contributing to the identified problem of low participation rate</w:t>
      </w:r>
      <w:r>
        <w:t xml:space="preserve"> </w:t>
      </w:r>
      <w:r>
        <w:t xml:space="preserve">in the DLTPR, based on three analytical dimensions: effectiveness in achieving the stated</w:t>
      </w:r>
      <w:r>
        <w:t xml:space="preserve"> </w:t>
      </w:r>
      <w:r>
        <w:t xml:space="preserve">objectives, efficiency (costs and risks) and coherence with other policy objectives pursued by</w:t>
      </w:r>
      <w:r>
        <w:t xml:space="preserve"> </w:t>
      </w:r>
      <w:r>
        <w:t xml:space="preserve">the Commission.</w:t>
      </w:r>
      <w:r>
        <w:br/>
      </w:r>
      <w:r>
        <w:t xml:space="preserve">2. DESCRIPTION OF MARKET AND ENVIRONMENT</w:t>
      </w:r>
      <w:r>
        <w:br/>
      </w:r>
      <w:r>
        <w:t xml:space="preserve">Use of DLT in financial markets (MIFID instruments) is considered by parts of the financial</w:t>
      </w:r>
      <w:r>
        <w:t xml:space="preserve"> </w:t>
      </w:r>
      <w:r>
        <w:t xml:space="preserve">industry to represent the next step in the evolution of financial market architecture. This</w:t>
      </w:r>
      <w:r>
        <w:t xml:space="preserve"> </w:t>
      </w:r>
      <w:r>
        <w:t xml:space="preserve">evolution has many aspects. One important feature of DLT-based infrastructure is that it</w:t>
      </w:r>
      <w:r>
        <w:t xml:space="preserve"> </w:t>
      </w:r>
      <w:r>
        <w:t xml:space="preserve">represents a shift from market structure based on distinct but interconnected intermediaries and</w:t>
      </w:r>
      <w:r>
        <w:t xml:space="preserve"> </w:t>
      </w:r>
      <w:r>
        <w:t xml:space="preserve">systems (trading venues, clearing and settlement systems, payment systems etc) to a platform-</w:t>
      </w:r>
      <w:r>
        <w:t xml:space="preserve"> </w:t>
      </w:r>
      <w:r>
        <w:t xml:space="preserve">based financial architecture. This allows various intermediaries in the financial value chain to</w:t>
      </w:r>
      <w:r>
        <w:t xml:space="preserve"> </w:t>
      </w:r>
      <w:r>
        <w:t xml:space="preserve">provide services on common platforms (distributed, shared ledgers) that enable</w:t>
      </w:r>
      <w:r>
        <w:t xml:space="preserve"> </w:t>
      </w:r>
      <w:r>
        <w:t xml:space="preserve">cryptographically secure and programmable execution of transactions, as well as direct</w:t>
      </w:r>
      <w:r>
        <w:t xml:space="preserve"> </w:t>
      </w:r>
      <w:r>
        <w:t xml:space="preserve">deployment of software applications. By moving financial activities to a common platform, or</w:t>
      </w:r>
      <w:r>
        <w:t xml:space="preserve"> </w:t>
      </w:r>
      <w:r>
        <w:t xml:space="preserve">set of common platforms, DLT-based infrastructure could provide a simpler financial</w:t>
      </w:r>
      <w:r>
        <w:t xml:space="preserve"> </w:t>
      </w:r>
      <w:r>
        <w:t xml:space="preserve">architecture, compared to today’s multi-layered trading and post-trading ecosystem supported</w:t>
      </w:r>
      <w:r>
        <w:t xml:space="preserve"> </w:t>
      </w:r>
      <w:r>
        <w:t xml:space="preserve">by varied intermediaries and marked by many inefficiencies. This type of market structure may</w:t>
      </w:r>
      <w:r>
        <w:t xml:space="preserve"> </w:t>
      </w:r>
      <w:r>
        <w:t xml:space="preserve">make reconciliation of data across intermediaries easier, as distributed ledgers can provide a</w:t>
      </w:r>
      <w:r>
        <w:t xml:space="preserve"> </w:t>
      </w:r>
      <w:r>
        <w:t xml:space="preserve">golden record of market events retrievable by interested parties. This supports straight-through</w:t>
      </w:r>
      <w:r>
        <w:t xml:space="preserve"> </w:t>
      </w:r>
      <w:r>
        <w:t xml:space="preserve">processing of financial activities and reduces costs. In post-trading processes, DLT is currently</w:t>
      </w:r>
      <w:r>
        <w:t xml:space="preserve"> </w:t>
      </w:r>
      <w:r>
        <w:t xml:space="preserve">considered by parts of the industry as the most promising way to simplify procedures, reduce</w:t>
      </w:r>
      <w:r>
        <w:t xml:space="preserve"> </w:t>
      </w:r>
      <w:r>
        <w:t xml:space="preserve">costs, and increase efficiency and security of transactions. It therefore has the potential to alter</w:t>
      </w:r>
      <w:r>
        <w:t xml:space="preserve"> </w:t>
      </w:r>
      <w:r>
        <w:t xml:space="preserve">the post-trade landscape and transform how securities are held and recorded. While they hold</w:t>
      </w:r>
      <w:r>
        <w:t xml:space="preserve"> </w:t>
      </w:r>
      <w:r>
        <w:t xml:space="preserve">many promises and can move markets toward more integrated and transparent post-trade</w:t>
      </w:r>
      <w:r>
        <w:t xml:space="preserve"> </w:t>
      </w:r>
      <w:r>
        <w:t xml:space="preserve">structures, DLT market infrastructures (DLT MI) and markets organised around them are</w:t>
      </w:r>
      <w:r>
        <w:t xml:space="preserve"> </w:t>
      </w:r>
      <w:r>
        <w:t xml:space="preserve">however still at an early stage of development. Today’s deployment remains incremental and</w:t>
      </w:r>
      <w:r>
        <w:t xml:space="preserve"> </w:t>
      </w:r>
      <w:r>
        <w:t xml:space="preserve">layered, with a number of challenges that pose a question to its wider up-take. For example,</w:t>
      </w:r>
      <w:r>
        <w:t xml:space="preserve"> </w:t>
      </w:r>
      <w:r>
        <w:t xml:space="preserve">there is no market consensus around which distributed ledgers should be used for financial</w:t>
      </w:r>
      <w:r>
        <w:t xml:space="preserve"> </w:t>
      </w:r>
      <w:r>
        <w:t xml:space="preserve">activities. Parts of the market prefer to engage with permissioned blockchains487, which provide</w:t>
      </w:r>
    </w:p>
    <w:p>
      <w:pPr>
        <w:pStyle w:val="BodyText"/>
      </w:pPr>
      <w:r>
        <w:t xml:space="preserve">487 Permissioned blockchains are a type of distributed ledger where the rights to validate transactions and</w:t>
      </w:r>
      <w:r>
        <w:t xml:space="preserve"> </w:t>
      </w:r>
      <w:r>
        <w:t xml:space="preserve">participate in the network are limited to authorised parties only.</w:t>
      </w:r>
    </w:p>
    <w:p>
      <w:pPr>
        <w:pStyle w:val="BodyText"/>
      </w:pPr>
      <w:r>
        <w:t xml:space="preserve">328</w:t>
      </w:r>
      <w:r>
        <w:t xml:space="preserve"> </w:t>
      </w:r>
      <w:r>
        <w:t xml:space="preserve">greater controllability of the key elements of the platform and may ensure enhanced privacy as</w:t>
      </w:r>
      <w:r>
        <w:t xml:space="preserve"> </w:t>
      </w:r>
      <w:r>
        <w:t xml:space="preserve">compared to permissionless blockchains. Other industry participants prefer permissionless</w:t>
      </w:r>
      <w:r>
        <w:t xml:space="preserve"> </w:t>
      </w:r>
      <w:r>
        <w:t xml:space="preserve">blockchains488 because they are open to any and all participants, allowing them to attract more</w:t>
      </w:r>
      <w:r>
        <w:t xml:space="preserve"> </w:t>
      </w:r>
      <w:r>
        <w:t xml:space="preserve">liquidity. They also guarantee greater system resilience due to greater distribution of the</w:t>
      </w:r>
      <w:r>
        <w:t xml:space="preserve"> </w:t>
      </w:r>
      <w:r>
        <w:t xml:space="preserve">network. Greater maturity of interoperability solutions between DLTs may help resolve or</w:t>
      </w:r>
      <w:r>
        <w:t xml:space="preserve"> </w:t>
      </w:r>
      <w:r>
        <w:t xml:space="preserve">mitigate some of these issues. Ensuring privacy of transactions489 and automating identity</w:t>
      </w:r>
      <w:r>
        <w:t xml:space="preserve"> </w:t>
      </w:r>
      <w:r>
        <w:t xml:space="preserve">(KYC) checks on DLT are another area where more progress is needed to facilitate adoption of</w:t>
      </w:r>
      <w:r>
        <w:t xml:space="preserve"> </w:t>
      </w:r>
      <w:r>
        <w:t xml:space="preserve">the technology.</w:t>
      </w:r>
      <w:r>
        <w:br/>
      </w:r>
      <w:r>
        <w:t xml:space="preserve">Regardless of outstanding challenges, in the past few years, especially in Asia, Europe and the</w:t>
      </w:r>
      <w:r>
        <w:t xml:space="preserve"> </w:t>
      </w:r>
      <w:r>
        <w:t xml:space="preserve">US, the financial industry has been increasingly engaging with DLT. Asset managers have taken</w:t>
      </w:r>
      <w:r>
        <w:t xml:space="preserve"> </w:t>
      </w:r>
      <w:r>
        <w:t xml:space="preserve">to tokenising490 funds, in particular money market funds491, to make them available to</w:t>
      </w:r>
      <w:r>
        <w:t xml:space="preserve"> </w:t>
      </w:r>
      <w:r>
        <w:t xml:space="preserve">customers that want to hold funds on distributed ledgers (‘on-chain’), such as crypto-asset</w:t>
      </w:r>
      <w:r>
        <w:t xml:space="preserve"> </w:t>
      </w:r>
      <w:r>
        <w:t xml:space="preserve">traders. Issuers, together with banks and financial market infrastructures (FMIs) have been</w:t>
      </w:r>
      <w:r>
        <w:t xml:space="preserve"> </w:t>
      </w:r>
      <w:r>
        <w:t xml:space="preserve">tokenising increasing volumes of debt instruments (albeit from a low base)492, with the aim of</w:t>
      </w:r>
      <w:r>
        <w:t xml:space="preserve"> </w:t>
      </w:r>
      <w:r>
        <w:t xml:space="preserve">enhancing the efficiency of bond markets, including liquidity, issuances costs and yields.493</w:t>
      </w:r>
      <w:r>
        <w:t xml:space="preserve"> </w:t>
      </w:r>
      <w:r>
        <w:t xml:space="preserve">The industry is also using DLT to speed up the exchange of collaterals, introducing efficiencies</w:t>
      </w:r>
      <w:r>
        <w:t xml:space="preserve"> </w:t>
      </w:r>
      <w:r>
        <w:t xml:space="preserve">and lowering risk.494 Certain incumbent FMIs, in particular CSDs have set up DLT-based</w:t>
      </w:r>
      <w:r>
        <w:t xml:space="preserve"> </w:t>
      </w:r>
      <w:r>
        <w:t xml:space="preserve">platforms to support issuance and transfer of tokenised financial instruments.495 Certain large</w:t>
      </w:r>
      <w:r>
        <w:t xml:space="preserve"> </w:t>
      </w:r>
      <w:r>
        <w:t xml:space="preserve">banks have also been building tokenisation platforms, while fintech entrants are setting up their</w:t>
      </w:r>
      <w:r>
        <w:t xml:space="preserve"> </w:t>
      </w:r>
      <w:r>
        <w:t xml:space="preserve">own DLT-powered trading and settlement platforms.496 According to the European Banking</w:t>
      </w:r>
      <w:r>
        <w:t xml:space="preserve"> </w:t>
      </w:r>
      <w:r>
        <w:t xml:space="preserve">Authority (EBA),497 in 2023 more than 60% of surveyed EU banks were exploring,</w:t>
      </w:r>
      <w:r>
        <w:t xml:space="preserve"> </w:t>
      </w:r>
      <w:r>
        <w:t xml:space="preserve">experimenting with, or using DLT solutions. Finally, recognising the interest of the wholesale</w:t>
      </w:r>
      <w:r>
        <w:t xml:space="preserve"> </w:t>
      </w:r>
      <w:r>
        <w:t xml:space="preserve">financial market in DLT and the potential of the technology, the Eurosystem held in 2024</w:t>
      </w:r>
      <w:r>
        <w:t xml:space="preserve"> </w:t>
      </w:r>
      <w:r>
        <w:t xml:space="preserve">exploratory experiments with DLT-adapted technical solutions for settlement in central bank</w:t>
      </w:r>
      <w:r>
        <w:t xml:space="preserve"> </w:t>
      </w:r>
      <w:r>
        <w:t xml:space="preserve">money. The trials included a total of 64 participants, comprising central banks, financial market</w:t>
      </w:r>
      <w:r>
        <w:t xml:space="preserve"> </w:t>
      </w:r>
      <w:r>
        <w:t xml:space="preserve">participants and DLT operators, and tested a wide range of use cases such as securities</w:t>
      </w:r>
      <w:r>
        <w:t xml:space="preserve"> </w:t>
      </w:r>
      <w:r>
        <w:t xml:space="preserve">settlement, domestic payments, and FX transactions.498 Following successful market</w:t>
      </w:r>
      <w:r>
        <w:t xml:space="preserve"> </w:t>
      </w:r>
      <w:r>
        <w:t xml:space="preserve">engagement, in June 2025 the ECB Governing Council approved a plan that will enable settling</w:t>
      </w:r>
      <w:r>
        <w:t xml:space="preserve"> </w:t>
      </w:r>
      <w:r>
        <w:t xml:space="preserve">of DLT transactions using central bank money.</w:t>
      </w:r>
      <w:r>
        <w:br/>
      </w:r>
      <w:r>
        <w:t xml:space="preserve">Against these industry and public sector developments, the DLT Pilot represents the main pillar</w:t>
      </w:r>
      <w:r>
        <w:t xml:space="preserve"> </w:t>
      </w:r>
      <w:r>
        <w:t xml:space="preserve">of Commission’s policy to support DLT-based innovation in Europe. Adopted in 2022 as an</w:t>
      </w:r>
    </w:p>
    <w:p>
      <w:pPr>
        <w:pStyle w:val="BodyText"/>
      </w:pPr>
      <w:r>
        <w:t xml:space="preserve">488 Permissionless blockchains are a type of distributed ledger where the rights to validate transactions and</w:t>
      </w:r>
      <w:r>
        <w:t xml:space="preserve"> </w:t>
      </w:r>
      <w:r>
        <w:t xml:space="preserve">participate in the network are open to any party without the need for a prior authorisation</w:t>
      </w:r>
      <w:r>
        <w:t xml:space="preserve"> </w:t>
      </w:r>
      <w:r>
        <w:t xml:space="preserve">489 On technical solutions for enhancing privacy on distributed ledgers, see p. 25 of the EC-commissioned study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financial</w:t>
      </w:r>
      <w:r>
        <w:t xml:space="preserve"> </w:t>
      </w:r>
      <w:r>
        <w:t xml:space="preserve">services</w:t>
      </w:r>
      <w:r>
        <w:t xml:space="preserve"> </w:t>
      </w:r>
      <w:r>
        <w:t xml:space="preserve">with</w:t>
      </w:r>
      <w:r>
        <w:t xml:space="preserve"> </w:t>
      </w:r>
      <w:r>
        <w:t xml:space="preserve">permissionless</w:t>
      </w:r>
      <w:r>
        <w:t xml:space="preserve"> </w:t>
      </w:r>
      <w:r>
        <w:t xml:space="preserve">blockchains,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br/>
      </w:r>
      <w:r>
        <w:t xml:space="preserve">https://op.europa.eu/en/publication-detail/-/publication/cab54e8e-ad3b-11ef-acb1-01aa75ed71a1/language-en</w:t>
      </w:r>
      <w:r>
        <w:br/>
      </w:r>
      <w:r>
        <w:t xml:space="preserve">490 I.e. representing assets as cryptographically secured entries in distributed ledgers</w:t>
      </w:r>
      <w:r>
        <w:br/>
      </w:r>
      <w:r>
        <w:t xml:space="preserve">491 For example https://securitize.io/learn/press/blackrock-launches-first-tokenized-fund-buidl-on-the-ethereum-</w:t>
      </w:r>
      <w:r>
        <w:t xml:space="preserve"> </w:t>
      </w:r>
      <w:r>
        <w:t xml:space="preserve">network</w:t>
      </w:r>
      <w:r>
        <w:br/>
      </w:r>
      <w:r>
        <w:t xml:space="preserve">492 See on tokenisation of government bonds https://www.bis.org/publ/bisbull107.pdf</w:t>
      </w:r>
      <w:r>
        <w:br/>
      </w:r>
      <w:r>
        <w:t xml:space="preserve">493 https://www.bis.org/publ/bisbull107.pdf</w:t>
      </w:r>
      <w:r>
        <w:br/>
      </w:r>
      <w:r>
        <w:t xml:space="preserve">494 See most recently https://www.thetradenews.com/jp-morgan-executes-first-live-dlt-enabled-collateral-</w:t>
      </w:r>
      <w:r>
        <w:t xml:space="preserve"> </w:t>
      </w:r>
      <w:r>
        <w:t xml:space="preserve">mobilisation-transaction-on-eurex-clearing/</w:t>
      </w:r>
      <w:r>
        <w:br/>
      </w:r>
      <w:r>
        <w:t xml:space="preserve">495 Examples include the US DTCC, Euroclear, Clearstream, Swiss SDX, which is part of the SIX Group</w:t>
      </w:r>
      <w:r>
        <w:t xml:space="preserve"> </w:t>
      </w:r>
      <w:r>
        <w:t xml:space="preserve">496 In Europe, examples include 21X (holder of DLT Pilot licence) and Axiology</w:t>
      </w:r>
      <w:r>
        <w:t xml:space="preserve"> </w:t>
      </w:r>
      <w:r>
        <w:t xml:space="preserve">497https://www.eba.europa.eu/sites/default/files/2024-04/69001f7d-be44-456e-a40a-</w:t>
      </w:r>
      <w:r>
        <w:t xml:space="preserve"> </w:t>
      </w:r>
      <w:r>
        <w:t xml:space="preserve">2d2f0e5a84f4/factsheet%20on%20uses%20of%20DLT%20in%20the%20EU%20banking%20and%20payments</w:t>
      </w:r>
      <w:r>
        <w:t xml:space="preserve"> </w:t>
      </w:r>
      <w:r>
        <w:t xml:space="preserve">%20sector.pdf</w:t>
      </w:r>
      <w:r>
        <w:t xml:space="preserve"> </w:t>
      </w:r>
      <w:r>
        <w:t xml:space="preserve">498 https://www.ecb.europa.eu/press/intro/news/html/ecb.mipnews241204.en.html</w:t>
      </w:r>
    </w:p>
    <w:p>
      <w:pPr>
        <w:pStyle w:val="BodyText"/>
      </w:pPr>
      <w:r>
        <w:t xml:space="preserve">329</w:t>
      </w:r>
      <w:r>
        <w:t xml:space="preserve"> </w:t>
      </w:r>
      <w:r>
        <w:t xml:space="preserve">important plank of the Commission’s Digital Finance Strategy, its aim was to establish a</w:t>
      </w:r>
      <w:r>
        <w:t xml:space="preserve"> </w:t>
      </w:r>
      <w:r>
        <w:t xml:space="preserve">flexible regulatory framework that would enable the industry to use DLT to introduce</w:t>
      </w:r>
      <w:r>
        <w:t xml:space="preserve"> </w:t>
      </w:r>
      <w:r>
        <w:t xml:space="preserve">efficiencies in the issuance, trading and transfer of financial instruments, while ensuring risks</w:t>
      </w:r>
      <w:r>
        <w:t xml:space="preserve"> </w:t>
      </w:r>
      <w:r>
        <w:t xml:space="preserve">are appropriately mitigated. It aspired to create a flexible framework that would allow certain</w:t>
      </w:r>
      <w:r>
        <w:t xml:space="preserve"> </w:t>
      </w:r>
      <w:r>
        <w:t xml:space="preserve">derogations from the standard rulebooks (CSDR and MIFID) to make it easier for Pilot</w:t>
      </w:r>
      <w:r>
        <w:t xml:space="preserve"> </w:t>
      </w:r>
      <w:r>
        <w:t xml:space="preserve">participants to leverage DLT for trading and CSD services. It has been in application since</w:t>
      </w:r>
      <w:r>
        <w:t xml:space="preserve"> </w:t>
      </w:r>
      <w:r>
        <w:t xml:space="preserve">March 2023, and has so far attracted four participants that have received the permission to</w:t>
      </w:r>
      <w:r>
        <w:t xml:space="preserve"> </w:t>
      </w:r>
      <w:r>
        <w:t xml:space="preserve">operate under the DLT Pilot, while several other applications are in the pipeline.</w:t>
      </w:r>
      <w:r>
        <w:t xml:space="preserve"> </w:t>
      </w:r>
      <w:r>
        <w:t xml:space="preserve">3. ASSESSMENT OF PROBLEMS AND NEED TO ACT</w:t>
      </w:r>
      <w:r>
        <w:t xml:space="preserve"> </w:t>
      </w:r>
      <w:r>
        <w:t xml:space="preserve">Drivers:</w:t>
      </w:r>
      <w:r>
        <w:br/>
      </w:r>
      <w:r>
        <w:t xml:space="preserve">Driver 1: Disproportionate and inflexible regulatory obligations for DLTPR applicants</w:t>
      </w:r>
      <w:r>
        <w:t xml:space="preserve"> </w:t>
      </w:r>
      <w:r>
        <w:t xml:space="preserve">Driver 2: Regulatory barriers to scale, scope and long-term investments</w:t>
      </w:r>
      <w:r>
        <w:t xml:space="preserve"> </w:t>
      </w:r>
      <w:r>
        <w:t xml:space="preserve">↓</w:t>
      </w:r>
      <w:r>
        <w:t xml:space="preserve"> </w:t>
      </w:r>
      <w:r>
        <w:t xml:space="preserve">Problem:</w:t>
      </w:r>
      <w:r>
        <w:br/>
      </w:r>
      <w:r>
        <w:t xml:space="preserve">Stifled innovation: Low take-up of the DLT pilot regime</w:t>
      </w:r>
      <w:r>
        <w:t xml:space="preserve"> </w:t>
      </w:r>
      <w:r>
        <w:t xml:space="preserve">Consequences:</w:t>
      </w:r>
      <w:r>
        <w:br/>
      </w:r>
      <w:r>
        <w:t xml:space="preserve"> Reduced innovation and lower efficiencies in issuance, trading and settlement of</w:t>
      </w:r>
      <w:r>
        <w:t xml:space="preserve"> </w:t>
      </w:r>
      <w:r>
        <w:t xml:space="preserve">financial instruments in Europe</w:t>
      </w:r>
      <w:r>
        <w:br/>
      </w:r>
      <w:r>
        <w:t xml:space="preserve"> Lower competitiveness of EU capital markets</w:t>
      </w:r>
      <w:r>
        <w:t xml:space="preserve"> </w:t>
      </w:r>
      <w:r>
        <w:t xml:space="preserve">↓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1) Adjust the DLTPR to facilitate DLT-based financial innovation</w:t>
      </w:r>
      <w:r>
        <w:t xml:space="preserve"> </w:t>
      </w:r>
      <w:r>
        <w:t xml:space="preserve">2) Maintaining regulatory standards which effectively capture and address risks of</w:t>
      </w:r>
      <w:r>
        <w:t xml:space="preserve"> </w:t>
      </w:r>
      <w:r>
        <w:t xml:space="preserve">respective activities</w:t>
      </w:r>
      <w:r>
        <w:t xml:space="preserve"> </w:t>
      </w:r>
      <w:r>
        <w:t xml:space="preserve">↓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SO1: Ensure that DLTPR lays down proportional and principles-based regulatory</w:t>
      </w:r>
      <w:r>
        <w:t xml:space="preserve"> </w:t>
      </w:r>
      <w:r>
        <w:t xml:space="preserve">requirements for small businesses participating in the Pilot</w:t>
      </w:r>
      <w:r>
        <w:br/>
      </w:r>
      <w:r>
        <w:t xml:space="preserve">SO2: Remove regulatory barriers to support long-term investments under the Pilot [duration],</w:t>
      </w:r>
      <w:r>
        <w:t xml:space="preserve"> </w:t>
      </w:r>
      <w:r>
        <w:t xml:space="preserve">broad-based participation [large firms, CASPs] and varied projects under the DLTPR [asset</w:t>
      </w:r>
      <w:r>
        <w:t xml:space="preserve"> </w:t>
      </w:r>
      <w:r>
        <w:t xml:space="preserve">scope]</w:t>
      </w:r>
    </w:p>
    <w:p>
      <w:pPr>
        <w:pStyle w:val="BodyText"/>
      </w:pPr>
      <w:r>
        <w:t xml:space="preserve">3.1. PROBLEM DEFINITION AND DESCRIPTION OF CURRENT STATE-OF-PLAY</w:t>
      </w:r>
      <w:r>
        <w:br/>
      </w:r>
      <w:r>
        <w:t xml:space="preserve">Innovation is one of the strongest drivers of efficiency gains in financial markets. Stifled</w:t>
      </w:r>
      <w:r>
        <w:t xml:space="preserve"> </w:t>
      </w:r>
      <w:r>
        <w:t xml:space="preserve">innovation is one of the main barriers to the development of an efficient SIU. DLT is a</w:t>
      </w:r>
      <w:r>
        <w:t xml:space="preserve"> </w:t>
      </w:r>
      <w:r>
        <w:t xml:space="preserve">technology that currently has the most potential to impact market structure and is seeing</w:t>
      </w:r>
      <w:r>
        <w:t xml:space="preserve"> </w:t>
      </w:r>
      <w:r>
        <w:t xml:space="preserve">increased use by a wide spectrum of market participants. The Commission considers DLTPR</w:t>
      </w:r>
    </w:p>
    <w:p>
      <w:pPr>
        <w:pStyle w:val="BodyText"/>
      </w:pPr>
      <w:r>
        <w:t xml:space="preserve">330</w:t>
      </w:r>
      <w:r>
        <w:t xml:space="preserve"> </w:t>
      </w:r>
      <w:r>
        <w:t xml:space="preserve">as a key enabler for responsible DLT innovation in trading and CSD services.499 This</w:t>
      </w:r>
      <w:r>
        <w:t xml:space="preserve"> </w:t>
      </w:r>
      <w:r>
        <w:t xml:space="preserve">innovation necessitates sufficient regulatory flexibility to accommodate the specificities of</w:t>
      </w:r>
      <w:r>
        <w:t xml:space="preserve"> </w:t>
      </w:r>
      <w:r>
        <w:t xml:space="preserve">DLT and novel business models that arise from its use. To fulfil its objective, it is important</w:t>
      </w:r>
      <w:r>
        <w:t xml:space="preserve"> </w:t>
      </w:r>
      <w:r>
        <w:t xml:space="preserve">that DLTPR appropriately reflects market needs, while ensuring appropriate risk mitigation.</w:t>
      </w:r>
      <w:r>
        <w:t xml:space="preserve"> </w:t>
      </w:r>
      <w:r>
        <w:t xml:space="preserve">Failing to channel innovation through the framework may result in reduced deployment of</w:t>
      </w:r>
      <w:r>
        <w:t xml:space="preserve"> </w:t>
      </w:r>
      <w:r>
        <w:t xml:space="preserve">DLT-based solutions in Europe’s financial markets, leading to loss of efficiencies and</w:t>
      </w:r>
      <w:r>
        <w:t xml:space="preserve"> </w:t>
      </w:r>
      <w:r>
        <w:t xml:space="preserve">competitiveness. Given the intrinsic connection between the success of the DLTPR and the</w:t>
      </w:r>
      <w:r>
        <w:t xml:space="preserve"> </w:t>
      </w:r>
      <w:r>
        <w:t xml:space="preserve">uptake of DLT innovation in Europe, the problem of stifled innovation can be viewed through</w:t>
      </w:r>
      <w:r>
        <w:t xml:space="preserve"> </w:t>
      </w:r>
      <w:r>
        <w:t xml:space="preserve">the lens of problems affecting the ability of the DLTPR to attract innovative projects.</w:t>
      </w:r>
      <w:r>
        <w:br/>
      </w:r>
      <w:r>
        <w:t xml:space="preserve">The DLTPR set out to achieve two narrowly connected objectives. Firstly, to support innovation</w:t>
      </w:r>
      <w:r>
        <w:t xml:space="preserve"> </w:t>
      </w:r>
      <w:r>
        <w:t xml:space="preserve">in DLT by attracting businesses to deploy their solutions within an adapted but limited</w:t>
      </w:r>
      <w:r>
        <w:t xml:space="preserve"> </w:t>
      </w:r>
      <w:r>
        <w:t xml:space="preserve">framework. The DLTPR created an adapted elective rulebook which Pilot participants can use</w:t>
      </w:r>
      <w:r>
        <w:t xml:space="preserve"> </w:t>
      </w:r>
      <w:r>
        <w:t xml:space="preserve">to set up DLT-based trading and settlement infrastructures and seek specified derogations from</w:t>
      </w:r>
      <w:r>
        <w:t xml:space="preserve"> </w:t>
      </w:r>
      <w:r>
        <w:t xml:space="preserve">those provisions in the standard rulebooks (CSDR, MIFID) that were considered incompatible</w:t>
      </w:r>
      <w:r>
        <w:t xml:space="preserve"> </w:t>
      </w:r>
      <w:r>
        <w:t xml:space="preserve">or poorly adapted to DLT, and instead applying alternative or compensatory obligations. For</w:t>
      </w:r>
      <w:r>
        <w:t xml:space="preserve"> </w:t>
      </w:r>
      <w:r>
        <w:t xml:space="preserve">example, to ensure DLT can be robustly leveraged for settlement of assets against money, the</w:t>
      </w:r>
      <w:r>
        <w:t xml:space="preserve"> </w:t>
      </w:r>
      <w:r>
        <w:t xml:space="preserve">DTLRP explicitly allowed the use of electronic-money tokens500 as means of payment. This</w:t>
      </w:r>
      <w:r>
        <w:t xml:space="preserve"> </w:t>
      </w:r>
      <w:r>
        <w:t xml:space="preserve">allowed DLT market infrastructures to make use of the functionality to programmatically</w:t>
      </w:r>
      <w:r>
        <w:t xml:space="preserve"> </w:t>
      </w:r>
      <w:r>
        <w:t xml:space="preserve">‘swap’ tokens in an efficient manner between two accounts on DLT, organising delivery vs</w:t>
      </w:r>
      <w:r>
        <w:t xml:space="preserve"> </w:t>
      </w:r>
      <w:r>
        <w:t xml:space="preserve">payment of e.g. a tokenised bond against tokenised electronic money. This would not be</w:t>
      </w:r>
      <w:r>
        <w:t xml:space="preserve"> </w:t>
      </w:r>
      <w:r>
        <w:t xml:space="preserve">possible with traditional forms of money eligible for use in settlement under the DLTPR – (non-</w:t>
      </w:r>
      <w:r>
        <w:t xml:space="preserve"> </w:t>
      </w:r>
      <w:r>
        <w:t xml:space="preserve">tokenised) commercial bank money and central bank money.</w:t>
      </w:r>
      <w:r>
        <w:br/>
      </w:r>
      <w:r>
        <w:t xml:space="preserve">Accounting for the needs and specificities of DLT-based market infrastructures, the regime</w:t>
      </w:r>
      <w:r>
        <w:t xml:space="preserve"> </w:t>
      </w:r>
      <w:r>
        <w:t xml:space="preserve">sought to identify and address legal and operational barriers to broader adoption of DLT in the</w:t>
      </w:r>
      <w:r>
        <w:t xml:space="preserve"> </w:t>
      </w:r>
      <w:r>
        <w:t xml:space="preserve">EU financial sector. Furthermore, its aim was to attract projects under a closely supervised</w:t>
      </w:r>
      <w:r>
        <w:t xml:space="preserve"> </w:t>
      </w:r>
      <w:r>
        <w:t xml:space="preserve">framework that would allow supervisors and policy makers to learn from the concrete projects</w:t>
      </w:r>
      <w:r>
        <w:t xml:space="preserve"> </w:t>
      </w:r>
      <w:r>
        <w:t xml:space="preserve">leveraging DLT deployed within the DLTPR. Learnings about different business models, risk</w:t>
      </w:r>
      <w:r>
        <w:t xml:space="preserve"> </w:t>
      </w:r>
      <w:r>
        <w:t xml:space="preserve">profiles of various activities, roles of intermediaries participating in the ecosystem as well as</w:t>
      </w:r>
      <w:r>
        <w:t xml:space="preserve"> </w:t>
      </w:r>
      <w:r>
        <w:t xml:space="preserve">technological challenges would form an analytical basis for changes to the standard rulebook,</w:t>
      </w:r>
      <w:r>
        <w:t xml:space="preserve"> </w:t>
      </w:r>
      <w:r>
        <w:t xml:space="preserve">to ensure it is adapted to DLT and therefore technologically neutral, allowing Pilot participants</w:t>
      </w:r>
      <w:r>
        <w:t xml:space="preserve"> </w:t>
      </w:r>
      <w:r>
        <w:t xml:space="preserve">to continue their activity under the sectoral legislation (CSDR, MIFID). However, these</w:t>
      </w:r>
      <w:r>
        <w:t xml:space="preserve"> </w:t>
      </w:r>
      <w:r>
        <w:t xml:space="preserve">objectives were not fully realised.</w:t>
      </w:r>
      <w:r>
        <w:t xml:space="preserve"> </w:t>
      </w:r>
      <w:r>
        <w:t xml:space="preserve">Since its entry into force (May 2022) over more than three years ago, the DLTPR has attracted</w:t>
      </w:r>
      <w:r>
        <w:t xml:space="preserve"> </w:t>
      </w:r>
      <w:r>
        <w:t xml:space="preserve">only four participants. One of those participants is an established CSD (CSD Prague), while</w:t>
      </w:r>
      <w:r>
        <w:t xml:space="preserve"> </w:t>
      </w:r>
      <w:r>
        <w:t xml:space="preserve">three others are fintech entrants to the market (360X, 21X and Axiology). DLTPR was set up</w:t>
      </w:r>
      <w:r>
        <w:t xml:space="preserve"> </w:t>
      </w:r>
      <w:r>
        <w:t xml:space="preserve">precisely to allow innovative new entrants to leverage DLT in providing trading and CSD</w:t>
      </w:r>
      <w:r>
        <w:t xml:space="preserve"> </w:t>
      </w:r>
      <w:r>
        <w:t xml:space="preserve">services. Comparatively, the UK’s Digital Securities Sandbox, which is a similar regime to</w:t>
      </w:r>
      <w:r>
        <w:t xml:space="preserve"> </w:t>
      </w:r>
      <w:r>
        <w:t xml:space="preserve">EU’s Pilot, has attracted notably more interest: eleven applicants have checked into the sandbox</w:t>
      </w:r>
    </w:p>
    <w:p>
      <w:pPr>
        <w:pStyle w:val="BodyText"/>
      </w:pPr>
      <w:r>
        <w:t xml:space="preserve">499 The three core CSD services as defined in CSDR are as follows: initial recording of securities in a book-entry</w:t>
      </w:r>
      <w:r>
        <w:t xml:space="preserve"> </w:t>
      </w:r>
      <w:r>
        <w:t xml:space="preserve">system (notary service), providing and maintaining securities accounts at the top tier level (central maintenance</w:t>
      </w:r>
      <w:r>
        <w:t xml:space="preserve"> </w:t>
      </w:r>
      <w:r>
        <w:t xml:space="preserve">service) and operating a securities settlement system (settlement service). CSDR lists additional ancillary services.</w:t>
      </w:r>
      <w:r>
        <w:t xml:space="preserve"> </w:t>
      </w:r>
      <w:r>
        <w:t xml:space="preserve">500 In accordance with MiCA, electronic money tokens are a type of crypto-asset that purport to maintain a stable</w:t>
      </w:r>
      <w:r>
        <w:t xml:space="preserve"> </w:t>
      </w:r>
      <w:r>
        <w:t xml:space="preserve">value by referencing the value of one official currency.</w:t>
      </w:r>
    </w:p>
    <w:p>
      <w:pPr>
        <w:pStyle w:val="BodyText"/>
      </w:pPr>
      <w:r>
        <w:t xml:space="preserve">331</w:t>
      </w:r>
      <w:r>
        <w:t xml:space="preserve"> </w:t>
      </w:r>
      <w:r>
        <w:t xml:space="preserve">since its start at the end of 2024.501 This divergence suggests a mismatch between framework</w:t>
      </w:r>
      <w:r>
        <w:t xml:space="preserve"> </w:t>
      </w:r>
      <w:r>
        <w:t xml:space="preserve">design and business models in the EU context rather than an absence of market interest in</w:t>
      </w:r>
      <w:r>
        <w:t xml:space="preserve"> </w:t>
      </w:r>
      <w:r>
        <w:t xml:space="preserve">tokenisation .While the Pilot has been useful for a handful of applicants, it has not scaled in</w:t>
      </w:r>
      <w:r>
        <w:t xml:space="preserve"> </w:t>
      </w:r>
      <w:r>
        <w:t xml:space="preserve">line with market developments, which has limited its learning potential.</w:t>
      </w:r>
      <w:r>
        <w:t xml:space="preserve"> </w:t>
      </w:r>
      <w:r>
        <w:t xml:space="preserve">At the same time, market interest in using DLT for financial services has been gradually</w:t>
      </w:r>
      <w:r>
        <w:t xml:space="preserve"> </w:t>
      </w:r>
      <w:r>
        <w:t xml:space="preserve">increasing since the DLTPR framework was set up. In 2024, private sector involvement in DLT</w:t>
      </w:r>
      <w:r>
        <w:t xml:space="preserve"> </w:t>
      </w:r>
      <w:r>
        <w:t xml:space="preserve">for financial services accelerated, with active participation from banks, payment service</w:t>
      </w:r>
      <w:r>
        <w:t xml:space="preserve"> </w:t>
      </w:r>
      <w:r>
        <w:t xml:space="preserve">providers, stock exchanges, and clearing and settlement companies. The sharp increase in DLT</w:t>
      </w:r>
      <w:r>
        <w:t xml:space="preserve"> </w:t>
      </w:r>
      <w:r>
        <w:t xml:space="preserve">based issuance volumes from 2023 to 2024 (albeit from a low base) signals growing acceptance</w:t>
      </w:r>
      <w:r>
        <w:t xml:space="preserve"> </w:t>
      </w:r>
      <w:r>
        <w:t xml:space="preserve">and experimentation with DLT for bond issuance, especially in Europe and Asia. According to</w:t>
      </w:r>
      <w:r>
        <w:t xml:space="preserve"> </w:t>
      </w:r>
      <w:r>
        <w:t xml:space="preserve">a 2025 AFME report502, €3 billion in DLT-based fixed income instruments were issued globally</w:t>
      </w:r>
      <w:r>
        <w:t xml:space="preserve"> </w:t>
      </w:r>
      <w:r>
        <w:t xml:space="preserve">in 2024-a 260% increase from €848 million in 2023. BIS Economic Report for 2025 also notes</w:t>
      </w:r>
      <w:r>
        <w:t xml:space="preserve"> </w:t>
      </w:r>
      <w:r>
        <w:t xml:space="preserve">the nascent yet increasing size of tokenised bond markets.503 The projected issuance in 2025 is</w:t>
      </w:r>
      <w:r>
        <w:t xml:space="preserve"> </w:t>
      </w:r>
      <w:r>
        <w:t xml:space="preserve">€10 billion and €35–40 billion for 2026 if current trends continue.504</w:t>
      </w:r>
      <w:r>
        <w:t xml:space="preserve"> </w:t>
      </w:r>
      <w:r>
        <w:t xml:space="preserve">Because the relatively low market participation in the Pilot is set against a backdrop of</w:t>
      </w:r>
      <w:r>
        <w:t xml:space="preserve"> </w:t>
      </w:r>
      <w:r>
        <w:t xml:space="preserve">increased industry interest in DLT and tokenisation, it can be concluded that the Pilot has not</w:t>
      </w:r>
      <w:r>
        <w:t xml:space="preserve"> </w:t>
      </w:r>
      <w:r>
        <w:t xml:space="preserve">fully achieved its objective of attracting and supporting DLT innovation in Europe. This is</w:t>
      </w:r>
      <w:r>
        <w:t xml:space="preserve"> </w:t>
      </w:r>
      <w:r>
        <w:t xml:space="preserve">further supported by feedback from key stakeholders. The SIU targeted consultation and</w:t>
      </w:r>
      <w:r>
        <w:t xml:space="preserve"> </w:t>
      </w:r>
      <w:r>
        <w:t xml:space="preserve">bilateral contacts with the industry have revealed certain drawbacks of the Pilot that hamper its</w:t>
      </w:r>
      <w:r>
        <w:t xml:space="preserve"> </w:t>
      </w:r>
      <w:r>
        <w:t xml:space="preserve">ability to attract projects. These have been also elaborated by ESMA505 and certain NCAs.506</w:t>
      </w:r>
    </w:p>
    <w:p>
      <w:pPr>
        <w:pStyle w:val="BodyText"/>
      </w:pPr>
      <w:r>
        <w:t xml:space="preserve">What are the consequences of the problem?</w:t>
      </w:r>
      <w:r>
        <w:t xml:space="preserve"> </w:t>
      </w:r>
      <w:r>
        <w:t xml:space="preserve">It is difficult to estimate the long-term impact of missed innovation opportunities, especially</w:t>
      </w:r>
      <w:r>
        <w:t xml:space="preserve"> </w:t>
      </w:r>
      <w:r>
        <w:t xml:space="preserve">since the extent of future integration of DLT into financial markets is not yet clear. Innovation</w:t>
      </w:r>
      <w:r>
        <w:t xml:space="preserve"> </w:t>
      </w:r>
      <w:r>
        <w:t xml:space="preserve">trends and their effects on the financial industry are difficult if not impossible to forecast.</w:t>
      </w:r>
      <w:r>
        <w:t xml:space="preserve"> </w:t>
      </w:r>
      <w:r>
        <w:t xml:space="preserve">However, given the low participation rates in the Pilot, the industry’s criticism of some of its</w:t>
      </w:r>
      <w:r>
        <w:t xml:space="preserve"> </w:t>
      </w:r>
      <w:r>
        <w:t xml:space="preserve">features, and a globally increasing interest in using DLT for financial services and activities,</w:t>
      </w:r>
      <w:r>
        <w:t xml:space="preserve"> </w:t>
      </w:r>
      <w:r>
        <w:t xml:space="preserve">an unchanged DLTPR risks failing in its objective of attracting innovation in Europe and</w:t>
      </w:r>
      <w:r>
        <w:t xml:space="preserve"> </w:t>
      </w:r>
      <w:r>
        <w:t xml:space="preserve">providing experience-driven lessons for policy makers on how standard frameworks ought to</w:t>
      </w:r>
      <w:r>
        <w:t xml:space="preserve"> </w:t>
      </w:r>
      <w:r>
        <w:t xml:space="preserve">evolve to accommodate this technology and intermediaries using it. This may have serious</w:t>
      </w:r>
      <w:r>
        <w:t xml:space="preserve"> </w:t>
      </w:r>
      <w:r>
        <w:t xml:space="preserve">repercussions.</w:t>
      </w:r>
    </w:p>
    <w:p>
      <w:pPr>
        <w:pStyle w:val="BodyText"/>
      </w:pPr>
      <w:r>
        <w:t xml:space="preserve">501 Full list available at https://www.bankofengland.co.uk/financial-stability/digital-securities-sandbox/digital-</w:t>
      </w:r>
      <w:r>
        <w:t xml:space="preserve"> </w:t>
      </w:r>
      <w:r>
        <w:t xml:space="preserve">securities-sandbox-dashboard</w:t>
      </w:r>
      <w:r>
        <w:br/>
      </w:r>
      <w:r>
        <w:t xml:space="preserve">502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https://www.afme.eu/news/press-releases/details/afme-launches-data-report-series-on-dlt-based-</w:t>
      </w:r>
      <w:r>
        <w:t xml:space="preserve"> </w:t>
      </w:r>
      <w:r>
        <w:t xml:space="preserve">capital-market-</w:t>
      </w:r>
      <w:r>
        <w:br/>
      </w:r>
      <w:r>
        <w:t xml:space="preserve">503 https://www.bis.org/publ/arpdf/ar2025e3.pdf</w:t>
      </w:r>
      <w:r>
        <w:br/>
      </w:r>
      <w:r>
        <w:t xml:space="preserve">504 Source: https://www.fi-desk.com/measuring-digital-bond-issuance/</w:t>
      </w:r>
      <w:r>
        <w:t xml:space="preserve"> </w:t>
      </w:r>
      <w:r>
        <w:t xml:space="preserve">505</w:t>
      </w:r>
      <w:r>
        <w:t xml:space="preserve"> </w:t>
      </w:r>
      <w:r>
        <w:t xml:space="preserve">ESMA’s</w:t>
      </w:r>
      <w:r>
        <w:t xml:space="preserve"> </w:t>
      </w:r>
      <w:r>
        <w:t xml:space="preserve">position:</w:t>
      </w:r>
    </w:p>
    <w:p>
      <w:pPr>
        <w:pStyle w:val="BodyText"/>
      </w:pPr>
      <w:r>
        <w:t xml:space="preserve">https://www.esma.europa.eu/sites/default/files/2024-04/ESMA75-117376770-</w:t>
      </w:r>
      <w:r>
        <w:t xml:space="preserve"> </w:t>
      </w:r>
      <w:r>
        <w:t xml:space="preserve">460_DLT_Pilot_Regime_-</w:t>
      </w:r>
      <w:r>
        <w:rPr>
          <w:i/>
          <w:iCs/>
        </w:rPr>
        <w:t xml:space="preserve">Letter_to_EU_Institutions.pdf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https://www.esma.europa.eu/sites/default/files/2025-06/ESMA75-117376770-</w:t>
      </w:r>
      <w:r>
        <w:rPr>
          <w:i/>
          <w:iCs/>
        </w:rPr>
        <w:t xml:space="preserve"> </w:t>
      </w:r>
      <w:r>
        <w:rPr>
          <w:i/>
          <w:iCs/>
        </w:rPr>
        <w:t xml:space="preserve">460_Report_on_the_functioning_and_review_of_the_DLTR</w:t>
      </w:r>
      <w:r>
        <w:t xml:space="preserve">-_Art.14.pdf</w:t>
      </w:r>
      <w:r>
        <w:br/>
      </w:r>
      <w:r>
        <w:t xml:space="preserve">506</w:t>
      </w:r>
      <w:r>
        <w:t xml:space="preserve"> </w:t>
      </w:r>
      <w:r>
        <w:t xml:space="preserve">See</w:t>
      </w:r>
      <w:r>
        <w:t xml:space="preserve"> </w:t>
      </w:r>
      <w:r>
        <w:t xml:space="preserve">for</w:t>
      </w:r>
      <w:r>
        <w:t xml:space="preserve"> </w:t>
      </w:r>
      <w:r>
        <w:t xml:space="preserve">example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AMF-CONSOB</w:t>
      </w:r>
      <w:r>
        <w:t xml:space="preserve"> </w:t>
      </w:r>
      <w:r>
        <w:t xml:space="preserve">paper</w:t>
      </w:r>
      <w:r>
        <w:t xml:space="preserve"> </w:t>
      </w:r>
      <w:r>
        <w:t xml:space="preserve">on</w:t>
      </w:r>
      <w:r>
        <w:t xml:space="preserve"> </w:t>
      </w:r>
      <w:r>
        <w:t xml:space="preserve">DLTPR:</w:t>
      </w:r>
      <w:r>
        <w:t xml:space="preserve"> </w:t>
      </w:r>
      <w:r>
        <w:t xml:space="preserve">https://www.amf-</w:t>
      </w:r>
      <w:r>
        <w:t xml:space="preserve"> </w:t>
      </w:r>
      <w:r>
        <w:t xml:space="preserve">france.org/sites/institutionnel/files/private/2025-04/amf_consob_position-paper-towards-a-more-competitive-</w:t>
      </w:r>
      <w:r>
        <w:t xml:space="preserve"> </w:t>
      </w:r>
      <w:r>
        <w:t xml:space="preserve">european-pilot-regime.pdf</w:t>
      </w:r>
    </w:p>
    <w:p>
      <w:pPr>
        <w:pStyle w:val="BodyText"/>
      </w:pPr>
      <w:r>
        <w:t xml:space="preserve">332</w:t>
      </w:r>
      <w:r>
        <w:t xml:space="preserve"> </w:t>
      </w:r>
      <w:r>
        <w:t xml:space="preserve">If the EU fails to establish a sufficiently adapted and attractive framework for DLT deployment,</w:t>
      </w:r>
      <w:r>
        <w:t xml:space="preserve"> </w:t>
      </w:r>
      <w:r>
        <w:t xml:space="preserve">it risks not fully benefiting from capital market efficiencies introduced by the technology. This</w:t>
      </w:r>
      <w:r>
        <w:t xml:space="preserve"> </w:t>
      </w:r>
      <w:r>
        <w:t xml:space="preserve">would harm the industry and investors and lead to a loss of attractiveness of EU’s capital</w:t>
      </w:r>
      <w:r>
        <w:t xml:space="preserve"> </w:t>
      </w:r>
      <w:r>
        <w:t xml:space="preserve">markets. For example, DLT may, among others, lead to a reduced cost of issuance (due mainly</w:t>
      </w:r>
      <w:r>
        <w:t xml:space="preserve"> </w:t>
      </w:r>
      <w:r>
        <w:t xml:space="preserve">to fewer intermediaries), faster settlement, disintermediation, creation of new markets,</w:t>
      </w:r>
      <w:r>
        <w:t xml:space="preserve"> </w:t>
      </w:r>
      <w:r>
        <w:t xml:space="preserve">improved data flows between intermediaries and regulators and increased automation. More</w:t>
      </w:r>
      <w:r>
        <w:t xml:space="preserve"> </w:t>
      </w:r>
      <w:r>
        <w:t xml:space="preserve">generally, it may lead to a financial system with less layers, where greater parts of the financial</w:t>
      </w:r>
      <w:r>
        <w:t xml:space="preserve"> </w:t>
      </w:r>
      <w:r>
        <w:t xml:space="preserve">value chain are conducted on a single (DLT-based) platform.507 DLT has the potential to move</w:t>
      </w:r>
      <w:r>
        <w:t xml:space="preserve"> </w:t>
      </w:r>
      <w:r>
        <w:t xml:space="preserve">many elements of the financial value chain – such as issuance, recording and transfer of</w:t>
      </w:r>
      <w:r>
        <w:t xml:space="preserve"> </w:t>
      </w:r>
      <w:r>
        <w:t xml:space="preserve">tokenised assets - to common and interoperable platforms (distributed ledgers, blockchains) on</w:t>
      </w:r>
      <w:r>
        <w:t xml:space="preserve"> </w:t>
      </w:r>
      <w:r>
        <w:t xml:space="preserve">which regulated services are provided. Broad-based adoption of DLT promises to improve the</w:t>
      </w:r>
      <w:r>
        <w:t xml:space="preserve"> </w:t>
      </w:r>
      <w:r>
        <w:t xml:space="preserve">efficiency of financial markets, by reducing settlement times, establishing new markets,</w:t>
      </w:r>
      <w:r>
        <w:t xml:space="preserve"> </w:t>
      </w:r>
      <w:r>
        <w:t xml:space="preserve">entering into cross border/international markets, facilitating data reconciliation and increasing</w:t>
      </w:r>
      <w:r>
        <w:t xml:space="preserve"> </w:t>
      </w:r>
      <w:r>
        <w:t xml:space="preserve">programmability of financial market activities.508 509</w:t>
      </w:r>
      <w:r>
        <w:t xml:space="preserve"> </w:t>
      </w:r>
      <w:r>
        <w:t xml:space="preserve">Comparatively, the multi-layered market architecture of today, with functions like trading,</w:t>
      </w:r>
      <w:r>
        <w:t xml:space="preserve"> </w:t>
      </w:r>
      <w:r>
        <w:t xml:space="preserve">clearing and settlement conducted within separate systems, results in many inefficiencies. This</w:t>
      </w:r>
      <w:r>
        <w:t xml:space="preserve"> </w:t>
      </w:r>
      <w:r>
        <w:t xml:space="preserve">compression of layers may improve market efficiency, not least by supporting straight-through-</w:t>
      </w:r>
      <w:r>
        <w:t xml:space="preserve"> </w:t>
      </w:r>
      <w:r>
        <w:t xml:space="preserve">processing of transactions.</w:t>
      </w:r>
      <w:r>
        <w:br/>
      </w:r>
      <w:r>
        <w:t xml:space="preserve">Given the potential widespread impacts of this technology across the financial market value</w:t>
      </w:r>
      <w:r>
        <w:t xml:space="preserve"> </w:t>
      </w:r>
      <w:r>
        <w:t xml:space="preserve">chain, stifled innovation in this area may compromise the long-term objectives of the SIU.</w:t>
      </w:r>
      <w:r>
        <w:t xml:space="preserve"> </w:t>
      </w:r>
      <w:r>
        <w:t xml:space="preserve">Firstly, it could compromise the objective of the SIU to achieve greater market integration and</w:t>
      </w:r>
      <w:r>
        <w:t xml:space="preserve"> </w:t>
      </w:r>
      <w:r>
        <w:t xml:space="preserve">efficiency through deployment of new technologies. Secondly, tokenisation of securities,</w:t>
      </w:r>
      <w:r>
        <w:t xml:space="preserve"> </w:t>
      </w:r>
      <w:r>
        <w:t xml:space="preserve">through fractionalisation, cheaper issuance processes, easier transferability and direct holding</w:t>
      </w:r>
      <w:r>
        <w:t xml:space="preserve"> </w:t>
      </w:r>
      <w:r>
        <w:t xml:space="preserve">models in digital wallets, may lead to a broader and more accessible offering of capital</w:t>
      </w:r>
      <w:r>
        <w:t xml:space="preserve"> </w:t>
      </w:r>
      <w:r>
        <w:t xml:space="preserve">investment opportunities for retail investors in Europe. Tokenisation makes traditionally</w:t>
      </w:r>
      <w:r>
        <w:t xml:space="preserve"> </w:t>
      </w:r>
      <w:r>
        <w:t xml:space="preserve">illiquid assets—such as private debt, corporate bonds, less liquid investment and real estate</w:t>
      </w:r>
      <w:r>
        <w:t xml:space="preserve"> </w:t>
      </w:r>
      <w:r>
        <w:t xml:space="preserve">funds, SME debt and equity—more tradable.510 By lowering barriers to entry, fractionalisation</w:t>
      </w:r>
      <w:r>
        <w:t xml:space="preserve"> </w:t>
      </w:r>
      <w:r>
        <w:t xml:space="preserve">expands the investor base and stimulates activity in assets that once saw limited trading.511</w:t>
      </w:r>
      <w:r>
        <w:t xml:space="preserve"> </w:t>
      </w:r>
      <w:r>
        <w:t xml:space="preserve">Incentivising retail participation in capital markets and mobilising investments in the European</w:t>
      </w:r>
      <w:r>
        <w:t xml:space="preserve"> </w:t>
      </w:r>
      <w:r>
        <w:t xml:space="preserve">economy are one of the key objectives of the SIU. It should be noted, however, that some of</w:t>
      </w:r>
      <w:r>
        <w:t xml:space="preserve"> </w:t>
      </w:r>
      <w:r>
        <w:t xml:space="preserve">these developments are already taking place outside the DLTPR, often under existing</w:t>
      </w:r>
    </w:p>
    <w:p>
      <w:pPr>
        <w:pStyle w:val="BodyText"/>
      </w:pPr>
      <w:r>
        <w:t xml:space="preserve">507 There are, however, many challenges to DLT underpinning a more integrated financial architecture, most</w:t>
      </w:r>
      <w:r>
        <w:t xml:space="preserve"> </w:t>
      </w:r>
      <w:r>
        <w:t xml:space="preserve">notably the current fragmentation of DLT-based activity across various distributed ledgers with low levels of</w:t>
      </w:r>
      <w:r>
        <w:t xml:space="preserve"> </w:t>
      </w:r>
      <w:r>
        <w:t xml:space="preserve">interoperability among them.</w:t>
      </w:r>
      <w:r>
        <w:t xml:space="preserve"> </w:t>
      </w:r>
      <w:r>
        <w:t xml:space="preserve">508 See OECD on the qualitative description of benefits:</w:t>
      </w:r>
      <w:r>
        <w:t xml:space="preserve"> </w:t>
      </w:r>
      <w:r>
        <w:t xml:space="preserve">https://www.oecd.org/content/dam/oecd/en/publications/reports/2025/01/tokenisation-of-assets-and-distributed-</w:t>
      </w:r>
      <w:r>
        <w:t xml:space="preserve"> </w:t>
      </w:r>
      <w:r>
        <w:t xml:space="preserve">ledger-technologies-in-financial-markets_be149012/40e7f217-en.pdf</w:t>
      </w:r>
      <w:r>
        <w:br/>
      </w:r>
      <w:r>
        <w:t xml:space="preserve">509 The 2023 report from AFME and Boston Consulting Group gives some projections: ~$15-20 billion (USD)</w:t>
      </w:r>
      <w:r>
        <w:t xml:space="preserve"> </w:t>
      </w:r>
      <w:r>
        <w:t xml:space="preserve">in annual global infrastructure operational cost savings, ~$100+ billion (USD) annually in freed financial</w:t>
      </w:r>
      <w:r>
        <w:t xml:space="preserve"> </w:t>
      </w:r>
      <w:r>
        <w:t xml:space="preserve">collateral and balance sheet efficiencies. See page 11 at</w:t>
      </w:r>
      <w:r>
        <w:t xml:space="preserve"> </w:t>
      </w:r>
      <w:r>
        <w:t xml:space="preserve">https://www.afme.eu/Portals/0/DispatchFeaturedImages/20230512%20GFMAImpactofDLT%20FullReport%20</w:t>
      </w:r>
      <w:r>
        <w:t xml:space="preserve"> </w:t>
      </w:r>
      <w:r>
        <w:t xml:space="preserve">FINAL%20FULL.pdf</w:t>
      </w:r>
      <w:r>
        <w:br/>
      </w:r>
      <w:r>
        <w:t xml:space="preserve">510 See The Impact of Distributed Ledger Technology in Capital Markets by GFMA https://www.gfma.org/wp-</w:t>
      </w:r>
      <w:r>
        <w:t xml:space="preserve"> </w:t>
      </w:r>
      <w:r>
        <w:t xml:space="preserve">content/uploads/2025/08/1.-full-report-impact-of-dlt-in-cap-mkts-final-1.pdf</w:t>
      </w:r>
      <w:r>
        <w:t xml:space="preserve"> </w:t>
      </w:r>
      <w:r>
        <w:t xml:space="preserve">511 See OECD Business and Finance Policy Papers, No. 75, 2025 Tokenisation of assets and distributed ledger</w:t>
      </w:r>
      <w:r>
        <w:t xml:space="preserve"> </w:t>
      </w:r>
      <w:r>
        <w:t xml:space="preserve">technologies in financial markets</w:t>
      </w:r>
    </w:p>
    <w:p>
      <w:pPr>
        <w:pStyle w:val="BodyText"/>
      </w:pPr>
      <w:r>
        <w:t xml:space="preserve">333</w:t>
      </w:r>
      <w:r>
        <w:t xml:space="preserve"> </w:t>
      </w:r>
      <w:r>
        <w:t xml:space="preserve">frameworks or in parallel initiatives by incumbents and fintechs. The challenge is therefore less</w:t>
      </w:r>
      <w:r>
        <w:t xml:space="preserve"> </w:t>
      </w:r>
      <w:r>
        <w:t xml:space="preserve">about whether tokenisation will happen, but about whether the EU’s dedicated pilot framework</w:t>
      </w:r>
      <w:r>
        <w:t xml:space="preserve"> </w:t>
      </w:r>
      <w:r>
        <w:t xml:space="preserve">is sufficiently adapted to attract and retain such activity within its perimeter, so that the benefits</w:t>
      </w:r>
      <w:r>
        <w:t xml:space="preserve"> </w:t>
      </w:r>
      <w:r>
        <w:t xml:space="preserve">and supervisory learnings accrue in Europe rather than elsewhere.</w:t>
      </w:r>
      <w:r>
        <w:t xml:space="preserve"> </w:t>
      </w:r>
      <w:r>
        <w:t xml:space="preserve">At the same time, these benefits and opportunities of tokenisation also bring risks that could</w:t>
      </w:r>
      <w:r>
        <w:t xml:space="preserve"> </w:t>
      </w:r>
      <w:r>
        <w:t xml:space="preserve">negatively affect the stability of the EU’s financial system, including heightened cyber-security</w:t>
      </w:r>
      <w:r>
        <w:t xml:space="preserve"> </w:t>
      </w:r>
      <w:r>
        <w:t xml:space="preserve">vulnerabilities, operational resilience challenges, legal and market risks. Tokenisation could</w:t>
      </w:r>
      <w:r>
        <w:t xml:space="preserve"> </w:t>
      </w:r>
      <w:r>
        <w:t xml:space="preserve">lead to increased interconnectedness between traditional financial institutions, technology</w:t>
      </w:r>
      <w:r>
        <w:t xml:space="preserve"> </w:t>
      </w:r>
      <w:r>
        <w:t xml:space="preserve">providers, and decentralised networks, which may amplify systemic risks and the potential for</w:t>
      </w:r>
      <w:r>
        <w:t xml:space="preserve"> </w:t>
      </w:r>
      <w:r>
        <w:t xml:space="preserve">contagion in the event of a disruption or cyberattack.512 The distributed ledger infrastructures’</w:t>
      </w:r>
      <w:r>
        <w:t xml:space="preserve"> </w:t>
      </w:r>
      <w:r>
        <w:t xml:space="preserve">underlying tokenised assets could also introduce new points of failure, especially if they rely</w:t>
      </w:r>
      <w:r>
        <w:t xml:space="preserve"> </w:t>
      </w:r>
      <w:r>
        <w:t xml:space="preserve">on untested smart contracts, interoperable systems, or concentration in a few key technology</w:t>
      </w:r>
      <w:r>
        <w:t xml:space="preserve"> </w:t>
      </w:r>
      <w:r>
        <w:t xml:space="preserve">providers. Furthermore, the borderless nature of token markets may complicate regulatory</w:t>
      </w:r>
      <w:r>
        <w:t xml:space="preserve"> </w:t>
      </w:r>
      <w:r>
        <w:t xml:space="preserve">oversight and crisis management, as financial stability risks could propagate across</w:t>
      </w:r>
      <w:r>
        <w:t xml:space="preserve"> </w:t>
      </w:r>
      <w:r>
        <w:t xml:space="preserve">jurisdictions with limited coordination mechanisms.513</w:t>
      </w:r>
      <w:r>
        <w:t xml:space="preserve"> </w:t>
      </w:r>
      <w:r>
        <w:t xml:space="preserve">Legal uncertainties may arise when tokenised assets are issued or transferred across</w:t>
      </w:r>
      <w:r>
        <w:t xml:space="preserve"> </w:t>
      </w:r>
      <w:r>
        <w:t xml:space="preserve">jurisdictions, and inconsistent legal frameworks may lead to disputes over ownership,</w:t>
      </w:r>
      <w:r>
        <w:t xml:space="preserve"> </w:t>
      </w:r>
      <w:r>
        <w:t xml:space="preserve">settlement finality, or the legal recognition of digital records. This lack of harmonisation can</w:t>
      </w:r>
      <w:r>
        <w:t xml:space="preserve"> </w:t>
      </w:r>
      <w:r>
        <w:t xml:space="preserve">result in market fragmentation and pose challenges in crisis scenarios where investor</w:t>
      </w:r>
      <w:r>
        <w:t xml:space="preserve"> </w:t>
      </w:r>
      <w:r>
        <w:t xml:space="preserve">protections or enforceability of claims become crucial. From a market perspective, the</w:t>
      </w:r>
      <w:r>
        <w:t xml:space="preserve"> </w:t>
      </w:r>
      <w:r>
        <w:t xml:space="preserve">increased liquidity and 24/7 trading of tokenised assets could heighten volatility and contribute</w:t>
      </w:r>
      <w:r>
        <w:t xml:space="preserve"> </w:t>
      </w:r>
      <w:r>
        <w:t xml:space="preserve">to procyclical behaviours, particularly during periods of stress when tokenised assets might be</w:t>
      </w:r>
      <w:r>
        <w:t xml:space="preserve"> </w:t>
      </w:r>
      <w:r>
        <w:t xml:space="preserve">rapidly sold off or when automated smart contract liquidations are triggered. Additionally,</w:t>
      </w:r>
      <w:r>
        <w:t xml:space="preserve"> </w:t>
      </w:r>
      <w:r>
        <w:t xml:space="preserve">valuation and settlement risks could arise if the integrity or reliability of distributed ledger data</w:t>
      </w:r>
      <w:r>
        <w:t xml:space="preserve"> </w:t>
      </w:r>
      <w:r>
        <w:t xml:space="preserve">were compromised, undermining confidence in tokenised financial instruments and the wider</w:t>
      </w:r>
      <w:r>
        <w:t xml:space="preserve"> </w:t>
      </w:r>
      <w:r>
        <w:t xml:space="preserve">market.514</w:t>
      </w:r>
      <w:r>
        <w:t xml:space="preserve"> </w:t>
      </w:r>
      <w:r>
        <w:t xml:space="preserve">Most of the cyber and operational risks are already addressed under the Digital Operational</w:t>
      </w:r>
      <w:r>
        <w:t xml:space="preserve"> </w:t>
      </w:r>
      <w:r>
        <w:t xml:space="preserve">Resilience Act (DORA), which establishes a harmonised framework in the EU requiring all</w:t>
      </w:r>
      <w:r>
        <w:t xml:space="preserve"> </w:t>
      </w:r>
      <w:r>
        <w:t xml:space="preserve">financial entities to effectively withstand, respond to, and recover from ICT-related disruptions</w:t>
      </w:r>
      <w:r>
        <w:t xml:space="preserve"> </w:t>
      </w:r>
      <w:r>
        <w:t xml:space="preserve">and cyberattacks through robust risk management, incident reporting, resilience testing, and</w:t>
      </w:r>
      <w:r>
        <w:t xml:space="preserve"> </w:t>
      </w:r>
      <w:r>
        <w:t xml:space="preserve">oversight of critical third-party service providers.</w:t>
      </w:r>
      <w:r>
        <w:t xml:space="preserve"> </w:t>
      </w:r>
      <w:r>
        <w:t xml:space="preserve">Use of DLT for financial services should be industry- and use case-driven, as it is for the market</w:t>
      </w:r>
      <w:r>
        <w:t xml:space="preserve"> </w:t>
      </w:r>
      <w:r>
        <w:t xml:space="preserve">to determine the economic efficiencies stemming from applying a specific technology.</w:t>
      </w:r>
    </w:p>
    <w:p>
      <w:pPr>
        <w:pStyle w:val="BodyText"/>
      </w:pPr>
      <w:r>
        <w:t xml:space="preserve">512 ECB: Decrypting financial stability risks in crypto-asset markets https://www.ecb.europa.eu/press/financial-</w:t>
      </w:r>
      <w:r>
        <w:t xml:space="preserve"> </w:t>
      </w:r>
      <w:r>
        <w:t xml:space="preserve">stability-publications/fsr/special/html/ecb.fsrart202205_02~1cc6b111b4.en.html?utm</w:t>
      </w:r>
      <w:r>
        <w:t xml:space="preserve"> </w:t>
      </w:r>
      <w:r>
        <w:t xml:space="preserve">513 CEPR Crypto, tokenisation, and the future of payments, https://cepr.org/voxeu/columns/crypto-tokenisation-</w:t>
      </w:r>
      <w:r>
        <w:t xml:space="preserve"> </w:t>
      </w:r>
      <w:r>
        <w:t xml:space="preserve">and-future-payments?utm</w:t>
      </w:r>
      <w:r>
        <w:t xml:space="preserve"> </w:t>
      </w:r>
      <w:r>
        <w:t xml:space="preserve">514 BIS Financial stability implications of tokenisation</w:t>
      </w:r>
      <w:r>
        <w:t xml:space="preserve"> </w:t>
      </w:r>
      <w:r>
        <w:t xml:space="preserve">https://www.bis.org/fsi/fsisummaries/exsum_23905.htm?utm</w:t>
      </w:r>
      <w:r>
        <w:br/>
      </w:r>
      <w:r>
        <w:t xml:space="preserve">BIS Tokenisation in the context of money and other assets: concepts and implications for central banks</w:t>
      </w:r>
      <w:r>
        <w:t xml:space="preserve"> </w:t>
      </w:r>
      <w:r>
        <w:t xml:space="preserve">https://www.bis.org/cpmi/publ/d225.pdf</w:t>
      </w:r>
      <w:r>
        <w:t xml:space="preserve"> </w:t>
      </w:r>
      <w:r>
        <w:t xml:space="preserve">OECD Regulatory Approaches to the Tokenisation of Assets</w:t>
      </w:r>
      <w:r>
        <w:t xml:space="preserve"> </w:t>
      </w:r>
      <w:r>
        <w:t xml:space="preserve">https://www.oecd.org/content/dam/oecd/en/publications/reports/2021/03/regulatory-approaches-to-the-</w:t>
      </w:r>
      <w:r>
        <w:t xml:space="preserve"> </w:t>
      </w:r>
      <w:r>
        <w:t xml:space="preserve">tokenisation-of-assets_da7ae482/aea35466-en.pdf</w:t>
      </w:r>
    </w:p>
    <w:p>
      <w:pPr>
        <w:pStyle w:val="BodyText"/>
      </w:pPr>
      <w:r>
        <w:t xml:space="preserve">334</w:t>
      </w:r>
      <w:r>
        <w:t xml:space="preserve"> </w:t>
      </w:r>
      <w:r>
        <w:t xml:space="preserve">However, maladapted legal frameworks represent a barrier to the market in realising potential</w:t>
      </w:r>
      <w:r>
        <w:t xml:space="preserve"> </w:t>
      </w:r>
      <w:r>
        <w:t xml:space="preserve">efficiencies using DLT. The need to adapt the framework stems from the fact that the financial</w:t>
      </w:r>
      <w:r>
        <w:t xml:space="preserve"> </w:t>
      </w:r>
      <w:r>
        <w:t xml:space="preserve">markets value chain can be organised differently on DLT, in a way that does not map neatly to</w:t>
      </w:r>
      <w:r>
        <w:t xml:space="preserve"> </w:t>
      </w:r>
      <w:r>
        <w:t xml:space="preserve">the market structure of today, and the standard rulebooks that codified business models and</w:t>
      </w:r>
      <w:r>
        <w:t xml:space="preserve"> </w:t>
      </w:r>
      <w:r>
        <w:t xml:space="preserve">intermediary roles of traditional markets. For example, permissionless blockchains such as</w:t>
      </w:r>
      <w:r>
        <w:t xml:space="preserve"> </w:t>
      </w:r>
      <w:r>
        <w:t xml:space="preserve">Ethereum can perform some of the technical functions that are performed by a CSD: they can</w:t>
      </w:r>
      <w:r>
        <w:t xml:space="preserve"> </w:t>
      </w:r>
      <w:r>
        <w:t xml:space="preserve">facilitate trusted issuance and transfer of assets. However, permissionless blockchains are a</w:t>
      </w:r>
      <w:r>
        <w:t xml:space="preserve"> </w:t>
      </w:r>
      <w:r>
        <w:t xml:space="preserve">decentralised computing infrastructure with verifiable execution and are not carriers of legal</w:t>
      </w:r>
      <w:r>
        <w:t xml:space="preserve"> </w:t>
      </w:r>
      <w:r>
        <w:t xml:space="preserve">liability for ensuring certain outcomes in the market, the way that CSDs and other regulated</w:t>
      </w:r>
      <w:r>
        <w:t xml:space="preserve"> </w:t>
      </w:r>
      <w:r>
        <w:t xml:space="preserve">financial entities do. Therefore, permissionless blockchains do not obviate the need for a</w:t>
      </w:r>
      <w:r>
        <w:t xml:space="preserve"> </w:t>
      </w:r>
      <w:r>
        <w:t xml:space="preserve">regulated entity to ensure certain outcomes – e.g. legally protected and enforceable settlement</w:t>
      </w:r>
      <w:r>
        <w:t xml:space="preserve"> </w:t>
      </w:r>
      <w:r>
        <w:t xml:space="preserve">of assets in a predictable manner. However, permissionless blockchains may facilitate a market</w:t>
      </w:r>
      <w:r>
        <w:t xml:space="preserve"> </w:t>
      </w:r>
      <w:r>
        <w:t xml:space="preserve">structure that is different than that of today, whereby a wider set of regulated entities beyond</w:t>
      </w:r>
      <w:r>
        <w:t xml:space="preserve"> </w:t>
      </w:r>
      <w:r>
        <w:t xml:space="preserve">the CSD may directly interact with a distributed ledger to provide for, among others, issuance,</w:t>
      </w:r>
      <w:r>
        <w:t xml:space="preserve"> </w:t>
      </w:r>
      <w:r>
        <w:t xml:space="preserve">custody and settlement of assets, and use its functionalities to conduct peer to peer transactions.</w:t>
      </w:r>
      <w:r>
        <w:t xml:space="preserve"> </w:t>
      </w:r>
      <w:r>
        <w:t xml:space="preserve">If the DLTPR does not create sufficient opportunities and clarity for EU market actors to make</w:t>
      </w:r>
      <w:r>
        <w:t xml:space="preserve"> </w:t>
      </w:r>
      <w:r>
        <w:t xml:space="preserve">the necessary investments in DLT-based projects, the competitiveness and efficiency of EU</w:t>
      </w:r>
      <w:r>
        <w:t xml:space="preserve"> </w:t>
      </w:r>
      <w:r>
        <w:t xml:space="preserve">capital markets may be harmed by pushing DLT investments elsewhere. Lack of home-grown</w:t>
      </w:r>
      <w:r>
        <w:t xml:space="preserve"> </w:t>
      </w:r>
      <w:r>
        <w:t xml:space="preserve">know how in the area may compound over time and lead to dependencies on third country</w:t>
      </w:r>
      <w:r>
        <w:t xml:space="preserve"> </w:t>
      </w:r>
      <w:r>
        <w:t xml:space="preserve">services providers for DLT-based service solutions.</w:t>
      </w:r>
    </w:p>
    <w:p>
      <w:pPr>
        <w:pStyle w:val="BodyText"/>
      </w:pPr>
      <w:r>
        <w:t xml:space="preserve">Who is affected by the problem? In what ways, and to what extent?</w:t>
      </w:r>
      <w:r>
        <w:br/>
      </w:r>
      <w:r>
        <w:t xml:space="preserve">The low uptake of the DLT pilot regime indirectly poses challenges for a broad range of</w:t>
      </w:r>
      <w:r>
        <w:t xml:space="preserve"> </w:t>
      </w:r>
      <w:r>
        <w:t xml:space="preserve">stakeholders across the real economy and the financial industry. While it is true that many</w:t>
      </w:r>
      <w:r>
        <w:t xml:space="preserve"> </w:t>
      </w:r>
      <w:r>
        <w:t xml:space="preserve">market participants have so far found ways to innovate outside the DLTPR framework — for</w:t>
      </w:r>
      <w:r>
        <w:t xml:space="preserve"> </w:t>
      </w:r>
      <w:r>
        <w:t xml:space="preserve">instance by using existing MiFID/CSDR channels or bespoke platforms — the limited take-up</w:t>
      </w:r>
      <w:r>
        <w:t xml:space="preserve"> </w:t>
      </w:r>
      <w:r>
        <w:t xml:space="preserve">still matters. Businesses, which are issuers of financial instruments, may miss out on key</w:t>
      </w:r>
      <w:r>
        <w:t xml:space="preserve"> </w:t>
      </w:r>
      <w:r>
        <w:t xml:space="preserve">benefits of DLT, such as reduced costs and faster settlement. One paper by the Bank of</w:t>
      </w:r>
      <w:r>
        <w:t xml:space="preserve"> </w:t>
      </w:r>
      <w:r>
        <w:t xml:space="preserve">International Settlements515 noted that despite being in experimental phase, there is already</w:t>
      </w:r>
      <w:r>
        <w:t xml:space="preserve"> </w:t>
      </w:r>
      <w:r>
        <w:t xml:space="preserve">evidence to suggest that issuance costs of tokenised bonds are comparable with traditional</w:t>
      </w:r>
      <w:r>
        <w:t xml:space="preserve"> </w:t>
      </w:r>
      <w:r>
        <w:t xml:space="preserve">bonds, while liquidity may improve. As tokenisation solutions and processes mature, and</w:t>
      </w:r>
      <w:r>
        <w:t xml:space="preserve"> </w:t>
      </w:r>
      <w:r>
        <w:t xml:space="preserve">market adoption spread, it can be reasonably expected that costs and liquidity improve further,</w:t>
      </w:r>
      <w:r>
        <w:t xml:space="preserve"> </w:t>
      </w:r>
      <w:r>
        <w:t xml:space="preserve">bringing benefits to both issuers and investors. Low uptake tokenisation in the EU could mean</w:t>
      </w:r>
      <w:r>
        <w:t xml:space="preserve"> </w:t>
      </w:r>
      <w:r>
        <w:t xml:space="preserve">missing out on these benefits. Small and Medium-Sized Enterprises (SMEs) could be</w:t>
      </w:r>
      <w:r>
        <w:t xml:space="preserve"> </w:t>
      </w:r>
      <w:r>
        <w:t xml:space="preserve">disproportionately impacted. DLT could serve to reduce costs of issuance in particular for less</w:t>
      </w:r>
      <w:r>
        <w:t xml:space="preserve"> </w:t>
      </w:r>
      <w:r>
        <w:t xml:space="preserve">liquid and less developed markets, such as capital markets for SME securities, be it public or</w:t>
      </w:r>
      <w:r>
        <w:t xml:space="preserve"> </w:t>
      </w:r>
      <w:r>
        <w:t xml:space="preserve">private.516 DLT-based financial market infrastructures may therefore support SMEs in raising</w:t>
      </w:r>
      <w:r>
        <w:t xml:space="preserve"> </w:t>
      </w:r>
      <w:r>
        <w:t xml:space="preserve">debt and equity capital, which is one of the key objectives of the SIU. Furthermore, in the</w:t>
      </w:r>
      <w:r>
        <w:t xml:space="preserve"> </w:t>
      </w:r>
      <w:r>
        <w:t xml:space="preserve">absence of a DLTPR adapted to their needs, Financial Market Infrastructures (FMIs)—</w:t>
      </w:r>
      <w:r>
        <w:t xml:space="preserve"> </w:t>
      </w:r>
      <w:r>
        <w:t xml:space="preserve">including trading venues and CSDs —could struggle to modernise their operations and enhance</w:t>
      </w:r>
    </w:p>
    <w:p>
      <w:pPr>
        <w:pStyle w:val="BodyText"/>
      </w:pPr>
      <w:r>
        <w:t xml:space="preserve">515 https://www.bis.org/publ/bisbull107.pdf</w:t>
      </w:r>
      <w:r>
        <w:br/>
      </w:r>
      <w:r>
        <w:t xml:space="preserve">516 See for example the SME-focused business model of CSD Prague’s DLT settlement system and LISE’s trading</w:t>
      </w:r>
      <w:r>
        <w:t xml:space="preserve"> </w:t>
      </w:r>
      <w:r>
        <w:t xml:space="preserve">and settlement system, on p. 8 and p.11 respectively of ESMA’s Report on the DLTPR.</w:t>
      </w:r>
      <w:r>
        <w:t xml:space="preserve"> </w:t>
      </w:r>
      <w:r>
        <w:t xml:space="preserve">https://www.esma.europa.eu/sites/default/files/2025-06/ESMA75-117376770-</w:t>
      </w:r>
      <w:r>
        <w:t xml:space="preserve"> </w:t>
      </w:r>
      <w:r>
        <w:t xml:space="preserve">460_Report_on_the_functioning_and_review_of_the_DLTR_-_Art.14.pdf</w:t>
      </w:r>
    </w:p>
    <w:p>
      <w:pPr>
        <w:pStyle w:val="BodyText"/>
      </w:pPr>
      <w:r>
        <w:t xml:space="preserve">335</w:t>
      </w:r>
      <w:r>
        <w:t xml:space="preserve"> </w:t>
      </w:r>
      <w:r>
        <w:t xml:space="preserve">service delivery through DLT. Greater use of DLT could help overcome barriers to market</w:t>
      </w:r>
      <w:r>
        <w:t xml:space="preserve"> </w:t>
      </w:r>
      <w:r>
        <w:t xml:space="preserve">integration by automating and streamlining clearing and settlement, reducing costs. As multi-</w:t>
      </w:r>
      <w:r>
        <w:t xml:space="preserve"> </w:t>
      </w:r>
      <w:r>
        <w:t xml:space="preserve">purpose platforms for asset issuance, holding, and transfer using distributed ledgers can also</w:t>
      </w:r>
      <w:r>
        <w:t xml:space="preserve"> </w:t>
      </w:r>
      <w:r>
        <w:t xml:space="preserve">enhance interoperability between CSDs and other market operators where liquidity</w:t>
      </w:r>
      <w:r>
        <w:t xml:space="preserve"> </w:t>
      </w:r>
      <w:r>
        <w:t xml:space="preserve">concentrates across platforms. The use of DLT based wholesale central bank digital currency</w:t>
      </w:r>
      <w:r>
        <w:t xml:space="preserve"> </w:t>
      </w:r>
      <w:r>
        <w:t xml:space="preserve">(WCBDC) could make settlement on DLT platforms even more secure and coherent with</w:t>
      </w:r>
      <w:r>
        <w:t xml:space="preserve"> </w:t>
      </w:r>
      <w:r>
        <w:t xml:space="preserve">existing settlement rules, which favour central bank money due to its credit risk-free nature,</w:t>
      </w:r>
      <w:r>
        <w:t xml:space="preserve"> </w:t>
      </w:r>
      <w:r>
        <w:t xml:space="preserve">superior liquidity, and scalability.</w:t>
      </w:r>
      <w:r>
        <w:t xml:space="preserve"> </w:t>
      </w:r>
      <w:r>
        <w:t xml:space="preserve">Furthermore, the low uptake of DLTPR means there is less competitive pressure from</w:t>
      </w:r>
      <w:r>
        <w:t xml:space="preserve"> </w:t>
      </w:r>
      <w:r>
        <w:t xml:space="preserve">innovative businesses, in particular in the area of post-trading. CSD markets feature high</w:t>
      </w:r>
      <w:r>
        <w:t xml:space="preserve"> </w:t>
      </w:r>
      <w:r>
        <w:t xml:space="preserve">barriers to entry and are fragmented along national lines and therefore subject to low</w:t>
      </w:r>
      <w:r>
        <w:t xml:space="preserve"> </w:t>
      </w:r>
      <w:r>
        <w:t xml:space="preserve">competitive pressure and pressure to innovate. If regulation does not adequately support</w:t>
      </w:r>
      <w:r>
        <w:t xml:space="preserve"> </w:t>
      </w:r>
      <w:r>
        <w:t xml:space="preserve">entrants to the CSD services market that wish to leverage new technologies, this acts as a</w:t>
      </w:r>
      <w:r>
        <w:t xml:space="preserve"> </w:t>
      </w:r>
      <w:r>
        <w:t xml:space="preserve">further market barrier, ultimately leading to lost efficiencies in financial market infrastructure</w:t>
      </w:r>
      <w:r>
        <w:t xml:space="preserve"> </w:t>
      </w:r>
      <w:r>
        <w:t xml:space="preserve">overall. At the same time, the goal is not to multiply CSDs indefinitely (which would run</w:t>
      </w:r>
      <w:r>
        <w:t xml:space="preserve"> </w:t>
      </w:r>
      <w:r>
        <w:t xml:space="preserve">counter to the consolidation objectives of the SIU) but rather to enable technology-driven</w:t>
      </w:r>
      <w:r>
        <w:t xml:space="preserve"> </w:t>
      </w:r>
      <w:r>
        <w:t xml:space="preserve">consolidation. Well-designed DLT infrastructures could reduce duplication, allow smaller</w:t>
      </w:r>
      <w:r>
        <w:t xml:space="preserve"> </w:t>
      </w:r>
      <w:r>
        <w:t xml:space="preserve">players to interconnect via shared platforms, and over time help rationalise the number of</w:t>
      </w:r>
      <w:r>
        <w:t xml:space="preserve"> </w:t>
      </w:r>
      <w:r>
        <w:t xml:space="preserve">infrastructures while improving efficiency and resilience.</w:t>
      </w:r>
      <w:r>
        <w:t xml:space="preserve"> </w:t>
      </w:r>
      <w:r>
        <w:t xml:space="preserve">In the absence of developed DLT-based market infrastructures, asset managers may have</w:t>
      </w:r>
      <w:r>
        <w:t xml:space="preserve"> </w:t>
      </w:r>
      <w:r>
        <w:t xml:space="preserve">difficulties in tokenising fund units, which may result in missed opportunities to introduce</w:t>
      </w:r>
      <w:r>
        <w:t xml:space="preserve"> </w:t>
      </w:r>
      <w:r>
        <w:t xml:space="preserve">efficiencies in managing, distributing and transferring funds. Investors, both individual and</w:t>
      </w:r>
      <w:r>
        <w:t xml:space="preserve"> </w:t>
      </w:r>
      <w:r>
        <w:t xml:space="preserve">institutional, may be unable to take advantage of the greater transparency, efficiency, and</w:t>
      </w:r>
      <w:r>
        <w:t xml:space="preserve"> </w:t>
      </w:r>
      <w:r>
        <w:t xml:space="preserve">potential for real-time asset transfers offered by DLT. Finally, consumers of financial services</w:t>
      </w:r>
      <w:r>
        <w:t xml:space="preserve"> </w:t>
      </w:r>
      <w:r>
        <w:t xml:space="preserve">may be indirectly affected, as they would be unable to benefit from the enhanced financial</w:t>
      </w:r>
      <w:r>
        <w:t xml:space="preserve"> </w:t>
      </w:r>
      <w:r>
        <w:t xml:space="preserve">products and services that DLT could help enable—such as faster payments, lower fees, lower</w:t>
      </w:r>
      <w:r>
        <w:t xml:space="preserve"> </w:t>
      </w:r>
      <w:r>
        <w:t xml:space="preserve">switching costs between intermediaries.</w:t>
      </w:r>
    </w:p>
    <w:p>
      <w:pPr>
        <w:pStyle w:val="BodyText"/>
      </w:pPr>
      <w:r>
        <w:t xml:space="preserve">How will the problem evolve if not addressed?</w:t>
      </w:r>
      <w:r>
        <w:br/>
      </w:r>
      <w:r>
        <w:t xml:space="preserve">The problem will likely persist. Enduring low participation rates in the Pilot means that the</w:t>
      </w:r>
      <w:r>
        <w:t xml:space="preserve"> </w:t>
      </w:r>
      <w:r>
        <w:t xml:space="preserve">innovation potential demonstrated by the globally increasing interest in using DLT will either</w:t>
      </w:r>
      <w:r>
        <w:t xml:space="preserve"> </w:t>
      </w:r>
      <w:r>
        <w:t xml:space="preserve">not be fully reached in the EU, or will be realised outside of the DLTPR, within or outside the</w:t>
      </w:r>
      <w:r>
        <w:t xml:space="preserve"> </w:t>
      </w:r>
      <w:r>
        <w:t xml:space="preserve">standard framework but subject to legal uncertainty as well as (costly) adaptations and</w:t>
      </w:r>
      <w:r>
        <w:t xml:space="preserve"> </w:t>
      </w:r>
      <w:r>
        <w:t xml:space="preserve">compromises to operational and business models. Incumbents have innovated outside DLTPR</w:t>
      </w:r>
      <w:r>
        <w:t xml:space="preserve"> </w:t>
      </w:r>
      <w:r>
        <w:t xml:space="preserve">with limited success, rather opting to rely on the standard rulebook which is less adapted to</w:t>
      </w:r>
    </w:p>
    <w:p>
      <w:pPr>
        <w:pStyle w:val="BodyText"/>
      </w:pPr>
      <w:r>
        <w:t xml:space="preserve">336</w:t>
      </w:r>
      <w:r>
        <w:t xml:space="preserve"> </w:t>
      </w:r>
      <w:r>
        <w:t xml:space="preserve">DLT (CSDR). Clearstream517, and Euroclear518, two largest CSD groups in Europe, have both</w:t>
      </w:r>
      <w:r>
        <w:t xml:space="preserve"> </w:t>
      </w:r>
      <w:r>
        <w:t xml:space="preserve">developed digital asset platforms. However, such innovation initiatives may be forced to make</w:t>
      </w:r>
      <w:r>
        <w:t xml:space="preserve"> </w:t>
      </w:r>
      <w:r>
        <w:t xml:space="preserve">certain compromises to remain compliant with the standard framework. These compromises</w:t>
      </w:r>
      <w:r>
        <w:t xml:space="preserve"> </w:t>
      </w:r>
      <w:r>
        <w:t xml:space="preserve">may stem from the assumptions of intermediary roles, definitions and requirements embedded</w:t>
      </w:r>
      <w:r>
        <w:t xml:space="preserve"> </w:t>
      </w:r>
      <w:r>
        <w:t xml:space="preserve">in CSDR as well as due to the lack of general flexibility to organise service provision in a way</w:t>
      </w:r>
      <w:r>
        <w:t xml:space="preserve"> </w:t>
      </w:r>
      <w:r>
        <w:t xml:space="preserve">that leverages the full potential of the technology.519 For example, settlement in the only DLT-</w:t>
      </w:r>
      <w:r>
        <w:t xml:space="preserve"> </w:t>
      </w:r>
      <w:r>
        <w:t xml:space="preserve">available form of money – stablecoins – is not currently possible under the CSDR, requiring</w:t>
      </w:r>
      <w:r>
        <w:t xml:space="preserve"> </w:t>
      </w:r>
      <w:r>
        <w:t xml:space="preserve">those operating under its framework to synchronise payment on traditional payment rails and</w:t>
      </w:r>
      <w:r>
        <w:t xml:space="preserve"> </w:t>
      </w:r>
      <w:r>
        <w:t xml:space="preserve">asset settlement on DLT infrastructure. Use of permissionless blockchains, which are</w:t>
      </w:r>
      <w:r>
        <w:t xml:space="preserve"> </w:t>
      </w:r>
      <w:r>
        <w:t xml:space="preserve">decentralised registers and settlement facilitators not operated by any single entity, may not be</w:t>
      </w:r>
      <w:r>
        <w:t xml:space="preserve"> </w:t>
      </w:r>
      <w:r>
        <w:t xml:space="preserve">well accounted for, while the requirement to register assets in book-entry form may not be</w:t>
      </w:r>
      <w:r>
        <w:t xml:space="preserve"> </w:t>
      </w:r>
      <w:r>
        <w:t xml:space="preserve">compatible with the use of DLT-based wallets.</w:t>
      </w:r>
      <w:r>
        <w:br/>
      </w:r>
      <w:r>
        <w:t xml:space="preserve">Furthermore, the consequences of the problem may compound over time. Where EU start-ups</w:t>
      </w:r>
      <w:r>
        <w:t xml:space="preserve"> </w:t>
      </w:r>
      <w:r>
        <w:t xml:space="preserve">and incumbents do not benefit from a well-adapted framework for the use of DLT in financial</w:t>
      </w:r>
      <w:r>
        <w:t xml:space="preserve"> </w:t>
      </w:r>
      <w:r>
        <w:t xml:space="preserve">services, leading to the identified problem of low Pilot uptake, they may look to other</w:t>
      </w:r>
      <w:r>
        <w:t xml:space="preserve"> </w:t>
      </w:r>
      <w:r>
        <w:t xml:space="preserve">jurisdictions that are better adapted to welcome their solutions. This will result in lost</w:t>
      </w:r>
      <w:r>
        <w:t xml:space="preserve"> </w:t>
      </w:r>
      <w:r>
        <w:t xml:space="preserve">innovation opportunities. Failing to capitalise on the opportunity to attract innovation at this</w:t>
      </w:r>
      <w:r>
        <w:t xml:space="preserve"> </w:t>
      </w:r>
      <w:r>
        <w:t xml:space="preserve">relatively early stage of DLT-based market development may have long-term consequences as</w:t>
      </w:r>
      <w:r>
        <w:t xml:space="preserve"> </w:t>
      </w:r>
      <w:r>
        <w:t xml:space="preserve">accommodating jurisdictions establish themselves as hubs for DLT activity and draw in</w:t>
      </w:r>
      <w:r>
        <w:t xml:space="preserve"> </w:t>
      </w:r>
      <w:r>
        <w:t xml:space="preserve">additional investment.</w:t>
      </w:r>
      <w:r>
        <w:t xml:space="preserve"> </w:t>
      </w:r>
      <w:r>
        <w:t xml:space="preserve">While not addressing the problem would likely result in some degree of DLT innovation in the</w:t>
      </w:r>
      <w:r>
        <w:t xml:space="preserve"> </w:t>
      </w:r>
      <w:r>
        <w:t xml:space="preserve">EU, it is nonetheless likely to lead to lower levels of innovation overall. A poorly calibrated</w:t>
      </w:r>
      <w:r>
        <w:t xml:space="preserve"> </w:t>
      </w:r>
      <w:r>
        <w:t xml:space="preserve">DLTPR may result in DLT-based solutions being developed outside of the EU and merely</w:t>
      </w:r>
      <w:r>
        <w:t xml:space="preserve"> </w:t>
      </w:r>
      <w:r>
        <w:t xml:space="preserve">‘imported’ via outsourcing agreements into EU. In this scenario, most software and financial</w:t>
      </w:r>
      <w:r>
        <w:t xml:space="preserve"> </w:t>
      </w:r>
      <w:r>
        <w:t xml:space="preserve">know-how would reside outside the EU. This lack of home-grown know-how at the intersection</w:t>
      </w:r>
      <w:r>
        <w:t xml:space="preserve"> </w:t>
      </w:r>
      <w:r>
        <w:t xml:space="preserve">of DLT and finance could have material long-term consequences on the competitiveness and</w:t>
      </w:r>
      <w:r>
        <w:t xml:space="preserve"> </w:t>
      </w:r>
      <w:r>
        <w:t xml:space="preserve">efficiency of EU’s capital markets, depending on the general level of DLT adoption in finance.</w:t>
      </w:r>
    </w:p>
    <w:p>
      <w:pPr>
        <w:pStyle w:val="BodyText"/>
      </w:pPr>
      <w:r>
        <w:t xml:space="preserve">517 Clearstream, through its D7 digital post-trade platform, has become a leading provider for digital securities</w:t>
      </w:r>
      <w:r>
        <w:t xml:space="preserve"> </w:t>
      </w:r>
      <w:r>
        <w:t xml:space="preserve">issuance in Europe. In January 2025, Evonik Industries AG, supported by Deutsche Bank, issued a €500 million</w:t>
      </w:r>
      <w:r>
        <w:t xml:space="preserve"> </w:t>
      </w:r>
      <w:r>
        <w:t xml:space="preserve">five-year green senior bond via Clearstream’s D7 platform. In 2024, KfW issued two digital bonds totalling €8.5</w:t>
      </w:r>
      <w:r>
        <w:t xml:space="preserve"> </w:t>
      </w:r>
      <w:r>
        <w:t xml:space="preserve">billion via D7, with another €9 billion already issued in 2025. Source: https://www.ledgerinsights.com/digital-</w:t>
      </w:r>
      <w:r>
        <w:t xml:space="preserve"> </w:t>
      </w:r>
      <w:r>
        <w:t xml:space="preserve">bonds-show-significant-growth-afme/</w:t>
      </w:r>
      <w:r>
        <w:t xml:space="preserve"> </w:t>
      </w:r>
      <w:r>
        <w:t xml:space="preserve">518 Euroclear has recently facilitated several notable digital bond issuances using its Digital Financial Market</w:t>
      </w:r>
      <w:r>
        <w:t xml:space="preserve"> </w:t>
      </w:r>
      <w:r>
        <w:t xml:space="preserve">Infrastructure (D-FMI), which is based on Distributed Ledger Technology (DLT). Caisse des Dépôts et</w:t>
      </w:r>
      <w:r>
        <w:t xml:space="preserve"> </w:t>
      </w:r>
      <w:r>
        <w:t xml:space="preserve">Consignations (France): Issued the first Digital Native Note (DNN) in bearer form under French law on the D-</w:t>
      </w:r>
      <w:r>
        <w:t xml:space="preserve"> </w:t>
      </w:r>
      <w:r>
        <w:t xml:space="preserve">FMI platform, with a size of €100 million. The Asian Infrastructure Investment Bank (AIIB) issued a USD 300</w:t>
      </w:r>
      <w:r>
        <w:t xml:space="preserve"> </w:t>
      </w:r>
      <w:r>
        <w:t xml:space="preserve">million DNN, marking the first digital issuance by an Asia-based issuer on Euroclear’s platform. The International</w:t>
      </w:r>
      <w:r>
        <w:t xml:space="preserve"> </w:t>
      </w:r>
      <w:r>
        <w:t xml:space="preserve">Bank for Reconstruction and Development issued a €100 million digital bond on Euroclear’s D-FMI, listed on the</w:t>
      </w:r>
      <w:r>
        <w:t xml:space="preserve"> </w:t>
      </w:r>
      <w:r>
        <w:t xml:space="preserve">Luxembourg Stock Exchange. These issuances are fully dematerialized, settled same-day, and integrated with</w:t>
      </w:r>
      <w:r>
        <w:t xml:space="preserve"> </w:t>
      </w:r>
      <w:r>
        <w:t xml:space="preserve">Euroclear’s</w:t>
      </w:r>
      <w:r>
        <w:t xml:space="preserve"> </w:t>
      </w:r>
      <w:r>
        <w:t xml:space="preserve">traditional</w:t>
      </w:r>
      <w:r>
        <w:t xml:space="preserve"> </w:t>
      </w:r>
      <w:r>
        <w:t xml:space="preserve">settlement</w:t>
      </w:r>
      <w:r>
        <w:t xml:space="preserve"> </w:t>
      </w:r>
      <w:r>
        <w:t xml:space="preserve">systems,</w:t>
      </w:r>
      <w:r>
        <w:t xml:space="preserve"> </w:t>
      </w:r>
      <w:r>
        <w:t xml:space="preserve">ensuring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liquidity.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https://www.euroclear.com/services/en/primary-issuance/digital-financial-market-infrastructure.html</w:t>
      </w:r>
      <w:r>
        <w:t xml:space="preserve"> </w:t>
      </w:r>
      <w:r>
        <w:t xml:space="preserve">519 For example, many industry players are interested in setting up market infrastructures that engage in both</w:t>
      </w:r>
      <w:r>
        <w:t xml:space="preserve"> </w:t>
      </w:r>
      <w:r>
        <w:t xml:space="preserve">trading and settlement of financial instruments, which is uniquely supported by instant gross settlement at the time</w:t>
      </w:r>
      <w:r>
        <w:t xml:space="preserve"> </w:t>
      </w:r>
      <w:r>
        <w:t xml:space="preserve">of trade enabled by DLT. These hybrid trading and settlement infrastructures cannot be easily set up under the</w:t>
      </w:r>
      <w:r>
        <w:t xml:space="preserve"> </w:t>
      </w:r>
      <w:r>
        <w:t xml:space="preserve">regular framework, which reflects the traditional separation of trading and settlement functions.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3.2. PROBLEM DRIVERS</w:t>
      </w:r>
      <w:r>
        <w:t xml:space="preserve"> </w:t>
      </w:r>
      <w:r>
        <w:t xml:space="preserve">3.2.1. Disproportionate and inflexible regulatory obligations for DLTPR</w:t>
      </w:r>
      <w:r>
        <w:t xml:space="preserve"> </w:t>
      </w:r>
      <w:r>
        <w:t xml:space="preserve">applicants</w:t>
      </w:r>
      <w:r>
        <w:t xml:space="preserve"> </w:t>
      </w:r>
      <w:r>
        <w:t xml:space="preserve">The DLTPR provides the regulatory flexibility necessary for the market to leverage DLT. It</w:t>
      </w:r>
      <w:r>
        <w:t xml:space="preserve"> </w:t>
      </w:r>
      <w:r>
        <w:t xml:space="preserve">does so by granting its participants targeted exemptions from the standard rulebook. In</w:t>
      </w:r>
      <w:r>
        <w:t xml:space="preserve"> </w:t>
      </w:r>
      <w:r>
        <w:t xml:space="preserve">exchange, participants must demonstrate how they will achieve regulatory objectives with</w:t>
      </w:r>
      <w:r>
        <w:t xml:space="preserve"> </w:t>
      </w:r>
      <w:r>
        <w:t xml:space="preserve">alternative measures. While proved to be useful for DLTPR applicants, the mechanism of</w:t>
      </w:r>
      <w:r>
        <w:t xml:space="preserve"> </w:t>
      </w:r>
      <w:r>
        <w:t xml:space="preserve">creating flexibility for innovation solely based on pre-identified derogations from specific</w:t>
      </w:r>
      <w:r>
        <w:t xml:space="preserve"> </w:t>
      </w:r>
      <w:r>
        <w:t xml:space="preserve">provisions listed in DLTPR has shown its limitations, as the vast majority of the rules</w:t>
      </w:r>
      <w:r>
        <w:t xml:space="preserve"> </w:t>
      </w:r>
      <w:r>
        <w:t xml:space="preserve">comprising the standard rulebook also apply in the Pilot.</w:t>
      </w:r>
      <w:r>
        <w:br/>
      </w:r>
      <w:r>
        <w:t xml:space="preserve">Bilateral feedback from fintech companies highlighted that having to comply with CSDR and</w:t>
      </w:r>
      <w:r>
        <w:t xml:space="preserve"> </w:t>
      </w:r>
      <w:r>
        <w:t xml:space="preserve">MIFID level 1, and especially the more detailed level 2 requirements, amounts to a compliance</w:t>
      </w:r>
      <w:r>
        <w:t xml:space="preserve"> </w:t>
      </w:r>
      <w:r>
        <w:t xml:space="preserve">burden that is not appropriate for small business that want to enter the market by building small</w:t>
      </w:r>
      <w:r>
        <w:t xml:space="preserve"> </w:t>
      </w:r>
      <w:r>
        <w:t xml:space="preserve">scale trading and settlement solutions and have limited resources. This is confirmed in ESMA’s</w:t>
      </w:r>
      <w:r>
        <w:t xml:space="preserve"> </w:t>
      </w:r>
      <w:r>
        <w:t xml:space="preserve">2025 DLTPR Report to the Commission520, where ESMA, having taken stock of the DLTPR’s</w:t>
      </w:r>
      <w:r>
        <w:t xml:space="preserve"> </w:t>
      </w:r>
      <w:r>
        <w:t xml:space="preserve">application, called for smaller businesses (SMEs or start-ups) to benefit from regulatory</w:t>
      </w:r>
      <w:r>
        <w:t xml:space="preserve"> </w:t>
      </w:r>
      <w:r>
        <w:t xml:space="preserve">requirements adapted to their risk profile.521 Regulatory constraints and compliance costs were</w:t>
      </w:r>
      <w:r>
        <w:t xml:space="preserve"> </w:t>
      </w:r>
      <w:r>
        <w:t xml:space="preserve">also flagged by certain regulators implementing the Pilot.522 Furthermore, some respondents to</w:t>
      </w:r>
      <w:r>
        <w:t xml:space="preserve"> </w:t>
      </w:r>
      <w:r>
        <w:t xml:space="preserve">the SIU targeted consultation called for size-proportional compliance requirements under the</w:t>
      </w:r>
      <w:r>
        <w:t xml:space="preserve"> </w:t>
      </w:r>
      <w:r>
        <w:t xml:space="preserve">Pilot. Additionally, CSDR requirements, which most DLTPR applicants must comply with,</w:t>
      </w:r>
      <w:r>
        <w:t xml:space="preserve"> </w:t>
      </w:r>
      <w:r>
        <w:t xml:space="preserve">were established for CSDs that are systemic in nature and at a moment when many CSDs in</w:t>
      </w:r>
      <w:r>
        <w:t xml:space="preserve"> </w:t>
      </w:r>
      <w:r>
        <w:t xml:space="preserve">Europe were already mature businesses. This reflected market reality; typically, in the EU, there</w:t>
      </w:r>
      <w:r>
        <w:t xml:space="preserve"> </w:t>
      </w:r>
      <w:r>
        <w:t xml:space="preserve">is a single CSD servicing the entire capital market of a Member State, and such a CSD can</w:t>
      </w:r>
      <w:r>
        <w:t xml:space="preserve"> </w:t>
      </w:r>
      <w:r>
        <w:t xml:space="preserve">therefore be considered of systemic importance for the capital market of that Member State.</w:t>
      </w:r>
      <w:r>
        <w:t xml:space="preserve"> </w:t>
      </w:r>
      <w:r>
        <w:t xml:space="preserve">However, while appropriate for the types of entities it sought to regulate, this high regulatory</w:t>
      </w:r>
      <w:r>
        <w:t xml:space="preserve"> </w:t>
      </w:r>
      <w:r>
        <w:t xml:space="preserve">standard in CSDR may represent a regulatory hindrance to entry for businesses wishing to</w:t>
      </w:r>
      <w:r>
        <w:t xml:space="preserve"> </w:t>
      </w:r>
      <w:r>
        <w:t xml:space="preserve">provide small-scale CSD services under the DLTPR, which are by no means systemic. Similar</w:t>
      </w:r>
      <w:r>
        <w:t xml:space="preserve"> </w:t>
      </w:r>
      <w:r>
        <w:t xml:space="preserve">conclusions can be drawn for MIFID, where requirements at level 2, while justified in general</w:t>
      </w:r>
      <w:r>
        <w:t xml:space="preserve"> </w:t>
      </w:r>
      <w:r>
        <w:t xml:space="preserve">for trading venues, may lead to a disproportionate and maladapted rulebook for start-ups</w:t>
      </w:r>
      <w:r>
        <w:t xml:space="preserve"> </w:t>
      </w:r>
      <w:r>
        <w:t xml:space="preserve">wishing to use DLT for trading services and gradually scale their operations. Furthermore, the</w:t>
      </w:r>
      <w:r>
        <w:t xml:space="preserve"> </w:t>
      </w:r>
      <w:r>
        <w:t xml:space="preserve">detailed obligations laid down in level 1 and 2, while essential for an integrated market, can</w:t>
      </w:r>
      <w:r>
        <w:t xml:space="preserve"> </w:t>
      </w:r>
      <w:r>
        <w:t xml:space="preserve">constrain the flexibility that small firms need to experiment with new business models, since</w:t>
      </w:r>
      <w:r>
        <w:t xml:space="preserve"> </w:t>
      </w:r>
      <w:r>
        <w:t xml:space="preserve">they were designed with systemic infrastructures in mind. Therefore, the combined effect of</w:t>
      </w:r>
      <w:r>
        <w:t xml:space="preserve"> </w:t>
      </w:r>
      <w:r>
        <w:t xml:space="preserve">Level 1 and Level 2 creates a de facto barrier to the uptake of new technologies by smaller</w:t>
      </w:r>
      <w:r>
        <w:t xml:space="preserve"> </w:t>
      </w:r>
      <w:r>
        <w:t xml:space="preserve">actors.</w:t>
      </w:r>
    </w:p>
    <w:p>
      <w:pPr>
        <w:pStyle w:val="BodyText"/>
      </w:pPr>
      <w:r>
        <w:t xml:space="preserve">520https://www.esma.europa.eu/sites/default/files/2025-06/ESMA75-117376770-</w:t>
      </w:r>
      <w:r>
        <w:t xml:space="preserve"> </w:t>
      </w:r>
      <w:r>
        <w:t xml:space="preserve">460_Report_on_the_functioning_and_review_of_the_DLTR_-_Art.14.pdf</w:t>
      </w:r>
      <w:r>
        <w:br/>
      </w:r>
      <w:r>
        <w:t xml:space="preserve">521 See p. 31 of ESMA’s 2025 DLTPR Report.</w:t>
      </w:r>
      <w:r>
        <w:t xml:space="preserve"> </w:t>
      </w:r>
      <w:r>
        <w:t xml:space="preserve">522 https://www.amf-france.org/sites/institutionnel/files/private/2025-04/amf_consob_position-paper-towards-a-</w:t>
      </w:r>
      <w:r>
        <w:t xml:space="preserve"> </w:t>
      </w:r>
      <w:r>
        <w:t xml:space="preserve">more-competitive-european-pilot-regime.pdf</w:t>
      </w:r>
    </w:p>
    <w:p>
      <w:pPr>
        <w:pStyle w:val="BodyText"/>
      </w:pPr>
      <w:r>
        <w:t xml:space="preserve">338</w:t>
      </w:r>
      <w:r>
        <w:t xml:space="preserve"> </w:t>
      </w:r>
      <w:r>
        <w:t xml:space="preserve">The initial success of UK’s Digital Securities Sandbox (DSS)523 – the equivalent of the EU’s</w:t>
      </w:r>
      <w:r>
        <w:t xml:space="preserve"> </w:t>
      </w:r>
      <w:r>
        <w:t xml:space="preserve">DLT Pilot in the UK - further supports the conclusion that MIFID and CSDR rules as currently</w:t>
      </w:r>
      <w:r>
        <w:t xml:space="preserve"> </w:t>
      </w:r>
      <w:r>
        <w:t xml:space="preserve">modified by DLTPR are disproportionally cumbersome for small businesses. The</w:t>
      </w:r>
      <w:r>
        <w:t xml:space="preserve"> </w:t>
      </w:r>
      <w:r>
        <w:t xml:space="preserve">comparatively more flexible and proportional DSS524 has already attracted 16 participants,</w:t>
      </w:r>
      <w:r>
        <w:t xml:space="preserve"> </w:t>
      </w:r>
      <w:r>
        <w:t xml:space="preserve">mostly fintech companies525, despite the sandbox being in application less than a year and the</w:t>
      </w:r>
      <w:r>
        <w:t xml:space="preserve"> </w:t>
      </w:r>
      <w:r>
        <w:t xml:space="preserve">UK being a comparatively smaller jurisdiction.</w:t>
      </w:r>
      <w:r>
        <w:br/>
      </w:r>
      <w:r>
        <w:t xml:space="preserve">Finally, regulatory requirements in MIFID and CSDR may prove to be too rigid for deployment</w:t>
      </w:r>
      <w:r>
        <w:t xml:space="preserve"> </w:t>
      </w:r>
      <w:r>
        <w:t xml:space="preserve">of innovative trading, issuance and settlement solutions. Based on historical market practice,</w:t>
      </w:r>
      <w:r>
        <w:t xml:space="preserve"> </w:t>
      </w:r>
      <w:r>
        <w:t xml:space="preserve">current trading and post-trading frameworks assume the existence of intermediaries that have</w:t>
      </w:r>
      <w:r>
        <w:t xml:space="preserve"> </w:t>
      </w:r>
      <w:r>
        <w:t xml:space="preserve">a particular role and risk profile in the market structure, which are then granularly regulated. A</w:t>
      </w:r>
      <w:r>
        <w:t xml:space="preserve"> </w:t>
      </w:r>
      <w:r>
        <w:t xml:space="preserve">more fundamental issue is that MiFID/CSDR were designed for traditional infrastructures and</w:t>
      </w:r>
      <w:r>
        <w:t xml:space="preserve"> </w:t>
      </w:r>
      <w:r>
        <w:t xml:space="preserve">cannot easily be “bent” to fit DLT models through derogations alone. Their Level 1/Level 2</w:t>
      </w:r>
      <w:r>
        <w:t xml:space="preserve"> </w:t>
      </w:r>
      <w:r>
        <w:t xml:space="preserve">layering reflects assumptions about intermediaries and risk profiles that may not map to DLT-</w:t>
      </w:r>
      <w:r>
        <w:t xml:space="preserve"> </w:t>
      </w:r>
      <w:r>
        <w:t xml:space="preserve">based businesses. The objective should be to give startups and innovative entrants a workable,</w:t>
      </w:r>
      <w:r>
        <w:t xml:space="preserve"> </w:t>
      </w:r>
      <w:r>
        <w:t xml:space="preserve">DLT-specific framework while safeguarding core regulatory outcomes.526</w:t>
      </w:r>
      <w:r>
        <w:br/>
      </w:r>
      <w:r>
        <w:t xml:space="preserve">Relatedly, CSDR reflects the business practice of traditional market infrastructure, whereby a</w:t>
      </w:r>
      <w:r>
        <w:t xml:space="preserve"> </w:t>
      </w:r>
      <w:r>
        <w:t xml:space="preserve">CSD infrastructure keeps securities accounts as entries on its IT systems, and also often runs</w:t>
      </w:r>
      <w:r>
        <w:t xml:space="preserve"> </w:t>
      </w:r>
      <w:r>
        <w:t xml:space="preserve">an issuance register, with some CSDs (authorised as credit institutions) also managing</w:t>
      </w:r>
      <w:r>
        <w:t xml:space="preserve"> </w:t>
      </w:r>
      <w:r>
        <w:t xml:space="preserve">settlement in commercial bank money on their banking systems, separate from asset registers.</w:t>
      </w:r>
      <w:r>
        <w:t xml:space="preserve"> </w:t>
      </w:r>
      <w:r>
        <w:t xml:space="preserve">DLT represents an omni-asset platform527 that can support representations of money and asset</w:t>
      </w:r>
      <w:r>
        <w:t xml:space="preserve"> </w:t>
      </w:r>
      <w:r>
        <w:t xml:space="preserve">that is normally not controlled by any single entity, with, large permissionless blockchains</w:t>
      </w:r>
      <w:r>
        <w:t xml:space="preserve"> </w:t>
      </w:r>
      <w:r>
        <w:t xml:space="preserve">featuring robust decentralisation and platform accessibility open to all. In this architecture asset</w:t>
      </w:r>
      <w:r>
        <w:t xml:space="preserve"> </w:t>
      </w:r>
      <w:r>
        <w:t xml:space="preserve">custodians can hold assets directly on DLT, without the need of using CSD systems for top tier</w:t>
      </w:r>
      <w:r>
        <w:t xml:space="preserve"> </w:t>
      </w:r>
      <w:r>
        <w:t xml:space="preserve">account maintenance. Money can also be represented on the DLT platform, rather than existing</w:t>
      </w:r>
      <w:r>
        <w:t xml:space="preserve"> </w:t>
      </w:r>
      <w:r>
        <w:t xml:space="preserve">as an entry on the bank’s own systems. The notary function can be largely provided through</w:t>
      </w:r>
      <w:r>
        <w:t xml:space="preserve"> </w:t>
      </w:r>
      <w:r>
        <w:t xml:space="preserve">control of the smart contract representing an asset (issuance) on-chain. Therefore, DLT-based</w:t>
      </w:r>
    </w:p>
    <w:p>
      <w:pPr>
        <w:pStyle w:val="BodyText"/>
      </w:pPr>
      <w:r>
        <w:t xml:space="preserve">523 The UK Digital Securities Sandbox (DSS) is a regulatory initiative jointly operated by the Financial Conduct</w:t>
      </w:r>
      <w:r>
        <w:t xml:space="preserve"> </w:t>
      </w:r>
      <w:r>
        <w:t xml:space="preserve">Authority (FCA) and the Bank of England to allow firms to test and scale new technologies—such as distributed</w:t>
      </w:r>
      <w:r>
        <w:t xml:space="preserve"> </w:t>
      </w:r>
      <w:r>
        <w:t xml:space="preserve">ledger technology (DLT)—in the trading and settlement of digital securities. The DSS is open to both established</w:t>
      </w:r>
      <w:r>
        <w:t xml:space="preserve"> </w:t>
      </w:r>
      <w:r>
        <w:t xml:space="preserve">financial institutions and new market entrants legally established in the UK.</w:t>
      </w:r>
      <w:r>
        <w:t xml:space="preserve"> </w:t>
      </w:r>
      <w:r>
        <w:t xml:space="preserve">524 The UK Digital Securities Sandbox (DSS) is notably broader and more flexible than the EU DLT Pilot Regime.</w:t>
      </w:r>
      <w:r>
        <w:t xml:space="preserve"> </w:t>
      </w:r>
      <w:r>
        <w:t xml:space="preserve">It allows experimentation with a wider range of</w:t>
      </w:r>
      <w:r>
        <w:t xml:space="preserve"> </w:t>
      </w:r>
      <w:r>
        <w:t xml:space="preserve">“developing technologies”</w:t>
      </w:r>
      <w:r>
        <w:t xml:space="preserve"> </w:t>
      </w:r>
      <w:r>
        <w:t xml:space="preserve">(not limited to DLT), welcomes a</w:t>
      </w:r>
      <w:r>
        <w:t xml:space="preserve"> </w:t>
      </w:r>
      <w:r>
        <w:t xml:space="preserve">broader set of participants (not just established financial market infrastructures but also smaller fintech), and</w:t>
      </w:r>
      <w:r>
        <w:t xml:space="preserve"> </w:t>
      </w:r>
      <w:r>
        <w:t xml:space="preserve">permits a wider array of financial securities and activities. The DSS allows regulators (the Bank of England and</w:t>
      </w:r>
      <w:r>
        <w:t xml:space="preserve"> </w:t>
      </w:r>
      <w:r>
        <w:t xml:space="preserve">FCA) to modify or temporarily waive certain legal and regulatory requirements that would otherwise apply to</w:t>
      </w:r>
      <w:r>
        <w:t xml:space="preserve"> </w:t>
      </w:r>
      <w:r>
        <w:t xml:space="preserve">financial market infrastructure providers. The BoE has used its powers to disapply broad parts of CSDR level 2</w:t>
      </w:r>
      <w:r>
        <w:t xml:space="preserve"> </w:t>
      </w:r>
      <w:r>
        <w:t xml:space="preserve">to streamline and simplify the rulebook for sandbox participants. The DSS also uses a staged approach with</w:t>
      </w:r>
      <w:r>
        <w:t xml:space="preserve"> </w:t>
      </w:r>
      <w:r>
        <w:t xml:space="preserve">“gates,”</w:t>
      </w:r>
      <w:r>
        <w:t xml:space="preserve"> </w:t>
      </w:r>
      <w:r>
        <w:t xml:space="preserve">allowing firms to gradually increase their activities as they demonstrate compliance and robustness, which</w:t>
      </w:r>
      <w:r>
        <w:t xml:space="preserve"> </w:t>
      </w:r>
      <w:r>
        <w:t xml:space="preserve">can be less risky for small entrants.</w:t>
      </w:r>
      <w:r>
        <w:t xml:space="preserve"> </w:t>
      </w:r>
      <w:r>
        <w:t xml:space="preserve">525 https://www.fca.org.uk/firms/innovation/regulatory-sandbox/accepted-firms</w:t>
      </w:r>
      <w:r>
        <w:t xml:space="preserve"> </w:t>
      </w:r>
      <w:r>
        <w:t xml:space="preserve">526 One example of this is operational risk requirements laid out in level 2 of CSDR. While operational risks must</w:t>
      </w:r>
      <w:r>
        <w:t xml:space="preserve"> </w:t>
      </w:r>
      <w:r>
        <w:t xml:space="preserve">be mitigated, some level 2 requirements are formulated with a presumption there is an identifiable service provider</w:t>
      </w:r>
      <w:r>
        <w:t xml:space="preserve"> </w:t>
      </w:r>
      <w:r>
        <w:t xml:space="preserve">to the CSD. With DLT, some critical services may be provided by the DLT itself, which can be a decentralised</w:t>
      </w:r>
      <w:r>
        <w:t xml:space="preserve"> </w:t>
      </w:r>
      <w:r>
        <w:t xml:space="preserve">infrastructure without an identifiable operator. Therefore, a more principles-based approach to operational risk</w:t>
      </w:r>
      <w:r>
        <w:t xml:space="preserve"> </w:t>
      </w:r>
      <w:r>
        <w:t xml:space="preserve">management may be warranted to appropriately cover this interaction between DLT and a DLT market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527 See Bindseil, Malekan, Public crypto networks as financial market infrastructures, 2025 at</w:t>
      </w:r>
      <w:r>
        <w:t xml:space="preserve"> </w:t>
      </w:r>
      <w:r>
        <w:t xml:space="preserve">https://papers.ssrn.com/sol3/papers.cfm?abstract_id=5138052</w:t>
      </w:r>
    </w:p>
    <w:p>
      <w:pPr>
        <w:pStyle w:val="BodyText"/>
      </w:pPr>
      <w:r>
        <w:t xml:space="preserve">339</w:t>
      </w:r>
      <w:r>
        <w:t xml:space="preserve"> </w:t>
      </w:r>
      <w:r>
        <w:t xml:space="preserve">infrastructure underpinned by open programmable platforms allows for a different distribution</w:t>
      </w:r>
      <w:r>
        <w:t xml:space="preserve"> </w:t>
      </w:r>
      <w:r>
        <w:t xml:space="preserve">of intermediary roles than the one contemplated by CSDR, which largely implies that all three</w:t>
      </w:r>
      <w:r>
        <w:t xml:space="preserve"> </w:t>
      </w:r>
      <w:r>
        <w:t xml:space="preserve">core CSD services are provided by one entity that is the operator of systems used for</w:t>
      </w:r>
      <w:r>
        <w:t xml:space="preserve"> </w:t>
      </w:r>
      <w:r>
        <w:t xml:space="preserve">representing assets and sometimes money. This creates a barrier to the emergence of new</w:t>
      </w:r>
      <w:r>
        <w:t xml:space="preserve"> </w:t>
      </w:r>
      <w:r>
        <w:t xml:space="preserve">business models that may seek to leverage all the advantages of DLT. From a commercial</w:t>
      </w:r>
      <w:r>
        <w:t xml:space="preserve"> </w:t>
      </w:r>
      <w:r>
        <w:t xml:space="preserve">perspective, the requirement in the CSDR for a CSD to provide multiple CSD services also</w:t>
      </w:r>
      <w:r>
        <w:t xml:space="preserve"> </w:t>
      </w:r>
      <w:r>
        <w:t xml:space="preserve">represents a high barrier to entry, requiring new entrants to establish both a (one-sided) network</w:t>
      </w:r>
      <w:r>
        <w:t xml:space="preserve"> </w:t>
      </w:r>
      <w:r>
        <w:t xml:space="preserve">connecting trading parties (i.e. a settlement system) and a (two-sided) network connecting</w:t>
      </w:r>
      <w:r>
        <w:t xml:space="preserve"> </w:t>
      </w:r>
      <w:r>
        <w:t xml:space="preserve">issuers and investors (notary, account maintenance), both subject to strong network</w:t>
      </w:r>
      <w:r>
        <w:t xml:space="preserve"> </w:t>
      </w:r>
      <w:r>
        <w:t xml:space="preserve">externalities. These assumptions about intermediary roles and functions may negatively impact</w:t>
      </w:r>
      <w:r>
        <w:t xml:space="preserve"> </w:t>
      </w:r>
      <w:r>
        <w:t xml:space="preserve">the development of DLT-based CSD services. At the same time, DLT-based market</w:t>
      </w:r>
      <w:r>
        <w:t xml:space="preserve"> </w:t>
      </w:r>
      <w:r>
        <w:t xml:space="preserve">infrastructure is still in early stages of development, and therefore, intermediary roles and their</w:t>
      </w:r>
      <w:r>
        <w:t xml:space="preserve"> </w:t>
      </w:r>
      <w:r>
        <w:t xml:space="preserve">risk profiles in the context of DLT should be assessed and tested carefully.</w:t>
      </w:r>
    </w:p>
    <w:p>
      <w:pPr>
        <w:pStyle w:val="BodyText"/>
      </w:pPr>
      <w:r>
        <w:t xml:space="preserve">3.2.2. Regulatory barriers to scale, scope and long-term investments</w:t>
      </w:r>
      <w:r>
        <w:t xml:space="preserve"> </w:t>
      </w:r>
      <w:r>
        <w:t xml:space="preserve">The DLTPR laid down various limits to the scale of activities carried out under the Pilot. It</w:t>
      </w:r>
      <w:r>
        <w:t xml:space="preserve"> </w:t>
      </w:r>
      <w:r>
        <w:t xml:space="preserve">sets a limit to the issuance size and market capitalisation of eligible assets (asset-specific caps),</w:t>
      </w:r>
      <w:r>
        <w:t xml:space="preserve"> </w:t>
      </w:r>
      <w:r>
        <w:t xml:space="preserve">and an aggregate cap that limits the total value of financial instruments intermediated by a DLT</w:t>
      </w:r>
      <w:r>
        <w:t xml:space="preserve"> </w:t>
      </w:r>
      <w:r>
        <w:t xml:space="preserve">market infrastructure. This cap was set at EUR 6 bn. The main objective of these limits was to</w:t>
      </w:r>
      <w:r>
        <w:t xml:space="preserve"> </w:t>
      </w:r>
      <w:r>
        <w:t xml:space="preserve">preserve investor protection, market integrity and, in particular, financial stability in light of</w:t>
      </w:r>
      <w:r>
        <w:t xml:space="preserve"> </w:t>
      </w:r>
      <w:r>
        <w:t xml:space="preserve">the novel nature of this technology and business models that leverage it.</w:t>
      </w:r>
      <w:r>
        <w:br/>
      </w:r>
      <w:r>
        <w:t xml:space="preserve">However, these thresholds have been deemed too low by large financial entities, such as banks</w:t>
      </w:r>
      <w:r>
        <w:t xml:space="preserve"> </w:t>
      </w:r>
      <w:r>
        <w:t xml:space="preserve">and CSDs. Feedback by market participants from the SIU targeted consultation and bilateral</w:t>
      </w:r>
      <w:r>
        <w:t xml:space="preserve"> </w:t>
      </w:r>
      <w:r>
        <w:t xml:space="preserve">interviews reveals that the fear of breaching the thresholds in case of large issuances for</w:t>
      </w:r>
      <w:r>
        <w:t xml:space="preserve"> </w:t>
      </w:r>
      <w:r>
        <w:t xml:space="preserve">corporates and sovereigns has kept certain large market participants away from applying for</w:t>
      </w:r>
      <w:r>
        <w:t xml:space="preserve"> </w:t>
      </w:r>
      <w:r>
        <w:t xml:space="preserve">the Pilot. Indeed, a bond issuance for a large corporate can have a nominal size of billions of</w:t>
      </w:r>
      <w:r>
        <w:t xml:space="preserve"> </w:t>
      </w:r>
      <w:r>
        <w:t xml:space="preserve">euros.528 For a Pilot applicant recording or admitting to trading a few such issuances would</w:t>
      </w:r>
      <w:r>
        <w:t xml:space="preserve"> </w:t>
      </w:r>
      <w:r>
        <w:t xml:space="preserve">either mean that it could not accept any further business, or worse, that it would need to wind</w:t>
      </w:r>
      <w:r>
        <w:t xml:space="preserve"> </w:t>
      </w:r>
      <w:r>
        <w:t xml:space="preserve">down its operations. This makes larger projects under the Pilot commercially unviable, even</w:t>
      </w:r>
      <w:r>
        <w:t xml:space="preserve"> </w:t>
      </w:r>
      <w:r>
        <w:t xml:space="preserve">though the DLTPR was also aimed at large stakeholders.</w:t>
      </w:r>
      <w:r>
        <w:br/>
      </w:r>
      <w:r>
        <w:t xml:space="preserve">This conclusion is further supported by ESMA’s 2025 DLTPR Report, noting that feedback</w:t>
      </w:r>
      <w:r>
        <w:t xml:space="preserve"> </w:t>
      </w:r>
      <w:r>
        <w:t xml:space="preserve">from NCAs and industry stakeholders support the conclusion that the current thresholds are too</w:t>
      </w:r>
      <w:r>
        <w:t xml:space="preserve"> </w:t>
      </w:r>
      <w:r>
        <w:t xml:space="preserve">restrictive and ‘exclude many large-cap issuers and well-established instruments, limiting the</w:t>
      </w:r>
      <w:r>
        <w:t xml:space="preserve"> </w:t>
      </w:r>
      <w:r>
        <w:t xml:space="preserve">commercial viability and attractiveness of DLT infrastructures.’529 Additionally, SIU</w:t>
      </w:r>
      <w:r>
        <w:t xml:space="preserve"> </w:t>
      </w:r>
      <w:r>
        <w:t xml:space="preserve">consultation feedback showed that the majority of the respondents believed that current</w:t>
      </w:r>
      <w:r>
        <w:t xml:space="preserve"> </w:t>
      </w:r>
      <w:r>
        <w:t xml:space="preserve">thresholds are too low, significantly limiting scalability, calling for their removal or significant</w:t>
      </w:r>
    </w:p>
    <w:p>
      <w:pPr>
        <w:pStyle w:val="BodyText"/>
      </w:pPr>
      <w:r>
        <w:t xml:space="preserve">528 The dominant format for single corporate bond issuances in Europe in 2024 was in the size range of €500</w:t>
      </w:r>
      <w:r>
        <w:t xml:space="preserve"> </w:t>
      </w:r>
      <w:r>
        <w:t xml:space="preserve">million to €1 billion. The most prominent corporate issuers, particularly those in the financial sector or large</w:t>
      </w:r>
      <w:r>
        <w:t xml:space="preserve"> </w:t>
      </w:r>
      <w:r>
        <w:t xml:space="preserve">multinational corporations, often issued bonds in the €1–2 billion range per transaction. Source:</w:t>
      </w:r>
      <w:r>
        <w:t xml:space="preserve"> </w:t>
      </w:r>
      <w:r>
        <w:t xml:space="preserve">https://www.helaba.de/blueprint/servlet/resource/blob/docs/638282/a3bff4f794f4322256956420a0397776/prima</w:t>
      </w:r>
      <w:r>
        <w:t xml:space="preserve"> </w:t>
      </w:r>
      <w:r>
        <w:t xml:space="preserve">erm-eur-corpbonds-20240327-data.pdf</w:t>
      </w:r>
      <w:r>
        <w:t xml:space="preserve"> </w:t>
      </w:r>
      <w:r>
        <w:t xml:space="preserve">529https://www.esma.europa.eu/sites/default/files/2025-06/ESMA75-117376770-</w:t>
      </w:r>
      <w:r>
        <w:t xml:space="preserve"> </w:t>
      </w:r>
      <w:r>
        <w:t xml:space="preserve">460_Report_on_the_functioning_and_review_of_the_DLTR_-_Art.14.pdf</w:t>
      </w:r>
    </w:p>
    <w:p>
      <w:pPr>
        <w:pStyle w:val="BodyText"/>
      </w:pPr>
      <w:r>
        <w:t xml:space="preserve">340</w:t>
      </w:r>
      <w:r>
        <w:t xml:space="preserve"> </w:t>
      </w:r>
      <w:r>
        <w:t xml:space="preserve">increase. While the goals of the caps - market integrity, investor protection, and financial</w:t>
      </w:r>
      <w:r>
        <w:t xml:space="preserve"> </w:t>
      </w:r>
      <w:r>
        <w:t xml:space="preserve">stability - remain legitimate, the regulators’ and industry’s deeper experience with DLT suggests</w:t>
      </w:r>
      <w:r>
        <w:t xml:space="preserve"> </w:t>
      </w:r>
      <w:r>
        <w:t xml:space="preserve">the possibility of mitigating risks without hindering the commercial viability of large-scale</w:t>
      </w:r>
      <w:r>
        <w:t xml:space="preserve"> </w:t>
      </w:r>
      <w:r>
        <w:t xml:space="preserve">projects. Experience with the DLTPR has demonstrated that setting product and aggregate caps</w:t>
      </w:r>
      <w:r>
        <w:t xml:space="preserve"> </w:t>
      </w:r>
      <w:r>
        <w:t xml:space="preserve">on financial instruments intermediated by DLT market infrastructures, resulted in de facto</w:t>
      </w:r>
      <w:r>
        <w:t xml:space="preserve"> </w:t>
      </w:r>
      <w:r>
        <w:t xml:space="preserve">regulatory barriers to the participation of large financial entities in the Pilot, thus limiting</w:t>
      </w:r>
      <w:r>
        <w:t xml:space="preserve"> </w:t>
      </w:r>
      <w:r>
        <w:t xml:space="preserve">uptake. This runs counter the objective of the Pilot to support innovation and leverage</w:t>
      </w:r>
      <w:r>
        <w:t xml:space="preserve"> </w:t>
      </w:r>
      <w:r>
        <w:t xml:space="preserve">experience with concrete projects to inform further policymaking.</w:t>
      </w:r>
      <w:r>
        <w:br/>
      </w:r>
      <w:r>
        <w:t xml:space="preserve">Furthermore, with the stated aim of preserving investor protection, market integrity and</w:t>
      </w:r>
      <w:r>
        <w:t xml:space="preserve"> </w:t>
      </w:r>
      <w:r>
        <w:t xml:space="preserve">financial stability, DLTPR limits the scope of eligible assets that can be intermediated by</w:t>
      </w:r>
      <w:r>
        <w:t xml:space="preserve"> </w:t>
      </w:r>
      <w:r>
        <w:t xml:space="preserve">DLT MIs to simple instruments: certain shares, bonds and UCITS. Bilateral interviews with</w:t>
      </w:r>
      <w:r>
        <w:t xml:space="preserve"> </w:t>
      </w:r>
      <w:r>
        <w:t xml:space="preserve">the industry, as well as ESMA’s 2025 DLTPR report and reports by certain regulators530 point</w:t>
      </w:r>
      <w:r>
        <w:t xml:space="preserve"> </w:t>
      </w:r>
      <w:r>
        <w:t xml:space="preserve">to this limited scope of eligible assets as a material barrier for the broader take up of the Pilot.</w:t>
      </w:r>
      <w:r>
        <w:t xml:space="preserve"> </w:t>
      </w:r>
      <w:r>
        <w:t xml:space="preserve">Notably, ESMA highlighted that DLT and the automation it can bring about may be particularly</w:t>
      </w:r>
      <w:r>
        <w:t xml:space="preserve"> </w:t>
      </w:r>
      <w:r>
        <w:t xml:space="preserve">suited for markets in complex assets and less liquid assets (AIFs, complex bonds, structured</w:t>
      </w:r>
      <w:r>
        <w:t xml:space="preserve"> </w:t>
      </w:r>
      <w:r>
        <w:t xml:space="preserve">products), while AMF531 and CONSOB532 additionally noted that adding derivatives under the</w:t>
      </w:r>
      <w:r>
        <w:t xml:space="preserve"> </w:t>
      </w:r>
      <w:r>
        <w:t xml:space="preserve">scope of the Pilot may also attract new participants. Furthermore, certain academic articles also</w:t>
      </w:r>
      <w:r>
        <w:t xml:space="preserve"> </w:t>
      </w:r>
      <w:r>
        <w:t xml:space="preserve">point to the missed innovation opportunities from excluding derivatives from the Pilot</w:t>
      </w:r>
      <w:r>
        <w:t xml:space="preserve"> </w:t>
      </w:r>
      <w:r>
        <w:t xml:space="preserve">regime.533 Enlarging the scope of eligible assets was seen as a key priority for enhancing the</w:t>
      </w:r>
      <w:r>
        <w:t xml:space="preserve"> </w:t>
      </w:r>
      <w:r>
        <w:t xml:space="preserve">attractiveness of the Pilot by the majority of respondents to the SIU consultation – noting that</w:t>
      </w:r>
      <w:r>
        <w:t xml:space="preserve"> </w:t>
      </w:r>
      <w:r>
        <w:t xml:space="preserve">extending the scope of assets into more complex products would attract professional investors</w:t>
      </w:r>
      <w:r>
        <w:t xml:space="preserve"> </w:t>
      </w:r>
      <w:r>
        <w:t xml:space="preserve">– a key component in developing capital markets. To note that the scope of eligible assets in</w:t>
      </w:r>
      <w:r>
        <w:t xml:space="preserve"> </w:t>
      </w:r>
      <w:r>
        <w:t xml:space="preserve">the DLTPR has been limited to simple instruments, in part, because retail investors can have</w:t>
      </w:r>
      <w:r>
        <w:t xml:space="preserve"> </w:t>
      </w:r>
      <w:r>
        <w:t xml:space="preserve">direct access to trading and settlement infrastructures under the Pilot and therefore, it was</w:t>
      </w:r>
      <w:r>
        <w:t xml:space="preserve"> </w:t>
      </w:r>
      <w:r>
        <w:t xml:space="preserve">deemed prudent to limit the types of instruments that retail investors can have direct access to</w:t>
      </w:r>
      <w:r>
        <w:t xml:space="preserve"> </w:t>
      </w:r>
      <w:r>
        <w:t xml:space="preserve">on DLT MIs. However, MIFID investor protection rules can and should be applied in the DLT</w:t>
      </w:r>
      <w:r>
        <w:t xml:space="preserve"> </w:t>
      </w:r>
      <w:r>
        <w:t xml:space="preserve">Pilot also in the scenario of expanded eligible assets. Put differently, the possibility of broad-</w:t>
      </w:r>
      <w:r>
        <w:t xml:space="preserve"> </w:t>
      </w:r>
      <w:r>
        <w:t xml:space="preserve">based direct access to trading and settlement infrastructures should not govern the type of assets</w:t>
      </w:r>
      <w:r>
        <w:t xml:space="preserve"> </w:t>
      </w:r>
      <w:r>
        <w:t xml:space="preserve">that are offered on those infrastructures, provided existing investor protection rules are applied</w:t>
      </w:r>
      <w:r>
        <w:t xml:space="preserve"> </w:t>
      </w:r>
      <w:r>
        <w:t xml:space="preserve">by investment firms that grant access to such products.</w:t>
      </w:r>
      <w:r>
        <w:br/>
      </w:r>
      <w:r>
        <w:t xml:space="preserve">DLTPR limits the types of entities that can participate in the Pilot; eligible entities are</w:t>
      </w:r>
      <w:r>
        <w:t xml:space="preserve"> </w:t>
      </w:r>
      <w:r>
        <w:t xml:space="preserve">either licenced MIFID trading venues or CSDs. Each of these entities may under the DLTPR</w:t>
      </w:r>
      <w:r>
        <w:t xml:space="preserve"> </w:t>
      </w:r>
      <w:r>
        <w:t xml:space="preserve">licence provide trading and CSD services where they comply with applicable legislation</w:t>
      </w:r>
      <w:r>
        <w:t xml:space="preserve"> </w:t>
      </w:r>
      <w:r>
        <w:t xml:space="preserve">(CSDR, MIFID, DLTPR). This approach is limitative as there may be other business models</w:t>
      </w:r>
      <w:r>
        <w:t xml:space="preserve"> </w:t>
      </w:r>
      <w:r>
        <w:t xml:space="preserve">that may want to leverage other financial service licences to participate in the DLTPR, beyond</w:t>
      </w:r>
      <w:r>
        <w:t xml:space="preserve"> </w:t>
      </w:r>
      <w:r>
        <w:t xml:space="preserve">a MIFID trading firm licence or a CSD authorisation. Narrow eligibility for the Pilot</w:t>
      </w:r>
      <w:r>
        <w:t xml:space="preserve"> </w:t>
      </w:r>
      <w:r>
        <w:t xml:space="preserve">participation may have deprived the Pilot from other participants that may wish to combine</w:t>
      </w:r>
    </w:p>
    <w:p>
      <w:pPr>
        <w:pStyle w:val="BodyText"/>
      </w:pPr>
      <w:r>
        <w:t xml:space="preserve">530 https://www.amf-france.org/sites/institutionnel/files/private/2025-04/amf_consob_position-paper-towards-a-</w:t>
      </w:r>
      <w:r>
        <w:t xml:space="preserve"> </w:t>
      </w:r>
      <w:r>
        <w:t xml:space="preserve">more-competitive-european-pilot-regime.pdf</w:t>
      </w:r>
      <w:r>
        <w:br/>
      </w:r>
      <w:r>
        <w:t xml:space="preserve">531 Autorité des marchés financiers (AMF) is the French financial market regulator.</w:t>
      </w:r>
      <w:r>
        <w:t xml:space="preserve"> </w:t>
      </w:r>
      <w:r>
        <w:t xml:space="preserve">532 Commissione Nazionale per le Societa e la Borsa (CONSOB) is the Italian financial market regulator.</w:t>
      </w:r>
      <w:r>
        <w:t xml:space="preserve"> </w:t>
      </w:r>
      <w:r>
        <w:t xml:space="preserve">533 See for example for energy derivatives, Priem, Randy, Enhancing energy derivatives trading: Assessing the</w:t>
      </w:r>
      <w:r>
        <w:t xml:space="preserve"> </w:t>
      </w:r>
      <w:r>
        <w:t xml:space="preserve">need to update the European DLT Pilot Regime Regulation (March 22, 2025). Available at</w:t>
      </w:r>
      <w:r>
        <w:t xml:space="preserve"> </w:t>
      </w:r>
      <w:r>
        <w:t xml:space="preserve">SSRN: https://ssrn.com/abstract=5189300</w:t>
      </w:r>
    </w:p>
    <w:p>
      <w:pPr>
        <w:pStyle w:val="BodyText"/>
      </w:pPr>
      <w:r>
        <w:t xml:space="preserve">341</w:t>
      </w:r>
      <w:r>
        <w:t xml:space="preserve"> </w:t>
      </w:r>
      <w:r>
        <w:t xml:space="preserve">DLT-based trading and CSD services with their existing or prospective licences. Within the</w:t>
      </w:r>
      <w:r>
        <w:t xml:space="preserve"> </w:t>
      </w:r>
      <w:r>
        <w:t xml:space="preserve">DLT ecosystem, new combinations of services are arising, with banks setting up tokenisation</w:t>
      </w:r>
      <w:r>
        <w:t xml:space="preserve"> </w:t>
      </w:r>
      <w:r>
        <w:t xml:space="preserve">platforms for issuance and transfer of securities, and crypto-asset service providers (CASPs)</w:t>
      </w:r>
      <w:r>
        <w:t xml:space="preserve"> </w:t>
      </w:r>
      <w:r>
        <w:t xml:space="preserve">increasingly interested in offering MIFID financial instruments.534 The latter category of</w:t>
      </w:r>
      <w:r>
        <w:t xml:space="preserve"> </w:t>
      </w:r>
      <w:r>
        <w:t xml:space="preserve">service providers did not exist when the Pilot was established, however, with MiCA535 now</w:t>
      </w:r>
      <w:r>
        <w:t xml:space="preserve"> </w:t>
      </w:r>
      <w:r>
        <w:t xml:space="preserve">attracting many DLT-native firms to seek a CASP a licence in Europe, not allowing their</w:t>
      </w:r>
      <w:r>
        <w:t xml:space="preserve"> </w:t>
      </w:r>
      <w:r>
        <w:t xml:space="preserve">participation in the Pilot may appear to be a missed opportunity. Crypto exchanges licenced</w:t>
      </w:r>
      <w:r>
        <w:t xml:space="preserve"> </w:t>
      </w:r>
      <w:r>
        <w:t xml:space="preserve">under MiCA operate trading and settlement systems handling crypto assets in scope of MiCA.</w:t>
      </w:r>
      <w:r>
        <w:t xml:space="preserve"> </w:t>
      </w:r>
      <w:r>
        <w:t xml:space="preserve">Since this activity requires infrastructure and business solutions identical or similar to those</w:t>
      </w:r>
      <w:r>
        <w:t xml:space="preserve"> </w:t>
      </w:r>
      <w:r>
        <w:t xml:space="preserve">required for intermediating DLT (tokenised) financial instruments, there may be synergies that</w:t>
      </w:r>
      <w:r>
        <w:t xml:space="preserve"> </w:t>
      </w:r>
      <w:r>
        <w:t xml:space="preserve">CASPs can leverage for the activity of issuing, trading and transferring financial instruments</w:t>
      </w:r>
      <w:r>
        <w:t xml:space="preserve"> </w:t>
      </w:r>
      <w:r>
        <w:t xml:space="preserve">using DLT.</w:t>
      </w:r>
      <w:r>
        <w:t xml:space="preserve"> </w:t>
      </w:r>
      <w:r>
        <w:t xml:space="preserve">Finally, another significant barrier to deployment of projects under the DLTPR have been the</w:t>
      </w:r>
      <w:r>
        <w:t xml:space="preserve"> </w:t>
      </w:r>
      <w:r>
        <w:t xml:space="preserve">ambiguities around the long-term viability of the Pilot regime. These include references in</w:t>
      </w:r>
      <w:r>
        <w:t xml:space="preserve"> </w:t>
      </w:r>
      <w:r>
        <w:t xml:space="preserve">the DLTPR to ‘exit strategies’ in case of discontinuation of the Pilot, capping DLTPR licences</w:t>
      </w:r>
      <w:r>
        <w:t xml:space="preserve"> </w:t>
      </w:r>
      <w:r>
        <w:t xml:space="preserve">to a period of six years536 and references to a possible termination of the Pilot in the DLTPR</w:t>
      </w:r>
      <w:r>
        <w:t xml:space="preserve"> </w:t>
      </w:r>
      <w:r>
        <w:t xml:space="preserve">review provisions.537 Feedback from the SIU consultation, ESMA’s 2025 DLTPR Report and</w:t>
      </w:r>
      <w:r>
        <w:t xml:space="preserve"> </w:t>
      </w:r>
      <w:r>
        <w:t xml:space="preserve">statements from certain regulators have all highlighted that the industry perceives these time-</w:t>
      </w:r>
      <w:r>
        <w:t xml:space="preserve"> </w:t>
      </w:r>
      <w:r>
        <w:t xml:space="preserve">caps and limitations as having a cliff effect: businesses are unwilling to make long-term</w:t>
      </w:r>
      <w:r>
        <w:t xml:space="preserve"> </w:t>
      </w:r>
      <w:r>
        <w:t xml:space="preserve">investments under a pilot regime that might be discontinued in the medium term, rendering</w:t>
      </w:r>
      <w:r>
        <w:t xml:space="preserve"> </w:t>
      </w:r>
      <w:r>
        <w:t xml:space="preserve">those investments commercially unviable. This issue has already been raised by ESMA’s letter</w:t>
      </w:r>
      <w:r>
        <w:t xml:space="preserve"> </w:t>
      </w:r>
      <w:r>
        <w:t xml:space="preserve">to the Commission and the co-legislators in 2024.538 The Commission attempted to provide</w:t>
      </w:r>
      <w:r>
        <w:t xml:space="preserve"> </w:t>
      </w:r>
      <w:r>
        <w:t xml:space="preserve">comfort to the market by noting in a published response539 that the DLTPR does not contain an</w:t>
      </w:r>
      <w:r>
        <w:t xml:space="preserve"> </w:t>
      </w:r>
      <w:r>
        <w:t xml:space="preserve">explicit sunset clause, however, in light of the current wording of the regulation, the market</w:t>
      </w:r>
      <w:r>
        <w:t xml:space="preserve"> </w:t>
      </w:r>
      <w:r>
        <w:t xml:space="preserve">harbours lingering concerns about the long-term viability of the Pilot that stifle participation.</w:t>
      </w:r>
      <w:r>
        <w:br/>
      </w:r>
      <w:r>
        <w:t xml:space="preserve">4. OBJECTIVES</w:t>
      </w:r>
      <w:r>
        <w:t xml:space="preserve"> </w:t>
      </w:r>
      <w:r>
        <w:t xml:space="preserve">4.1. GENERAL OBJECTIVE</w:t>
      </w:r>
      <w:r>
        <w:t xml:space="preserve"> </w:t>
      </w:r>
      <w:r>
        <w:t xml:space="preserve">It is imperative that EU capital markets are attractive for innovators, to support the digital</w:t>
      </w:r>
      <w:r>
        <w:t xml:space="preserve"> </w:t>
      </w:r>
      <w:r>
        <w:t xml:space="preserve">transition and efficiencies it brings, support market competition and maintain EU’s</w:t>
      </w:r>
      <w:r>
        <w:t xml:space="preserve"> </w:t>
      </w:r>
      <w:r>
        <w:t xml:space="preserve">competitiveness vis-à-vis other jurisdictions. The regulatory framework and related</w:t>
      </w:r>
      <w:r>
        <w:t xml:space="preserve"> </w:t>
      </w:r>
      <w:r>
        <w:t xml:space="preserve">supervisory practices play an important role in establishing a broader market environment</w:t>
      </w:r>
    </w:p>
    <w:p>
      <w:pPr>
        <w:pStyle w:val="BodyText"/>
      </w:pPr>
      <w:r>
        <w:t xml:space="preserve">534 Kraken and Robinhood, both holders of CASP licences, recently announced the offering of ‘tokenised stocks’.</w:t>
      </w:r>
      <w:r>
        <w:t xml:space="preserve"> </w:t>
      </w:r>
      <w:r>
        <w:t xml:space="preserve">While these instruments may not legally qualify as stocks, these market developments demonstrate the appetite</w:t>
      </w:r>
      <w:r>
        <w:t xml:space="preserve"> </w:t>
      </w:r>
      <w:r>
        <w:t xml:space="preserve">for CASPs to provide both MiCA and MIFID instruments to customers. We also observe the opposite trend</w:t>
      </w:r>
      <w:r>
        <w:t xml:space="preserve"> </w:t>
      </w:r>
      <w:r>
        <w:t xml:space="preserve">(MIFID to MiCA product expansion).</w:t>
      </w:r>
      <w:r>
        <w:br/>
      </w:r>
      <w:r>
        <w:t xml:space="preserve">535 Fully in application since 30 December 2024.</w:t>
      </w:r>
      <w:r>
        <w:t xml:space="preserve"> </w:t>
      </w:r>
      <w:r>
        <w:t xml:space="preserve">536 Article 8(11) of DLTPR.</w:t>
      </w:r>
      <w:r>
        <w:t xml:space="preserve"> </w:t>
      </w:r>
      <w:r>
        <w:t xml:space="preserve">537 See for example Article 14(2) of DLTPR.</w:t>
      </w:r>
      <w:r>
        <w:t xml:space="preserve"> </w:t>
      </w:r>
      <w:r>
        <w:t xml:space="preserve">538</w:t>
      </w:r>
      <w:r>
        <w:t xml:space="preserve"> </w:t>
      </w:r>
      <w:r>
        <w:t xml:space="preserve">https://www.esma.europa.eu/sites/default/files/2024-04/ESMA75-117376770-460_DLT_Pilot_Regime_-</w:t>
      </w:r>
      <w:r>
        <w:t xml:space="preserve"> </w:t>
      </w:r>
      <w:r>
        <w:t xml:space="preserve">_Letter_to_EU_Institutions.pdf</w:t>
      </w:r>
      <w:r>
        <w:br/>
      </w:r>
      <w:r>
        <w:t xml:space="preserve">539https://www.esma.europa.eu/sites/default/files/2024-</w:t>
      </w:r>
      <w:r>
        <w:t xml:space="preserve"> </w:t>
      </w:r>
      <w:r>
        <w:t xml:space="preserve">05/3056562_030524_Reply_Verena_Ross_on_DLT_Pilot_Regime_Implementation.pdf</w:t>
      </w:r>
    </w:p>
    <w:p>
      <w:pPr>
        <w:pStyle w:val="BodyText"/>
      </w:pPr>
      <w:r>
        <w:t xml:space="preserve">342</w:t>
      </w:r>
      <w:r>
        <w:t xml:space="preserve"> </w:t>
      </w:r>
      <w:r>
        <w:t xml:space="preserve">conducive to the uptake of new technologies, such as DLT. The general objective of the</w:t>
      </w:r>
      <w:r>
        <w:t xml:space="preserve"> </w:t>
      </w:r>
      <w:r>
        <w:t xml:space="preserve">proposed reforms is to better support DLT-related innovation in Europe by adjusting the</w:t>
      </w:r>
      <w:r>
        <w:t xml:space="preserve"> </w:t>
      </w:r>
      <w:r>
        <w:t xml:space="preserve">DLTPR requirements while maintaining regulatory standards which effectively capture and</w:t>
      </w:r>
      <w:r>
        <w:t xml:space="preserve"> </w:t>
      </w:r>
      <w:r>
        <w:t xml:space="preserve">address risks of activities undertaken under the Pilot. This objective is in line with the SIU,</w:t>
      </w:r>
      <w:r>
        <w:t xml:space="preserve"> </w:t>
      </w:r>
      <w:r>
        <w:t xml:space="preserve">which specifically refers to role of DLT and tokenisation in enhancing the interoperability,</w:t>
      </w:r>
      <w:r>
        <w:t xml:space="preserve"> </w:t>
      </w:r>
      <w:r>
        <w:t xml:space="preserve">interconnection and efficiency of EU trading and post-trading infrastructures.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Linked to the problem drivers discussed above, there are two specific objectives of the</w:t>
      </w:r>
      <w:r>
        <w:t xml:space="preserve"> </w:t>
      </w:r>
      <w:r>
        <w:t xml:space="preserve">proposals put forward to promote market efficiency. They are (i) ensuring that DLTPR lays</w:t>
      </w:r>
      <w:r>
        <w:t xml:space="preserve"> </w:t>
      </w:r>
      <w:r>
        <w:t xml:space="preserve">down proportionate and flexible regulatory requirements for businesses participating in the</w:t>
      </w:r>
      <w:r>
        <w:t xml:space="preserve"> </w:t>
      </w:r>
      <w:r>
        <w:t xml:space="preserve">Pilot and (ii) removing regulatory barriers to achieving scale and scope of projects and activities</w:t>
      </w:r>
      <w:r>
        <w:t xml:space="preserve"> </w:t>
      </w:r>
      <w:r>
        <w:t xml:space="preserve">under the Pilot. The specific objectives are without prejudice to the ultimate constraint of not</w:t>
      </w:r>
      <w:r>
        <w:t xml:space="preserve"> </w:t>
      </w:r>
      <w:r>
        <w:t xml:space="preserve">undermining financial stability, as well as the integrity of markets and the entities that</w:t>
      </w:r>
      <w:r>
        <w:t xml:space="preserve"> </w:t>
      </w:r>
      <w:r>
        <w:t xml:space="preserve">participate therein.</w:t>
      </w:r>
      <w:r>
        <w:t xml:space="preserve"> </w:t>
      </w:r>
      <w:r>
        <w:t xml:space="preserve">4.2.1. Proportionate and flexible regulatory requirements for businesses</w:t>
      </w:r>
      <w:r>
        <w:t xml:space="preserve"> </w:t>
      </w:r>
      <w:r>
        <w:t xml:space="preserve">participating in the Pilot</w:t>
      </w:r>
      <w:r>
        <w:t xml:space="preserve"> </w:t>
      </w:r>
      <w:r>
        <w:t xml:space="preserve">DLTPR creates flexibility for its participants by providing for certain specified derogations</w:t>
      </w:r>
      <w:r>
        <w:t xml:space="preserve"> </w:t>
      </w:r>
      <w:r>
        <w:t xml:space="preserve">from standard rulebooks (CSDR, MIFID). While this has been helpful in supporting certain</w:t>
      </w:r>
      <w:r>
        <w:t xml:space="preserve"> </w:t>
      </w:r>
      <w:r>
        <w:t xml:space="preserve">DLT-based projects, the mechanism of identifying in a regulation (DLTPR), in advance of</w:t>
      </w:r>
      <w:r>
        <w:t xml:space="preserve"> </w:t>
      </w:r>
      <w:r>
        <w:t xml:space="preserve">experience with concrete projects, targeted provisions in CSDR and MIFID that were deemed</w:t>
      </w:r>
      <w:r>
        <w:t xml:space="preserve"> </w:t>
      </w:r>
      <w:r>
        <w:t xml:space="preserve">to be incompatible or maladapted to DLT, has shown its limitations. These derogations target a</w:t>
      </w:r>
      <w:r>
        <w:t xml:space="preserve"> </w:t>
      </w:r>
      <w:r>
        <w:t xml:space="preserve">limited number of level 1 provisions exclusively (approximately 15 derogations). However, the</w:t>
      </w:r>
      <w:r>
        <w:t xml:space="preserve"> </w:t>
      </w:r>
      <w:r>
        <w:t xml:space="preserve">complete rulebook for trading and CSD services comprises hundreds of provisions set out in</w:t>
      </w:r>
      <w:r>
        <w:t xml:space="preserve"> </w:t>
      </w:r>
      <w:r>
        <w:t xml:space="preserve">level 1 and level 2 rules of the MIFID/CSDR rulebook. Therefore, businesses and regulators</w:t>
      </w:r>
      <w:r>
        <w:t xml:space="preserve"> </w:t>
      </w:r>
      <w:r>
        <w:t xml:space="preserve">applying the rules are given only limited flexibility in complying with MIFID and CSDR via</w:t>
      </w:r>
      <w:r>
        <w:t xml:space="preserve"> </w:t>
      </w:r>
      <w:r>
        <w:t xml:space="preserve">the DLTPR. Given the detailed nature of these rulebooks, it is not possible for regulators and</w:t>
      </w:r>
      <w:r>
        <w:t xml:space="preserve"> </w:t>
      </w:r>
      <w:r>
        <w:t xml:space="preserve">businesses to apply a principles-based approach to complying with CSDR and MIFID general</w:t>
      </w:r>
      <w:r>
        <w:t xml:space="preserve"> </w:t>
      </w:r>
      <w:r>
        <w:t xml:space="preserve">objectives, instead of ensuring that the totality of level 1 and level 2 provisions are complied</w:t>
      </w:r>
      <w:r>
        <w:t xml:space="preserve"> </w:t>
      </w:r>
      <w:r>
        <w:t xml:space="preserve">with, even in cases where they are incompatible or maladapted to small firms relying on DLT.</w:t>
      </w:r>
      <w:r>
        <w:t xml:space="preserve"> </w:t>
      </w:r>
      <w:r>
        <w:t xml:space="preserve">Current DLTPR rules, by derogation from MIFID and CSDR, already enabled setting up</w:t>
      </w:r>
      <w:r>
        <w:t xml:space="preserve"> </w:t>
      </w:r>
      <w:r>
        <w:t xml:space="preserve">business models that under the current rulebooks wouldn’t be possible, or difficult and costly</w:t>
      </w:r>
      <w:r>
        <w:t xml:space="preserve"> </w:t>
      </w:r>
      <w:r>
        <w:t xml:space="preserve">to implement.540 A principles-based rulebook comprised of more general trading and settlement</w:t>
      </w:r>
      <w:r>
        <w:t xml:space="preserve"> </w:t>
      </w:r>
      <w:r>
        <w:t xml:space="preserve">rules may support the development of further new business models. Finally, a more principles-</w:t>
      </w:r>
      <w:r>
        <w:t xml:space="preserve"> </w:t>
      </w:r>
      <w:r>
        <w:t xml:space="preserve">based approach to achieving the objectives of MIFID and CSDR under Pilot may also be</w:t>
      </w:r>
      <w:r>
        <w:t xml:space="preserve"> </w:t>
      </w:r>
      <w:r>
        <w:t xml:space="preserve">needed on proportionality grounds. Many of the businesses interested in participating in the</w:t>
      </w:r>
    </w:p>
    <w:p>
      <w:pPr>
        <w:pStyle w:val="BodyText"/>
      </w:pPr>
      <w:r>
        <w:t xml:space="preserve">540 For example, setting up a trading and settlement infrastructure under one licence is not possible under the</w:t>
      </w:r>
      <w:r>
        <w:t xml:space="preserve"> </w:t>
      </w:r>
      <w:r>
        <w:t xml:space="preserve">regular rulebooks, while it has been a sought-after business model under the DLTPR, which explicitly made it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343</w:t>
      </w:r>
      <w:r>
        <w:t xml:space="preserve"> </w:t>
      </w:r>
      <w:r>
        <w:t xml:space="preserve">Pilot are small new entrants that seek to gradually scale up their projects.541 Ensuring that they</w:t>
      </w:r>
      <w:r>
        <w:t xml:space="preserve"> </w:t>
      </w:r>
      <w:r>
        <w:t xml:space="preserve">can comply with a set of rules that appropriately captures the risk profile of their small-scale</w:t>
      </w:r>
      <w:r>
        <w:t xml:space="preserve"> </w:t>
      </w:r>
      <w:r>
        <w:t xml:space="preserve">operations are key for them. Currently this is not the case. Therefore, to support the general</w:t>
      </w:r>
      <w:r>
        <w:t xml:space="preserve"> </w:t>
      </w:r>
      <w:r>
        <w:t xml:space="preserve">objective in 4.1, the proposed measures should ensure that businesses can benefit from a pilot</w:t>
      </w:r>
      <w:r>
        <w:t xml:space="preserve"> </w:t>
      </w:r>
      <w:r>
        <w:t xml:space="preserve">framework that lays down a proportionate compliance burden, creates sufficient flexibility for</w:t>
      </w:r>
      <w:r>
        <w:t xml:space="preserve"> </w:t>
      </w:r>
      <w:r>
        <w:t xml:space="preserve">businesses looking to innovate with DLT, and avoids diverging national practices within a more</w:t>
      </w:r>
      <w:r>
        <w:t xml:space="preserve"> </w:t>
      </w:r>
      <w:r>
        <w:t xml:space="preserve">principles-based Pilot segment.</w:t>
      </w:r>
      <w:r>
        <w:t xml:space="preserve"> </w:t>
      </w:r>
      <w:r>
        <w:t xml:space="preserve">4.2.2. Removing regulatory barriers to achieving scale and scope of projects and</w:t>
      </w:r>
      <w:r>
        <w:t xml:space="preserve"> </w:t>
      </w:r>
      <w:r>
        <w:t xml:space="preserve">activities under the Pilot</w:t>
      </w:r>
      <w:r>
        <w:t xml:space="preserve"> </w:t>
      </w:r>
      <w:r>
        <w:t xml:space="preserve">The DLTPR is currently geared towards new entrants wishing to use DLT to set up trading and</w:t>
      </w:r>
      <w:r>
        <w:t xml:space="preserve"> </w:t>
      </w:r>
      <w:r>
        <w:t xml:space="preserve">settlement infrastructures, which are expected to scale businesses gradually. However, to</w:t>
      </w:r>
      <w:r>
        <w:t xml:space="preserve"> </w:t>
      </w:r>
      <w:r>
        <w:t xml:space="preserve">increase attractiveness and legal certainty, the DLTPR should not focus solely on small</w:t>
      </w:r>
      <w:r>
        <w:t xml:space="preserve"> </w:t>
      </w:r>
      <w:r>
        <w:t xml:space="preserve">operations. The lack of possibility to achieve scale has been repeatedly criticised by the market</w:t>
      </w:r>
      <w:r>
        <w:t xml:space="preserve"> </w:t>
      </w:r>
      <w:r>
        <w:t xml:space="preserve">since it can affect the commercial viability of projects from inception. Importantly, limitations</w:t>
      </w:r>
      <w:r>
        <w:t xml:space="preserve"> </w:t>
      </w:r>
      <w:r>
        <w:t xml:space="preserve">to scale and scope also disincentivise large established financial players to enter the Pilot to</w:t>
      </w:r>
      <w:r>
        <w:t xml:space="preserve"> </w:t>
      </w:r>
      <w:r>
        <w:t xml:space="preserve">develop large scale projects. The DLTPR should therefore allow projects to achieve scale and</w:t>
      </w:r>
      <w:r>
        <w:t xml:space="preserve"> </w:t>
      </w:r>
      <w:r>
        <w:t xml:space="preserve">scope. Current regulatory standards of the Pilot are equivalent to those under the standard</w:t>
      </w:r>
      <w:r>
        <w:t xml:space="preserve"> </w:t>
      </w:r>
      <w:r>
        <w:t xml:space="preserve">rulebooks (CSDR, MIFID) and yet they comprise strict limitations to activity (aggregate and</w:t>
      </w:r>
      <w:r>
        <w:t xml:space="preserve"> </w:t>
      </w:r>
      <w:r>
        <w:t xml:space="preserve">product-specific thresholds). These limitations may have been appropriate, based on the</w:t>
      </w:r>
      <w:r>
        <w:t xml:space="preserve"> </w:t>
      </w:r>
      <w:r>
        <w:t xml:space="preserve">principle of precaution, in the early days of DLT-based financial markets. However, the</w:t>
      </w:r>
      <w:r>
        <w:t xml:space="preserve"> </w:t>
      </w:r>
      <w:r>
        <w:t xml:space="preserve">increased maturity and robustness of DLT market solutions and supervisory expertise, together</w:t>
      </w:r>
      <w:r>
        <w:t xml:space="preserve"> </w:t>
      </w:r>
      <w:r>
        <w:t xml:space="preserve">with growing market interest in using the technology, necessitate a policy approach that allows</w:t>
      </w:r>
      <w:r>
        <w:t xml:space="preserve"> </w:t>
      </w:r>
      <w:r>
        <w:t xml:space="preserve">for robustly managed projects under the Pilot to continue to increase activities in case of market</w:t>
      </w:r>
      <w:r>
        <w:t xml:space="preserve"> </w:t>
      </w:r>
      <w:r>
        <w:t xml:space="preserve">demand, while considering the risk profile of a project. Supporting a wide scope of projects</w:t>
      </w:r>
      <w:r>
        <w:t xml:space="preserve"> </w:t>
      </w:r>
      <w:r>
        <w:t xml:space="preserve">under the Pilot is equally important. The current limitations to the types of assets eligible to be</w:t>
      </w:r>
      <w:r>
        <w:t xml:space="preserve"> </w:t>
      </w:r>
      <w:r>
        <w:t xml:space="preserve">intermediated by Pilot participants should be eased, as DLT merely represents a type of</w:t>
      </w:r>
      <w:r>
        <w:t xml:space="preserve"> </w:t>
      </w:r>
      <w:r>
        <w:t xml:space="preserve">technology for issuing, registering and transferring assets, and technological risks can be</w:t>
      </w:r>
      <w:r>
        <w:t xml:space="preserve"> </w:t>
      </w:r>
      <w:r>
        <w:t xml:space="preserve">mitigated as part of the company’s operational risk management. On the other hand, product-</w:t>
      </w:r>
      <w:r>
        <w:t xml:space="preserve"> </w:t>
      </w:r>
      <w:r>
        <w:t xml:space="preserve">related risks should and can be mitigated by a proper application of investor protection rules.</w:t>
      </w:r>
      <w:r>
        <w:t xml:space="preserve"> </w:t>
      </w:r>
      <w:r>
        <w:t xml:space="preserve">Finally, it is important to ensure that projects developed under the Pilot do not face legal</w:t>
      </w:r>
      <w:r>
        <w:t xml:space="preserve"> </w:t>
      </w:r>
      <w:r>
        <w:t xml:space="preserve">uncertainty flowing from doubts about the mid-term prospects of the Pilot framework that</w:t>
      </w:r>
      <w:r>
        <w:t xml:space="preserve"> </w:t>
      </w:r>
      <w:r>
        <w:t xml:space="preserve">specifically supports their business models. Where businesses do not have assurances as to the</w:t>
      </w:r>
      <w:r>
        <w:t xml:space="preserve"> </w:t>
      </w:r>
      <w:r>
        <w:t xml:space="preserve">long-term legal feasibility of their projects, this has a chilling effect on entrepreneurship. The</w:t>
      </w:r>
      <w:r>
        <w:t xml:space="preserve"> </w:t>
      </w:r>
      <w:r>
        <w:t xml:space="preserve">current perceived time-limitations of the Pilot therefore represent a barrier to the market and</w:t>
      </w:r>
      <w:r>
        <w:t xml:space="preserve"> </w:t>
      </w:r>
      <w:r>
        <w:t xml:space="preserve">should be expressly addressed.</w:t>
      </w:r>
    </w:p>
    <w:p>
      <w:pPr>
        <w:pStyle w:val="BodyText"/>
      </w:pPr>
      <w:r>
        <w:t xml:space="preserve">541 DLT’s open source (in most cases), platform-based ecosystem appears to be attracting many small tech-</w:t>
      </w:r>
      <w:r>
        <w:t xml:space="preserve"> </w:t>
      </w:r>
      <w:r>
        <w:t xml:space="preserve">oriented companies that would benefit from a gradual compliance approach as they progressively scale their</w:t>
      </w:r>
      <w:r>
        <w:t xml:space="preserve"> </w:t>
      </w:r>
      <w:r>
        <w:t xml:space="preserve">financial services. Furthermore, creating a size- and technology-adapted regulatory treatment is in line with the</w:t>
      </w:r>
      <w:r>
        <w:t xml:space="preserve"> </w:t>
      </w:r>
      <w:r>
        <w:t xml:space="preserve">Commission’s simplification agenda. One of the drivers behind simplification initiatives is precisely to ensure</w:t>
      </w:r>
      <w:r>
        <w:t xml:space="preserve"> </w:t>
      </w:r>
      <w:r>
        <w:t xml:space="preserve">that small businesses benefit from a proportionate compliance treatment. By supporting innovation and a</w:t>
      </w:r>
      <w:r>
        <w:t xml:space="preserve"> </w:t>
      </w:r>
      <w:r>
        <w:t xml:space="preserve">compliance burden adapted to the size of firms, the EU would support the competitiveness of DLT-based</w:t>
      </w:r>
      <w:r>
        <w:t xml:space="preserve"> </w:t>
      </w:r>
      <w:r>
        <w:t xml:space="preserve">infrastructures in the EU.</w:t>
      </w:r>
    </w:p>
    <w:p>
      <w:pPr>
        <w:pStyle w:val="BodyText"/>
      </w:pPr>
      <w:r>
        <w:t xml:space="preserve">344</w:t>
      </w:r>
      <w:r>
        <w:t xml:space="preserve"> </w:t>
      </w:r>
      <w:r>
        <w:t xml:space="preserve">5. POLICY OPTIONS AND ASSESSMENT</w:t>
      </w:r>
      <w:r>
        <w:t xml:space="preserve"> </w:t>
      </w:r>
      <w:r>
        <w:t xml:space="preserve">5.1. SPECIFIC OBJECTIVE 1: ENSURE THAT DLTPR LAYS DOWN PROPORTIONATE AND</w:t>
      </w:r>
      <w:r>
        <w:t xml:space="preserve"> </w:t>
      </w:r>
      <w:r>
        <w:t xml:space="preserve">FLEXIBLE REGULATORY REQUIREMENTS FOR BUSINESSES PARTICIPATING IN THE</w:t>
      </w:r>
      <w:r>
        <w:t xml:space="preserve"> </w:t>
      </w:r>
      <w:r>
        <w:t xml:space="preserve">PILOT</w:t>
      </w:r>
      <w:r>
        <w:t xml:space="preserve"> </w:t>
      </w:r>
      <w:r>
        <w:t xml:space="preserve">5.1.1. Option 1: Baseline – no policy action</w:t>
      </w:r>
      <w:r>
        <w:t xml:space="preserve"> </w:t>
      </w:r>
      <w:r>
        <w:t xml:space="preserve">No policy action in this area would mean that the Pilot, which is meant to be a flexible DLT-</w:t>
      </w:r>
      <w:r>
        <w:t xml:space="preserve"> </w:t>
      </w:r>
      <w:r>
        <w:t xml:space="preserve">adapted experimental framework, remains largely modelled after CSDR and MIFID, providing</w:t>
      </w:r>
      <w:r>
        <w:t xml:space="preserve"> </w:t>
      </w:r>
      <w:r>
        <w:t xml:space="preserve">only a certain limited number of derogations from the standard rulebooks. This means that the</w:t>
      </w:r>
      <w:r>
        <w:t xml:space="preserve"> </w:t>
      </w:r>
      <w:r>
        <w:t xml:space="preserve">freedom to specialise in only certain (CSD) services remains curtailed and the compliance</w:t>
      </w:r>
      <w:r>
        <w:t xml:space="preserve"> </w:t>
      </w:r>
      <w:r>
        <w:t xml:space="preserve">burden for small fintech elevated, since most of the rules of the standard rulebook remain in</w:t>
      </w:r>
      <w:r>
        <w:t xml:space="preserve"> </w:t>
      </w:r>
      <w:r>
        <w:t xml:space="preserve">application. CSDR in particular remains a high compliance burden to clear for new entrants to</w:t>
      </w:r>
      <w:r>
        <w:t xml:space="preserve"> </w:t>
      </w:r>
      <w:r>
        <w:t xml:space="preserve">the market that want to specialise in certain DLT-based CSD services only or scale up their</w:t>
      </w:r>
      <w:r>
        <w:t xml:space="preserve"> </w:t>
      </w:r>
      <w:r>
        <w:t xml:space="preserve">businesses gradually. Consequently, Pilot participation would remain limited, favouring those</w:t>
      </w:r>
      <w:r>
        <w:t xml:space="preserve"> </w:t>
      </w:r>
      <w:r>
        <w:t xml:space="preserve">potential applicants that are well-capitalised while maintaining higher barriers to entry for</w:t>
      </w:r>
      <w:r>
        <w:t xml:space="preserve"> </w:t>
      </w:r>
      <w:r>
        <w:t xml:space="preserve">smaller participants. This may result in lost innovation potential in the EU at a time when DLT</w:t>
      </w:r>
      <w:r>
        <w:t xml:space="preserve"> </w:t>
      </w:r>
      <w:r>
        <w:t xml:space="preserve">and asset tokenisation are becoming an increasingly important trend affecting market structure</w:t>
      </w:r>
      <w:r>
        <w:t xml:space="preserve"> </w:t>
      </w:r>
      <w:r>
        <w:t xml:space="preserve">and processes. Furthermore, large international financial groups may deploy their DLT</w:t>
      </w:r>
      <w:r>
        <w:t xml:space="preserve"> </w:t>
      </w:r>
      <w:r>
        <w:t xml:space="preserve">solutions outside of Europe, in jurisdictions with frameworks more conducive to cutting edge</w:t>
      </w:r>
      <w:r>
        <w:t xml:space="preserve"> </w:t>
      </w:r>
      <w:r>
        <w:t xml:space="preserve">innovation. This may further compound the lost innovation potential as know how is developed</w:t>
      </w:r>
      <w:r>
        <w:t xml:space="preserve"> </w:t>
      </w:r>
      <w:r>
        <w:t xml:space="preserve">outside the EU and subsequently imported in the EU as a ready-made service when it reaches</w:t>
      </w:r>
      <w:r>
        <w:t xml:space="preserve"> </w:t>
      </w:r>
      <w:r>
        <w:t xml:space="preserve">maturity.</w:t>
      </w:r>
      <w:r>
        <w:br/>
      </w:r>
      <w:r>
        <w:t xml:space="preserve">5.1.2. Option 2: Enhance the proportionality and flexibility of Pilot</w:t>
      </w:r>
      <w:r>
        <w:t xml:space="preserve"> </w:t>
      </w:r>
      <w:r>
        <w:t xml:space="preserve">This option would establish a special segment within the DLTPR aimed at small-scale</w:t>
      </w:r>
      <w:r>
        <w:t xml:space="preserve"> </w:t>
      </w:r>
      <w:r>
        <w:t xml:space="preserve">businesses; the ‘tier 2’ segment. Tier 2 Pilot participants would benefit from additional</w:t>
      </w:r>
      <w:r>
        <w:t xml:space="preserve"> </w:t>
      </w:r>
      <w:r>
        <w:t xml:space="preserve">regulatory flexibility and compliance proportionality with regards to CSDR. In practice, this</w:t>
      </w:r>
      <w:r>
        <w:t xml:space="preserve"> </w:t>
      </w:r>
      <w:r>
        <w:t xml:space="preserve">would mean disapplying and modifying a significant part of CSDR level 2 provisions and</w:t>
      </w:r>
      <w:r>
        <w:t xml:space="preserve"> </w:t>
      </w:r>
      <w:r>
        <w:t xml:space="preserve">reverting to the more generally phrased level 1 obligations. Furthermore, certain detailed</w:t>
      </w:r>
      <w:r>
        <w:t xml:space="preserve"> </w:t>
      </w:r>
      <w:r>
        <w:t xml:space="preserve">requirements in CSDR that develop more general obligations thereunder may also be</w:t>
      </w:r>
      <w:r>
        <w:t xml:space="preserve"> </w:t>
      </w:r>
      <w:r>
        <w:t xml:space="preserve">disapplied or modified, both to increase proportionality and take into account DLT specificities.</w:t>
      </w:r>
      <w:r>
        <w:t xml:space="preserve"> </w:t>
      </w:r>
      <w:r>
        <w:t xml:space="preserve">The result should be a bespoke simplified rulebook for CSD services applicable to small Pilot</w:t>
      </w:r>
      <w:r>
        <w:t xml:space="preserve"> </w:t>
      </w:r>
      <w:r>
        <w:t xml:space="preserve">applicants. The activities of tier 2 would be capped to an amount close to the current cap in the</w:t>
      </w:r>
      <w:r>
        <w:t xml:space="preserve"> </w:t>
      </w:r>
      <w:r>
        <w:t xml:space="preserve">DLTPR542, which has already been established as a size-limitation that ensures any operations</w:t>
      </w:r>
      <w:r>
        <w:t xml:space="preserve"> </w:t>
      </w:r>
      <w:r>
        <w:t xml:space="preserve">under it cannot achieve scales that may affect financial stability. Tier 2 would be implemented</w:t>
      </w:r>
      <w:r>
        <w:t xml:space="preserve"> </w:t>
      </w:r>
      <w:r>
        <w:t xml:space="preserve">in two steps. Firstly, DLTPR would lay down the essential features of the tier 2 framework,</w:t>
      </w:r>
      <w:r>
        <w:t xml:space="preserve"> </w:t>
      </w:r>
      <w:r>
        <w:t xml:space="preserve">such as an activity threshold, eligible participants, rules on transitioning to tier 1.543 Secondly,</w:t>
      </w:r>
    </w:p>
    <w:p>
      <w:pPr>
        <w:pStyle w:val="BodyText"/>
      </w:pPr>
      <w:r>
        <w:t xml:space="preserve">542 This option is assumed to be implemented in conjunction with increasing or removing the thresholds (see</w:t>
      </w:r>
      <w:r>
        <w:t xml:space="preserve"> </w:t>
      </w:r>
      <w:r>
        <w:t xml:space="preserve">options under S02) for those Pilot participants that would comply with the current DLTPR rulebook, which</w:t>
      </w:r>
      <w:r>
        <w:t xml:space="preserve"> </w:t>
      </w:r>
      <w:r>
        <w:t xml:space="preserve">includes level 2 requirements. These participants operating under an increased thresholds would consequently</w:t>
      </w:r>
      <w:r>
        <w:t xml:space="preserve"> </w:t>
      </w:r>
      <w:r>
        <w:t xml:space="preserve">become ‘tier 1’ participants.</w:t>
      </w:r>
      <w:r>
        <w:br/>
      </w:r>
      <w:r>
        <w:t xml:space="preserve">543 Tier 1 would imply the DLTPR regulatory treatment that is currently applicable to Pilot applicants, which</w:t>
      </w:r>
      <w:r>
        <w:t xml:space="preserve"> </w:t>
      </w:r>
      <w:r>
        <w:t xml:space="preserve">means CSDR and MIFID and their level 2, with the possibility of derogations foreseen in the current DLTPR.</w:t>
      </w:r>
    </w:p>
    <w:p>
      <w:pPr>
        <w:pStyle w:val="BodyText"/>
      </w:pPr>
      <w:r>
        <w:t xml:space="preserve">345</w:t>
      </w:r>
      <w:r>
        <w:t xml:space="preserve"> </w:t>
      </w:r>
      <w:r>
        <w:t xml:space="preserve">a subsequent delegated act would disapply parts of CSDR level 2 requirements and modify</w:t>
      </w:r>
      <w:r>
        <w:t xml:space="preserve"> </w:t>
      </w:r>
      <w:r>
        <w:t xml:space="preserve">non-essential provisions of level 1 to achieve proportionality and greater generality of</w:t>
      </w:r>
      <w:r>
        <w:t xml:space="preserve"> </w:t>
      </w:r>
      <w:r>
        <w:t xml:space="preserve">obligations. Furthermore, a similar approach to tier 2 would be taken for MIFID, with regards</w:t>
      </w:r>
      <w:r>
        <w:t xml:space="preserve"> </w:t>
      </w:r>
      <w:r>
        <w:t xml:space="preserve">to trading venues participating in the Pilot. While the greatest market interest and the need for</w:t>
      </w:r>
      <w:r>
        <w:t xml:space="preserve"> </w:t>
      </w:r>
      <w:r>
        <w:t xml:space="preserve">regulatory flexibility relates to CSD services, it is important to future proof the Pilot in case</w:t>
      </w:r>
      <w:r>
        <w:t xml:space="preserve"> </w:t>
      </w:r>
      <w:r>
        <w:t xml:space="preserve">market circumstances change and there is a demonstrable need for regulatory flexibility and</w:t>
      </w:r>
      <w:r>
        <w:t xml:space="preserve"> </w:t>
      </w:r>
      <w:r>
        <w:t xml:space="preserve">proportionality also with regards to trading services.</w:t>
      </w:r>
      <w:r>
        <w:t xml:space="preserve"> </w:t>
      </w:r>
      <w:r>
        <w:t xml:space="preserve">The general approach of establishing a more principle-based regulatory approach within the</w:t>
      </w:r>
      <w:r>
        <w:t xml:space="preserve"> </w:t>
      </w:r>
      <w:r>
        <w:t xml:space="preserve">DLTPR was supported by the majority of respondents to the SIU targeted consultation, as</w:t>
      </w:r>
      <w:r>
        <w:t xml:space="preserve"> </w:t>
      </w:r>
      <w:r>
        <w:t xml:space="preserve">opposed to solely relying on fixed derogations from MIFID and CSDR. Evidence from</w:t>
      </w:r>
      <w:r>
        <w:t xml:space="preserve"> </w:t>
      </w:r>
      <w:r>
        <w:t xml:space="preserve">supervisory sandboxes as shown by the OECD544 indicate that proportionate, principles-based</w:t>
      </w:r>
      <w:r>
        <w:t xml:space="preserve"> </w:t>
      </w:r>
      <w:r>
        <w:t xml:space="preserve">approaches and lighter rulebooks for small firms reduce entry barriers while preserving</w:t>
      </w:r>
      <w:r>
        <w:t xml:space="preserve"> </w:t>
      </w:r>
      <w:r>
        <w:t xml:space="preserve">consumer and market safeguards when combined with active supervision. Such an approach</w:t>
      </w:r>
      <w:r>
        <w:t xml:space="preserve"> </w:t>
      </w:r>
      <w:r>
        <w:t xml:space="preserve">was said to have greater flexibility and adaptability to technological innovation, according to</w:t>
      </w:r>
      <w:r>
        <w:t xml:space="preserve"> </w:t>
      </w:r>
      <w:r>
        <w:t xml:space="preserve">respondents. In general terms, a tiered, risk-based approach that distinguishes between large</w:t>
      </w:r>
      <w:r>
        <w:t xml:space="preserve"> </w:t>
      </w:r>
      <w:r>
        <w:t xml:space="preserve">and small Pilot participants was also supported by ESMA in their 2025 DLTPR Report.</w:t>
      </w:r>
      <w:r>
        <w:br/>
      </w:r>
      <w:r>
        <w:t xml:space="preserve">This option would directly deliver on the objective of ensuring proportionality and flexibility</w:t>
      </w:r>
      <w:r>
        <w:t xml:space="preserve"> </w:t>
      </w:r>
      <w:r>
        <w:t xml:space="preserve">of the Pilot for small innovative businesses. Firstly, by disapplying parts of level 2 and some</w:t>
      </w:r>
      <w:r>
        <w:t xml:space="preserve"> </w:t>
      </w:r>
      <w:r>
        <w:t xml:space="preserve">provisions of level 1, NCAs would rely on the principles-based obligations of CSDR to approve</w:t>
      </w:r>
      <w:r>
        <w:t xml:space="preserve"> </w:t>
      </w:r>
      <w:r>
        <w:t xml:space="preserve">and supervise firms wanting to provide CSD services. By doing so, they may be able to better</w:t>
      </w:r>
      <w:r>
        <w:t xml:space="preserve"> </w:t>
      </w:r>
      <w:r>
        <w:t xml:space="preserve">take into account the specific business model of a DLTPR applicant and its risk profile.</w:t>
      </w:r>
      <w:r>
        <w:t xml:space="preserve"> </w:t>
      </w:r>
      <w:r>
        <w:t xml:space="preserve">Secondly, by being less constrained by detailed level 1 and 2 rules, the Pilot applicants would</w:t>
      </w:r>
      <w:r>
        <w:t xml:space="preserve"> </w:t>
      </w:r>
      <w:r>
        <w:t xml:space="preserve">have more freedom in organising their activities in new ways. Well-designed proportionate</w:t>
      </w:r>
      <w:r>
        <w:t xml:space="preserve"> </w:t>
      </w:r>
      <w:r>
        <w:t xml:space="preserve">regimes can accelerate learning for both regulators and firms while preserving financial</w:t>
      </w:r>
      <w:r>
        <w:t xml:space="preserve"> </w:t>
      </w:r>
      <w:r>
        <w:t xml:space="preserve">stability as shown by OECD.</w:t>
      </w:r>
      <w:r>
        <w:t xml:space="preserve"> </w:t>
      </w:r>
      <w:r>
        <w:t xml:space="preserve">Creating the tier 2 segment adapted for small businesses would have direct benefits for DLT</w:t>
      </w:r>
      <w:r>
        <w:t xml:space="preserve"> </w:t>
      </w:r>
      <w:r>
        <w:t xml:space="preserve">innovation in finance. In the area of tech-driven financial innovation it is often small fintechs</w:t>
      </w:r>
      <w:r>
        <w:t xml:space="preserve"> </w:t>
      </w:r>
      <w:r>
        <w:t xml:space="preserve">that create most innovative solutions and put competitive pressure on larger players to follow</w:t>
      </w:r>
      <w:r>
        <w:t xml:space="preserve"> </w:t>
      </w:r>
      <w:r>
        <w:t xml:space="preserve">suit or acquire new entrants, internalising innovation. Therefore, a Pilot segment adapted to</w:t>
      </w:r>
      <w:r>
        <w:t xml:space="preserve"> </w:t>
      </w:r>
      <w:r>
        <w:t xml:space="preserve">small firms that benefit from close NCA support is expected to boost innovation in DLT-based</w:t>
      </w:r>
      <w:r>
        <w:t xml:space="preserve"> </w:t>
      </w:r>
      <w:r>
        <w:t xml:space="preserve">CSD services. This is important, as DLT solutions may upend how CSD services are provided</w:t>
      </w:r>
      <w:r>
        <w:t xml:space="preserve"> </w:t>
      </w:r>
      <w:r>
        <w:t xml:space="preserve">in the future, and therefore it is the new entrants rather than incumbents that may be most</w:t>
      </w:r>
      <w:r>
        <w:t xml:space="preserve"> </w:t>
      </w:r>
      <w:r>
        <w:t xml:space="preserve">incentivised to deploy the technology. Such flexibility aligns with recommendations from the</w:t>
      </w:r>
      <w:r>
        <w:t xml:space="preserve"> </w:t>
      </w:r>
      <w:r>
        <w:t xml:space="preserve">Bank for International Settlements, which emphasised proportional innovation pathways as key</w:t>
      </w:r>
      <w:r>
        <w:t xml:space="preserve"> </w:t>
      </w:r>
      <w:r>
        <w:t xml:space="preserve">enablers for distributed ledger adoption in regulated markets.545</w:t>
      </w:r>
      <w:r>
        <w:t xml:space="preserve"> </w:t>
      </w:r>
      <w:r>
        <w:t xml:space="preserve">Because the legal framework of tier 2 would be more generally phrased, it may lead to divergent</w:t>
      </w:r>
      <w:r>
        <w:t xml:space="preserve"> </w:t>
      </w:r>
      <w:r>
        <w:t xml:space="preserve">regulatory approaches in Member States. This may undermine the principle of a single EU-</w:t>
      </w:r>
      <w:r>
        <w:t xml:space="preserve"> </w:t>
      </w:r>
      <w:r>
        <w:t xml:space="preserve">wide rulebook and lead to regulatory arbitrage. To mitigate these downsides, ESMA should be</w:t>
      </w:r>
      <w:r>
        <w:t xml:space="preserve"> </w:t>
      </w:r>
      <w:r>
        <w:t xml:space="preserve">closely involved, leveraging supervisory convergence tools to ensure a coherent application of</w:t>
      </w:r>
      <w:r>
        <w:t xml:space="preserve"> </w:t>
      </w:r>
      <w:r>
        <w:t xml:space="preserve">the tier 2 framework across the Union.</w:t>
      </w:r>
    </w:p>
    <w:p>
      <w:pPr>
        <w:pStyle w:val="BodyText"/>
      </w:pPr>
      <w:r>
        <w:t xml:space="preserve">544 OECD The role of sandboxes in promoting flexibility and innovation in the digital age</w:t>
      </w:r>
      <w:r>
        <w:t xml:space="preserve"> </w:t>
      </w:r>
      <w:r>
        <w:t xml:space="preserve">https://www.oecd.org/content/dam/oecd/en/publications/reports/2020/06/the-role-of-sandboxes-in-promoting-</w:t>
      </w:r>
      <w:r>
        <w:t xml:space="preserve"> </w:t>
      </w:r>
      <w:r>
        <w:t xml:space="preserve">flexibility-and-innovation-in-the-digital-age_ddcd3d40/cdf5ed45-en.pdf</w:t>
      </w:r>
      <w:r>
        <w:t xml:space="preserve"> </w:t>
      </w:r>
      <w:r>
        <w:t xml:space="preserve">545</w:t>
      </w:r>
      <w:r>
        <w:t xml:space="preserve"> </w:t>
      </w:r>
      <w:r>
        <w:t xml:space="preserve">BIS</w:t>
      </w:r>
      <w:r>
        <w:t xml:space="preserve"> </w:t>
      </w:r>
      <w:r>
        <w:t xml:space="preserve">Wholesale</w:t>
      </w:r>
      <w:r>
        <w:t xml:space="preserve"> </w:t>
      </w:r>
      <w:r>
        <w:t xml:space="preserve">central</w:t>
      </w:r>
      <w:r>
        <w:t xml:space="preserve"> </w:t>
      </w:r>
      <w:r>
        <w:t xml:space="preserve">bank</w:t>
      </w:r>
      <w:r>
        <w:t xml:space="preserve"> </w:t>
      </w:r>
      <w:r>
        <w:t xml:space="preserve">money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innovation,</w:t>
      </w:r>
      <w:r>
        <w:t xml:space="preserve"> </w:t>
      </w:r>
      <w:r>
        <w:t xml:space="preserve">https://www.bis.org/publ/othp99.htm</w:t>
      </w:r>
    </w:p>
    <w:p>
      <w:pPr>
        <w:pStyle w:val="BodyText"/>
      </w:pPr>
      <w:r>
        <w:t xml:space="preserve">346</w:t>
      </w:r>
      <w:r>
        <w:t xml:space="preserve"> </w:t>
      </w:r>
      <w:r>
        <w:t xml:space="preserve">5.1.3. Option 3: Extensive overview to maximise flexibility and proportionality</w:t>
      </w:r>
      <w:r>
        <w:t xml:space="preserve"> </w:t>
      </w:r>
      <w:r>
        <w:t xml:space="preserve">of the Pilot</w:t>
      </w:r>
      <w:r>
        <w:t xml:space="preserve"> </w:t>
      </w:r>
      <w:r>
        <w:t xml:space="preserve">This option would establish tier 2 as in option 2, but would additionally include the possibility</w:t>
      </w:r>
      <w:r>
        <w:t xml:space="preserve"> </w:t>
      </w:r>
      <w:r>
        <w:t xml:space="preserve">for regulated financial entities to obtain a specific licence under the DLTPR for a single</w:t>
      </w:r>
      <w:r>
        <w:t xml:space="preserve"> </w:t>
      </w:r>
      <w:r>
        <w:t xml:space="preserve">DLT-based CSD service under the Pilot and comply with the requirements related to that</w:t>
      </w:r>
      <w:r>
        <w:t xml:space="preserve"> </w:t>
      </w:r>
      <w:r>
        <w:t xml:space="preserve">service only, which currently is not possible under CSDR nor DLTPR.546 This service-specific</w:t>
      </w:r>
      <w:r>
        <w:t xml:space="preserve"> </w:t>
      </w:r>
      <w:r>
        <w:t xml:space="preserve">regulation would allow Pilot participants to set up distributed provision of CSD services across</w:t>
      </w:r>
      <w:r>
        <w:t xml:space="preserve"> </w:t>
      </w:r>
      <w:r>
        <w:t xml:space="preserve">a network of specialised service providers. The requirements applicable to each of the core</w:t>
      </w:r>
      <w:r>
        <w:t xml:space="preserve"> </w:t>
      </w:r>
      <w:r>
        <w:t xml:space="preserve">CSD services would mirror, to the extent possible, the obligations related to a particular service</w:t>
      </w:r>
      <w:r>
        <w:t xml:space="preserve"> </w:t>
      </w:r>
      <w:r>
        <w:t xml:space="preserve">in CSDR. CSD service providers would need to, individually and collectively, ensure the same</w:t>
      </w:r>
      <w:r>
        <w:t xml:space="preserve"> </w:t>
      </w:r>
      <w:r>
        <w:t xml:space="preserve">regulatory outcomes required by CSDR, such as integrity of the issuance, robust safeguarding</w:t>
      </w:r>
      <w:r>
        <w:t xml:space="preserve"> </w:t>
      </w:r>
      <w:r>
        <w:t xml:space="preserve">of assets and orderly settlement. Under such service-specific regulation, an eligible entity could</w:t>
      </w:r>
      <w:r>
        <w:t xml:space="preserve"> </w:t>
      </w:r>
      <w:r>
        <w:t xml:space="preserve">within the Pilot obtain a licence to provide the notary function and register securities on DLT.</w:t>
      </w:r>
      <w:r>
        <w:t xml:space="preserve"> </w:t>
      </w:r>
      <w:r>
        <w:t xml:space="preserve">It could provide that service across Europe. Tokenisation platforms that specialise in creating</w:t>
      </w:r>
      <w:r>
        <w:t xml:space="preserve"> </w:t>
      </w:r>
      <w:r>
        <w:t xml:space="preserve">smart-contract-based (tokenised) securities catering to issuer needs may be interested in this</w:t>
      </w:r>
      <w:r>
        <w:t xml:space="preserve"> </w:t>
      </w:r>
      <w:r>
        <w:t xml:space="preserve">service.</w:t>
      </w:r>
      <w:r>
        <w:br/>
      </w:r>
      <w:r>
        <w:t xml:space="preserve">Per-service authorisation for CSD services was supported by the majority of respondents to the</w:t>
      </w:r>
      <w:r>
        <w:t xml:space="preserve"> </w:t>
      </w:r>
      <w:r>
        <w:t xml:space="preserve">public consultation, noting that such an approach could enhance technological neutrality of</w:t>
      </w:r>
      <w:r>
        <w:t xml:space="preserve"> </w:t>
      </w:r>
      <w:r>
        <w:t xml:space="preserve">DLTPR, support competition in the area of DLT-based CSD services and provide more</w:t>
      </w:r>
      <w:r>
        <w:t xml:space="preserve"> </w:t>
      </w:r>
      <w:r>
        <w:t xml:space="preserve">flexibility for new business models.</w:t>
      </w:r>
      <w:r>
        <w:t xml:space="preserve"> </w:t>
      </w:r>
      <w:r>
        <w:t xml:space="preserve">Service-specific regulation supports the first specific objective. Firstly, businesses benefit from</w:t>
      </w:r>
      <w:r>
        <w:t xml:space="preserve"> </w:t>
      </w:r>
      <w:r>
        <w:t xml:space="preserve">a more proportional compliance burden where they can be subject to only those requirements</w:t>
      </w:r>
      <w:r>
        <w:t xml:space="preserve"> </w:t>
      </w:r>
      <w:r>
        <w:t xml:space="preserve">that are relevant for the CSD service provided. This is important because CSD services differ</w:t>
      </w:r>
      <w:r>
        <w:t xml:space="preserve"> </w:t>
      </w:r>
      <w:r>
        <w:t xml:space="preserve">in risk profile. For example, albeit crucial for ensuring orderly management of a particular</w:t>
      </w:r>
      <w:r>
        <w:t xml:space="preserve"> </w:t>
      </w:r>
      <w:r>
        <w:t xml:space="preserve">securities issuance, the risk profile of a notary service is normally much lower than that</w:t>
      </w:r>
      <w:r>
        <w:t xml:space="preserve"> </w:t>
      </w:r>
      <w:r>
        <w:t xml:space="preserve">associated to the settlement service. The latter service may involve liquidity and credit risks</w:t>
      </w:r>
      <w:r>
        <w:t xml:space="preserve"> </w:t>
      </w:r>
      <w:r>
        <w:t xml:space="preserve">that are not inherent in the notary service. This measure may particularly benefit smaller Pilot</w:t>
      </w:r>
      <w:r>
        <w:t xml:space="preserve"> </w:t>
      </w:r>
      <w:r>
        <w:t xml:space="preserve">applicants that may find it easier to initially focus on a single CSD service and expand their</w:t>
      </w:r>
      <w:r>
        <w:t xml:space="preserve"> </w:t>
      </w:r>
      <w:r>
        <w:t xml:space="preserve">offering as they scale up. Secondly, service-specific regulation may enable participants in the</w:t>
      </w:r>
      <w:r>
        <w:t xml:space="preserve"> </w:t>
      </w:r>
      <w:r>
        <w:t xml:space="preserve">issuance and post-trading value chain to organise the provision of CSD services as a network</w:t>
      </w:r>
      <w:r>
        <w:t xml:space="preserve"> </w:t>
      </w:r>
      <w:r>
        <w:t xml:space="preserve">of interconnected entities, on a DLT platform, and not as single CSD entity providing all CSD</w:t>
      </w:r>
      <w:r>
        <w:t xml:space="preserve"> </w:t>
      </w:r>
      <w:r>
        <w:t xml:space="preserve">services on its systems. Such a regulatory approach may unlock new business models,</w:t>
      </w:r>
      <w:r>
        <w:t xml:space="preserve"> </w:t>
      </w:r>
      <w:r>
        <w:t xml:space="preserve">specialisation among intermediaries and more competition in CSD services. Therefore, it</w:t>
      </w:r>
      <w:r>
        <w:t xml:space="preserve"> </w:t>
      </w:r>
      <w:r>
        <w:t xml:space="preserve">directly supports the objective of increasing the regulatory flexibility of the Pilot. Distribution</w:t>
      </w:r>
      <w:r>
        <w:t xml:space="preserve"> </w:t>
      </w:r>
      <w:r>
        <w:t xml:space="preserve">of CSD roles may lead to increased system resilience, eliminating the single point of failure</w:t>
      </w:r>
      <w:r>
        <w:t xml:space="preserve"> </w:t>
      </w:r>
      <w:r>
        <w:t xml:space="preserve">problem of the current centralised CSD model. However, it may also make supervision more</w:t>
      </w:r>
      <w:r>
        <w:t xml:space="preserve"> </w:t>
      </w:r>
      <w:r>
        <w:t xml:space="preserve">difficult, with CSD services provided by a group of entities. To safeguard orderly markets,</w:t>
      </w:r>
      <w:r>
        <w:t xml:space="preserve"> </w:t>
      </w:r>
      <w:r>
        <w:t xml:space="preserve">comingling certain key post-trading services, such as operating a settlement system, with other</w:t>
      </w:r>
      <w:r>
        <w:t xml:space="preserve"> </w:t>
      </w:r>
      <w:r>
        <w:t xml:space="preserve">financial services may need to be prevented. Recognising the specificities of platform-based</w:t>
      </w:r>
      <w:r>
        <w:t xml:space="preserve"> </w:t>
      </w:r>
      <w:r>
        <w:t xml:space="preserve">service provision on DLT but ensuring that risks are appropriately mitigated, this measure</w:t>
      </w:r>
      <w:r>
        <w:t xml:space="preserve"> </w:t>
      </w:r>
      <w:r>
        <w:t xml:space="preserve">would be in line with the general principle of same activity, same risks, same regulatory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546 Currently, under CSDs under the CSDR are presumed to perform at least two core CSD services: operating a</w:t>
      </w:r>
      <w:r>
        <w:t xml:space="preserve"> </w:t>
      </w:r>
      <w:r>
        <w:t xml:space="preserve">settlement system and one other core CSD service (notary and central maintenance service), while often providing</w:t>
      </w:r>
      <w:r>
        <w:t xml:space="preserve"> </w:t>
      </w:r>
      <w:r>
        <w:t xml:space="preserve">all three services.</w:t>
      </w:r>
    </w:p>
    <w:p>
      <w:pPr>
        <w:pStyle w:val="BodyText"/>
      </w:pPr>
      <w:r>
        <w:t xml:space="preserve">347</w:t>
      </w:r>
      <w:r>
        <w:t xml:space="preserve"> </w:t>
      </w:r>
      <w:r>
        <w:t xml:space="preserve">Finally, this option would also establish a mechanism to approve derogations from CSDR</w:t>
      </w:r>
      <w:r>
        <w:t xml:space="preserve"> </w:t>
      </w:r>
      <w:r>
        <w:t xml:space="preserve">or MIFID, on requests initiated by the applicants to the DLT Pilot. Currently, all the</w:t>
      </w:r>
      <w:r>
        <w:t xml:space="preserve"> </w:t>
      </w:r>
      <w:r>
        <w:t xml:space="preserve">derogations from the standard rulebooks made possible under the Pilot are specified in advance,</w:t>
      </w:r>
      <w:r>
        <w:t xml:space="preserve"> </w:t>
      </w:r>
      <w:r>
        <w:t xml:space="preserve">in the DLTPR, without the possibility for Pilot applicants to apply for derogations outside those</w:t>
      </w:r>
      <w:r>
        <w:t xml:space="preserve"> </w:t>
      </w:r>
      <w:r>
        <w:t xml:space="preserve">enumerated in the regulation. However, provisions that are incompatible with the use of DLT,</w:t>
      </w:r>
      <w:r>
        <w:t xml:space="preserve"> </w:t>
      </w:r>
      <w:r>
        <w:t xml:space="preserve">and therefore act as a barrier to innovation, can in practice be best identified in the process of</w:t>
      </w:r>
      <w:r>
        <w:t xml:space="preserve"> </w:t>
      </w:r>
      <w:r>
        <w:t xml:space="preserve">establishing a concrete innovative business model and applying for its authorisation. It is rather</w:t>
      </w:r>
      <w:r>
        <w:t xml:space="preserve"> </w:t>
      </w:r>
      <w:r>
        <w:t xml:space="preserve">difficult for the law to identify in advance which specific provision may not be adapted to an</w:t>
      </w:r>
      <w:r>
        <w:t xml:space="preserve"> </w:t>
      </w:r>
      <w:r>
        <w:t xml:space="preserve">emerging technology and manifold business models that would like to use it. An application-</w:t>
      </w:r>
      <w:r>
        <w:t xml:space="preserve"> </w:t>
      </w:r>
      <w:r>
        <w:t xml:space="preserve">driven derogation mechanism would address this problem. Upon a reasoned request from a</w:t>
      </w:r>
      <w:r>
        <w:t xml:space="preserve"> </w:t>
      </w:r>
      <w:r>
        <w:t xml:space="preserve">DLTPR applicant, non-essential elements of CSDR or MiFID could be derogated from based</w:t>
      </w:r>
      <w:r>
        <w:t xml:space="preserve"> </w:t>
      </w:r>
      <w:r>
        <w:t xml:space="preserve">on their incompatibility with DLT-based provision of services, provided that the objectives</w:t>
      </w:r>
      <w:r>
        <w:t xml:space="preserve"> </w:t>
      </w:r>
      <w:r>
        <w:t xml:space="preserve">pursued by the rulebook derogated from, and its essential elements and principles, are</w:t>
      </w:r>
      <w:r>
        <w:t xml:space="preserve"> </w:t>
      </w:r>
      <w:r>
        <w:t xml:space="preserve">preserved.</w:t>
      </w:r>
      <w:r>
        <w:t xml:space="preserve"> </w:t>
      </w:r>
      <w:r>
        <w:t xml:space="preserve">5.2. SPECIFIC OBJECTIVE 2: REMOVE REGULATORY BARRIERS TO ACHIEVING SCALE</w:t>
      </w:r>
      <w:r>
        <w:t xml:space="preserve"> </w:t>
      </w:r>
      <w:r>
        <w:t xml:space="preserve">AND SCOPE OF PROJECTS AND ACTIVITIES UNDER THE PILOT</w:t>
      </w:r>
      <w:r>
        <w:t xml:space="preserve"> </w:t>
      </w:r>
      <w:r>
        <w:t xml:space="preserve">5.2.1. Option 1: Baseline – no policy action</w:t>
      </w:r>
      <w:r>
        <w:t xml:space="preserve"> </w:t>
      </w:r>
      <w:r>
        <w:t xml:space="preserve">No policy action means that the Pilot maintains the limitations of its current form. Keeping</w:t>
      </w:r>
      <w:r>
        <w:t xml:space="preserve"> </w:t>
      </w:r>
      <w:r>
        <w:t xml:space="preserve">aggregate thresholds applicable to DLT MIs at EUR 6 bn means that projects under the Pilot</w:t>
      </w:r>
      <w:r>
        <w:t xml:space="preserve"> </w:t>
      </w:r>
      <w:r>
        <w:t xml:space="preserve">wouldn’t be able to scale. This amount is the rough equivalent of a few large corporate debt</w:t>
      </w:r>
      <w:r>
        <w:t xml:space="preserve"> </w:t>
      </w:r>
      <w:r>
        <w:t xml:space="preserve">issuances or a single sovereign debt issuance.547 Therefore DLT MIs operating under such caps</w:t>
      </w:r>
      <w:r>
        <w:t xml:space="preserve"> </w:t>
      </w:r>
      <w:r>
        <w:t xml:space="preserve">wouldn’t be able to meaningfully service large issuers, reducing the attractiveness of their</w:t>
      </w:r>
      <w:r>
        <w:t xml:space="preserve"> </w:t>
      </w:r>
      <w:r>
        <w:t xml:space="preserve">offering. The threat of breaching thresholds while trying to grow the business may prove to be</w:t>
      </w:r>
      <w:r>
        <w:t xml:space="preserve"> </w:t>
      </w:r>
      <w:r>
        <w:t xml:space="preserve">challenging if not impossible to manage for existing participants, especially if changes to</w:t>
      </w:r>
      <w:r>
        <w:t xml:space="preserve"> </w:t>
      </w:r>
      <w:r>
        <w:t xml:space="preserve">CSDR or MIFID do not mirror the DLT-adapted provisions of the Pilot framework, making</w:t>
      </w:r>
      <w:r>
        <w:t xml:space="preserve"> </w:t>
      </w:r>
      <w:r>
        <w:t xml:space="preserve">transition into the standard framework difficult. Maintaining limits on the scope of products</w:t>
      </w:r>
      <w:r>
        <w:t xml:space="preserve"> </w:t>
      </w:r>
      <w:r>
        <w:t xml:space="preserve">means DLT MIs wouldn’t be able to use DLT for issuance, recording and transfer of more</w:t>
      </w:r>
      <w:r>
        <w:t xml:space="preserve"> </w:t>
      </w:r>
      <w:r>
        <w:t xml:space="preserve">complex and less liquid products, hampering innovation in the market segment that may prove</w:t>
      </w:r>
      <w:r>
        <w:t xml:space="preserve"> </w:t>
      </w:r>
      <w:r>
        <w:t xml:space="preserve">to be most conducive to DLT disruption. Finally, failing to address the time-limitation of the</w:t>
      </w:r>
      <w:r>
        <w:t xml:space="preserve"> </w:t>
      </w:r>
      <w:r>
        <w:t xml:space="preserve">Pilot would further deepen market uncertainty about the commercial viability of projects</w:t>
      </w:r>
      <w:r>
        <w:t xml:space="preserve"> </w:t>
      </w:r>
      <w:r>
        <w:t xml:space="preserve">deployed under the framework. This may disincentivise prospective participants to complete</w:t>
      </w:r>
      <w:r>
        <w:t xml:space="preserve"> </w:t>
      </w:r>
      <w:r>
        <w:t xml:space="preserve">their licencing process, further depressing Pilot uptake.</w:t>
      </w:r>
      <w:r>
        <w:t xml:space="preserve"> </w:t>
      </w:r>
      <w:r>
        <w:t xml:space="preserve">5.2.2. Option 2: Comprehensive increase of scope and scale</w:t>
      </w:r>
      <w:r>
        <w:t xml:space="preserve"> </w:t>
      </w:r>
      <w:r>
        <w:t xml:space="preserve">This option would firstly remove the product-specific thresholds, while significantly increasing</w:t>
      </w:r>
      <w:r>
        <w:t xml:space="preserve"> </w:t>
      </w:r>
      <w:r>
        <w:t xml:space="preserve">the aggregate threshold (currently EUR 6 bn), to e.g. EUR 100 billion, but remain limited</w:t>
      </w:r>
      <w:r>
        <w:t xml:space="preserve"> </w:t>
      </w:r>
      <w:r>
        <w:t xml:space="preserve">unlike option 3. This threshold is proposed based on the market data of European CSDs as</w:t>
      </w:r>
    </w:p>
    <w:p>
      <w:pPr>
        <w:pStyle w:val="BodyText"/>
      </w:pPr>
      <w:r>
        <w:t xml:space="preserve">547https://www.bundesbank.de/resource/blob/959424/68c7d4874923350405af4841f2e45cbb/472B63F073F0713</w:t>
      </w:r>
      <w:r>
        <w:t xml:space="preserve"> </w:t>
      </w:r>
      <w:r>
        <w:t xml:space="preserve">07366337C94F8C870/2025-06-06-ausschreibung-download.pdf</w:t>
      </w:r>
    </w:p>
    <w:p>
      <w:pPr>
        <w:pStyle w:val="BodyText"/>
      </w:pPr>
      <w:r>
        <w:t xml:space="preserve">348</w:t>
      </w:r>
      <w:r>
        <w:t xml:space="preserve"> </w:t>
      </w:r>
      <w:r>
        <w:t xml:space="preserve">reported by the ECB548, and approximately represents the median size CSD in Europe.549 The</w:t>
      </w:r>
      <w:r>
        <w:t xml:space="preserve"> </w:t>
      </w:r>
      <w:r>
        <w:t xml:space="preserve">increased thresholds would allow Pilot participants to develop economies of scale, increasing</w:t>
      </w:r>
      <w:r>
        <w:t xml:space="preserve"> </w:t>
      </w:r>
      <w:r>
        <w:t xml:space="preserve">business attractiveness of the Pilot, while still maintaining a limit to the size of Pilot activity</w:t>
      </w:r>
      <w:r>
        <w:t xml:space="preserve"> </w:t>
      </w:r>
      <w:r>
        <w:t xml:space="preserve">and therefore mitigating risks, in particular those related to financial stability. To ensure the</w:t>
      </w:r>
      <w:r>
        <w:t xml:space="preserve"> </w:t>
      </w:r>
      <w:r>
        <w:t xml:space="preserve">Pilot provides a pathway to further scaling, a delegated act empowerment would foresee further</w:t>
      </w:r>
      <w:r>
        <w:t xml:space="preserve"> </w:t>
      </w:r>
      <w:r>
        <w:t xml:space="preserve">increasing of the threshold depending on specified market conditions (demonstrated market</w:t>
      </w:r>
      <w:r>
        <w:t xml:space="preserve"> </w:t>
      </w:r>
      <w:r>
        <w:t xml:space="preserve">demand and evidence of limited financial stability or other risks). The delegated act could also</w:t>
      </w:r>
      <w:r>
        <w:t xml:space="preserve"> </w:t>
      </w:r>
      <w:r>
        <w:t xml:space="preserve">be used to revise the threshold downwards, should there be an unforeseen risk build-up in the</w:t>
      </w:r>
      <w:r>
        <w:t xml:space="preserve"> </w:t>
      </w:r>
      <w:r>
        <w:t xml:space="preserve">activity conducted under the Pilot.</w:t>
      </w:r>
      <w:r>
        <w:br/>
      </w:r>
      <w:r>
        <w:t xml:space="preserve">The majority of respondents to the public consultation, proposed adapting or removing the limit</w:t>
      </w:r>
      <w:r>
        <w:t xml:space="preserve"> </w:t>
      </w:r>
      <w:r>
        <w:t xml:space="preserve">on the value of financial instruments traded, while some respondents favoured a flexible limit</w:t>
      </w:r>
      <w:r>
        <w:t xml:space="preserve"> </w:t>
      </w:r>
      <w:r>
        <w:t xml:space="preserve">that can be adapted based on industry development and assessment of risks.</w:t>
      </w:r>
      <w:r>
        <w:t xml:space="preserve"> </w:t>
      </w:r>
      <w:r>
        <w:t xml:space="preserve">Secondly, the scope of eligible assets, currently limited to certain shares, bonds and UCITS,</w:t>
      </w:r>
      <w:r>
        <w:t xml:space="preserve"> </w:t>
      </w:r>
      <w:r>
        <w:t xml:space="preserve">would be extended to all financial instruments. This change would make the Pilot more</w:t>
      </w:r>
      <w:r>
        <w:t xml:space="preserve"> </w:t>
      </w:r>
      <w:r>
        <w:t xml:space="preserve">attractive to a broader range of market participants, including those that specialise in complex</w:t>
      </w:r>
      <w:r>
        <w:t xml:space="preserve"> </w:t>
      </w:r>
      <w:r>
        <w:t xml:space="preserve">assets and less liquid assets (AIFs, complex debt instruments, structured products), and would</w:t>
      </w:r>
      <w:r>
        <w:t xml:space="preserve"> </w:t>
      </w:r>
      <w:r>
        <w:t xml:space="preserve">allow DLT market infrastructures to bring efficiencies to the issuance, trading and settlement</w:t>
      </w:r>
      <w:r>
        <w:t xml:space="preserve"> </w:t>
      </w:r>
      <w:r>
        <w:t xml:space="preserve">of those assets. Industry reports550 note that DLT adoption is more likely in markets that are</w:t>
      </w:r>
      <w:r>
        <w:t xml:space="preserve"> </w:t>
      </w:r>
      <w:r>
        <w:t xml:space="preserve">today supported by less robust digital infrastructure, such as illiquid funds, OTC derivatives,</w:t>
      </w:r>
      <w:r>
        <w:t xml:space="preserve"> </w:t>
      </w:r>
      <w:r>
        <w:t xml:space="preserve">rather than in liquid, well-functioning markets, such as blue-chip equities and securities funds.</w:t>
      </w:r>
      <w:r>
        <w:t xml:space="preserve"> </w:t>
      </w:r>
      <w:r>
        <w:t xml:space="preserve">Therefore, the value of assets issued and settled on DLT infrastructure may significantly</w:t>
      </w:r>
      <w:r>
        <w:t xml:space="preserve"> </w:t>
      </w:r>
      <w:r>
        <w:t xml:space="preserve">increase as a result of extending the scope of DLTPR. At the same time, the valuation and risk</w:t>
      </w:r>
      <w:r>
        <w:t xml:space="preserve"> </w:t>
      </w:r>
      <w:r>
        <w:t xml:space="preserve">assessment of structured products and bespoke AIFs on DLT platforms may negatively affect</w:t>
      </w:r>
      <w:r>
        <w:t xml:space="preserve"> </w:t>
      </w:r>
      <w:r>
        <w:t xml:space="preserve">current frameworks, as their complexity, limited transparency, and low liquidity make them</w:t>
      </w:r>
      <w:r>
        <w:t xml:space="preserve"> </w:t>
      </w:r>
      <w:r>
        <w:t xml:space="preserve">harder to price, risk-manage, and integrate into existing market infrastructures creating</w:t>
      </w:r>
      <w:r>
        <w:t xml:space="preserve"> </w:t>
      </w:r>
      <w:r>
        <w:t xml:space="preserve">potential contagion risks. To ensure same regulatory outcomes as with traditional markets,</w:t>
      </w:r>
      <w:r>
        <w:t xml:space="preserve"> </w:t>
      </w:r>
      <w:r>
        <w:t xml:space="preserve">MIFID investor protection and market integrity standards and obligations would be fully</w:t>
      </w:r>
      <w:r>
        <w:t xml:space="preserve"> </w:t>
      </w:r>
      <w:r>
        <w:t xml:space="preserve">maintained.</w:t>
      </w:r>
      <w:r>
        <w:t xml:space="preserve"> </w:t>
      </w:r>
      <w:r>
        <w:t xml:space="preserve">Participants in the public consultation overwhelmingly supported the broadening of the scope</w:t>
      </w:r>
      <w:r>
        <w:t xml:space="preserve"> </w:t>
      </w:r>
      <w:r>
        <w:t xml:space="preserve">of eligible assets, suggesting including categories that range from tokenised physical assets to</w:t>
      </w:r>
      <w:r>
        <w:t xml:space="preserve"> </w:t>
      </w:r>
      <w:r>
        <w:t xml:space="preserve">all types of stocks and all financial instruments under MiFID. In particular, respondents</w:t>
      </w:r>
      <w:r>
        <w:t xml:space="preserve"> </w:t>
      </w:r>
      <w:r>
        <w:t xml:space="preserve">emphasised the inclusion of AIFs, Euro Medium Term Notes and derivatives to increase the</w:t>
      </w:r>
      <w:r>
        <w:t xml:space="preserve"> </w:t>
      </w:r>
      <w:r>
        <w:t xml:space="preserve">attractiveness for institutional and professional investors, as long as investor protection</w:t>
      </w:r>
      <w:r>
        <w:t xml:space="preserve"> </w:t>
      </w:r>
      <w:r>
        <w:t xml:space="preserve">measures from MiFID are maintained.</w:t>
      </w:r>
    </w:p>
    <w:p>
      <w:pPr>
        <w:pStyle w:val="BodyText"/>
      </w:pPr>
      <w:r>
        <w:t xml:space="preserve">548https://data.ecb.europa.eu/data/data-categories/payment-statistics/securities-trading-clearing-and-</w:t>
      </w:r>
      <w:r>
        <w:t xml:space="preserve"> </w:t>
      </w:r>
      <w:r>
        <w:t xml:space="preserve">settlements/securities-settlements/securities-held-csd-accounts</w:t>
      </w:r>
      <w:r>
        <w:t xml:space="preserve"> </w:t>
      </w:r>
      <w:r>
        <w:t xml:space="preserve">549 The European CSD market is highly concentrated, with a few major international players such as Euroclear</w:t>
      </w:r>
      <w:r>
        <w:t xml:space="preserve"> </w:t>
      </w:r>
      <w:r>
        <w:t xml:space="preserve">and Clearstream holding assets valued in the trillions of euros, while the majority of national CSDs manage much</w:t>
      </w:r>
      <w:r>
        <w:t xml:space="preserve"> </w:t>
      </w:r>
      <w:r>
        <w:t xml:space="preserve">smaller portfolios, typically ranging from a few billion to several hundred billion euros. This creates a highly</w:t>
      </w:r>
      <w:r>
        <w:t xml:space="preserve"> </w:t>
      </w:r>
      <w:r>
        <w:t xml:space="preserve">skewed distribution, where the smallest CSDs hold around EUR 3 billion in assets, the median CSD manages</w:t>
      </w:r>
      <w:r>
        <w:t xml:space="preserve"> </w:t>
      </w:r>
      <w:r>
        <w:t xml:space="preserve">around EUR 80 billion, and the average around 2 trillion caused by the outsized holdings of the largest CSDs,</w:t>
      </w:r>
      <w:r>
        <w:t xml:space="preserve"> </w:t>
      </w:r>
      <w:r>
        <w:t xml:space="preserve">which hold assets over EUR 20 trillion each. The average and median can vary how the missing data is considered</w:t>
      </w:r>
      <w:r>
        <w:t xml:space="preserve"> </w:t>
      </w:r>
      <w:r>
        <w:t xml:space="preserve">for some of the national CSDs and whether the two largest CSDs’ national entities (Euroclear and Clearstream)</w:t>
      </w:r>
      <w:r>
        <w:t xml:space="preserve"> </w:t>
      </w:r>
      <w:r>
        <w:t xml:space="preserve">are handled separately or together. The proposed EUR 100 billion threshold corresponds to the median increased</w:t>
      </w:r>
      <w:r>
        <w:t xml:space="preserve"> </w:t>
      </w:r>
      <w:r>
        <w:t xml:space="preserve">by EUR 20 billion to consider expected increase in market volumes.</w:t>
      </w:r>
      <w:r>
        <w:t xml:space="preserve"> </w:t>
      </w:r>
      <w:r>
        <w:t xml:space="preserve">550 Impact of Distributed Ledger Technology in Global Capital Markets, BCG, GFMA et al, 2023.</w:t>
      </w:r>
    </w:p>
    <w:p>
      <w:pPr>
        <w:pStyle w:val="BodyText"/>
      </w:pPr>
      <w:r>
        <w:t xml:space="preserve">349</w:t>
      </w:r>
      <w:r>
        <w:t xml:space="preserve"> </w:t>
      </w:r>
      <w:r>
        <w:t xml:space="preserve">Thirdly, neither the DLTPR nor the authorisations granted under it would have an expiration</w:t>
      </w:r>
      <w:r>
        <w:t xml:space="preserve"> </w:t>
      </w:r>
      <w:r>
        <w:t xml:space="preserve">date, with the specific objective of providing the market with legal certainty for long-term</w:t>
      </w:r>
      <w:r>
        <w:t xml:space="preserve"> </w:t>
      </w:r>
      <w:r>
        <w:t xml:space="preserve">investments in projects under the Pilot. It would be clarified that DLTPR would continue</w:t>
      </w:r>
      <w:r>
        <w:t xml:space="preserve"> </w:t>
      </w:r>
      <w:r>
        <w:t xml:space="preserve">indefinitely but remain in pilot or sandbox form with certain limitations. As such it would</w:t>
      </w:r>
      <w:r>
        <w:t xml:space="preserve"> </w:t>
      </w:r>
      <w:r>
        <w:t xml:space="preserve">remain a regime that would evolve in light of market developments and needs towards a stable</w:t>
      </w:r>
      <w:r>
        <w:t xml:space="preserve"> </w:t>
      </w:r>
      <w:r>
        <w:t xml:space="preserve">state framework. Once sufficient learnings from participating projects are gathered, it would</w:t>
      </w:r>
      <w:r>
        <w:t xml:space="preserve"> </w:t>
      </w:r>
      <w:r>
        <w:t xml:space="preserve">be supplanted by a stable state framework for the use of DLT in financial services. The future</w:t>
      </w:r>
      <w:r>
        <w:t xml:space="preserve"> </w:t>
      </w:r>
      <w:r>
        <w:t xml:space="preserve">stable state rulebook would make sure that successful pilot projects would be able to continue</w:t>
      </w:r>
      <w:r>
        <w:t xml:space="preserve"> </w:t>
      </w:r>
      <w:r>
        <w:t xml:space="preserve">functioning under it, minimising disruption for existing projects. This combination of elements</w:t>
      </w:r>
      <w:r>
        <w:t xml:space="preserve"> </w:t>
      </w:r>
      <w:r>
        <w:t xml:space="preserve">- the lack of any time-limitation on one hand and the continuation of DLTPR as a pilot</w:t>
      </w:r>
      <w:r>
        <w:t xml:space="preserve"> </w:t>
      </w:r>
      <w:r>
        <w:t xml:space="preserve">framework on the other – would precisely reflect the need to support legal certainty and</w:t>
      </w:r>
      <w:r>
        <w:t xml:space="preserve"> </w:t>
      </w:r>
      <w:r>
        <w:t xml:space="preserve">commercial viability of Pilot projects, while recognising that it is too early to transition the</w:t>
      </w:r>
      <w:r>
        <w:t xml:space="preserve"> </w:t>
      </w:r>
      <w:r>
        <w:t xml:space="preserve">pilot into the standard rulebooks. Once the market reaches maturity (less subject to change)</w:t>
      </w:r>
      <w:r>
        <w:t xml:space="preserve"> </w:t>
      </w:r>
      <w:r>
        <w:t xml:space="preserve">and more information and experience are gathered from concrete projects, a transition would</w:t>
      </w:r>
      <w:r>
        <w:t xml:space="preserve"> </w:t>
      </w:r>
      <w:r>
        <w:t xml:space="preserve">occur into a stable state rulebook without any limitations.</w:t>
      </w:r>
      <w:r>
        <w:br/>
      </w:r>
      <w:r>
        <w:t xml:space="preserve">Respondents to the public consultation believed that removing the limited duration of DLTPR</w:t>
      </w:r>
      <w:r>
        <w:t xml:space="preserve"> </w:t>
      </w:r>
      <w:r>
        <w:t xml:space="preserve">licenses would be critical for long-term business planning and investment, as it would reduce</w:t>
      </w:r>
      <w:r>
        <w:t xml:space="preserve"> </w:t>
      </w:r>
      <w:r>
        <w:t xml:space="preserve">regulatory uncertainty and align the EU with international practices.</w:t>
      </w:r>
      <w:r>
        <w:t xml:space="preserve"> </w:t>
      </w:r>
      <w:r>
        <w:t xml:space="preserve">Finally, the set of eligible participants would be expanded to include CASPs holding a licence</w:t>
      </w:r>
      <w:r>
        <w:t xml:space="preserve"> </w:t>
      </w:r>
      <w:r>
        <w:t xml:space="preserve">to operate a trading venue and credit institutions. However, other financial service providers</w:t>
      </w:r>
      <w:r>
        <w:t xml:space="preserve"> </w:t>
      </w:r>
      <w:r>
        <w:t xml:space="preserve">would not be eligible to use the DLTPR unlike under option 3. The impacts of allowing credit</w:t>
      </w:r>
      <w:r>
        <w:t xml:space="preserve"> </w:t>
      </w:r>
      <w:r>
        <w:t xml:space="preserve">institutions into the Pilot are discussed under option 3. Crypto-asset trading venues are</w:t>
      </w:r>
      <w:r>
        <w:t xml:space="preserve"> </w:t>
      </w:r>
      <w:r>
        <w:t xml:space="preserve">operationally and functionally similar to investment firms operating an MTF, which are</w:t>
      </w:r>
      <w:r>
        <w:t xml:space="preserve"> </w:t>
      </w:r>
      <w:r>
        <w:t xml:space="preserve">currently eligible for the DLTPR. By bringing CASPs licenced to operate trading venues under</w:t>
      </w:r>
      <w:r>
        <w:t xml:space="preserve"> </w:t>
      </w:r>
      <w:r>
        <w:t xml:space="preserve">the scope of the DLT Pilot Regime, the EU would foster innovation in tokenised financial</w:t>
      </w:r>
      <w:r>
        <w:t xml:space="preserve"> </w:t>
      </w:r>
      <w:r>
        <w:t xml:space="preserve">instruments, thereby broadening the DLT ecosystem. As businesses that already heavily</w:t>
      </w:r>
      <w:r>
        <w:t xml:space="preserve"> </w:t>
      </w:r>
      <w:r>
        <w:t xml:space="preserve">leverage DLT, CASPs could use their existing tech stack and operational solutions for issuance,</w:t>
      </w:r>
      <w:r>
        <w:t xml:space="preserve"> </w:t>
      </w:r>
      <w:r>
        <w:t xml:space="preserve">trading and settlement of DLT financial instruments, leading to economies of scope. Their</w:t>
      </w:r>
      <w:r>
        <w:t xml:space="preserve"> </w:t>
      </w:r>
      <w:r>
        <w:t xml:space="preserve">inclusion would enable both retail and institutional investors to access tokenised securities and</w:t>
      </w:r>
      <w:r>
        <w:t xml:space="preserve"> </w:t>
      </w:r>
      <w:r>
        <w:t xml:space="preserve">other financial instruments through familiar crypto platforms, increasing market participation</w:t>
      </w:r>
      <w:r>
        <w:t xml:space="preserve"> </w:t>
      </w:r>
      <w:r>
        <w:t xml:space="preserve">and liquidity. Moreover, the presence of CASPs in the Pilot can drive competition, potentially</w:t>
      </w:r>
      <w:r>
        <w:t xml:space="preserve"> </w:t>
      </w:r>
      <w:r>
        <w:t xml:space="preserve">lowering costs, improving service quality, and accelerating product development in the digital</w:t>
      </w:r>
      <w:r>
        <w:t xml:space="preserve"> </w:t>
      </w:r>
      <w:r>
        <w:t xml:space="preserve">asset space.</w:t>
      </w:r>
      <w:r>
        <w:br/>
      </w:r>
      <w:r>
        <w:t xml:space="preserve">At the same time, including CASPs introduces certain risks. The prudential, governance and</w:t>
      </w:r>
      <w:r>
        <w:t xml:space="preserve"> </w:t>
      </w:r>
      <w:r>
        <w:t xml:space="preserve">organisational requirements applicable to CASPs may not be adapted to the more complex</w:t>
      </w:r>
      <w:r>
        <w:t xml:space="preserve"> </w:t>
      </w:r>
      <w:r>
        <w:t xml:space="preserve">business model that could emerge under the Pilot, covering trading and CSD services in</w:t>
      </w:r>
      <w:r>
        <w:t xml:space="preserve"> </w:t>
      </w:r>
      <w:r>
        <w:t xml:space="preserve">financial instruments. MiCA regulation is a relatively new framework, and CASPs authorised</w:t>
      </w:r>
      <w:r>
        <w:t xml:space="preserve"> </w:t>
      </w:r>
      <w:r>
        <w:t xml:space="preserve">under it are relatively new entrants to the EU’s financial markets. Furthermore, partly due to</w:t>
      </w:r>
      <w:r>
        <w:t xml:space="preserve"> </w:t>
      </w:r>
      <w:r>
        <w:t xml:space="preserve">insufficient regulation prior to MiCA, crypto-asset markets have been prone to high volatility</w:t>
      </w:r>
      <w:r>
        <w:t xml:space="preserve"> </w:t>
      </w:r>
      <w:r>
        <w:t xml:space="preserve">and operational and governance failures of businesses operating in them. Allowing CASPs to</w:t>
      </w:r>
      <w:r>
        <w:t xml:space="preserve"> </w:t>
      </w:r>
      <w:r>
        <w:t xml:space="preserve">expand their services to financial instruments through the Pilot would likely lead to greater</w:t>
      </w:r>
      <w:r>
        <w:t xml:space="preserve"> </w:t>
      </w:r>
      <w:r>
        <w:t xml:space="preserve">interconnectedness between crypto-asset markets and traditional markets. However, by</w:t>
      </w:r>
      <w:r>
        <w:t xml:space="preserve"> </w:t>
      </w:r>
      <w:r>
        <w:t xml:space="preserve">comprehensively regulating CASPs and stablecoins, MiCA made sure that connections</w:t>
      </w:r>
      <w:r>
        <w:t xml:space="preserve"> </w:t>
      </w:r>
      <w:r>
        <w:t xml:space="preserve">between CASPs and traditional financial intermediaries are safe and follow a clear rulebook.</w:t>
      </w:r>
      <w:r>
        <w:t xml:space="preserve"> </w:t>
      </w:r>
      <w:r>
        <w:t xml:space="preserve">Furthermore, national authorities may face challenges in ensuring consistent and effective</w:t>
      </w:r>
      <w:r>
        <w:t xml:space="preserve"> </w:t>
      </w:r>
      <w:r>
        <w:t xml:space="preserve">oversight, increasing the risk of regulatory arbitrage. Large CASPs with significant market</w:t>
      </w:r>
      <w:r>
        <w:t xml:space="preserve"> </w:t>
      </w:r>
      <w:r>
        <w:t xml:space="preserve">presence may pose increased risks to financial stability where they, under the Pilot, achieve</w:t>
      </w:r>
    </w:p>
    <w:p>
      <w:pPr>
        <w:pStyle w:val="BodyText"/>
      </w:pPr>
      <w:r>
        <w:t xml:space="preserve">350</w:t>
      </w:r>
      <w:r>
        <w:t xml:space="preserve"> </w:t>
      </w:r>
      <w:r>
        <w:t xml:space="preserve">scale in services related to DLT financial instruments, requiring enhanced scrutiny and</w:t>
      </w:r>
      <w:r>
        <w:t xml:space="preserve"> </w:t>
      </w:r>
      <w:r>
        <w:t xml:space="preserve">coordination among EU supervisors.</w:t>
      </w:r>
      <w:r>
        <w:br/>
      </w:r>
      <w:r>
        <w:t xml:space="preserve">The regime’s limited scope would continue to enable controlled experimentation with DLT in</w:t>
      </w:r>
      <w:r>
        <w:t xml:space="preserve"> </w:t>
      </w:r>
      <w:r>
        <w:t xml:space="preserve">financial markets, minimising systemic risk. Restricting participation to banks and CASPs,</w:t>
      </w:r>
      <w:r>
        <w:t xml:space="preserve"> </w:t>
      </w:r>
      <w:r>
        <w:t xml:space="preserve">alongside the currently eligible entities, would keep the regime focused and manageable,</w:t>
      </w:r>
      <w:r>
        <w:t xml:space="preserve"> </w:t>
      </w:r>
      <w:r>
        <w:t xml:space="preserve">allowing supervisors to effectively assess risks and benefits before considering broader</w:t>
      </w:r>
      <w:r>
        <w:t xml:space="preserve"> </w:t>
      </w:r>
      <w:r>
        <w:t xml:space="preserve">expansion. Broadening access to a wider range of financial service providers could introduce</w:t>
      </w:r>
      <w:r>
        <w:t xml:space="preserve"> </w:t>
      </w:r>
      <w:r>
        <w:t xml:space="preserve">operational, financial, and cyber risks that are more difficult to monitor and control—especially</w:t>
      </w:r>
      <w:r>
        <w:t xml:space="preserve"> </w:t>
      </w:r>
      <w:r>
        <w:t xml:space="preserve">in a framework that grants exemptions from core EU financial regulations. Limiting eligibility</w:t>
      </w:r>
      <w:r>
        <w:t xml:space="preserve"> </w:t>
      </w:r>
      <w:r>
        <w:t xml:space="preserve">to these well-regulated institutions ensures that systemic and operational risks—such as</w:t>
      </w:r>
      <w:r>
        <w:t xml:space="preserve"> </w:t>
      </w:r>
      <w:r>
        <w:t xml:space="preserve">settlement failures, cyberattacks, or operational disruptions—are managed by entities with</w:t>
      </w:r>
      <w:r>
        <w:t xml:space="preserve"> </w:t>
      </w:r>
      <w:r>
        <w:t xml:space="preserve">proven risk management capabilities. Other financial service providers, such as asset managers,</w:t>
      </w:r>
      <w:r>
        <w:t xml:space="preserve"> </w:t>
      </w:r>
      <w:r>
        <w:t xml:space="preserve">payment institutions, crowdfunding platforms, or fintechs, may have a core activity that would</w:t>
      </w:r>
      <w:r>
        <w:t xml:space="preserve"> </w:t>
      </w:r>
      <w:r>
        <w:t xml:space="preserve">be less relevant for testing DLT infrastructure, and they may lack the necessary infrastructure,</w:t>
      </w:r>
      <w:r>
        <w:t xml:space="preserve"> </w:t>
      </w:r>
      <w:r>
        <w:t xml:space="preserve">experience, or regulatory oversight to safely operate critical market infrastructure at this stage.</w:t>
      </w:r>
      <w:r>
        <w:t xml:space="preserve"> </w:t>
      </w:r>
      <w:r>
        <w:t xml:space="preserve">However, while the cumulation of their core activity and that of operating a DLT MI may have</w:t>
      </w:r>
      <w:r>
        <w:t xml:space="preserve"> </w:t>
      </w:r>
      <w:r>
        <w:t xml:space="preserve">downsides, there may be advantages to allowing a wider set of financial entities, beyond certain</w:t>
      </w:r>
      <w:r>
        <w:t xml:space="preserve"> </w:t>
      </w:r>
      <w:r>
        <w:t xml:space="preserve">CASPs and banks, to provide specific CSD services as discussed in option 2 related to the</w:t>
      </w:r>
      <w:r>
        <w:t xml:space="preserve"> </w:t>
      </w:r>
      <w:r>
        <w:t xml:space="preserve">specific objective 1.</w:t>
      </w:r>
      <w:r>
        <w:t xml:space="preserve"> </w:t>
      </w:r>
      <w:r>
        <w:t xml:space="preserve">5.2.3. Option 3: Removing limitations and maximising scope of eligible</w:t>
      </w:r>
      <w:r>
        <w:t xml:space="preserve"> </w:t>
      </w:r>
      <w:r>
        <w:t xml:space="preserve">participants</w:t>
      </w:r>
      <w:r>
        <w:t xml:space="preserve"> </w:t>
      </w:r>
      <w:r>
        <w:t xml:space="preserve">Like in option 2, the scope of assets would be extended to all financial instruments. Like in</w:t>
      </w:r>
      <w:r>
        <w:t xml:space="preserve"> </w:t>
      </w:r>
      <w:r>
        <w:t xml:space="preserve">option 2, option 3 would eliminate the current limited duration of DLTPR authorisations and</w:t>
      </w:r>
      <w:r>
        <w:t xml:space="preserve"> </w:t>
      </w:r>
      <w:r>
        <w:t xml:space="preserve">clarify that there is no expiration date to the Pilot.</w:t>
      </w:r>
      <w:r>
        <w:br/>
      </w:r>
      <w:r>
        <w:t xml:space="preserve">Furthermore, this option would entail removing entirely the product-specific551 and aggregate</w:t>
      </w:r>
      <w:r>
        <w:t xml:space="preserve"> </w:t>
      </w:r>
      <w:r>
        <w:t xml:space="preserve">thresholds552 applicable to Pilot applicants. This means that DLT market infrastructures could</w:t>
      </w:r>
      <w:r>
        <w:t xml:space="preserve"> </w:t>
      </w:r>
      <w:r>
        <w:t xml:space="preserve">admit to trading or record financial instruments without any limitations on the total value,</w:t>
      </w:r>
      <w:r>
        <w:t xml:space="preserve"> </w:t>
      </w:r>
      <w:r>
        <w:t xml:space="preserve">which is currently limited to EUR 6 billion. By doing so, it would allow for a more flexible</w:t>
      </w:r>
      <w:r>
        <w:t xml:space="preserve"> </w:t>
      </w:r>
      <w:r>
        <w:t xml:space="preserve">and adaptable approach to the development of DLT-based market infrastructures, attracting in</w:t>
      </w:r>
      <w:r>
        <w:t xml:space="preserve"> </w:t>
      </w:r>
      <w:r>
        <w:t xml:space="preserve">particular large financial entities, such as banks and CSDs and enable larger issuances that</w:t>
      </w:r>
      <w:r>
        <w:t xml:space="preserve"> </w:t>
      </w:r>
      <w:r>
        <w:t xml:space="preserve">could better respond to increasing market demand for tokenisation. This would avoid DLT MIs</w:t>
      </w:r>
      <w:r>
        <w:t xml:space="preserve"> </w:t>
      </w:r>
      <w:r>
        <w:t xml:space="preserve">needing to refuse applications for recording or admitting to trading, stunting growth, and also</w:t>
      </w:r>
      <w:r>
        <w:t xml:space="preserve"> </w:t>
      </w:r>
      <w:r>
        <w:t xml:space="preserve">avoid current cliff-effect obligations to pause or wind down operations once their activities</w:t>
      </w:r>
      <w:r>
        <w:t xml:space="preserve"> </w:t>
      </w:r>
      <w:r>
        <w:t xml:space="preserve">reach the legal cap. The elimination of the ceiling would support the commercial viability of</w:t>
      </w:r>
      <w:r>
        <w:t xml:space="preserve"> </w:t>
      </w:r>
      <w:r>
        <w:t xml:space="preserve">large projects, facilitate business development and develop economies of scale that improve</w:t>
      </w:r>
      <w:r>
        <w:t xml:space="preserve"> </w:t>
      </w:r>
      <w:r>
        <w:t xml:space="preserve">efficiency. However, to mitigate payment-related risks limits would be introduced, such as</w:t>
      </w:r>
      <w:r>
        <w:t xml:space="preserve"> </w:t>
      </w:r>
      <w:r>
        <w:t xml:space="preserve">transaction-based limits, on the amount of settlement that can take place in commercial bank</w:t>
      </w:r>
      <w:r>
        <w:t xml:space="preserve"> </w:t>
      </w:r>
      <w:r>
        <w:t xml:space="preserve">money through a regular (non- Title IV553) bank and in electronic money tokens. This would</w:t>
      </w:r>
      <w:r>
        <w:t xml:space="preserve"> </w:t>
      </w:r>
      <w:r>
        <w:t xml:space="preserve">help to mitigate potential credit and market risks associated with the use of private money for</w:t>
      </w:r>
      <w:r>
        <w:t xml:space="preserve"> </w:t>
      </w:r>
      <w:r>
        <w:t xml:space="preserve">settlement (especially in stress situations), while still allowing for the benefits of increased</w:t>
      </w:r>
      <w:r>
        <w:t xml:space="preserve"> </w:t>
      </w:r>
      <w:r>
        <w:t xml:space="preserve">settlement efficiency stemming from the use of on-chain money.</w:t>
      </w:r>
    </w:p>
    <w:p>
      <w:pPr>
        <w:pStyle w:val="BodyText"/>
      </w:pPr>
      <w:r>
        <w:t xml:space="preserve">551 Article 3(1) DLTPR.</w:t>
      </w:r>
      <w:r>
        <w:t xml:space="preserve"> </w:t>
      </w:r>
      <w:r>
        <w:t xml:space="preserve">552 Article 3(2) DLTPR.</w:t>
      </w:r>
      <w:r>
        <w:t xml:space="preserve"> </w:t>
      </w:r>
      <w:r>
        <w:t xml:space="preserve">553 Special-purpose credit institutions authorised in accordance with Title IV of CSDR to provide banking services</w:t>
      </w:r>
      <w:r>
        <w:t xml:space="preserve"> </w:t>
      </w:r>
      <w:r>
        <w:t xml:space="preserve">to CSDs.</w:t>
      </w:r>
    </w:p>
    <w:p>
      <w:pPr>
        <w:pStyle w:val="BodyText"/>
      </w:pPr>
      <w:r>
        <w:t xml:space="preserve">351</w:t>
      </w:r>
      <w:r>
        <w:t xml:space="preserve"> </w:t>
      </w:r>
      <w:r>
        <w:t xml:space="preserve">Finally, to ensure diversity of participation, scope of eligible participants would be expanded</w:t>
      </w:r>
      <w:r>
        <w:t xml:space="preserve"> </w:t>
      </w:r>
      <w:r>
        <w:t xml:space="preserve">beyond the eligible investment firms and CSDs to include a very wide set of financial service</w:t>
      </w:r>
      <w:r>
        <w:t xml:space="preserve"> </w:t>
      </w:r>
      <w:r>
        <w:t xml:space="preserve">providers, which would undergo a risk-based licencing procedure to expand their service</w:t>
      </w:r>
      <w:r>
        <w:t xml:space="preserve"> </w:t>
      </w:r>
      <w:r>
        <w:t xml:space="preserve">offering into DLT-based trading and CSD services governed by the Pilot. These institutions</w:t>
      </w:r>
      <w:r>
        <w:t xml:space="preserve"> </w:t>
      </w:r>
      <w:r>
        <w:t xml:space="preserve">could for example include CASPs operating a trading venue, credit institutions, asset managers,</w:t>
      </w:r>
      <w:r>
        <w:t xml:space="preserve"> </w:t>
      </w:r>
      <w:r>
        <w:t xml:space="preserve">payments institutions, central counterparties (CCPs) and authorised crowdfunding service</w:t>
      </w:r>
      <w:r>
        <w:t xml:space="preserve"> </w:t>
      </w:r>
      <w:r>
        <w:t xml:space="preserve">providers. These entities would not be required to get any additional financial entity licence to</w:t>
      </w:r>
      <w:r>
        <w:t xml:space="preserve"> </w:t>
      </w:r>
      <w:r>
        <w:t xml:space="preserve">participate in the Pilot, but rather be allowed to expand their service offering into DLT-based</w:t>
      </w:r>
      <w:r>
        <w:t xml:space="preserve"> </w:t>
      </w:r>
      <w:r>
        <w:t xml:space="preserve">trading and CSD services under the condition of complying with the relevant requirements of</w:t>
      </w:r>
      <w:r>
        <w:t xml:space="preserve"> </w:t>
      </w:r>
      <w:r>
        <w:t xml:space="preserve">MIFID and CSDR. This change would increase the diversity of participation in the Pilot and</w:t>
      </w:r>
      <w:r>
        <w:t xml:space="preserve"> </w:t>
      </w:r>
      <w:r>
        <w:t xml:space="preserve">would enable a broader range of entities to combine DLT-based trading and CSD services with</w:t>
      </w:r>
      <w:r>
        <w:t xml:space="preserve"> </w:t>
      </w:r>
      <w:r>
        <w:t xml:space="preserve">their current service offering, unlocking new business models.</w:t>
      </w:r>
      <w:r>
        <w:br/>
      </w:r>
      <w:r>
        <w:t xml:space="preserve">Specifically, CASPs that operate a trading venue could leverage their DLT expertise and</w:t>
      </w:r>
      <w:r>
        <w:t xml:space="preserve"> </w:t>
      </w:r>
      <w:r>
        <w:t xml:space="preserve">existing technological solutions applied to (MiCA) crypto-assets to establish DLT-based</w:t>
      </w:r>
      <w:r>
        <w:t xml:space="preserve"> </w:t>
      </w:r>
      <w:r>
        <w:t xml:space="preserve">trading and settlement systems for financial instruments. Adding credit institutions would come</w:t>
      </w:r>
      <w:r>
        <w:t xml:space="preserve"> </w:t>
      </w:r>
      <w:r>
        <w:t xml:space="preserve">with the benefit of bringing significant expertise, capital, and client networks, supporting</w:t>
      </w:r>
      <w:r>
        <w:t xml:space="preserve"> </w:t>
      </w:r>
      <w:r>
        <w:t xml:space="preserve">liquidity and trust in DLT-based market infrastructures. Credit institutions can also integrate</w:t>
      </w:r>
      <w:r>
        <w:t xml:space="preserve"> </w:t>
      </w:r>
      <w:r>
        <w:t xml:space="preserve">DLT-based settlement with traditional banking and payment services, promoting</w:t>
      </w:r>
      <w:r>
        <w:t xml:space="preserve"> </w:t>
      </w:r>
      <w:r>
        <w:t xml:space="preserve">interoperability and smoother transitions for clients. Direct access to DLT infrastructures would</w:t>
      </w:r>
      <w:r>
        <w:t xml:space="preserve"> </w:t>
      </w:r>
      <w:r>
        <w:t xml:space="preserve">allow asset managers to innovate in fund tokenisation and distribution, potentially increasing</w:t>
      </w:r>
      <w:r>
        <w:t xml:space="preserve"> </w:t>
      </w:r>
      <w:r>
        <w:t xml:space="preserve">efficiency and transparency for end investors. DLT would enable payment institutions to move</w:t>
      </w:r>
      <w:r>
        <w:t xml:space="preserve"> </w:t>
      </w:r>
      <w:r>
        <w:t xml:space="preserve">money and assets on the same rails, the DLT platform, and therefore intermediaries on both</w:t>
      </w:r>
      <w:r>
        <w:t xml:space="preserve"> </w:t>
      </w:r>
      <w:r>
        <w:t xml:space="preserve">sides of the rails would be able to provide services of operating a trading venue and CSD</w:t>
      </w:r>
      <w:r>
        <w:t xml:space="preserve"> </w:t>
      </w:r>
      <w:r>
        <w:t xml:space="preserve">services. CCP’s participation would allow a more seamless testing of the interoperability of the</w:t>
      </w:r>
      <w:r>
        <w:t xml:space="preserve"> </w:t>
      </w:r>
      <w:r>
        <w:t xml:space="preserve">clearing and the DLT-based settlement infrastructure. It would also comprehensively support</w:t>
      </w:r>
      <w:r>
        <w:t xml:space="preserve"> </w:t>
      </w:r>
      <w:r>
        <w:t xml:space="preserve">clearing and settlement of derivatives. Crowdfunding platforms, currently limited to primary</w:t>
      </w:r>
      <w:r>
        <w:t xml:space="preserve"> </w:t>
      </w:r>
      <w:r>
        <w:t xml:space="preserve">markets, would be able to create secondary markets, further supporting SME access to capital</w:t>
      </w:r>
      <w:r>
        <w:t xml:space="preserve"> </w:t>
      </w:r>
      <w:r>
        <w:t xml:space="preserve">markets and diversifying investor base while leveraging DLT for more transparent, efficient,</w:t>
      </w:r>
      <w:r>
        <w:t xml:space="preserve"> </w:t>
      </w:r>
      <w:r>
        <w:t xml:space="preserve">and cross-border fundraising.</w:t>
      </w:r>
      <w:r>
        <w:br/>
      </w:r>
      <w:r>
        <w:t xml:space="preserve">At the same time, large-scale involvement of banks could amplify systemic risks if DLT-based</w:t>
      </w:r>
      <w:r>
        <w:t xml:space="preserve"> </w:t>
      </w:r>
      <w:r>
        <w:t xml:space="preserve">infrastructures experience failures, given banks’ central role in the financial system.</w:t>
      </w:r>
      <w:r>
        <w:t xml:space="preserve"> </w:t>
      </w:r>
      <w:r>
        <w:t xml:space="preserve">Crowdfunding platforms and CASPs, subject to substantially simpler and lighter prudential</w:t>
      </w:r>
      <w:r>
        <w:t xml:space="preserve"> </w:t>
      </w:r>
      <w:r>
        <w:t xml:space="preserve">requirements than banks, may struggle with risk management and resilience, especially in</w:t>
      </w:r>
      <w:r>
        <w:t xml:space="preserve"> </w:t>
      </w:r>
      <w:r>
        <w:t xml:space="preserve">volatile markets. Involving asset managers could blur the distinction between infrastructure</w:t>
      </w:r>
      <w:r>
        <w:t xml:space="preserve"> </w:t>
      </w:r>
      <w:r>
        <w:t xml:space="preserve">providers and users, complicating governance, risk management, and regulatory oversight as</w:t>
      </w:r>
      <w:r>
        <w:t xml:space="preserve"> </w:t>
      </w:r>
      <w:r>
        <w:t xml:space="preserve">their core function is investment management not running infrastructures. Including payment</w:t>
      </w:r>
      <w:r>
        <w:t xml:space="preserve"> </w:t>
      </w:r>
      <w:r>
        <w:t xml:space="preserve">institutions could introduce interoperability and coordination challenges when different</w:t>
      </w:r>
      <w:r>
        <w:t xml:space="preserve"> </w:t>
      </w:r>
      <w:r>
        <w:t xml:space="preserve">infrastructures are used for moving money around. CCPs are systemically important and</w:t>
      </w:r>
      <w:r>
        <w:t xml:space="preserve"> </w:t>
      </w:r>
      <w:r>
        <w:t xml:space="preserve">experimenting with their core functions could introduce systemic vulnerabilities if not carefully</w:t>
      </w:r>
      <w:r>
        <w:t xml:space="preserve"> </w:t>
      </w:r>
      <w:r>
        <w:t xml:space="preserve">controlled.</w:t>
      </w:r>
      <w:r>
        <w:t xml:space="preserve"> </w:t>
      </w:r>
      <w:r>
        <w:t xml:space="preserve">Accordingly, while the broader scope of participants would expand the scope of innovation on</w:t>
      </w:r>
      <w:r>
        <w:t xml:space="preserve"> </w:t>
      </w:r>
      <w:r>
        <w:t xml:space="preserve">DLT, it could also widen systemic risks if DLT infrastructure experience operational failures,</w:t>
      </w:r>
      <w:r>
        <w:t xml:space="preserve"> </w:t>
      </w:r>
      <w:r>
        <w:t xml:space="preserve">cyberattacks, or other disruptions. However, the latter risks would be mitigated though the</w:t>
      </w:r>
      <w:r>
        <w:t xml:space="preserve"> </w:t>
      </w:r>
      <w:r>
        <w:t xml:space="preserve">application of DORA.554 The interconnectedness of larger entities may exacerbate contagion</w:t>
      </w:r>
      <w:r>
        <w:t xml:space="preserve"> </w:t>
      </w:r>
      <w:r>
        <w:t xml:space="preserve">effects in the financial system. Ensuring effective oversight of larger, more complex</w:t>
      </w:r>
    </w:p>
    <w:p>
      <w:pPr>
        <w:pStyle w:val="BodyText"/>
      </w:pPr>
      <w:r>
        <w:t xml:space="preserve">554 Regulation (EU) 2022/2554 on digital operational resilience for the financial sector.</w:t>
      </w:r>
    </w:p>
    <w:p>
      <w:pPr>
        <w:pStyle w:val="BodyText"/>
      </w:pPr>
      <w:r>
        <w:t xml:space="preserve">352</w:t>
      </w:r>
      <w:r>
        <w:t xml:space="preserve"> </w:t>
      </w:r>
      <w:r>
        <w:t xml:space="preserve">infrastructures may require additional resources and expertise. Expanding the Pilot as set out</w:t>
      </w:r>
      <w:r>
        <w:t xml:space="preserve"> </w:t>
      </w:r>
      <w:r>
        <w:t xml:space="preserve">under this option would broaden the set of financial service combinations participants could</w:t>
      </w:r>
      <w:r>
        <w:t xml:space="preserve"> </w:t>
      </w:r>
      <w:r>
        <w:t xml:space="preserve">engage in, increasing the risk of regulatory arbitrage, conflicts of interests and contagion risks.</w:t>
      </w:r>
      <w:r>
        <w:t xml:space="preserve"> </w:t>
      </w:r>
      <w:r>
        <w:t xml:space="preserve">This would necessitate adequate regulatory mitigants.</w:t>
      </w:r>
      <w:r>
        <w:br/>
      </w:r>
      <w:r>
        <w:t xml:space="preserve">Larger DLT infrastructures would face increased compliance and operational costs, including</w:t>
      </w:r>
      <w:r>
        <w:t xml:space="preserve"> </w:t>
      </w:r>
      <w:r>
        <w:t xml:space="preserve">the need to prepare more comprehensive documentation for regulatory approval and ongoing</w:t>
      </w:r>
      <w:r>
        <w:t xml:space="preserve"> </w:t>
      </w:r>
      <w:r>
        <w:t xml:space="preserve">reporting requirements. Investments in technology, cybersecurity, and risk management</w:t>
      </w:r>
      <w:r>
        <w:t xml:space="preserve"> </w:t>
      </w:r>
      <w:r>
        <w:t xml:space="preserve">frameworks would be necessary to handle higher transaction volumes and more complex</w:t>
      </w:r>
      <w:r>
        <w:t xml:space="preserve"> </w:t>
      </w:r>
      <w:r>
        <w:t xml:space="preserve">operation.</w:t>
      </w:r>
      <w:r>
        <w:t xml:space="preserve"> </w:t>
      </w:r>
      <w:r>
        <w:t xml:space="preserve">5.3. COMPARISON OF POLICY OPTIONS</w:t>
      </w:r>
      <w:r>
        <w:t xml:space="preserve"> </w:t>
      </w:r>
      <w:r>
        <w:t xml:space="preserve">5.3.1. Specific Objective 1: Proportionate and flexible regulatory requirements</w:t>
      </w:r>
      <w:r>
        <w:t xml:space="preserve"> </w:t>
      </w:r>
      <w:r>
        <w:t xml:space="preserve">As regards specific objective 1, both option 2 and option 3 would establish a tier 2 segment of</w:t>
      </w:r>
      <w:r>
        <w:t xml:space="preserve"> </w:t>
      </w:r>
      <w:r>
        <w:t xml:space="preserve">the Pilot which would allow small participants to benefit from a proportionate compliance</w:t>
      </w:r>
      <w:r>
        <w:t xml:space="preserve"> </w:t>
      </w:r>
      <w:r>
        <w:t xml:space="preserve">burden and regulatory flexibility under the changed DLTPR, in line with specific objective 1.</w:t>
      </w:r>
      <w:r>
        <w:br/>
      </w:r>
      <w:r>
        <w:t xml:space="preserve">Nevertheless, option 3 is notably more effective than option 2 in achieving the specific</w:t>
      </w:r>
      <w:r>
        <w:t xml:space="preserve"> </w:t>
      </w:r>
      <w:r>
        <w:t xml:space="preserve">objective since its service-specific approach to regulating CSD services and application-driven</w:t>
      </w:r>
      <w:r>
        <w:t xml:space="preserve"> </w:t>
      </w:r>
      <w:r>
        <w:t xml:space="preserve">derogations from standard rulebooks would grant additional flexibility for experimenting with</w:t>
      </w:r>
      <w:r>
        <w:t xml:space="preserve"> </w:t>
      </w:r>
      <w:r>
        <w:t xml:space="preserve">new business models and intermediary roles on DLT – not just for small entities but also large</w:t>
      </w:r>
      <w:r>
        <w:t xml:space="preserve"> </w:t>
      </w:r>
      <w:r>
        <w:t xml:space="preserve">ones. It is also more effective than option 2 in supporting compliance proportionality by, in</w:t>
      </w:r>
      <w:r>
        <w:t xml:space="preserve"> </w:t>
      </w:r>
      <w:r>
        <w:t xml:space="preserve">addition to size-based tiering, allowing entities that wish to specialise in a specific CSD service</w:t>
      </w:r>
      <w:r>
        <w:t xml:space="preserve"> </w:t>
      </w:r>
      <w:r>
        <w:t xml:space="preserve">to be subject to requirements tailored to those individual services, rather than being subject to</w:t>
      </w:r>
      <w:r>
        <w:t xml:space="preserve"> </w:t>
      </w:r>
      <w:r>
        <w:t xml:space="preserve">the full set of CSDR requirements.</w:t>
      </w:r>
      <w:r>
        <w:br/>
      </w:r>
      <w:r>
        <w:t xml:space="preserve">In terms of efficiency, option 3 would rank somewhat lower than option 2 as it would entail</w:t>
      </w:r>
      <w:r>
        <w:t xml:space="preserve"> </w:t>
      </w:r>
      <w:r>
        <w:t xml:space="preserve">slightly more costs and risks. Indeed, service-specific licencing of CSD services would be</w:t>
      </w:r>
      <w:r>
        <w:t xml:space="preserve"> </w:t>
      </w:r>
      <w:r>
        <w:t xml:space="preserve">novel, with the outcome that these services could be performed by a group of non-CSD entities.</w:t>
      </w:r>
      <w:r>
        <w:t xml:space="preserve"> </w:t>
      </w:r>
      <w:r>
        <w:t xml:space="preserve">This may require NCAs to invest more resources to ensure robust supervision of new business</w:t>
      </w:r>
      <w:r>
        <w:t xml:space="preserve"> </w:t>
      </w:r>
      <w:r>
        <w:t xml:space="preserve">models set up as networks of intermediaries that span multiple jurisdictions. However,</w:t>
      </w:r>
      <w:r>
        <w:t xml:space="preserve"> </w:t>
      </w:r>
      <w:r>
        <w:t xml:space="preserve">incremental supervisory costs would likely be minor and manageable within existing resource</w:t>
      </w:r>
      <w:r>
        <w:t xml:space="preserve"> </w:t>
      </w:r>
      <w:r>
        <w:t xml:space="preserve">frameworks, since most oversight relies on pre-existing supervisory structures and thus the cost benefit</w:t>
      </w:r>
      <w:r>
        <w:t xml:space="preserve"> </w:t>
      </w:r>
      <w:r>
        <w:t xml:space="preserve">ratio of a broader market participation would be favourable. Digitalisation tends to reduce</w:t>
      </w:r>
      <w:r>
        <w:t xml:space="preserve"> </w:t>
      </w:r>
      <w:r>
        <w:t xml:space="preserve">per‑transaction oversight costs over time therefore, potential increases in short‑term supervisory effort</w:t>
      </w:r>
      <w:r>
        <w:t xml:space="preserve"> </w:t>
      </w:r>
      <w:r>
        <w:t xml:space="preserve">should not be regarded as a barrier to innovation or as a justification to delay the deployment of</w:t>
      </w:r>
      <w:r>
        <w:t xml:space="preserve"> </w:t>
      </w:r>
      <w:r>
        <w:t xml:space="preserve">DLT‑based infrastructures in regulated markets.</w:t>
      </w:r>
      <w:r>
        <w:t xml:space="preserve"> </w:t>
      </w:r>
      <w:r>
        <w:t xml:space="preserve">There may be a need for closer involvement of ESMA in supervising networks of CSD service</w:t>
      </w:r>
      <w:r>
        <w:t xml:space="preserve"> </w:t>
      </w:r>
      <w:r>
        <w:t xml:space="preserve">providers, where post-trading value chains may end up being more distributed and complex,</w:t>
      </w:r>
      <w:r>
        <w:t xml:space="preserve"> </w:t>
      </w:r>
      <w:r>
        <w:t xml:space="preserve">albeit potentially more efficient.555 However, easier auditability of blockchains – as the</w:t>
      </w:r>
      <w:r>
        <w:t xml:space="preserve"> </w:t>
      </w:r>
      <w:r>
        <w:t xml:space="preserve">technology provides transparent, immutable, and cryptographically verifiable records - compared to</w:t>
      </w:r>
      <w:r>
        <w:t xml:space="preserve"> </w:t>
      </w:r>
      <w:r>
        <w:t xml:space="preserve">non-cryptographically secured ledgers may facilitate supervision. Service-specific licencing</w:t>
      </w:r>
    </w:p>
    <w:p>
      <w:pPr>
        <w:pStyle w:val="BodyText"/>
      </w:pPr>
      <w:r>
        <w:t xml:space="preserve">555 Supervision may also shift to ESMA according to the criteria set out in the Annex on supervision for certain</w:t>
      </w:r>
      <w:r>
        <w:t xml:space="preserve"> </w:t>
      </w:r>
      <w:r>
        <w:t xml:space="preserve">CSD services, such as the settlement service.</w:t>
      </w:r>
    </w:p>
    <w:p>
      <w:pPr>
        <w:pStyle w:val="BodyText"/>
      </w:pPr>
      <w:r>
        <w:t xml:space="preserve">353</w:t>
      </w:r>
      <w:r>
        <w:t xml:space="preserve"> </w:t>
      </w:r>
      <w:r>
        <w:t xml:space="preserve">may increase operational risks of CSD services where networks of providers rather than a</w:t>
      </w:r>
      <w:r>
        <w:t xml:space="preserve"> </w:t>
      </w:r>
      <w:r>
        <w:t xml:space="preserve">centralised provider (traditional CSD) need to coordinate on DLT to ensure issuance, account</w:t>
      </w:r>
      <w:r>
        <w:t xml:space="preserve"> </w:t>
      </w:r>
      <w:r>
        <w:t xml:space="preserve">and transfer services. The increased operational risks could be somewhat offset by the</w:t>
      </w:r>
      <w:r>
        <w:t xml:space="preserve"> </w:t>
      </w:r>
      <w:r>
        <w:t xml:space="preserve">heightened resilience of a distributed post-trading ecosystem. Conversely, option 2 would entail</w:t>
      </w:r>
      <w:r>
        <w:t xml:space="preserve"> </w:t>
      </w:r>
      <w:r>
        <w:t xml:space="preserve">somewhat less costs and risks as business models (centralised CSD) and associated risks and</w:t>
      </w:r>
      <w:r>
        <w:t xml:space="preserve"> </w:t>
      </w:r>
      <w:r>
        <w:t xml:space="preserve">supervisory procedures remain unchanged, but with more limited benefits for DLT-based</w:t>
      </w:r>
      <w:r>
        <w:t xml:space="preserve"> </w:t>
      </w:r>
      <w:r>
        <w:t xml:space="preserve">innovation.</w:t>
      </w:r>
      <w:r>
        <w:br/>
      </w:r>
      <w:r>
        <w:t xml:space="preserve">Option 3 ranks notably higher in terms of coherence than option 2. Both option 2 and 3 are in</w:t>
      </w:r>
      <w:r>
        <w:t xml:space="preserve"> </w:t>
      </w:r>
      <w:r>
        <w:t xml:space="preserve">line with the Commission’s Digital Finance Strategy556 and its explicit support for the</w:t>
      </w:r>
      <w:r>
        <w:t xml:space="preserve"> </w:t>
      </w:r>
      <w:r>
        <w:t xml:space="preserve">deployment of new technologies in financial services. However, option 3 represents a</w:t>
      </w:r>
      <w:r>
        <w:t xml:space="preserve"> </w:t>
      </w:r>
      <w:r>
        <w:t xml:space="preserve">significantly more ambitious adaptation of the existing rulebook to accommodate new</w:t>
      </w:r>
      <w:r>
        <w:t xml:space="preserve"> </w:t>
      </w:r>
      <w:r>
        <w:t xml:space="preserve">technologies, i.e. DLT, as it allows service specialisation in line with the specificities of the</w:t>
      </w:r>
      <w:r>
        <w:t xml:space="preserve"> </w:t>
      </w:r>
      <w:r>
        <w:t xml:space="preserve">technology as well as derogations from the established rulebook upon duly motivated requests</w:t>
      </w:r>
      <w:r>
        <w:t xml:space="preserve"> </w:t>
      </w:r>
      <w:r>
        <w:t xml:space="preserve">by applicants. Furthermore, both option 2 and option 3 support the Commission’s</w:t>
      </w:r>
      <w:r>
        <w:t xml:space="preserve"> </w:t>
      </w:r>
      <w:r>
        <w:t xml:space="preserve">simplification agenda by establishing a compliance-proportionate framework for small</w:t>
      </w:r>
      <w:r>
        <w:t xml:space="preserve"> </w:t>
      </w:r>
      <w:r>
        <w:t xml:space="preserve">innovative businesses. By additionally introducing a service-specific licencing for CSD</w:t>
      </w:r>
      <w:r>
        <w:t xml:space="preserve"> </w:t>
      </w:r>
      <w:r>
        <w:t xml:space="preserve">services, option 3 is even more aligned with the simplification agenda as it would enable</w:t>
      </w:r>
      <w:r>
        <w:t xml:space="preserve"> </w:t>
      </w:r>
      <w:r>
        <w:t xml:space="preserve">specialised entities to benefit from risk-based licencing, leading to a more proportionate and</w:t>
      </w:r>
      <w:r>
        <w:t xml:space="preserve"> </w:t>
      </w:r>
      <w:r>
        <w:t xml:space="preserve">ultimately simplified regulatory framework. On the negative side, service-specific licencing of</w:t>
      </w:r>
      <w:r>
        <w:t xml:space="preserve"> </w:t>
      </w:r>
      <w:r>
        <w:t xml:space="preserve">option 3 would be available only to DLTPR applicants, and not under the general CSDR</w:t>
      </w:r>
      <w:r>
        <w:t xml:space="preserve"> </w:t>
      </w:r>
      <w:r>
        <w:t xml:space="preserve">framework, which may lead to regulatory arbitrage, making option 3 rank lower from the</w:t>
      </w:r>
      <w:r>
        <w:t xml:space="preserve"> </w:t>
      </w:r>
      <w:r>
        <w:t xml:space="preserve">perspective of coherence with the general CSDR rulebook. This is somewhat offset by the</w:t>
      </w:r>
      <w:r>
        <w:t xml:space="preserve"> </w:t>
      </w:r>
      <w:r>
        <w:t xml:space="preserve">precise objective of the DLTPR to provide a dedicated pilot framework separate from CSDR</w:t>
      </w:r>
      <w:r>
        <w:t xml:space="preserve"> </w:t>
      </w:r>
      <w:r>
        <w:t xml:space="preserve">to accommodate and enable uptake of DLT, while still ensuring the same regulatory outcome</w:t>
      </w:r>
      <w:r>
        <w:t xml:space="preserve"> </w:t>
      </w:r>
      <w:r>
        <w:t xml:space="preserve">as CSDR.</w:t>
      </w:r>
      <w:r>
        <w:t xml:space="preserve"> </w:t>
      </w:r>
      <w:r>
        <w:t xml:space="preserve">Based on these considerations the preferred option for the specific objective 1 is option 3.</w:t>
      </w:r>
      <w:r>
        <w:t xml:space="preserve"> </w:t>
      </w:r>
      <w:r>
        <w:t xml:space="preserve">5.3.2. Specific Objective 2: Remove regulatory barriers to achieving scale and</w:t>
      </w:r>
      <w:r>
        <w:t xml:space="preserve"> </w:t>
      </w:r>
      <w:r>
        <w:t xml:space="preserve">scope of projects and activities under the Pilot</w:t>
      </w:r>
      <w:r>
        <w:t xml:space="preserve"> </w:t>
      </w:r>
      <w:r>
        <w:t xml:space="preserve">With respect to specific objective 2, both option 2 and 3 are effective as they broaden the asset</w:t>
      </w:r>
      <w:r>
        <w:t xml:space="preserve"> </w:t>
      </w:r>
      <w:r>
        <w:t xml:space="preserve">scope to all financial instruments and remove the expiration of the Pilot, thereby establishing a</w:t>
      </w:r>
      <w:r>
        <w:t xml:space="preserve"> </w:t>
      </w:r>
      <w:r>
        <w:t xml:space="preserve">broader and more stable and forward-looking framework.</w:t>
      </w:r>
      <w:r>
        <w:t xml:space="preserve"> </w:t>
      </w:r>
      <w:r>
        <w:t xml:space="preserve">Option 3 is slightly more effective than option 2 in meeting the specific objective. This is</w:t>
      </w:r>
      <w:r>
        <w:t xml:space="preserve"> </w:t>
      </w:r>
      <w:r>
        <w:t xml:space="preserve">because it removes aggregate and product-specific limits applicable to assets intermediated by</w:t>
      </w:r>
      <w:r>
        <w:t xml:space="preserve"> </w:t>
      </w:r>
      <w:r>
        <w:t xml:space="preserve">Pilot participants, making it more effective in allowing DLT market infrastructures to scale</w:t>
      </w:r>
      <w:r>
        <w:t xml:space="preserve"> </w:t>
      </w:r>
      <w:r>
        <w:t xml:space="preserve">without constraints and with a high degree of legal certainty. All this would support the</w:t>
      </w:r>
      <w:r>
        <w:t xml:space="preserve"> </w:t>
      </w:r>
      <w:r>
        <w:t xml:space="preserve">commercial viability of large and diverse projects, encourage participation from major players</w:t>
      </w:r>
      <w:r>
        <w:t xml:space="preserve"> </w:t>
      </w:r>
      <w:r>
        <w:t xml:space="preserve">such as banks and CSDs, and foster innovation and long-term investment. A larger set of</w:t>
      </w:r>
      <w:r>
        <w:t xml:space="preserve"> </w:t>
      </w:r>
      <w:r>
        <w:t xml:space="preserve">eligible participants to the Pilot in option 3 could attract wider variety of projects from broader</w:t>
      </w:r>
      <w:r>
        <w:t xml:space="preserve"> </w:t>
      </w:r>
      <w:r>
        <w:t xml:space="preserve">parts of the financial industry under the Pilot. Nonetheless, option 2 comprises a sufficiently</w:t>
      </w:r>
      <w:r>
        <w:t xml:space="preserve"> </w:t>
      </w:r>
      <w:r>
        <w:t xml:space="preserve">large (around EUR 100 bn) limit that is upwardly revisable via a delegated act, based on market</w:t>
      </w:r>
    </w:p>
    <w:p>
      <w:pPr>
        <w:pStyle w:val="BodyText"/>
      </w:pPr>
      <w:r>
        <w:t xml:space="preserve">556 https://eur-lex.europa.eu/legal-content/EN/TXT/?uri=CELEX:52020DC0591</w:t>
      </w:r>
    </w:p>
    <w:p>
      <w:pPr>
        <w:pStyle w:val="BodyText"/>
      </w:pPr>
      <w:r>
        <w:t xml:space="preserve">354</w:t>
      </w:r>
      <w:r>
        <w:t xml:space="preserve"> </w:t>
      </w:r>
      <w:r>
        <w:t xml:space="preserve">circumstances. This approach may be sufficiently flexible to cater for the observed incremental</w:t>
      </w:r>
      <w:r>
        <w:t xml:space="preserve"> </w:t>
      </w:r>
      <w:r>
        <w:t xml:space="preserve">growth of tokenised markets, making the net effectiveness of option 2 in achieving the specific</w:t>
      </w:r>
      <w:r>
        <w:t xml:space="preserve"> </w:t>
      </w:r>
      <w:r>
        <w:t xml:space="preserve">objective 1 only slightly lower compared to the unbounded version of the Pilot proposed in</w:t>
      </w:r>
      <w:r>
        <w:t xml:space="preserve"> </w:t>
      </w:r>
      <w:r>
        <w:t xml:space="preserve">option 3.</w:t>
      </w:r>
      <w:r>
        <w:br/>
      </w:r>
      <w:r>
        <w:t xml:space="preserve">Option 3 is less efficient than option 2, as the removal of thresholds and limits to the scope of</w:t>
      </w:r>
      <w:r>
        <w:t xml:space="preserve"> </w:t>
      </w:r>
      <w:r>
        <w:t xml:space="preserve">eligible participants introduces higher financial and operational risks, increases supervisory</w:t>
      </w:r>
      <w:r>
        <w:t xml:space="preserve"> </w:t>
      </w:r>
      <w:r>
        <w:t xml:space="preserve">complexity, and raises compliance costs for both firms and regulators. Conversely, option 2</w:t>
      </w:r>
      <w:r>
        <w:t xml:space="preserve"> </w:t>
      </w:r>
      <w:r>
        <w:t xml:space="preserve">with its aggregate thresholds that can be revised in view of market developments and based on</w:t>
      </w:r>
      <w:r>
        <w:t xml:space="preserve"> </w:t>
      </w:r>
      <w:r>
        <w:t xml:space="preserve">concrete Pilot experience, entails less systemic risks, as the amount of activity is limited, and</w:t>
      </w:r>
      <w:r>
        <w:t xml:space="preserve"> </w:t>
      </w:r>
      <w:r>
        <w:t xml:space="preserve">can only be increased after assurances that risks within DLT MIs are well-managed. By</w:t>
      </w:r>
      <w:r>
        <w:t xml:space="preserve"> </w:t>
      </w:r>
      <w:r>
        <w:t xml:space="preserve">allowing a smaller set of eligible entities to participate in the Pilot, option 2 keeps the</w:t>
      </w:r>
      <w:r>
        <w:t xml:space="preserve"> </w:t>
      </w:r>
      <w:r>
        <w:t xml:space="preserve">supervisory costs more limited as the breadth of services and licences that can be cumulated</w:t>
      </w:r>
      <w:r>
        <w:t xml:space="preserve"> </w:t>
      </w:r>
      <w:r>
        <w:t xml:space="preserve">by Pilot participants remains narrower compared to option 3. Stricter Pilot participation rules</w:t>
      </w:r>
      <w:r>
        <w:t xml:space="preserve"> </w:t>
      </w:r>
      <w:r>
        <w:t xml:space="preserve">also limit the risks stemming from comingling certain financial services (e.g. asset</w:t>
      </w:r>
      <w:r>
        <w:t xml:space="preserve"> </w:t>
      </w:r>
      <w:r>
        <w:t xml:space="preserve">management, payments, brokerage) with services in scope of the Pilot. All this makes option 2</w:t>
      </w:r>
      <w:r>
        <w:t xml:space="preserve"> </w:t>
      </w:r>
      <w:r>
        <w:t xml:space="preserve">significantly more efficient than option 3.</w:t>
      </w:r>
      <w:r>
        <w:t xml:space="preserve"> </w:t>
      </w:r>
      <w:r>
        <w:t xml:space="preserve">Option 3 of converting the Pilot into a framework with an unlimited thresholds and wide market</w:t>
      </w:r>
      <w:r>
        <w:t xml:space="preserve"> </w:t>
      </w:r>
      <w:r>
        <w:t xml:space="preserve">accessibility would align less well than option 2 with one of the priorities of the Commission</w:t>
      </w:r>
      <w:r>
        <w:t xml:space="preserve"> </w:t>
      </w:r>
      <w:r>
        <w:t xml:space="preserve">Digital Finance Strategy – ensuring that the EU regulatory framework facilitates digital</w:t>
      </w:r>
      <w:r>
        <w:t xml:space="preserve"> </w:t>
      </w:r>
      <w:r>
        <w:t xml:space="preserve">innovation in the interest if consumers and market efficiency.557 As noted in the Strategy,</w:t>
      </w:r>
      <w:r>
        <w:t xml:space="preserve"> </w:t>
      </w:r>
      <w:r>
        <w:t xml:space="preserve">‘faster, more open and collaborative innovation cycles call for regular examination of and</w:t>
      </w:r>
      <w:r>
        <w:t xml:space="preserve"> </w:t>
      </w:r>
      <w:r>
        <w:t xml:space="preserve">adjustments to EU financial services legislation and supervisory practices, to ensure that they</w:t>
      </w:r>
      <w:r>
        <w:t xml:space="preserve"> </w:t>
      </w:r>
      <w:r>
        <w:t xml:space="preserve">support digital innovation and remain appropriate and relevant in evolving market</w:t>
      </w:r>
      <w:r>
        <w:t xml:space="preserve"> </w:t>
      </w:r>
      <w:r>
        <w:t xml:space="preserve">environments’. Business models and practices related to the use of DLT in financial services</w:t>
      </w:r>
      <w:r>
        <w:t xml:space="preserve"> </w:t>
      </w:r>
      <w:r>
        <w:t xml:space="preserve">are fast-evolving and iterative. For example, parts of the market are keen on using permissioned</w:t>
      </w:r>
      <w:r>
        <w:t xml:space="preserve"> </w:t>
      </w:r>
      <w:r>
        <w:t xml:space="preserve">distributed ledgers (platforms open solely to authorised members) while others build on</w:t>
      </w:r>
      <w:r>
        <w:t xml:space="preserve"> </w:t>
      </w:r>
      <w:r>
        <w:t xml:space="preserve">permissionless distributed ledgers (platforms open to all). Therefore, policymakers need to</w:t>
      </w:r>
      <w:r>
        <w:t xml:space="preserve"> </w:t>
      </w:r>
      <w:r>
        <w:t xml:space="preserve">learn more about the risks and benefits of DLT implemented into financial markets at scale to</w:t>
      </w:r>
      <w:r>
        <w:t xml:space="preserve"> </w:t>
      </w:r>
      <w:r>
        <w:t xml:space="preserve">comprehensively gauge impacts for consumers and markets. In other words, DLT-specific rules</w:t>
      </w:r>
      <w:r>
        <w:t xml:space="preserve"> </w:t>
      </w:r>
      <w:r>
        <w:t xml:space="preserve">should evolve with the maturity and scale of DLT-based financial market infrastructures, which</w:t>
      </w:r>
      <w:r>
        <w:t xml:space="preserve"> </w:t>
      </w:r>
      <w:r>
        <w:t xml:space="preserve">is better reflected in option 2. Relatedly, this option would not be coherent with the objectives</w:t>
      </w:r>
      <w:r>
        <w:t xml:space="preserve"> </w:t>
      </w:r>
      <w:r>
        <w:t xml:space="preserve">of the SIU to support the deployment of new technologies that can enhance market efficiency,</w:t>
      </w:r>
      <w:r>
        <w:t xml:space="preserve"> </w:t>
      </w:r>
      <w:r>
        <w:t xml:space="preserve">as it would turn the Pilot into an unlimited framework at a time when learnings from concrete</w:t>
      </w:r>
      <w:r>
        <w:t xml:space="preserve"> </w:t>
      </w:r>
      <w:r>
        <w:t xml:space="preserve">DLT-based projects are still scarce. Conversely, option 2, with its revisable caps for Pilot</w:t>
      </w:r>
      <w:r>
        <w:t xml:space="preserve"> </w:t>
      </w:r>
      <w:r>
        <w:t xml:space="preserve">activity, would be more coherent with one of the core aims of the DLT Pilot - to gather policy</w:t>
      </w:r>
      <w:r>
        <w:t xml:space="preserve"> </w:t>
      </w:r>
      <w:r>
        <w:t xml:space="preserve">learnings, within a controlled framework, for the purpose of developing a more comprehensive</w:t>
      </w:r>
      <w:r>
        <w:t xml:space="preserve"> </w:t>
      </w:r>
      <w:r>
        <w:t xml:space="preserve">and stable rulebook. Finally, option 2 is more coherent with the preferred option under specific</w:t>
      </w:r>
      <w:r>
        <w:t xml:space="preserve"> </w:t>
      </w:r>
      <w:r>
        <w:t xml:space="preserve">objective 1, to increase the proportionality and flexibility of regulatory requirements. These</w:t>
      </w:r>
      <w:r>
        <w:t xml:space="preserve"> </w:t>
      </w:r>
      <w:r>
        <w:t xml:space="preserve">objectives are more easily attainable within a Pilot that is subject to certain overall activity</w:t>
      </w:r>
      <w:r>
        <w:t xml:space="preserve"> </w:t>
      </w:r>
      <w:r>
        <w:t xml:space="preserve">limits as opposed to within an unbounded regime.</w:t>
      </w:r>
    </w:p>
    <w:p>
      <w:pPr>
        <w:pStyle w:val="BodyText"/>
      </w:pPr>
      <w:r>
        <w:t xml:space="preserve">557 See section 4, at https://eur-lex.europa.eu/legal-content/EN/TXT/?uri=CELEX:52020DC0591</w:t>
      </w:r>
    </w:p>
    <w:p>
      <w:pPr>
        <w:pStyle w:val="BodyText"/>
      </w:pPr>
      <w:r>
        <w:t xml:space="preserve">355</w:t>
      </w:r>
      <w:r>
        <w:t xml:space="preserve"> </w:t>
      </w:r>
      <w:r>
        <w:t xml:space="preserve">Based on these considerations the preferred option for the specific objective 2 is option 2, as it</w:t>
      </w:r>
      <w:r>
        <w:t xml:space="preserve"> </w:t>
      </w:r>
      <w:r>
        <w:t xml:space="preserve">is significantly more efficient than option 3, while being only slightly less effective and much</w:t>
      </w:r>
      <w:r>
        <w:t xml:space="preserve"> </w:t>
      </w:r>
      <w:r>
        <w:t xml:space="preserve">more coherent with other policies pursued by the Commission.</w:t>
      </w:r>
      <w:r>
        <w:t xml:space="preserve"> </w:t>
      </w:r>
      <w:r>
        <w:t xml:space="preserve">5.3.3. Comparative table</w:t>
      </w:r>
      <w:r>
        <w:t xml:space="preserve"> </w:t>
      </w:r>
      <w:r>
        <w:t xml:space="preserve">Table 1. Comparison of options</w:t>
      </w:r>
      <w:r>
        <w:br/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Option 1: Do nothing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Specific objective 1</w:t>
      </w:r>
      <w:r>
        <w:t xml:space="preserve"> </w:t>
      </w:r>
      <w:r>
        <w:t xml:space="preserve">Option 2 – Tier 2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 – Tier 2 +</w:t>
      </w:r>
      <w:r>
        <w:t xml:space="preserve"> </w:t>
      </w:r>
      <w:r>
        <w:t xml:space="preserve">enhanced flexibility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Option 1: Do nothing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 – Expanded</w:t>
      </w:r>
      <w:r>
        <w:t xml:space="preserve"> </w:t>
      </w:r>
      <w:r>
        <w:t xml:space="preserve">scope &amp; scale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 – Unbounded</w:t>
      </w:r>
      <w:r>
        <w:t xml:space="preserve"> </w:t>
      </w:r>
      <w:r>
        <w:t xml:space="preserve">parallel regime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Magnitude of impact as compared with the baseline scenario (the baseline is indicated as 0):</w:t>
      </w:r>
      <w:r>
        <w:t xml:space="preserve"> </w:t>
      </w:r>
      <w:r>
        <w:t xml:space="preserve">+++ very positive, ++ positive; + slightly positive; – – – very negative; – – negative; slightly</w:t>
      </w:r>
      <w:r>
        <w:t xml:space="preserve"> </w:t>
      </w:r>
      <w:r>
        <w:t xml:space="preserve">negative 0 no effect +/- mixed effect;</w:t>
      </w:r>
    </w:p>
    <w:p>
      <w:pPr>
        <w:pStyle w:val="BodyText"/>
      </w:pPr>
      <w:r>
        <w:t xml:space="preserve">356</w:t>
      </w:r>
      <w:r>
        <w:t xml:space="preserve"> </w:t>
      </w:r>
      <w:r>
        <w:t xml:space="preserve">ANNEX 11: SECTORAL ANNEX ON SUPERVISION</w:t>
      </w:r>
      <w:r>
        <w:t xml:space="preserve"> </w:t>
      </w:r>
      <w:r>
        <w:t xml:space="preserve">1. INTRODUCTION</w:t>
      </w:r>
      <w:r>
        <w:br/>
      </w:r>
      <w:r>
        <w:t xml:space="preserve">This Annex explores a set of targeted policy measures aimed at strengthening the functioning</w:t>
      </w:r>
      <w:r>
        <w:t xml:space="preserve"> </w:t>
      </w:r>
      <w:r>
        <w:t xml:space="preserve">and effectiveness of the European supervisory framework for capital markets, in particular by</w:t>
      </w:r>
      <w:r>
        <w:t xml:space="preserve"> </w:t>
      </w:r>
      <w:r>
        <w:t xml:space="preserve">enhancing the role of the European Securities and Markets Authority (‘ESMA’). The document</w:t>
      </w:r>
      <w:r>
        <w:t xml:space="preserve"> </w:t>
      </w:r>
      <w:r>
        <w:t xml:space="preserve">focuses on four key areas that are critical to ensuring a more integrated, resilient, and efficient</w:t>
      </w:r>
      <w:r>
        <w:t xml:space="preserve"> </w:t>
      </w:r>
      <w:r>
        <w:t xml:space="preserve">EU capital markets.</w:t>
      </w:r>
      <w:r>
        <w:br/>
      </w:r>
      <w:r>
        <w:t xml:space="preserve">First, it examines options for expanding ESMA’s direct supervisory responsibilities in the</w:t>
      </w:r>
      <w:r>
        <w:t xml:space="preserve"> </w:t>
      </w:r>
      <w:r>
        <w:t xml:space="preserve">trading, post-trading and crypto assets space. This includes a more active role in the supervision</w:t>
      </w:r>
      <w:r>
        <w:t xml:space="preserve"> </w:t>
      </w:r>
      <w:r>
        <w:t xml:space="preserve">of critical market infrastructures such as Central Counterparties (‘CCPs’), Central Securities</w:t>
      </w:r>
      <w:r>
        <w:t xml:space="preserve"> </w:t>
      </w:r>
      <w:r>
        <w:t xml:space="preserve">Depositories (‘CSDs’) and certain trading venues, as well as establishing a framework for</w:t>
      </w:r>
      <w:r>
        <w:t xml:space="preserve"> </w:t>
      </w:r>
      <w:r>
        <w:t xml:space="preserve">enhanced supervisory coordination of cross-border asset management groups and of cross-</w:t>
      </w:r>
      <w:r>
        <w:t xml:space="preserve"> </w:t>
      </w:r>
      <w:r>
        <w:t xml:space="preserve">border distribution of investment funds and increasing ESMA’s role in the supervision of</w:t>
      </w:r>
      <w:r>
        <w:t xml:space="preserve"> </w:t>
      </w:r>
      <w:r>
        <w:t xml:space="preserve">crypto asset service providers (‘CASPs’). These changes aim to address supervisory</w:t>
      </w:r>
      <w:r>
        <w:t xml:space="preserve"> </w:t>
      </w:r>
      <w:r>
        <w:t xml:space="preserve">fragmentation, enhance financial stability, and ensure consistent implementation of EU rules.</w:t>
      </w:r>
      <w:r>
        <w:t xml:space="preserve"> </w:t>
      </w:r>
      <w:r>
        <w:t xml:space="preserve">These sectors, although critical for the integration of capital markets, are not subject to the</w:t>
      </w:r>
      <w:r>
        <w:t xml:space="preserve"> </w:t>
      </w:r>
      <w:r>
        <w:t xml:space="preserve">same degree of harmonisation, legally, but also in terms of single rule book and supervisory</w:t>
      </w:r>
      <w:r>
        <w:t xml:space="preserve"> </w:t>
      </w:r>
      <w:r>
        <w:t xml:space="preserve">convergence. They also differ with regard to relevance, concentration and risks, in particular</w:t>
      </w:r>
      <w:r>
        <w:t xml:space="preserve"> </w:t>
      </w:r>
      <w:r>
        <w:t xml:space="preserve">cross-border. Therefore, the options envisaged for the respective sectors are not uniform but</w:t>
      </w:r>
      <w:r>
        <w:t xml:space="preserve"> </w:t>
      </w:r>
      <w:r>
        <w:t xml:space="preserve">take into account these differences.558</w:t>
      </w:r>
      <w:r>
        <w:t xml:space="preserve"> </w:t>
      </w:r>
      <w:r>
        <w:t xml:space="preserve">Second, the assessment addresses necessary adjustments in governance, linked to the expansion</w:t>
      </w:r>
      <w:r>
        <w:t xml:space="preserve"> </w:t>
      </w:r>
      <w:r>
        <w:t xml:space="preserve">of ESMA’s supervisory powers. It considers changes that would ensure efficiency of decision-</w:t>
      </w:r>
      <w:r>
        <w:t xml:space="preserve"> </w:t>
      </w:r>
      <w:r>
        <w:t xml:space="preserve">making, transparency, and operational independence to align the governance with ESMA’s</w:t>
      </w:r>
      <w:r>
        <w:t xml:space="preserve"> </w:t>
      </w:r>
      <w:r>
        <w:t xml:space="preserve">strengthened role.</w:t>
      </w:r>
      <w:r>
        <w:br/>
      </w:r>
      <w:r>
        <w:t xml:space="preserve">Third, the assessment considers necessary changes to strengthen supervisory convergence,</w:t>
      </w:r>
      <w:r>
        <w:t xml:space="preserve"> </w:t>
      </w:r>
      <w:r>
        <w:t xml:space="preserve">improving the incentives for the use of supervisory convergence tools, addressing current</w:t>
      </w:r>
      <w:r>
        <w:t xml:space="preserve"> </w:t>
      </w:r>
      <w:r>
        <w:t xml:space="preserve">limitations in the available tools and proposing new mechanisms to better coordinate and</w:t>
      </w:r>
      <w:r>
        <w:t xml:space="preserve"> </w:t>
      </w:r>
      <w:r>
        <w:t xml:space="preserve">support national supervisors.</w:t>
      </w:r>
      <w:r>
        <w:br/>
      </w:r>
      <w:r>
        <w:t xml:space="preserve">Finally, the document looks at funding options to support these extended responsibilities. The</w:t>
      </w:r>
      <w:r>
        <w:t xml:space="preserve"> </w:t>
      </w:r>
      <w:r>
        <w:t xml:space="preserve">goal is to secure a financing model that is both adequate and sustainable, ensuring that ESMA</w:t>
      </w:r>
      <w:r>
        <w:t xml:space="preserve"> </w:t>
      </w:r>
      <w:r>
        <w:t xml:space="preserve">has the resources needed to fulfil its new mandates without creating undue burdens on national</w:t>
      </w:r>
      <w:r>
        <w:t xml:space="preserve"> </w:t>
      </w:r>
      <w:r>
        <w:t xml:space="preserve">authorities.</w:t>
      </w:r>
      <w:r>
        <w:br/>
      </w:r>
      <w:r>
        <w:t xml:space="preserve">The analysis presented here explains why strengthening the European supervisory framework</w:t>
      </w:r>
      <w:r>
        <w:t xml:space="preserve"> </w:t>
      </w:r>
      <w:r>
        <w:t xml:space="preserve">for capital markets is needed to achieve the objectives of the Savings and Investments Union,</w:t>
      </w:r>
      <w:r>
        <w:t xml:space="preserve"> </w:t>
      </w:r>
      <w:r>
        <w:t xml:space="preserve">and then evaluates the potential benefits, risks and costs of the proposed measures. It is backed</w:t>
      </w:r>
      <w:r>
        <w:t xml:space="preserve"> </w:t>
      </w:r>
      <w:r>
        <w:t xml:space="preserve">by broad stakeholder outreach including a dedicated public consultation559. It is also supported</w:t>
      </w:r>
    </w:p>
    <w:p>
      <w:pPr>
        <w:pStyle w:val="BodyText"/>
      </w:pPr>
      <w:r>
        <w:t xml:space="preserve">558 This is also in line with Demarigny F. Thomadakis A., A supervisory efficiency test for EU financial markets:</w:t>
      </w:r>
      <w:r>
        <w:t xml:space="preserve"> </w:t>
      </w:r>
      <w:r>
        <w:t xml:space="preserve">Taking an operational approach to integration and oversight, ECMI Policy Brief no 44 | June 2025,</w:t>
      </w:r>
      <w:r>
        <w:t xml:space="preserve"> </w:t>
      </w:r>
      <w:r>
        <w:t xml:space="preserve">eu_supervisory_efficiency_policy_brief_n_44.pdf.</w:t>
      </w:r>
      <w:r>
        <w:t xml:space="preserve"> </w:t>
      </w:r>
      <w:r>
        <w:t xml:space="preserve">559 Targeted consultation on integration of EU capital markets 2025 - European Commission.</w:t>
      </w:r>
    </w:p>
    <w:p>
      <w:pPr>
        <w:pStyle w:val="BodyText"/>
      </w:pPr>
      <w:r>
        <w:t xml:space="preserve">357</w:t>
      </w:r>
      <w:r>
        <w:t xml:space="preserve"> </w:t>
      </w:r>
      <w:r>
        <w:t xml:space="preserve">by research from the landmark reports by Enrico Letta560 and Mario Draghi561 on the future of</w:t>
      </w:r>
      <w:r>
        <w:t xml:space="preserve"> </w:t>
      </w:r>
      <w:r>
        <w:t xml:space="preserve">EU capital markets and European competitiveness, respectively, as well as broad agreement in</w:t>
      </w:r>
      <w:r>
        <w:t xml:space="preserve"> </w:t>
      </w:r>
      <w:r>
        <w:t xml:space="preserve">policy papers and academic literature562, including by Bruegel’s Nicolas Veron563, and CEPS’</w:t>
      </w:r>
      <w:r>
        <w:t xml:space="preserve"> </w:t>
      </w:r>
      <w:r>
        <w:t xml:space="preserve">Fabrice Demarigny and Apostolos Thomadakis564. Similar conclusions regarding a more</w:t>
      </w:r>
      <w:r>
        <w:t xml:space="preserve"> </w:t>
      </w:r>
      <w:r>
        <w:t xml:space="preserve">centralised system of capital market supervision in Europe have also been drawn by global</w:t>
      </w:r>
      <w:r>
        <w:t xml:space="preserve"> </w:t>
      </w:r>
      <w:r>
        <w:t xml:space="preserve">economic governance bodies, including the OECD565 and the IMF.566</w:t>
      </w:r>
      <w:r>
        <w:br/>
      </w:r>
      <w:r>
        <w:t xml:space="preserve">2. DESCRIPTION OF MARKET / ENVIRONMENT</w:t>
      </w:r>
      <w:r>
        <w:br/>
      </w:r>
      <w:r>
        <w:t xml:space="preserve">Harmonised supervision ensures that all financial market participants are treated equally and</w:t>
      </w:r>
      <w:r>
        <w:t xml:space="preserve"> </w:t>
      </w:r>
      <w:r>
        <w:t xml:space="preserve">that supervisory decisions are consistent, no matter where they are taken. This approach</w:t>
      </w:r>
      <w:r>
        <w:t xml:space="preserve"> </w:t>
      </w:r>
      <w:r>
        <w:t xml:space="preserve">eliminates inefficiencies in supervision, reducing costs for investors and boosting their</w:t>
      </w:r>
      <w:r>
        <w:t xml:space="preserve"> </w:t>
      </w:r>
      <w:r>
        <w:t xml:space="preserve">confidence in capital markets. Ultimately, harmonised supervision facilitates market</w:t>
      </w:r>
      <w:r>
        <w:t xml:space="preserve"> </w:t>
      </w:r>
      <w:r>
        <w:t xml:space="preserve">integration which is essential to foster a robust Single Market and ensure the competitiveness</w:t>
      </w:r>
      <w:r>
        <w:t xml:space="preserve"> </w:t>
      </w:r>
      <w:r>
        <w:t xml:space="preserve">of EU capital markets. In his report on the future of European competitiveness, Mario Draghi</w:t>
      </w:r>
      <w:r>
        <w:t xml:space="preserve"> </w:t>
      </w:r>
      <w:r>
        <w:t xml:space="preserve">directly references the lack of a single securities supervisor and the high degree of variation</w:t>
      </w:r>
      <w:r>
        <w:t xml:space="preserve"> </w:t>
      </w:r>
      <w:r>
        <w:t xml:space="preserve">between supervisory practices as the first of three main fault lines to build a unified market for</w:t>
      </w:r>
      <w:r>
        <w:t xml:space="preserve"> </w:t>
      </w:r>
      <w:r>
        <w:t xml:space="preserve">capital in Europe.567 Similarly, Enrico Letta specifically highlights the need for a robust and</w:t>
      </w:r>
      <w:r>
        <w:t xml:space="preserve"> </w:t>
      </w:r>
      <w:r>
        <w:t xml:space="preserve">standardised supervisory framework to facilitate capital market integration.568</w:t>
      </w:r>
      <w:r>
        <w:br/>
      </w:r>
      <w:r>
        <w:t xml:space="preserve">With a few exceptions569, EU capital markets are currently supervised at national level. At EU</w:t>
      </w:r>
      <w:r>
        <w:t xml:space="preserve"> </w:t>
      </w:r>
      <w:r>
        <w:t xml:space="preserve">level, ESMA and others (e.g. ECB, EBA, ESRB) are involved to varying degrees, depending</w:t>
      </w:r>
      <w:r>
        <w:t xml:space="preserve"> </w:t>
      </w:r>
      <w:r>
        <w:t xml:space="preserve">on the specific sector in question. In the current framework, supervisory practices often differ</w:t>
      </w:r>
      <w:r>
        <w:t xml:space="preserve"> </w:t>
      </w:r>
      <w:r>
        <w:t xml:space="preserve">from one Member State to another for a variety of reasons, including local market specificities,</w:t>
      </w:r>
      <w:r>
        <w:t xml:space="preserve"> </w:t>
      </w:r>
      <w:r>
        <w:t xml:space="preserve">level of resources and expertise of national competent authorities (‘NCAs’), as well as differing</w:t>
      </w:r>
      <w:r>
        <w:t xml:space="preserve"> </w:t>
      </w:r>
      <w:r>
        <w:t xml:space="preserve">supervisory approaches (e.g. legalistic vs. data-driven or risk-based). While in some instances</w:t>
      </w:r>
      <w:r>
        <w:t xml:space="preserve"> </w:t>
      </w:r>
      <w:r>
        <w:t xml:space="preserve">flexibility and adaptation to local specificities can be beneficial, most of these divergent</w:t>
      </w:r>
      <w:r>
        <w:t xml:space="preserve"> </w:t>
      </w:r>
      <w:r>
        <w:t xml:space="preserve">national supervisory practices result in market fragmentation, an unlevel playing field,</w:t>
      </w:r>
      <w:r>
        <w:t xml:space="preserve"> </w:t>
      </w:r>
      <w:r>
        <w:t xml:space="preserve">operational uncertainty, and increased costs for cross-border activities. Demarigny and</w:t>
      </w:r>
    </w:p>
    <w:p>
      <w:pPr>
        <w:pStyle w:val="BodyText"/>
      </w:pPr>
      <w:r>
        <w:t xml:space="preserve">560 https://www.consilium.europa.eu/media/ny3j24sm/much-more-than-a-market-report-by-enrico-letta.pdf.</w:t>
      </w:r>
      <w:r>
        <w:br/>
      </w:r>
      <w:r>
        <w:t xml:space="preserve">561 https://commission.europa.eu/topics/eu-competitiveness/draghi-report_en</w:t>
      </w:r>
      <w:r>
        <w:br/>
      </w:r>
      <w:r>
        <w:t xml:space="preserve">562 See for example Beck, T., B. Bruno and E. Carletti, 2024. Can the Banking Union foster market integration,</w:t>
      </w:r>
      <w:r>
        <w:t xml:space="preserve"> </w:t>
      </w:r>
      <w:r>
        <w:t xml:space="preserve">and what lessons does this hold for Capital Markets Union? Briefing paper for the ECON Committee at the</w:t>
      </w:r>
      <w:r>
        <w:t xml:space="preserve"> </w:t>
      </w:r>
      <w:r>
        <w:t xml:space="preserve">European Parliament; Langenbucher, K. (2024). Rückgang börsennotierter Unternehmen: Gründe und rechtliche</w:t>
      </w:r>
      <w:r>
        <w:t xml:space="preserve"> </w:t>
      </w:r>
      <w:r>
        <w:t xml:space="preserve">Gegenmaßnahmen, Zeitschrift für Unternehmens- und Gesellschaftsrecht forthcoming, Friedrich, J. and M.</w:t>
      </w:r>
      <w:r>
        <w:t xml:space="preserve"> </w:t>
      </w:r>
      <w:r>
        <w:t xml:space="preserve">Thiemann (2017). “Capital Markets Union: the need for common laws and common supervision.”</w:t>
      </w:r>
      <w:r>
        <w:t xml:space="preserve"> </w:t>
      </w:r>
      <w:r>
        <w:t xml:space="preserve">Vierteljahrshefte zur Wirtschaftsforschung 86(2): 61-75, https://doi.org/10.3790/vjh.86.2.61. Bebchuk, L. (1992).</w:t>
      </w:r>
      <w:r>
        <w:t xml:space="preserve"> </w:t>
      </w:r>
      <w:r>
        <w:t xml:space="preserve">Federalism and the Corporation: The Desirable Limits on State Competition in Corporate Law. Harvard Law</w:t>
      </w:r>
      <w:r>
        <w:t xml:space="preserve"> </w:t>
      </w:r>
      <w:r>
        <w:t xml:space="preserve">Review 105(7): 1443-1510, https://doi.org/10.2307/1341744.</w:t>
      </w:r>
      <w:r>
        <w:t xml:space="preserve"> </w:t>
      </w:r>
      <w:r>
        <w:t xml:space="preserve">563 https://www.bruegel.org/sites/default/files/2025-06/Bruegel%20Blueprint%2035.pdf.</w:t>
      </w:r>
      <w:r>
        <w:t xml:space="preserve"> </w:t>
      </w:r>
      <w:r>
        <w:t xml:space="preserve">564 https://cdn.ceps.eu/wp-content/uploads/2025/06/EU-supervisory-efficiency-Policy-Brief-n-44.pdf.</w:t>
      </w:r>
      <w:r>
        <w:t xml:space="preserve"> </w:t>
      </w:r>
      <w:r>
        <w:t xml:space="preserve">565 https://www.oecd.org/content/dam/oecd/en/publications/reports/2025/07/oecd-economic-surveys-european-</w:t>
      </w:r>
      <w:r>
        <w:t xml:space="preserve"> </w:t>
      </w:r>
      <w:r>
        <w:t xml:space="preserve">union-and-euro-area-2025_af6b738a/5ec8dcc2-en.pdf.</w:t>
      </w:r>
      <w:r>
        <w:t xml:space="preserve"> </w:t>
      </w:r>
      <w:r>
        <w:t xml:space="preserve">566 Euro Area Policies: 2025 Annual Consultation-Press Release; Staff Report; and Statement by the Executive</w:t>
      </w:r>
      <w:r>
        <w:t xml:space="preserve"> </w:t>
      </w:r>
      <w:r>
        <w:t xml:space="preserve">Director for Member Countries.</w:t>
      </w:r>
      <w:r>
        <w:t xml:space="preserve"> </w:t>
      </w:r>
      <w:r>
        <w:t xml:space="preserve">567 https://commission.europa.eu/topics/eu-competitiveness/draghi-report_en.</w:t>
      </w:r>
      <w:r>
        <w:t xml:space="preserve"> </w:t>
      </w:r>
      <w:r>
        <w:t xml:space="preserve">568 https://www.consilium.europa.eu/media/ny3j24sm/much-more-than-a-market-report-by-enrico-letta.pdf.</w:t>
      </w:r>
      <w:r>
        <w:t xml:space="preserve"> </w:t>
      </w:r>
      <w:r>
        <w:t xml:space="preserve">569 Trade repositories, securitisation repositories, credit rating agencies, data reporting service providers,</w:t>
      </w:r>
      <w:r>
        <w:t xml:space="preserve"> </w:t>
      </w:r>
      <w:r>
        <w:t xml:space="preserve">consolidated tape providers, third country benchmarks administrators, and in the future benchmark administrators</w:t>
      </w:r>
      <w:r>
        <w:t xml:space="preserve"> </w:t>
      </w:r>
      <w:r>
        <w:t xml:space="preserve">that endorse non-EU benchmarks are under ESMA’s supervision.</w:t>
      </w:r>
    </w:p>
    <w:p>
      <w:pPr>
        <w:pStyle w:val="BodyText"/>
      </w:pPr>
      <w:r>
        <w:t xml:space="preserve">358</w:t>
      </w:r>
      <w:r>
        <w:t xml:space="preserve"> </w:t>
      </w:r>
      <w:r>
        <w:t xml:space="preserve">Thomadakis’ report570 references these operational issues as hurdles to achieving the necessary</w:t>
      </w:r>
      <w:r>
        <w:t xml:space="preserve"> </w:t>
      </w:r>
      <w:r>
        <w:t xml:space="preserve">continuous innovation of capital markets, noting that the continued reliance on NCAs “has</w:t>
      </w:r>
      <w:r>
        <w:t xml:space="preserve"> </w:t>
      </w:r>
      <w:r>
        <w:t xml:space="preserve">created a fragmented supervisory landscape that undermines the ambitions of the Capital</w:t>
      </w:r>
      <w:r>
        <w:t xml:space="preserve"> </w:t>
      </w:r>
      <w:r>
        <w:t xml:space="preserve">Markets Union and the SIU.” At the same time, supervision of cross-border entities by several</w:t>
      </w:r>
      <w:r>
        <w:t xml:space="preserve"> </w:t>
      </w:r>
      <w:r>
        <w:t xml:space="preserve">NCAs could benefit from a greater coordination, transparency and more effective information</w:t>
      </w:r>
      <w:r>
        <w:t xml:space="preserve"> </w:t>
      </w:r>
      <w:r>
        <w:t xml:space="preserve">and data sharing or more centralised supervision, depending on the sector. This would also</w:t>
      </w:r>
      <w:r>
        <w:t xml:space="preserve"> </w:t>
      </w:r>
      <w:r>
        <w:t xml:space="preserve">ensure a more holistic approach to the monitoring of systemic risks.</w:t>
      </w:r>
      <w:r>
        <w:t xml:space="preserve"> </w:t>
      </w:r>
      <w:r>
        <w:t xml:space="preserve">The input received from stakeholders in the public consultation consistently highlights that the</w:t>
      </w:r>
      <w:r>
        <w:t xml:space="preserve"> </w:t>
      </w:r>
      <w:r>
        <w:t xml:space="preserve">current EU financial market environment is characterised by persistent fragmentation due to</w:t>
      </w:r>
      <w:r>
        <w:t xml:space="preserve"> </w:t>
      </w:r>
      <w:r>
        <w:t xml:space="preserve">divergent national laws and varying supervisory interpretations of EU rules. This fragmentation</w:t>
      </w:r>
      <w:r>
        <w:t xml:space="preserve"> </w:t>
      </w:r>
      <w:r>
        <w:t xml:space="preserve">is reinforced by gold-plating, inconsistent authorisation and enforcement practices571, and</w:t>
      </w:r>
      <w:r>
        <w:t xml:space="preserve"> </w:t>
      </w:r>
      <w:r>
        <w:t xml:space="preserve">divergent supervisory priorities among NCAs. Several stakeholders point to differing</w:t>
      </w:r>
      <w:r>
        <w:t xml:space="preserve"> </w:t>
      </w:r>
      <w:r>
        <w:t xml:space="preserve">supervisory approaches as barriers to integrated capital markets, which hampers innovation and</w:t>
      </w:r>
      <w:r>
        <w:t xml:space="preserve"> </w:t>
      </w:r>
      <w:r>
        <w:t xml:space="preserve">competition. In addition, they underline that fragmented rule implementation generates</w:t>
      </w:r>
      <w:r>
        <w:t xml:space="preserve"> </w:t>
      </w:r>
      <w:r>
        <w:t xml:space="preserve">operational complexities and increased costs for firms operating cross-border, creating an</w:t>
      </w:r>
      <w:r>
        <w:t xml:space="preserve"> </w:t>
      </w:r>
      <w:r>
        <w:t xml:space="preserve">uneven playing field. Similarly, they stress that national authorities developing their own</w:t>
      </w:r>
      <w:r>
        <w:t xml:space="preserve"> </w:t>
      </w:r>
      <w:r>
        <w:t xml:space="preserve">supervisory practices lead to inconsistent application of the single rulebook, thereby</w:t>
      </w:r>
      <w:r>
        <w:t xml:space="preserve"> </w:t>
      </w:r>
      <w:r>
        <w:t xml:space="preserve">perpetuating market inefficiencies and legal uncertainty for cross-border businesses. Christian</w:t>
      </w:r>
      <w:r>
        <w:t xml:space="preserve"> </w:t>
      </w:r>
      <w:r>
        <w:t xml:space="preserve">Noyer, in his report on “Developing European Capital Markets to Finance the Future”572 on</w:t>
      </w:r>
      <w:r>
        <w:t xml:space="preserve"> </w:t>
      </w:r>
      <w:r>
        <w:t xml:space="preserve">behalf of the French DG Trésor, specifically references these inefficiencies as maintaining the</w:t>
      </w:r>
      <w:r>
        <w:t xml:space="preserve"> </w:t>
      </w:r>
      <w:r>
        <w:t xml:space="preserve">single market for capital as a theoretical concept, and highlights that “the situation severely</w:t>
      </w:r>
      <w:r>
        <w:t xml:space="preserve"> </w:t>
      </w:r>
      <w:r>
        <w:t xml:space="preserve">limits the benefits that European groups in the financial services sector can reap from the single</w:t>
      </w:r>
      <w:r>
        <w:t xml:space="preserve"> </w:t>
      </w:r>
      <w:r>
        <w:t xml:space="preserve">market”. Similarly, the German Council of Economic Experts states in its annual report</w:t>
      </w:r>
      <w:r>
        <w:t xml:space="preserve"> </w:t>
      </w:r>
      <w:r>
        <w:t xml:space="preserve">2023/24 that fragmentation due to differences in implementation of rules, leads to companies</w:t>
      </w:r>
      <w:r>
        <w:t xml:space="preserve"> </w:t>
      </w:r>
      <w:r>
        <w:t xml:space="preserve">facing increased bureaucratic burdens if they operate in different countries, require legal</w:t>
      </w:r>
      <w:r>
        <w:t xml:space="preserve"> </w:t>
      </w:r>
      <w:r>
        <w:t xml:space="preserve">expertise for each jurisdiction, and may have to adapt their products and services.573</w:t>
      </w:r>
      <w:r>
        <w:t xml:space="preserve"> </w:t>
      </w:r>
      <w:r>
        <w:t xml:space="preserve">Existing coordination mechanisms at EU level have achieved a certain degree of convergence</w:t>
      </w:r>
      <w:r>
        <w:t xml:space="preserve"> </w:t>
      </w:r>
      <w:r>
        <w:t xml:space="preserve">of supervisory practices. They remain however deficient for reasons of design and of missing</w:t>
      </w:r>
      <w:r>
        <w:t xml:space="preserve"> </w:t>
      </w:r>
      <w:r>
        <w:t xml:space="preserve">incentives inherent to the governance set-up of ESMA.574 Reinforcing the incentives to use</w:t>
      </w:r>
      <w:r>
        <w:t xml:space="preserve"> </w:t>
      </w:r>
      <w:r>
        <w:t xml:space="preserve">supervisory convergence tools and ESMA’s powers, like breach of Union law procedure,</w:t>
      </w:r>
      <w:r>
        <w:t xml:space="preserve"> </w:t>
      </w:r>
      <w:r>
        <w:t xml:space="preserve">binding mediation etc, are key measures to achieve more harmonised supervision, while</w:t>
      </w:r>
      <w:r>
        <w:t xml:space="preserve"> </w:t>
      </w:r>
      <w:r>
        <w:t xml:space="preserve">maintaining NCAs’ strong involvement and proximity to the supervised markets. In some</w:t>
      </w:r>
      <w:r>
        <w:t xml:space="preserve"> </w:t>
      </w:r>
      <w:r>
        <w:t xml:space="preserve">cases, these tools are difficult to use, or their application may be hindered by procedural</w:t>
      </w:r>
      <w:r>
        <w:t xml:space="preserve"> </w:t>
      </w:r>
      <w:r>
        <w:t xml:space="preserve">constraints. To address these shortcomings, a list of potential enhancements has been identified,</w:t>
      </w:r>
      <w:r>
        <w:t xml:space="preserve"> </w:t>
      </w:r>
      <w:r>
        <w:t xml:space="preserve">with a focus on those that are likely to have the maximum impact.</w:t>
      </w:r>
      <w:r>
        <w:br/>
      </w:r>
      <w:r>
        <w:t xml:space="preserve">The SIU Communication575 identifies more harmonised supervision as one of the main</w:t>
      </w:r>
      <w:r>
        <w:t xml:space="preserve"> </w:t>
      </w:r>
      <w:r>
        <w:t xml:space="preserve">objectives of the SIU. Together with a reinforced single rulebook, more harmonised and more</w:t>
      </w:r>
    </w:p>
    <w:p>
      <w:pPr>
        <w:pStyle w:val="BodyText"/>
      </w:pPr>
      <w:r>
        <w:t xml:space="preserve">570 https://cdn.ceps.eu/wp-content/uploads/2025/06/EU-supervisory-efficiency-Policy-Brief-n-44.pdf.</w:t>
      </w:r>
      <w:r>
        <w:t xml:space="preserve"> </w:t>
      </w:r>
      <w:r>
        <w:t xml:space="preserve">571 ESMA’s consolidated sanction report showing striking discrepancies in national enforcement activities.</w:t>
      </w:r>
      <w:r>
        <w:t xml:space="preserve"> </w:t>
      </w:r>
      <w:r>
        <w:t xml:space="preserve">(ESMA43-1527801302-1333 Report on Sanctions and measures imposed under AIFMD, BMR, CSDR, ECSPR,</w:t>
      </w:r>
      <w:r>
        <w:t xml:space="preserve"> </w:t>
      </w:r>
      <w:r>
        <w:t xml:space="preserve">EMIR, MAR, MiCA, MiFID II - MiFIR, PR, SFTR and UCITS in 2023).</w:t>
      </w:r>
      <w:r>
        <w:t xml:space="preserve"> </w:t>
      </w:r>
      <w:r>
        <w:t xml:space="preserve">572 Developing European capital markets to finance the future | Direction générale du Trésor.</w:t>
      </w:r>
      <w:r>
        <w:t xml:space="preserve"> </w:t>
      </w:r>
      <w:r>
        <w:t xml:space="preserve">573 German Council of Economic Experts, Annual Report 2023/24, Wachstumsschwäche überwinden – In die</w:t>
      </w:r>
      <w:r>
        <w:t xml:space="preserve"> </w:t>
      </w:r>
      <w:r>
        <w:t xml:space="preserve">Zukunft investieren. https://www.sachverstaendigenrat-</w:t>
      </w:r>
      <w:r>
        <w:t xml:space="preserve"> </w:t>
      </w:r>
      <w:r>
        <w:t xml:space="preserve">wirtschaft.de/fileadmin/dateiablage/gutachten/jg202324/JG202324_Gesamtausgabe.pdf”</w:t>
      </w:r>
      <w:r>
        <w:t xml:space="preserve"> </w:t>
      </w:r>
      <w:r>
        <w:t xml:space="preserve">“page=246.</w:t>
      </w:r>
      <w:r>
        <w:t xml:space="preserve"> </w:t>
      </w:r>
      <w:r>
        <w:t xml:space="preserve">574 ESMA’s consensus-driven model led by NCAs creates conflicts of interest and discourages assertive action</w:t>
      </w:r>
      <w:r>
        <w:t xml:space="preserve"> </w:t>
      </w:r>
      <w:r>
        <w:t xml:space="preserve">due to the need to find majorities among NCAs for converging supervisory practices of those same authorities.</w:t>
      </w:r>
      <w:r>
        <w:t xml:space="preserve"> </w:t>
      </w:r>
      <w:r>
        <w:t xml:space="preserve">575 13085856-09c8-4040-918e-890a1ed7dbf2_en.</w:t>
      </w:r>
    </w:p>
    <w:p>
      <w:pPr>
        <w:pStyle w:val="BodyText"/>
      </w:pPr>
      <w:r>
        <w:t xml:space="preserve">359</w:t>
      </w:r>
      <w:r>
        <w:t xml:space="preserve"> </w:t>
      </w:r>
      <w:r>
        <w:t xml:space="preserve">efficient supervision can contribute to market integration by eliminating barriers to cross-</w:t>
      </w:r>
      <w:r>
        <w:t xml:space="preserve"> </w:t>
      </w:r>
      <w:r>
        <w:t xml:space="preserve">border activity linked to divergent application of the rules and duplication of requirements, by</w:t>
      </w:r>
      <w:r>
        <w:t xml:space="preserve"> </w:t>
      </w:r>
      <w:r>
        <w:t xml:space="preserve">creating a level playing field for market participants and thereby fostering investor confidence.</w:t>
      </w:r>
    </w:p>
    <w:p>
      <w:pPr>
        <w:pStyle w:val="Compact"/>
        <w:numPr>
          <w:ilvl w:val="0"/>
          <w:numId w:val="1037"/>
        </w:numPr>
      </w:pPr>
      <w:r>
        <w:t xml:space="preserve">ASSESSMENT OF PROBLEMS AND NEED TO ACT</w:t>
      </w:r>
      <w:r>
        <w:t xml:space="preserve"> </w:t>
      </w:r>
      <w:r>
        <w:t xml:space="preserve">3.1. DESCRIPTION OF CURRENT STATE OF PLAY</w:t>
      </w:r>
      <w:r>
        <w:t xml:space="preserve"> </w:t>
      </w:r>
      <w:r>
        <w:t xml:space="preserve">3.1.1. CSDs</w:t>
      </w:r>
      <w:r>
        <w:t xml:space="preserve"> </w:t>
      </w:r>
      <w:r>
        <w:t xml:space="preserve">There are 25 CSDs authorised in the EU under the CSD Regulation (‘CSDR’)576, each offering</w:t>
      </w:r>
      <w:r>
        <w:t xml:space="preserve"> </w:t>
      </w:r>
      <w:r>
        <w:t xml:space="preserve">services with respect to varying scopes of instruments and currencies with little competition</w:t>
      </w:r>
      <w:r>
        <w:t xml:space="preserve"> </w:t>
      </w:r>
      <w:r>
        <w:t xml:space="preserve">between them up to now, reinforcing the level of fragmentation of EU markets. As a</w:t>
      </w:r>
      <w:r>
        <w:t xml:space="preserve"> </w:t>
      </w:r>
      <w:r>
        <w:t xml:space="preserve">comparison, the US has one CSD, DTCC, for the entire US stock market, serving a single</w:t>
      </w:r>
      <w:r>
        <w:t xml:space="preserve"> </w:t>
      </w:r>
      <w:r>
        <w:t xml:space="preserve">currency. In addition, there are 6 CSDs operated by central banks which offer services related</w:t>
      </w:r>
      <w:r>
        <w:t xml:space="preserve"> </w:t>
      </w:r>
      <w:r>
        <w:t xml:space="preserve">to the national debt issuance of the Member States those CSDs are authorised in. Those CSDs</w:t>
      </w:r>
      <w:r>
        <w:t xml:space="preserve"> </w:t>
      </w:r>
      <w:r>
        <w:t xml:space="preserve">are currently out of the scope of a significant number of the CSDR requirements, including</w:t>
      </w:r>
      <w:r>
        <w:t xml:space="preserve"> </w:t>
      </w:r>
      <w:r>
        <w:t xml:space="preserve">those related to supervision. Additionally, a large number of transactions are settled via</w:t>
      </w:r>
      <w:r>
        <w:t xml:space="preserve"> </w:t>
      </w:r>
      <w:r>
        <w:t xml:space="preserve">settlement internalisers (mainly banks) (‘SI’). According to recent data, settlement internalisers</w:t>
      </w:r>
      <w:r>
        <w:t xml:space="preserve"> </w:t>
      </w:r>
      <w:r>
        <w:t xml:space="preserve">have been processing higher volumes and values of transactions in equity instruments</w:t>
      </w:r>
      <w:r>
        <w:t xml:space="preserve"> </w:t>
      </w:r>
      <w:r>
        <w:t xml:space="preserve">compared to CSDs. For this type of securities, internalised settlement volumes were over five</w:t>
      </w:r>
      <w:r>
        <w:t xml:space="preserve"> </w:t>
      </w:r>
      <w:r>
        <w:t xml:space="preserve">times higher than those of CSDs in 2024. At the same time, the picture is considerably different</w:t>
      </w:r>
      <w:r>
        <w:t xml:space="preserve"> </w:t>
      </w:r>
      <w:r>
        <w:t xml:space="preserve">for fixed income instruments, with settlement internalisers processing approx. 60% of CSD</w:t>
      </w:r>
      <w:r>
        <w:t xml:space="preserve"> </w:t>
      </w:r>
      <w:r>
        <w:t xml:space="preserve">volumes and values. EU stakeholders (mainly CSDs) have raised the issue that this creates an</w:t>
      </w:r>
      <w:r>
        <w:t xml:space="preserve"> </w:t>
      </w:r>
      <w:r>
        <w:t xml:space="preserve">unlevel playing field when they provide the same services under less strict rules.577</w:t>
      </w:r>
      <w:r>
        <w:br/>
      </w:r>
      <w:r>
        <w:t xml:space="preserve">Several integrated post-trade services groups578 operate in the EU. Three of those groups</w:t>
      </w:r>
      <w:r>
        <w:t xml:space="preserve"> </w:t>
      </w:r>
      <w:r>
        <w:t xml:space="preserve">(Euroclear, Deutsche Börse and Euronext) hold 93% of the EU assets under custody and are</w:t>
      </w:r>
      <w:r>
        <w:t xml:space="preserve"> </w:t>
      </w:r>
      <w:r>
        <w:t xml:space="preserve">responsible for 96% of the EU settlement turnover in CSDs.</w:t>
      </w:r>
      <w:r>
        <w:t xml:space="preserve"> </w:t>
      </w:r>
      <w:r>
        <w:t xml:space="preserve">The supervision of CSDs is currently carried out by NCAs.579 CSDR Refit580, which is still in</w:t>
      </w:r>
      <w:r>
        <w:t xml:space="preserve"> </w:t>
      </w:r>
      <w:r>
        <w:t xml:space="preserve">the process of being implemented, introduced a college of supervisors for CSDs of substantial</w:t>
      </w:r>
    </w:p>
    <w:p>
      <w:pPr>
        <w:pStyle w:val="FirstParagraph"/>
      </w:pPr>
      <w:r>
        <w:t xml:space="preserve">576 Regulation (EU) No 909/2014 of the European Parliament and of the Council of 23 July 2014 on improving</w:t>
      </w:r>
      <w:r>
        <w:t xml:space="preserve"> </w:t>
      </w:r>
      <w:r>
        <w:t xml:space="preserve">securities settlement in the European Union and on central securities depositories and amending Directives</w:t>
      </w:r>
      <w:r>
        <w:t xml:space="preserve"> </w:t>
      </w:r>
      <w:r>
        <w:t xml:space="preserve">98/26/EC and 2014/65/EU and Regulation (EU) No 236/2012 (OJ L 257, 28.8.2014, p. 1. ELI:</w:t>
      </w:r>
      <w:r>
        <w:t xml:space="preserve"> </w:t>
      </w:r>
      <w:r>
        <w:t xml:space="preserve">http://data.europa.eu/eli/reg/2014/909/oj).</w:t>
      </w:r>
      <w:r>
        <w:t xml:space="preserve"> </w:t>
      </w:r>
      <w:r>
        <w:t xml:space="preserve">577 Under the CSDR, settlement internalisers are only required to report to their competent authorities, on a</w:t>
      </w:r>
      <w:r>
        <w:t xml:space="preserve"> </w:t>
      </w:r>
      <w:r>
        <w:t xml:space="preserve">quarterly basis, the aggregate volume and value of all securities transactions that they settle outside of a CSD.</w:t>
      </w:r>
      <w:r>
        <w:br/>
      </w:r>
      <w:r>
        <w:t xml:space="preserve">578 Euroclear (operating an international CSD (ICSD), Euroclear Bank, and national CSDs in Belgium, Finland,</w:t>
      </w:r>
      <w:r>
        <w:t xml:space="preserve"> </w:t>
      </w:r>
      <w:r>
        <w:t xml:space="preserve">France, Ireland (Euroclear Bank is the issuer CSD for Irish securities), Netherlands, Sweden and the UK).</w:t>
      </w:r>
      <w:r>
        <w:t xml:space="preserve"> </w:t>
      </w:r>
      <w:r>
        <w:t xml:space="preserve">Euronext (operating national CSDs in Portugal, Denmark, Norway and Italy), Deutsche Börse (operating an ICSD,</w:t>
      </w:r>
      <w:r>
        <w:t xml:space="preserve"> </w:t>
      </w:r>
      <w:r>
        <w:t xml:space="preserve">Clearstream Luxembourg, the national CSDs in Germany and Luxemburg) and Nasdaq (operating the CSDs for</w:t>
      </w:r>
      <w:r>
        <w:t xml:space="preserve"> </w:t>
      </w:r>
      <w:r>
        <w:t xml:space="preserve">Lithuania, Latvia, Estonia and Iceland).</w:t>
      </w:r>
      <w:r>
        <w:t xml:space="preserve"> </w:t>
      </w:r>
      <w:r>
        <w:t xml:space="preserve">579 There can be up to three national authorities for some CSDs.</w:t>
      </w:r>
      <w:r>
        <w:t xml:space="preserve"> </w:t>
      </w:r>
      <w:r>
        <w:t xml:space="preserve">580 Regulation (EU) 2023/2845 of the European Parliament and of the Council of 13 December 2023 amending</w:t>
      </w:r>
      <w:r>
        <w:t xml:space="preserve"> </w:t>
      </w:r>
      <w:r>
        <w:t xml:space="preserve">Regulation (EU) No 909/2014 as regards settlement discipline, cross-border provision of services, supervisory</w:t>
      </w:r>
      <w:r>
        <w:t xml:space="preserve"> </w:t>
      </w:r>
      <w:r>
        <w:t xml:space="preserve">cooperation, provision of banking-type ancillary services and requirements for third-country central securities</w:t>
      </w:r>
      <w:r>
        <w:t xml:space="preserve"> </w:t>
      </w:r>
      <w:r>
        <w:t xml:space="preserve">depositories and amending Regulation (EU) No 236/2012.</w:t>
      </w:r>
    </w:p>
    <w:p>
      <w:pPr>
        <w:pStyle w:val="BodyText"/>
      </w:pPr>
      <w:r>
        <w:t xml:space="preserve">360</w:t>
      </w:r>
      <w:r>
        <w:t xml:space="preserve"> </w:t>
      </w:r>
      <w:r>
        <w:t xml:space="preserve">importance in at least two host Member States581, which is comprised of NCAs, ESMA and of</w:t>
      </w:r>
      <w:r>
        <w:t xml:space="preserve"> </w:t>
      </w:r>
      <w:r>
        <w:t xml:space="preserve">relevant authorities, including the European System of Central Banks (‘ESCB’).</w:t>
      </w:r>
      <w:r>
        <w:br/>
      </w:r>
      <w:r>
        <w:t xml:space="preserve">Lastly, it should be mentioned that T2S, a pan-European central settlement platform operated</w:t>
      </w:r>
      <w:r>
        <w:t xml:space="preserve"> </w:t>
      </w:r>
      <w:r>
        <w:t xml:space="preserve">by the ECB, provides an important service in the settlement layer. It does not constitute a CSD</w:t>
      </w:r>
      <w:r>
        <w:t xml:space="preserve"> </w:t>
      </w:r>
      <w:r>
        <w:t xml:space="preserve">and it is thus not subject to CSDR requirements. It is however subject to oversight by the</w:t>
      </w:r>
      <w:r>
        <w:t xml:space="preserve"> </w:t>
      </w:r>
      <w:r>
        <w:t xml:space="preserve">European Central Bank (‘ECB’).</w:t>
      </w:r>
      <w:r>
        <w:t xml:space="preserve"> </w:t>
      </w:r>
      <w:r>
        <w:t xml:space="preserve">3.1.2. CCPs</w:t>
      </w:r>
      <w:r>
        <w:t xml:space="preserve"> </w:t>
      </w:r>
      <w:r>
        <w:t xml:space="preserve">There are 14 CCPs that have been authorised in the EU under the European Market</w:t>
      </w:r>
      <w:r>
        <w:t xml:space="preserve"> </w:t>
      </w:r>
      <w:r>
        <w:t xml:space="preserve">Infrastructure Regulation (‘EMIR’).582 Their supervision is currently carried out by their</w:t>
      </w:r>
      <w:r>
        <w:t xml:space="preserve"> </w:t>
      </w:r>
      <w:r>
        <w:t xml:space="preserve">NCAs583, which are responsible for day-to-day oversight, including authorisation and extension</w:t>
      </w:r>
      <w:r>
        <w:t xml:space="preserve"> </w:t>
      </w:r>
      <w:r>
        <w:t xml:space="preserve">of services; risk management requirements (e.g. margin models, default funds); operational</w:t>
      </w:r>
      <w:r>
        <w:t xml:space="preserve"> </w:t>
      </w:r>
      <w:r>
        <w:t xml:space="preserve">risk management standards; review of interoperability arrangements. For key decisions</w:t>
      </w:r>
      <w:r>
        <w:t xml:space="preserve"> </w:t>
      </w:r>
      <w:r>
        <w:t xml:space="preserve">(authorisation, risk model changes, annual reviews, stress tests, etc.), NCAs must consult a</w:t>
      </w:r>
      <w:r>
        <w:t xml:space="preserve"> </w:t>
      </w:r>
      <w:r>
        <w:t xml:space="preserve">college of supervisors (CCP college), which includes ESMA, ECB, the relevant central banks</w:t>
      </w:r>
      <w:r>
        <w:t xml:space="preserve"> </w:t>
      </w:r>
      <w:r>
        <w:t xml:space="preserve">of issue, supervisory authorities of major clearing members and linked trading venues/CCPs.</w:t>
      </w:r>
      <w:r>
        <w:t xml:space="preserve"> </w:t>
      </w:r>
      <w:r>
        <w:t xml:space="preserve">The NCAs submit their draft decisions/reports to the CCP college and to ESMA’s CCP</w:t>
      </w:r>
      <w:r>
        <w:t xml:space="preserve"> </w:t>
      </w:r>
      <w:r>
        <w:t xml:space="preserve">Supervisory Committee584 for non-binding opinions585 before adopting such acts. Regarding</w:t>
      </w:r>
      <w:r>
        <w:t xml:space="preserve"> </w:t>
      </w:r>
      <w:r>
        <w:t xml:space="preserve">the granting of authorisation or extension of the CCPs authorisation, where NCAs opt not to</w:t>
      </w:r>
      <w:r>
        <w:t xml:space="preserve"> </w:t>
      </w:r>
      <w:r>
        <w:t xml:space="preserve">follow those opinions, the NCA must (i) include a fully reasoned explanation of any significant</w:t>
      </w:r>
      <w:r>
        <w:t xml:space="preserve"> </w:t>
      </w:r>
      <w:r>
        <w:t xml:space="preserve">deviation from the college’s opinion and (ii) explain to the ESMA Board of Supervisors why</w:t>
      </w:r>
      <w:r>
        <w:t xml:space="preserve"> </w:t>
      </w:r>
      <w:r>
        <w:t xml:space="preserve">they chose to deviate from ESMA’s opinion. The NCA also needs to take into account ESMA’s</w:t>
      </w:r>
      <w:r>
        <w:t xml:space="preserve"> </w:t>
      </w:r>
      <w:r>
        <w:t xml:space="preserve">opinion before adopting its decision on the approval of the CCP’s interoperability</w:t>
      </w:r>
      <w:r>
        <w:t xml:space="preserve"> </w:t>
      </w:r>
      <w:r>
        <w:t xml:space="preserve">arrangements. The only exception to this supervision by the NCAs is the validation of changes</w:t>
      </w:r>
      <w:r>
        <w:t xml:space="preserve"> </w:t>
      </w:r>
      <w:r>
        <w:t xml:space="preserve">to a CCP’s risk models or parameters which must be validated by both the CCP’s NCA(s) and</w:t>
      </w:r>
      <w:r>
        <w:t xml:space="preserve"> </w:t>
      </w:r>
      <w:r>
        <w:t xml:space="preserve">ESMA.</w:t>
      </w:r>
    </w:p>
    <w:p>
      <w:pPr>
        <w:pStyle w:val="BodyText"/>
      </w:pPr>
      <w:r>
        <w:t xml:space="preserve">581 Under the RTS submitted to the Commission by ESMA 7 CSDs in 5 Member States would be required to</w:t>
      </w:r>
      <w:r>
        <w:t xml:space="preserve"> </w:t>
      </w:r>
      <w:r>
        <w:t xml:space="preserve">establish colleges. According to ESMA’s simulations on 2024 data set out in the draft RTS, the CSDs that would</w:t>
      </w:r>
      <w:r>
        <w:t xml:space="preserve"> </w:t>
      </w:r>
      <w:r>
        <w:t xml:space="preserve">have to establish colleges are: Euroclear Bank (Belgium), Clearstream Banking AG (Germany), Monte Titoli</w:t>
      </w:r>
      <w:r>
        <w:t xml:space="preserve"> </w:t>
      </w:r>
      <w:r>
        <w:t xml:space="preserve">(Italy); Nasdaq CSD SE (Latvia); Clearstream Banking S.A. (Luxembourg) and Euroclear Sweden. However, this</w:t>
      </w:r>
      <w:r>
        <w:t xml:space="preserve"> </w:t>
      </w:r>
      <w:r>
        <w:t xml:space="preserve">data will have to be collected and calculated again once the obligation to set up colleges under CSDR Refit kicks</w:t>
      </w:r>
      <w:r>
        <w:t xml:space="preserve"> </w:t>
      </w:r>
      <w:r>
        <w:t xml:space="preserve">in. The table which includes the simulation and the data on which MS each CSDs is of substantial importance in</w:t>
      </w:r>
      <w:r>
        <w:t xml:space="preserve"> </w:t>
      </w:r>
      <w:r>
        <w:t xml:space="preserve">can be found at page 84 of the ESMA Final Report ESMA74-2119945925-1951 Final Report on Draft RTS on</w:t>
      </w:r>
      <w:r>
        <w:t xml:space="preserve"> </w:t>
      </w:r>
      <w:r>
        <w:t xml:space="preserve">the Substantial Importance of CSDs.</w:t>
      </w:r>
      <w:r>
        <w:br/>
      </w:r>
      <w:r>
        <w:t xml:space="preserve">582 Regulation (EU) No 648/2012 of the European Parliament and of the Council of 4 July 2012 on OTC</w:t>
      </w:r>
      <w:r>
        <w:t xml:space="preserve"> </w:t>
      </w:r>
      <w:r>
        <w:t xml:space="preserve">derivatives,</w:t>
      </w:r>
      <w:r>
        <w:t xml:space="preserve"> </w:t>
      </w:r>
      <w:r>
        <w:t xml:space="preserve">central</w:t>
      </w:r>
      <w:r>
        <w:t xml:space="preserve"> </w:t>
      </w:r>
      <w:r>
        <w:t xml:space="preserve">counterparties</w:t>
      </w:r>
      <w:r>
        <w:t xml:space="preserve"> </w:t>
      </w:r>
      <w:r>
        <w:t xml:space="preserve">and</w:t>
      </w:r>
      <w:r>
        <w:t xml:space="preserve"> </w:t>
      </w:r>
      <w:r>
        <w:t xml:space="preserve">trade repositories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201, 27.7.2012,</w:t>
      </w:r>
      <w:r>
        <w:t xml:space="preserve"> </w:t>
      </w:r>
      <w:r>
        <w:t xml:space="preserve">p. </w:t>
      </w:r>
      <w:r>
        <w:t xml:space="preserve"> </w:t>
      </w:r>
      <w:r>
        <w:t xml:space="preserve">1.</w:t>
      </w:r>
      <w:r>
        <w:t xml:space="preserve"> </w:t>
      </w:r>
      <w:r>
        <w:t xml:space="preserve">ELI:</w:t>
      </w:r>
      <w:r>
        <w:t xml:space="preserve"> </w:t>
      </w:r>
      <w:r>
        <w:t xml:space="preserve">http://data.europa.eu/eli/reg/2012/648/oj).</w:t>
      </w:r>
      <w:r>
        <w:br/>
      </w:r>
      <w:r>
        <w:t xml:space="preserve">583 There can be up to three national authorities for some CCPs.</w:t>
      </w:r>
      <w:r>
        <w:t xml:space="preserve"> </w:t>
      </w:r>
      <w:r>
        <w:t xml:space="preserve">584 ESMA’s CCP Supervisory Committee is composed of three independent members (including the Chair), of</w:t>
      </w:r>
      <w:r>
        <w:t xml:space="preserve"> </w:t>
      </w:r>
      <w:r>
        <w:t xml:space="preserve">the NCAs of all EU CCPs and the Central banks of issue of the currencies of the financial instruments cleared by</w:t>
      </w:r>
      <w:r>
        <w:t xml:space="preserve"> </w:t>
      </w:r>
      <w:r>
        <w:t xml:space="preserve">the EU CCPs (the latter ones are non-voting).</w:t>
      </w:r>
      <w:r>
        <w:br/>
      </w:r>
      <w:r>
        <w:t xml:space="preserve">585 With the exception of the granting/extension of authorisations where a “joint opinion by mutual agreement” of</w:t>
      </w:r>
      <w:r>
        <w:t xml:space="preserve"> </w:t>
      </w:r>
      <w:r>
        <w:t xml:space="preserve">the CCP College would not allow the NCAs to grant/extend the authorisation of the CCP.</w:t>
      </w:r>
    </w:p>
    <w:p>
      <w:pPr>
        <w:pStyle w:val="BodyText"/>
      </w:pPr>
      <w:r>
        <w:t xml:space="preserve">361</w:t>
      </w:r>
      <w:r>
        <w:t xml:space="preserve"> </w:t>
      </w:r>
      <w:r>
        <w:t xml:space="preserve">3.1.3. Trading Venues</w:t>
      </w:r>
      <w:r>
        <w:t xml:space="preserve"> </w:t>
      </w:r>
      <w:r>
        <w:t xml:space="preserve">The landscape of trading venues in the EU reflects the implementation of MiFID I586 in 2007</w:t>
      </w:r>
      <w:r>
        <w:t xml:space="preserve"> </w:t>
      </w:r>
      <w:r>
        <w:t xml:space="preserve">and MiFID II587 and MiFIR588 in 2018, which significantly reshaped it by introducing,</w:t>
      </w:r>
      <w:r>
        <w:t xml:space="preserve"> </w:t>
      </w:r>
      <w:r>
        <w:t xml:space="preserve">alongside Regulated Markets (RMs), Multilateral Trading Facilities (MTFs) and Organised</w:t>
      </w:r>
      <w:r>
        <w:t xml:space="preserve"> </w:t>
      </w:r>
      <w:r>
        <w:t xml:space="preserve">Trading Facilities (OTFs). As result, as shown in Figure 1, around 314 trading venues589</w:t>
      </w:r>
      <w:r>
        <w:t xml:space="preserve"> </w:t>
      </w:r>
      <w:r>
        <w:t xml:space="preserve">(including 119 regulated markets) currently operate in the EU. Smaller exchanges serve niche</w:t>
      </w:r>
      <w:r>
        <w:t xml:space="preserve"> </w:t>
      </w:r>
      <w:r>
        <w:t xml:space="preserve">markets590 or regions and some exhibit shallow liquidity, whereas several large trading venues</w:t>
      </w:r>
      <w:r>
        <w:t xml:space="preserve"> </w:t>
      </w:r>
      <w:r>
        <w:t xml:space="preserve">or groups of trading venues are active in various asset classes and/or operate across borders.</w:t>
      </w:r>
    </w:p>
    <w:p>
      <w:pPr>
        <w:pStyle w:val="BodyText"/>
      </w:pPr>
      <w:r>
        <w:t xml:space="preserve">Figure 1: Trading venues landscape in the EU</w:t>
      </w:r>
    </w:p>
    <w:p>
      <w:pPr>
        <w:pStyle w:val="BodyText"/>
      </w:pPr>
      <w:r>
        <w:t xml:space="preserve">Source: ESMA’s data</w:t>
      </w:r>
      <w:r>
        <w:br/>
      </w:r>
      <w:r>
        <w:t xml:space="preserve">The EU supervisory framework applicable to trading venues is also based on the MiFID II and</w:t>
      </w:r>
      <w:r>
        <w:t xml:space="preserve"> </w:t>
      </w:r>
      <w:r>
        <w:t xml:space="preserve">MiFIR frameworks. MiFID II is transposed in national law, sometimes with important</w:t>
      </w:r>
      <w:r>
        <w:t xml:space="preserve"> </w:t>
      </w:r>
      <w:r>
        <w:t xml:space="preserve">differences. In practice, the rulebook is enforced by national, sometimes regional, supervisors,</w:t>
      </w:r>
      <w:r>
        <w:t xml:space="preserve"> </w:t>
      </w:r>
      <w:r>
        <w:t xml:space="preserve">with the result that each market is being regulated and supervised locally, despite being part of</w:t>
      </w:r>
      <w:r>
        <w:t xml:space="preserve"> </w:t>
      </w:r>
      <w:r>
        <w:t xml:space="preserve">a single market. Schematically, the supervision of trading venues can be broadly distinguished</w:t>
      </w:r>
      <w:r>
        <w:t xml:space="preserve"> </w:t>
      </w:r>
      <w:r>
        <w:t xml:space="preserve">between (i) the supervision of the market operator operating a regulated market, or of the</w:t>
      </w:r>
      <w:r>
        <w:t xml:space="preserve"> </w:t>
      </w:r>
      <w:r>
        <w:t xml:space="preserve">market operator or investment firm operating an MTF or an OTF, and (ii) the supervision of</w:t>
      </w:r>
      <w:r>
        <w:t xml:space="preserve"> </w:t>
      </w:r>
      <w:r>
        <w:t xml:space="preserve">the market itself and the trading activity that takes place therein. The earlier relates to</w:t>
      </w:r>
    </w:p>
    <w:p>
      <w:pPr>
        <w:pStyle w:val="BodyText"/>
      </w:pPr>
      <w:r>
        <w:t xml:space="preserve">586 Directive 2004/39/EC of the European Parliament and of the Council of 21 April 2004 on markets in financial</w:t>
      </w:r>
      <w:r>
        <w:t xml:space="preserve"> </w:t>
      </w:r>
      <w:r>
        <w:t xml:space="preserve">instruments amending Council Directives 85/611/EEC and 93/6/EEC and Directive 2000/12/EC of the European</w:t>
      </w:r>
      <w:r>
        <w:t xml:space="preserve"> </w:t>
      </w:r>
      <w:r>
        <w:t xml:space="preserve">Parliament and of the Council and repealing Council Directive 93/22/EEC (OJ L 145, 30.4.2004, p. 1. ELI:</w:t>
      </w:r>
      <w:r>
        <w:t xml:space="preserve"> </w:t>
      </w:r>
      <w:r>
        <w:t xml:space="preserve">http://data.europa.eu/eli/dir/2004/39/oj).</w:t>
      </w:r>
      <w:r>
        <w:t xml:space="preserve"> </w:t>
      </w:r>
      <w:r>
        <w:t xml:space="preserve">587 Directive 2014/65/EU of the European Parliament and of the Council of 15 May 2014 on markets in financial</w:t>
      </w:r>
      <w:r>
        <w:t xml:space="preserve"> </w:t>
      </w:r>
      <w:r>
        <w:t xml:space="preserve">instruments and amending Directive 2002/92/EC and Directive 2011/61/EU (recast) (OJ L 173, 12.6.2014, p. 349.</w:t>
      </w:r>
      <w:r>
        <w:t xml:space="preserve"> </w:t>
      </w:r>
      <w:r>
        <w:t xml:space="preserve">ELI: http://data.europa.eu/eli/dir/2014/65/oj).</w:t>
      </w:r>
      <w:r>
        <w:t xml:space="preserve"> </w:t>
      </w:r>
      <w:r>
        <w:t xml:space="preserve">588 Regulation (EU) No 600/2014 of the European Parliament and of the Council of 15 May 2014 on markets in</w:t>
      </w:r>
      <w:r>
        <w:t xml:space="preserve"> </w:t>
      </w:r>
      <w:r>
        <w:t xml:space="preserve">financial instruments and amending Regulation (EU) No 648/2012 (OJ L 173, 12.6.2014, p. 84. ELI:</w:t>
      </w:r>
      <w:r>
        <w:t xml:space="preserve"> </w:t>
      </w:r>
      <w:r>
        <w:t xml:space="preserve">http://data.europa.eu/eli/reg/2014/600/oj).</w:t>
      </w:r>
      <w:r>
        <w:t xml:space="preserve"> </w:t>
      </w:r>
      <w:r>
        <w:t xml:space="preserve">589 Based on MiFID dashboard. Trading venues are identified at segment MIC level, which typically distinguish</w:t>
      </w:r>
      <w:r>
        <w:t xml:space="preserve"> </w:t>
      </w:r>
      <w:r>
        <w:t xml:space="preserve">different trading systems and/or different financial instruments. This means that the same market operator may</w:t>
      </w:r>
      <w:r>
        <w:t xml:space="preserve"> </w:t>
      </w:r>
      <w:r>
        <w:t xml:space="preserve">operate several trading venues using different trading systems and/or specialised in different financial instruments.</w:t>
      </w:r>
      <w:r>
        <w:t xml:space="preserve"> </w:t>
      </w:r>
      <w:r>
        <w:t xml:space="preserve">590 Examples comprise venues that specialise on SME financing, commodities derivatives trading or crypto.</w:t>
      </w:r>
    </w:p>
    <w:p>
      <w:pPr>
        <w:pStyle w:val="BodyText"/>
      </w:pPr>
      <w:r>
        <w:t xml:space="preserve">362</w:t>
      </w:r>
      <w:r>
        <w:t xml:space="preserve"> </w:t>
      </w:r>
      <w:r>
        <w:t xml:space="preserve">supervisory powers such as the initial authorisation of the trading venue and ongoing</w:t>
      </w:r>
      <w:r>
        <w:t xml:space="preserve"> </w:t>
      </w:r>
      <w:r>
        <w:t xml:space="preserve">supervision to ensure compliance with requirements as regards, for example, the organisation,</w:t>
      </w:r>
      <w:r>
        <w:t xml:space="preserve"> </w:t>
      </w:r>
      <w:r>
        <w:t xml:space="preserve">management and governance of the market operator or investment firm, trading processes, risk</w:t>
      </w:r>
      <w:r>
        <w:t xml:space="preserve"> </w:t>
      </w:r>
      <w:r>
        <w:t xml:space="preserve">management, control and resilience systems (for example, on outsourcing), as well as rules and</w:t>
      </w:r>
      <w:r>
        <w:t xml:space="preserve"> </w:t>
      </w:r>
      <w:r>
        <w:t xml:space="preserve">procedures to ensure fair and orderly trading. The latter links with supervisory powers such as</w:t>
      </w:r>
      <w:r>
        <w:t xml:space="preserve"> </w:t>
      </w:r>
      <w:r>
        <w:t xml:space="preserve">trading halts or the power to limit traders’ exposures in certain events (e.g. risks to financial</w:t>
      </w:r>
      <w:r>
        <w:t xml:space="preserve"> </w:t>
      </w:r>
      <w:r>
        <w:t xml:space="preserve">stability and market confidence), as well as powers to detect, investigate and possibly intervene</w:t>
      </w:r>
      <w:r>
        <w:t xml:space="preserve"> </w:t>
      </w:r>
      <w:r>
        <w:t xml:space="preserve">(e.g. via sanctions) in case of threats to market integrity rules as defined in the Market Abuse</w:t>
      </w:r>
      <w:r>
        <w:t xml:space="preserve"> </w:t>
      </w:r>
      <w:r>
        <w:t xml:space="preserve">Regulation (‘MAR’)591 (e.g. insider dealings).</w:t>
      </w:r>
      <w:r>
        <w:br/>
      </w:r>
      <w:r>
        <w:t xml:space="preserve">The supervision of trading venues in the EU is performed at national level, with NCAs</w:t>
      </w:r>
      <w:r>
        <w:t xml:space="preserve"> </w:t>
      </w:r>
      <w:r>
        <w:t xml:space="preserve">responsible for the supervision of trading venues authorised in their jurisdiction. In general,</w:t>
      </w:r>
      <w:r>
        <w:t xml:space="preserve"> </w:t>
      </w:r>
      <w:r>
        <w:t xml:space="preserve">each Member State designates one NCA. However, in some Member States multiple</w:t>
      </w:r>
      <w:r>
        <w:t xml:space="preserve"> </w:t>
      </w:r>
      <w:r>
        <w:t xml:space="preserve">supervisors co-exist.592 As a result, the system of supervision in the EU comprises a complex</w:t>
      </w:r>
      <w:r>
        <w:t xml:space="preserve"> </w:t>
      </w:r>
      <w:r>
        <w:t xml:space="preserve">network of about 35 national or regional supervisors, which may interpret and implement the</w:t>
      </w:r>
      <w:r>
        <w:t xml:space="preserve"> </w:t>
      </w:r>
      <w:r>
        <w:t xml:space="preserve">single rulebook differently.</w:t>
      </w:r>
      <w:r>
        <w:br/>
      </w:r>
      <w:r>
        <w:t xml:space="preserve">As a result, trading venues located in jurisdictions with less stringent supervisory approaches</w:t>
      </w:r>
      <w:r>
        <w:t xml:space="preserve"> </w:t>
      </w:r>
      <w:r>
        <w:t xml:space="preserve">might have advantages over those located in more strictly regulated and supervised</w:t>
      </w:r>
      <w:r>
        <w:t xml:space="preserve"> </w:t>
      </w:r>
      <w:r>
        <w:t xml:space="preserve">environments, potentially leading to regulatory arbitrage. Christian Noyer specifically</w:t>
      </w:r>
      <w:r>
        <w:t xml:space="preserve"> </w:t>
      </w:r>
      <w:r>
        <w:t xml:space="preserve">references this in his report on behalf of DG Trésor593, suggesting that without integrated</w:t>
      </w:r>
      <w:r>
        <w:t xml:space="preserve"> </w:t>
      </w:r>
      <w:r>
        <w:t xml:space="preserve">supervision, financial actors could seek out Member States with more lax supervisory practices,</w:t>
      </w:r>
      <w:r>
        <w:t xml:space="preserve"> </w:t>
      </w:r>
      <w:r>
        <w:t xml:space="preserve">leading to a regulatory race to the bottom by Member States who would want to remain</w:t>
      </w:r>
      <w:r>
        <w:t xml:space="preserve"> </w:t>
      </w:r>
      <w:r>
        <w:t xml:space="preserve">attractive. Furthermore, inefficiencies and in some cases limited resources within some NCAs’</w:t>
      </w:r>
      <w:r>
        <w:t xml:space="preserve"> </w:t>
      </w:r>
      <w:r>
        <w:t xml:space="preserve">internal organisations may also impede effective supervision. Other challenges relate to</w:t>
      </w:r>
      <w:r>
        <w:t xml:space="preserve"> </w:t>
      </w:r>
      <w:r>
        <w:t xml:space="preserve">differences in supervisory methodologies and approaches, as well as the obligation for some</w:t>
      </w:r>
      <w:r>
        <w:t xml:space="preserve"> </w:t>
      </w:r>
      <w:r>
        <w:t xml:space="preserve">trading venues to deal with different contact persons. All these factors can significantly</w:t>
      </w:r>
      <w:r>
        <w:t xml:space="preserve"> </w:t>
      </w:r>
      <w:r>
        <w:t xml:space="preserve">increase operational costs and compliance burdens for trading venues, in particular for cross-</w:t>
      </w:r>
      <w:r>
        <w:t xml:space="preserve"> </w:t>
      </w:r>
      <w:r>
        <w:t xml:space="preserve">border groups facing different supervisors and hence requirements, which hinders economies</w:t>
      </w:r>
      <w:r>
        <w:t xml:space="preserve"> </w:t>
      </w:r>
      <w:r>
        <w:t xml:space="preserve">of scale and associated cost savings.</w:t>
      </w:r>
      <w:r>
        <w:br/>
      </w:r>
      <w:r>
        <w:t xml:space="preserve">To address the inconsistent application of trading rules, which is in particular problematic for</w:t>
      </w:r>
      <w:r>
        <w:t xml:space="preserve"> </w:t>
      </w:r>
      <w:r>
        <w:t xml:space="preserve">groups having trading venues in several Member States, supervisory colleges have emerged</w:t>
      </w:r>
      <w:r>
        <w:t xml:space="preserve"> </w:t>
      </w:r>
      <w:r>
        <w:t xml:space="preserve">for the two largest pan-European groups, Euronext and Nasdaq. These colleges, which are not</w:t>
      </w:r>
      <w:r>
        <w:t xml:space="preserve"> </w:t>
      </w:r>
      <w:r>
        <w:t xml:space="preserve">mandated by law but have been established on a voluntary basis, are composed of</w:t>
      </w:r>
      <w:r>
        <w:t xml:space="preserve"> </w:t>
      </w:r>
      <w:r>
        <w:t xml:space="preserve">representatives of the NCAs of the different Member States in which a trading venue of the</w:t>
      </w:r>
      <w:r>
        <w:t xml:space="preserve"> </w:t>
      </w:r>
      <w:r>
        <w:t xml:space="preserve">group is established. However, their mandate is limited to the coordination of policy stances</w:t>
      </w:r>
      <w:r>
        <w:t xml:space="preserve"> </w:t>
      </w:r>
      <w:r>
        <w:t xml:space="preserve">(not supervisory decisions), and those colleges do not involve ESMA.</w:t>
      </w:r>
    </w:p>
    <w:p>
      <w:pPr>
        <w:pStyle w:val="BodyText"/>
      </w:pPr>
      <w:r>
        <w:t xml:space="preserve">591 Regulation (EU) No 596/2014 of the European Parliament and of the Council of 16 April 2014 on market abuse</w:t>
      </w:r>
      <w:r>
        <w:t xml:space="preserve"> </w:t>
      </w:r>
      <w:r>
        <w:t xml:space="preserve">(market abuse regulation) and repealing Directive 2003/6/EC of the European Parliament and of the Council and</w:t>
      </w:r>
      <w:r>
        <w:t xml:space="preserve"> </w:t>
      </w:r>
      <w:r>
        <w:t xml:space="preserve">Commission Directives 2003/124/EC, 2003/125/EC and 2004/72/EC (OJ L 173, 12.6.2014, p. 1. ELI:</w:t>
      </w:r>
      <w:r>
        <w:t xml:space="preserve"> </w:t>
      </w:r>
      <w:r>
        <w:t xml:space="preserve">http://data.europa.eu/eli/reg/2014/596/oj).</w:t>
      </w:r>
      <w:r>
        <w:t xml:space="preserve"> </w:t>
      </w:r>
      <w:r>
        <w:t xml:space="preserve">592 This is the case for example in Germany, where, due to the federal decentralised system, regional ministries</w:t>
      </w:r>
      <w:r>
        <w:t xml:space="preserve"> </w:t>
      </w:r>
      <w:r>
        <w:t xml:space="preserve">oversee local exchanges, whereas the supervisor at national level is in charge of market surveillance. This is also</w:t>
      </w:r>
      <w:r>
        <w:t xml:space="preserve"> </w:t>
      </w:r>
      <w:r>
        <w:t xml:space="preserve">the case in Italy, where the central bank amongst others is responsible for supervising trading venues that host</w:t>
      </w:r>
      <w:r>
        <w:t xml:space="preserve"> </w:t>
      </w:r>
      <w:r>
        <w:t xml:space="preserve">wholesale trading in sovereign bonds, whereas other exchanges are supervised solely by the NCA.</w:t>
      </w:r>
      <w:r>
        <w:t xml:space="preserve"> </w:t>
      </w:r>
      <w:r>
        <w:t xml:space="preserve">593 Developing European capital markets to finance the future | Direction Générale du Trésor.</w:t>
      </w:r>
    </w:p>
    <w:p>
      <w:pPr>
        <w:pStyle w:val="BodyText"/>
      </w:pPr>
      <w:r>
        <w:t xml:space="preserve">363</w:t>
      </w:r>
      <w:r>
        <w:t xml:space="preserve"> </w:t>
      </w:r>
      <w:r>
        <w:t xml:space="preserve">The Association Europe Finances Régulations’ recent paper594 on European supervision makes</w:t>
      </w:r>
      <w:r>
        <w:t xml:space="preserve"> </w:t>
      </w:r>
      <w:r>
        <w:t xml:space="preserve">the case for more integrated supervision for trading venues, noting notably that the current</w:t>
      </w:r>
      <w:r>
        <w:t xml:space="preserve"> </w:t>
      </w:r>
      <w:r>
        <w:t xml:space="preserve">system of coordination between various supervisors for Euronext and Nasdaq “effectively</w:t>
      </w:r>
      <w:r>
        <w:t xml:space="preserve"> </w:t>
      </w:r>
      <w:r>
        <w:t xml:space="preserve">aligns with the most demanding process of the concerned regulators”. The paper suggests that</w:t>
      </w:r>
      <w:r>
        <w:t xml:space="preserve"> </w:t>
      </w:r>
      <w:r>
        <w:t xml:space="preserve">despite recent market consolidation in European trading venues, the lack of integrated</w:t>
      </w:r>
      <w:r>
        <w:t xml:space="preserve"> </w:t>
      </w:r>
      <w:r>
        <w:t xml:space="preserve">supervision limits the benefits they can gain. As a result, trading venues operating in different</w:t>
      </w:r>
      <w:r>
        <w:t xml:space="preserve"> </w:t>
      </w:r>
      <w:r>
        <w:t xml:space="preserve">Member States face an uneven playing field in terms of the supervisory requirements they face.</w:t>
      </w:r>
      <w:r>
        <w:br/>
      </w:r>
      <w:r>
        <w:t xml:space="preserve">Currently, while ESMA plays no role in direct supervision of trading venues, it contributes</w:t>
      </w:r>
      <w:r>
        <w:t xml:space="preserve"> </w:t>
      </w:r>
      <w:r>
        <w:t xml:space="preserve">indirectly through its level 2 and 3 policy work.</w:t>
      </w:r>
      <w:r>
        <w:t xml:space="preserve"> </w:t>
      </w:r>
      <w:r>
        <w:t xml:space="preserve">3.1.4. Asset managers</w:t>
      </w:r>
      <w:r>
        <w:t xml:space="preserve"> </w:t>
      </w:r>
      <w:r>
        <w:t xml:space="preserve">EU asset managers active in the EU manage more than EUR 19.8 trillion in aggregate assets</w:t>
      </w:r>
      <w:r>
        <w:t xml:space="preserve"> </w:t>
      </w:r>
      <w:r>
        <w:t xml:space="preserve">under management (AuM).595 The UCITS segment, about 63% of which are held by retail</w:t>
      </w:r>
      <w:r>
        <w:t xml:space="preserve"> </w:t>
      </w:r>
      <w:r>
        <w:t xml:space="preserve">investors, is the largest, representing approx. EUR 12.6 trillion AuM, 30 000 funds and 1 683</w:t>
      </w:r>
      <w:r>
        <w:t xml:space="preserve"> </w:t>
      </w:r>
      <w:r>
        <w:t xml:space="preserve">asset managers. The EU Alternative Investment Funds (‘AIF’) segment (mainly institutional)</w:t>
      </w:r>
      <w:r>
        <w:t xml:space="preserve"> </w:t>
      </w:r>
      <w:r>
        <w:t xml:space="preserve">represents approx. EUR 7.2 trillion in AuM, 35 000 funds and approx. 4 459 managers. This</w:t>
      </w:r>
      <w:r>
        <w:t xml:space="preserve"> </w:t>
      </w:r>
      <w:r>
        <w:t xml:space="preserve">compares with fund assets of USD 37 trillion at the end of 2024 in the US.</w:t>
      </w:r>
      <w:r>
        <w:t xml:space="preserve"> </w:t>
      </w:r>
      <w:r>
        <w:t xml:space="preserve">There is a complex system of supervision and division of responsibilities between NCAs. Each</w:t>
      </w:r>
      <w:r>
        <w:t xml:space="preserve"> </w:t>
      </w:r>
      <w:r>
        <w:t xml:space="preserve">UCITS must be authorised and supervised by an NCA of the Member State where it is</w:t>
      </w:r>
      <w:r>
        <w:t xml:space="preserve"> </w:t>
      </w:r>
      <w:r>
        <w:t xml:space="preserve">domiciled (‘home NCA’). The NCA is responsible for reviewing fund documentation (e.g.,</w:t>
      </w:r>
      <w:r>
        <w:t xml:space="preserve"> </w:t>
      </w:r>
      <w:r>
        <w:t xml:space="preserve">prospectus, key investor information), ensuring compliance with UCITS Directive</w:t>
      </w:r>
      <w:r>
        <w:t xml:space="preserve"> </w:t>
      </w:r>
      <w:r>
        <w:t xml:space="preserve">requirements (e.g., eligible assets, risk-spreading, investor protection) and monitoring ongoing</w:t>
      </w:r>
      <w:r>
        <w:t xml:space="preserve"> </w:t>
      </w:r>
      <w:r>
        <w:t xml:space="preserve">operations, risk management, and compliance. The home NCA of the UCITS is responsible for</w:t>
      </w:r>
      <w:r>
        <w:t xml:space="preserve"> </w:t>
      </w:r>
      <w:r>
        <w:t xml:space="preserve">supervising the management company in relation to the UCITS (e.g. constitution, functioning,</w:t>
      </w:r>
      <w:r>
        <w:t xml:space="preserve"> </w:t>
      </w:r>
      <w:r>
        <w:t xml:space="preserve">valuation). The home NCA of the management company is responsible for establishing rules</w:t>
      </w:r>
      <w:r>
        <w:t xml:space="preserve"> </w:t>
      </w:r>
      <w:r>
        <w:t xml:space="preserve">of conduct, prudential requirements, and organisational requirements in line with the principles</w:t>
      </w:r>
      <w:r>
        <w:t xml:space="preserve"> </w:t>
      </w:r>
      <w:r>
        <w:t xml:space="preserve">set out in the UCITS framework. It is also responsible for overseeing compliance with these</w:t>
      </w:r>
      <w:r>
        <w:t xml:space="preserve"> </w:t>
      </w:r>
      <w:r>
        <w:t xml:space="preserve">rules within its jurisdiction. In the case of groups operating through branches, supervision is</w:t>
      </w:r>
      <w:r>
        <w:t xml:space="preserve"> </w:t>
      </w:r>
      <w:r>
        <w:t xml:space="preserve">split: the home NCA of the asset manager supervises organisational requirements, while the</w:t>
      </w:r>
      <w:r>
        <w:t xml:space="preserve"> </w:t>
      </w:r>
      <w:r>
        <w:t xml:space="preserve">host NCA, where the branch is established, is responsible for conduct of business supervision.</w:t>
      </w:r>
      <w:r>
        <w:br/>
      </w:r>
      <w:r>
        <w:t xml:space="preserve">ESMA has a mandate to ensure supervisory convergence and promote the effective functioning</w:t>
      </w:r>
      <w:r>
        <w:t xml:space="preserve"> </w:t>
      </w:r>
      <w:r>
        <w:t xml:space="preserve">of the EU’s asset management market. It is important to stress that, with regard to marketing</w:t>
      </w:r>
      <w:r>
        <w:t xml:space="preserve"> </w:t>
      </w:r>
      <w:r>
        <w:t xml:space="preserve">rules, the host Member States where UCITS are marketed can impose requirements in areas</w:t>
      </w:r>
      <w:r>
        <w:t xml:space="preserve"> </w:t>
      </w:r>
      <w:r>
        <w:t xml:space="preserve">not harmonised at EU level, namely under the UCITS Directive596 and the CBDF Regulation.597</w:t>
      </w:r>
      <w:r>
        <w:t xml:space="preserve"> </w:t>
      </w:r>
      <w:r>
        <w:t xml:space="preserve">Since EU rules on marketing are limited and mostly principle-based (e.g. requiring that</w:t>
      </w:r>
      <w:r>
        <w:t xml:space="preserve"> </w:t>
      </w:r>
      <w:r>
        <w:t xml:space="preserve">marketing communications be fair, clear, and not misleading), many Member States have</w:t>
      </w:r>
    </w:p>
    <w:p>
      <w:pPr>
        <w:pStyle w:val="BodyText"/>
      </w:pPr>
      <w:r>
        <w:t xml:space="preserve">594 Towards an SEC in the European Union: unified supervision or single supervisor? - Issue 7 – December 2024</w:t>
      </w:r>
      <w:r>
        <w:t xml:space="preserve"> </w:t>
      </w:r>
      <w:r>
        <w:t xml:space="preserve">| Association Europe Finances Régulations | AEFR.</w:t>
      </w:r>
      <w:r>
        <w:t xml:space="preserve"> </w:t>
      </w:r>
      <w:r>
        <w:t xml:space="preserve">595 EFAMA 2025 calculations and internal calculations conducted by Commission services based on commercial</w:t>
      </w:r>
      <w:r>
        <w:t xml:space="preserve"> </w:t>
      </w:r>
      <w:r>
        <w:t xml:space="preserve">databases that contain UCITS data.</w:t>
      </w:r>
      <w:r>
        <w:br/>
      </w:r>
      <w:r>
        <w:t xml:space="preserve">596 Directive 2009/65/EC of the European Parliament and of the Council of 13 July 2009 on the coordination of</w:t>
      </w:r>
      <w:r>
        <w:t xml:space="preserve"> </w:t>
      </w:r>
      <w:r>
        <w:t xml:space="preserve">laws, regulations and administrative provisions relating to undertakings for collective investment in transferable</w:t>
      </w:r>
      <w:r>
        <w:t xml:space="preserve"> </w:t>
      </w:r>
      <w:r>
        <w:t xml:space="preserve">securities (UCITS) (recast) (OJ L 302, 17.11.2009, p. 32. ELI: http://data.europa.eu/eli/dir/2009/65/oj).</w:t>
      </w:r>
      <w:r>
        <w:t xml:space="preserve"> </w:t>
      </w:r>
      <w:r>
        <w:t xml:space="preserve">597 Regulation (EU) 2019/1156 of the European Parliament and of the Council of 20 June 2019 on facilitating</w:t>
      </w:r>
      <w:r>
        <w:t xml:space="preserve"> </w:t>
      </w:r>
      <w:r>
        <w:t xml:space="preserve">cross-border distribution of collective investment undertakings and amending Regulations (EU) No 345/2013,</w:t>
      </w:r>
      <w:r>
        <w:t xml:space="preserve"> </w:t>
      </w:r>
      <w:r>
        <w:t xml:space="preserve">(EU)</w:t>
      </w:r>
      <w:r>
        <w:t xml:space="preserve"> </w:t>
      </w:r>
      <w:r>
        <w:t xml:space="preserve">No</w:t>
      </w:r>
      <w:r>
        <w:t xml:space="preserve"> </w:t>
      </w:r>
      <w:r>
        <w:t xml:space="preserve">346/2013</w:t>
      </w:r>
      <w:r>
        <w:t xml:space="preserve"> </w:t>
      </w:r>
      <w:r>
        <w:t xml:space="preserve">and</w:t>
      </w:r>
      <w:r>
        <w:t xml:space="preserve"> </w:t>
      </w:r>
      <w:r>
        <w:t xml:space="preserve">(EU)</w:t>
      </w:r>
      <w:r>
        <w:t xml:space="preserve"> </w:t>
      </w:r>
      <w:r>
        <w:t xml:space="preserve">No</w:t>
      </w:r>
      <w:r>
        <w:t xml:space="preserve"> </w:t>
      </w:r>
      <w:r>
        <w:t xml:space="preserve">1286/2014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188,</w:t>
      </w:r>
      <w:r>
        <w:t xml:space="preserve"> </w:t>
      </w:r>
      <w:r>
        <w:t xml:space="preserve">12.7.2019,</w:t>
      </w:r>
      <w:r>
        <w:t xml:space="preserve"> </w:t>
      </w:r>
      <w:r>
        <w:t xml:space="preserve">p. </w:t>
      </w:r>
      <w:r>
        <w:t xml:space="preserve"> </w:t>
      </w:r>
      <w:r>
        <w:t xml:space="preserve">55.</w:t>
      </w:r>
      <w:r>
        <w:t xml:space="preserve"> </w:t>
      </w:r>
      <w:r>
        <w:t xml:space="preserve">ELI:</w:t>
      </w:r>
      <w:r>
        <w:t xml:space="preserve"> </w:t>
      </w:r>
      <w:r>
        <w:t xml:space="preserve">http://data.europa.eu/eli/reg/2019/1156/oj).</w:t>
      </w:r>
    </w:p>
    <w:p>
      <w:pPr>
        <w:pStyle w:val="BodyText"/>
      </w:pPr>
      <w:r>
        <w:t xml:space="preserve">364</w:t>
      </w:r>
      <w:r>
        <w:t xml:space="preserve"> </w:t>
      </w:r>
      <w:r>
        <w:t xml:space="preserve">introduced extensive national rules on marketing, including detailed requirements on</w:t>
      </w:r>
      <w:r>
        <w:t xml:space="preserve"> </w:t>
      </w:r>
      <w:r>
        <w:t xml:space="preserve">marketing documentation.</w:t>
      </w:r>
      <w:r>
        <w:t xml:space="preserve"> </w:t>
      </w:r>
      <w:r>
        <w:t xml:space="preserve">Under the AIFMD598, the regulatory focus is on the AIFM rather than on the fund itself. EU-</w:t>
      </w:r>
      <w:r>
        <w:t xml:space="preserve"> </w:t>
      </w:r>
      <w:r>
        <w:t xml:space="preserve">authorised AIFMs are supervised by their home NCA, which is responsible for prudential and</w:t>
      </w:r>
      <w:r>
        <w:t xml:space="preserve"> </w:t>
      </w:r>
      <w:r>
        <w:t xml:space="preserve">organisational oversight—covering areas such as capital adequacy, risk and liquidity</w:t>
      </w:r>
      <w:r>
        <w:t xml:space="preserve"> </w:t>
      </w:r>
      <w:r>
        <w:t xml:space="preserve">management, valuation policies, reporting, delegation arrangements, and remuneration. These</w:t>
      </w:r>
      <w:r>
        <w:t xml:space="preserve"> </w:t>
      </w:r>
      <w:r>
        <w:t xml:space="preserve">EU-authorised AIFMs may, on a cross-border basis, manage AIFs established in other</w:t>
      </w:r>
      <w:r>
        <w:t xml:space="preserve"> </w:t>
      </w:r>
      <w:r>
        <w:t xml:space="preserve">jurisdictions (the “management passport”). Such AIFs are regulated at national level, with the</w:t>
      </w:r>
      <w:r>
        <w:t xml:space="preserve"> </w:t>
      </w:r>
      <w:r>
        <w:t xml:space="preserve">exception of EU AIFs governed by specific regulations, such as ELTIF599, EuVECA600, and</w:t>
      </w:r>
      <w:r>
        <w:t xml:space="preserve"> </w:t>
      </w:r>
      <w:r>
        <w:t xml:space="preserve">EuSEF601 (under their respective regulations). For these EU AIFs, the split of responsibilities</w:t>
      </w:r>
      <w:r>
        <w:t xml:space="preserve"> </w:t>
      </w:r>
      <w:r>
        <w:t xml:space="preserve">mirrors the UCITS framework, with the home authority of the AIF responsible for oversight of</w:t>
      </w:r>
      <w:r>
        <w:t xml:space="preserve"> </w:t>
      </w:r>
      <w:r>
        <w:t xml:space="preserve">the fund rules in accordance with the relevant EU regulation.</w:t>
      </w:r>
      <w:r>
        <w:t xml:space="preserve"> </w:t>
      </w:r>
      <w:r>
        <w:t xml:space="preserve">ESMA supports supervisory convergence across the EU by issuing guidelines facilitating</w:t>
      </w:r>
      <w:r>
        <w:t xml:space="preserve"> </w:t>
      </w:r>
      <w:r>
        <w:t xml:space="preserve">information exchange among NCAs and promoting consistent interpretation and application of</w:t>
      </w:r>
      <w:r>
        <w:t xml:space="preserve"> </w:t>
      </w:r>
      <w:r>
        <w:t xml:space="preserve">the UCITS framework. However, ESMA does not have a day-to-day operational role in</w:t>
      </w:r>
      <w:r>
        <w:t xml:space="preserve"> </w:t>
      </w:r>
      <w:r>
        <w:t xml:space="preserve">intervening in specific cases, nor does it have direct supervisory powers over UCITS funds or</w:t>
      </w:r>
      <w:r>
        <w:t xml:space="preserve"> </w:t>
      </w:r>
      <w:r>
        <w:t xml:space="preserve">management companies. Day-to-day supervision remains the sole responsibility of NCAs in</w:t>
      </w:r>
      <w:r>
        <w:t xml:space="preserve"> </w:t>
      </w:r>
      <w:r>
        <w:t xml:space="preserve">the home and host Member States. ESMA’s role is therefore indirect and supportive: it sets the</w:t>
      </w:r>
      <w:r>
        <w:t xml:space="preserve"> </w:t>
      </w:r>
      <w:r>
        <w:t xml:space="preserve">framework for supervisory convergence and consistency, while concrete enforcement and</w:t>
      </w:r>
      <w:r>
        <w:t xml:space="preserve"> </w:t>
      </w:r>
      <w:r>
        <w:t xml:space="preserve">oversight are carried out by NCAs at national level.</w:t>
      </w:r>
      <w:r>
        <w:t xml:space="preserve"> </w:t>
      </w:r>
      <w:r>
        <w:t xml:space="preserve">In addition, ESMA’s binding mediation powers are limited to some cases under UCITS and</w:t>
      </w:r>
      <w:r>
        <w:t xml:space="preserve"> </w:t>
      </w:r>
      <w:r>
        <w:t xml:space="preserve">AIFMD, and do not cover CBDF Regulation. ESMA also lacks the power to open mediation</w:t>
      </w:r>
      <w:r>
        <w:t xml:space="preserve"> </w:t>
      </w:r>
      <w:r>
        <w:t xml:space="preserve">cases on its own initiative and is under no obligation to act even where barriers to cross-border</w:t>
      </w:r>
      <w:r>
        <w:t xml:space="preserve"> </w:t>
      </w:r>
      <w:r>
        <w:t xml:space="preserve">activities are clear.</w:t>
      </w:r>
      <w:r>
        <w:br/>
      </w:r>
      <w:r>
        <w:t xml:space="preserve">3.1.5. CASPs</w:t>
      </w:r>
      <w:r>
        <w:t xml:space="preserve"> </w:t>
      </w:r>
      <w:r>
        <w:t xml:space="preserve">As the Markets in Crypto Assets Regulation (MiCA)602 entered into application only in</w:t>
      </w:r>
      <w:r>
        <w:t xml:space="preserve"> </w:t>
      </w:r>
      <w:r>
        <w:t xml:space="preserve">December 2024, CASPs are currently in the process of applying for a crypto-asset service</w:t>
      </w:r>
      <w:r>
        <w:t xml:space="preserve"> </w:t>
      </w:r>
      <w:r>
        <w:t xml:space="preserve">provider authorisation. There are currently 69 CASPs authorised by 12 different NCAs in the</w:t>
      </w:r>
      <w:r>
        <w:t xml:space="preserve"> </w:t>
      </w:r>
      <w:r>
        <w:t xml:space="preserve">Member States.603 There are also around 167 pending applications currently being assessed by</w:t>
      </w:r>
      <w:r>
        <w:t xml:space="preserve"> </w:t>
      </w:r>
      <w:r>
        <w:t xml:space="preserve">the competent authorities of the Member States. It is still unknown how many, out of the</w:t>
      </w:r>
    </w:p>
    <w:p>
      <w:pPr>
        <w:pStyle w:val="BodyText"/>
      </w:pPr>
      <w:r>
        <w:t xml:space="preserve">598 Directive 2011/61/EU of the European Parliament and of the Council of 8 June 2011 on Alternative Investment</w:t>
      </w:r>
      <w:r>
        <w:t xml:space="preserve"> </w:t>
      </w:r>
      <w:r>
        <w:t xml:space="preserve">Fund Managers and amending Directives 2003/41/EC and 2009/65/EC and Regulations (EC) No 1060/2009 and</w:t>
      </w:r>
      <w:r>
        <w:t xml:space="preserve"> </w:t>
      </w:r>
      <w:r>
        <w:t xml:space="preserve">(EU) No 1095/2010 (OJ L 174, 1.7.2011, p. 1. ELI: http://data.europa.eu/eli/dir/2011/61/oj).</w:t>
      </w:r>
      <w:r>
        <w:br/>
      </w:r>
      <w:r>
        <w:t xml:space="preserve">599 Regulation (EU) 2023/606 of the European Parliament and of the Council of 15 March 2023 amending</w:t>
      </w:r>
      <w:r>
        <w:t xml:space="preserve"> </w:t>
      </w:r>
      <w:r>
        <w:t xml:space="preserve">Regulation (EU) 2015/760 as regards the requirements pertaining to the investment policies and operating</w:t>
      </w:r>
      <w:r>
        <w:t xml:space="preserve"> </w:t>
      </w:r>
      <w:r>
        <w:t xml:space="preserve">conditions of European long-term investment funds and the scope of eligible investment assets, the portfolio</w:t>
      </w:r>
      <w:r>
        <w:t xml:space="preserve"> </w:t>
      </w:r>
      <w:r>
        <w:t xml:space="preserve">composition and diversification requirements and the borrowing of cash and other fund rules (OJ L 80, 20.3.2023,</w:t>
      </w:r>
      <w:r>
        <w:t xml:space="preserve"> </w:t>
      </w:r>
      <w:r>
        <w:t xml:space="preserve">p. 1. ELI: http://data.europa.eu/eli/reg/2023/606/oj).</w:t>
      </w:r>
      <w:r>
        <w:t xml:space="preserve"> </w:t>
      </w:r>
      <w:r>
        <w:t xml:space="preserve">600 Regulation (EU) No 345/2013 of the European Parliament and of the Council of 17 April 2013 on European</w:t>
      </w:r>
      <w:r>
        <w:t xml:space="preserve"> </w:t>
      </w:r>
      <w:r>
        <w:t xml:space="preserve">venture capital funds (OJ L 115, 25.4.2013, p. 1 ELI: http://data.europa.eu/eli/reg/2013/345/oj).</w:t>
      </w:r>
      <w:r>
        <w:t xml:space="preserve"> </w:t>
      </w:r>
      <w:r>
        <w:t xml:space="preserve">601 Regulation (EU) No 346/2013 of the European Parliament and of the Council of 17 April 2013 on European</w:t>
      </w:r>
      <w:r>
        <w:t xml:space="preserve"> </w:t>
      </w:r>
      <w:r>
        <w:t xml:space="preserve">social entrepreneurship funds (OJ L 115, 25.4.2013, p. 18. ELI: http://data.europa.eu/eli/reg/2013/346/oj).</w:t>
      </w:r>
      <w:r>
        <w:t xml:space="preserve"> </w:t>
      </w:r>
      <w:r>
        <w:t xml:space="preserve">602 Regulation (EU) 2023/1114 of the European Parliament and of the Council of 31 May 2023 on markets in</w:t>
      </w:r>
      <w:r>
        <w:t xml:space="preserve"> </w:t>
      </w:r>
      <w:r>
        <w:t xml:space="preserve">crypto-assets, and amending Regulations (EU) No 1093/2010 and (EU) No 1095/2010 and Directives 2013/36/EU</w:t>
      </w:r>
      <w:r>
        <w:t xml:space="preserve"> </w:t>
      </w:r>
      <w:r>
        <w:t xml:space="preserve">and (EU) 2019/1937 (OJ L 150, 9.6.2023, p. 40. ELI: http://data.europa.eu/eli/reg/2023/1114/oj).</w:t>
      </w:r>
      <w:r>
        <w:t xml:space="preserve"> </w:t>
      </w:r>
      <w:r>
        <w:t xml:space="preserve">603 Interim ESMA register on authorised CASPs as of 15.10.2025. Authorisations have been granted by the</w:t>
      </w:r>
      <w:r>
        <w:t xml:space="preserve"> </w:t>
      </w:r>
      <w:r>
        <w:t xml:space="preserve">competent authorities in Germany, Malta, the Netherlands, Austria, France, Ireland, Cyprus, Lithuania,</w:t>
      </w:r>
      <w:r>
        <w:t xml:space="preserve"> </w:t>
      </w:r>
      <w:r>
        <w:t xml:space="preserve">Luxembourg, Slovenia, Spain and Finland.</w:t>
      </w:r>
    </w:p>
    <w:p>
      <w:pPr>
        <w:pStyle w:val="BodyText"/>
      </w:pPr>
      <w:r>
        <w:t xml:space="preserve">365</w:t>
      </w:r>
      <w:r>
        <w:t xml:space="preserve"> </w:t>
      </w:r>
      <w:r>
        <w:t xml:space="preserve">approximately 11 000 virtual assets service providers, previously registered under national</w:t>
      </w:r>
      <w:r>
        <w:t xml:space="preserve"> </w:t>
      </w:r>
      <w:r>
        <w:t xml:space="preserve">anti-money laundering (AML) frameworks, will apply for a CASP licence. This figure is,</w:t>
      </w:r>
      <w:r>
        <w:t xml:space="preserve"> </w:t>
      </w:r>
      <w:r>
        <w:t xml:space="preserve">however, inflated by a few jurisdictions that applied very light registration requirements; when</w:t>
      </w:r>
      <w:r>
        <w:t xml:space="preserve"> </w:t>
      </w:r>
      <w:r>
        <w:t xml:space="preserve">looking only at those that underwent substantive AML vetting, the number is closer to 2 500.</w:t>
      </w:r>
      <w:r>
        <w:t xml:space="preserve"> </w:t>
      </w:r>
      <w:r>
        <w:t xml:space="preserve">Many of these entities are unlikely to fulfil the requirements for a CASP license. Nevertheless,</w:t>
      </w:r>
      <w:r>
        <w:t xml:space="preserve"> </w:t>
      </w:r>
      <w:r>
        <w:t xml:space="preserve">ESMA and NCAs currently expect that about 410 to 615 CASPs will receive authorisation</w:t>
      </w:r>
      <w:r>
        <w:t xml:space="preserve"> </w:t>
      </w:r>
      <w:r>
        <w:t xml:space="preserve">during and shortly after the transitional period of maximum 18 months following the entry into</w:t>
      </w:r>
      <w:r>
        <w:t xml:space="preserve"> </w:t>
      </w:r>
      <w:r>
        <w:t xml:space="preserve">application of the MiCA.604</w:t>
      </w:r>
      <w:r>
        <w:br/>
      </w:r>
      <w:r>
        <w:t xml:space="preserve">The majority of CASPs do not limit their activities to crypto asset services only, but they are</w:t>
      </w:r>
      <w:r>
        <w:t xml:space="preserve"> </w:t>
      </w:r>
      <w:r>
        <w:t xml:space="preserve">active in other areas such as the provision of investment services and some CASPs hold an</w:t>
      </w:r>
      <w:r>
        <w:t xml:space="preserve"> </w:t>
      </w:r>
      <w:r>
        <w:t xml:space="preserve">investment firm or a credit institution license. Their business organisational model may be</w:t>
      </w:r>
      <w:r>
        <w:t xml:space="preserve"> </w:t>
      </w:r>
      <w:r>
        <w:t xml:space="preserve">structured around one entity holding several authorisations from the same jurisdiction, or</w:t>
      </w:r>
      <w:r>
        <w:t xml:space="preserve"> </w:t>
      </w:r>
      <w:r>
        <w:t xml:space="preserve">several authorisations from different jurisdictions, or may be a group of companies holding</w:t>
      </w:r>
      <w:r>
        <w:t xml:space="preserve"> </w:t>
      </w:r>
      <w:r>
        <w:t xml:space="preserve">several authorisations. There are even examples of a CASP-group splitting itself in different</w:t>
      </w:r>
      <w:r>
        <w:t xml:space="preserve"> </w:t>
      </w:r>
      <w:r>
        <w:t xml:space="preserve">entities for the provision of different crypto-asset services under MiCA. Such complex and</w:t>
      </w:r>
      <w:r>
        <w:t xml:space="preserve"> </w:t>
      </w:r>
      <w:r>
        <w:t xml:space="preserve">fragmented structures heighten the risk of forum shopping if supervision remains fragmented,</w:t>
      </w:r>
      <w:r>
        <w:t xml:space="preserve"> </w:t>
      </w:r>
      <w:r>
        <w:t xml:space="preserve">and they underline the need for effective coordination across supervisors at EU level to achieve</w:t>
      </w:r>
      <w:r>
        <w:t xml:space="preserve"> </w:t>
      </w:r>
      <w:r>
        <w:t xml:space="preserve">uniform treatment.</w:t>
      </w:r>
      <w:r>
        <w:t xml:space="preserve"> </w:t>
      </w:r>
      <w:r>
        <w:t xml:space="preserve">NCAs are primarily responsible for the day-to-day supervision of CASPs and issuers of asset</w:t>
      </w:r>
      <w:r>
        <w:t xml:space="preserve"> </w:t>
      </w:r>
      <w:r>
        <w:t xml:space="preserve">referenced tokens and e-money tokens (also referred to as stablecoins). Their responsibilities</w:t>
      </w:r>
      <w:r>
        <w:t xml:space="preserve"> </w:t>
      </w:r>
      <w:r>
        <w:t xml:space="preserve">include authorisation of CASPs and stablecoins issuers established in their Member State,</w:t>
      </w:r>
      <w:r>
        <w:t xml:space="preserve"> </w:t>
      </w:r>
      <w:r>
        <w:t xml:space="preserve">ongoing supervision of compliance with MiCA requirements related to supervised entities (e.g. </w:t>
      </w:r>
      <w:r>
        <w:t xml:space="preserve"> </w:t>
      </w:r>
      <w:r>
        <w:t xml:space="preserve">governance, capital requirements, conduct of business). NCAs are also in charge of</w:t>
      </w:r>
      <w:r>
        <w:t xml:space="preserve"> </w:t>
      </w:r>
      <w:r>
        <w:t xml:space="preserve">surveillance of market integrity, investigating, identifying and bringing proceedings against</w:t>
      </w:r>
      <w:r>
        <w:t xml:space="preserve"> </w:t>
      </w:r>
      <w:r>
        <w:t xml:space="preserve">market abuse. No supervisory measures have been reported to date, as only a few CASPs have</w:t>
      </w:r>
      <w:r>
        <w:t xml:space="preserve"> </w:t>
      </w:r>
      <w:r>
        <w:t xml:space="preserve">been authorised and there has not been enough time for any supervisory activity to take place.</w:t>
      </w:r>
      <w:r>
        <w:t xml:space="preserve"> </w:t>
      </w:r>
      <w:r>
        <w:t xml:space="preserve">Furthermore, NCAs receive notifications of white papers (disclosure documents) for certain</w:t>
      </w:r>
      <w:r>
        <w:t xml:space="preserve"> </w:t>
      </w:r>
      <w:r>
        <w:t xml:space="preserve">crypto-assets issued under MiCA and can request their modification to bring them into</w:t>
      </w:r>
      <w:r>
        <w:t xml:space="preserve"> </w:t>
      </w:r>
      <w:r>
        <w:t xml:space="preserve">compliance with MiCA. Beyond its regular coordination role, ESMA has a limited role in the</w:t>
      </w:r>
      <w:r>
        <w:t xml:space="preserve"> </w:t>
      </w:r>
      <w:r>
        <w:t xml:space="preserve">supervision of CASPs designated as “significant” (i.e. having at least 15 million active users</w:t>
      </w:r>
      <w:r>
        <w:t xml:space="preserve"> </w:t>
      </w:r>
      <w:r>
        <w:t xml:space="preserve">in the EU). The NCA of a significant CASP is required to annually report to ESMA certain</w:t>
      </w:r>
      <w:r>
        <w:t xml:space="preserve"> </w:t>
      </w:r>
      <w:r>
        <w:t xml:space="preserve">supervisory developments relating to that CASP (authorisation withdrawal, enforcement</w:t>
      </w:r>
      <w:r>
        <w:t xml:space="preserve"> </w:t>
      </w:r>
      <w:r>
        <w:t xml:space="preserve">actions etc). To date, there are no CASPs classified as significant. When it comes to stablecoin</w:t>
      </w:r>
      <w:r>
        <w:t xml:space="preserve"> </w:t>
      </w:r>
      <w:r>
        <w:t xml:space="preserve">issuers, EBA can designate a stablecoin as ‘significant’ once it reaches a certain size605, with</w:t>
      </w:r>
      <w:r>
        <w:t xml:space="preserve"> </w:t>
      </w:r>
      <w:r>
        <w:t xml:space="preserve">the consequence that direct supervision shifts from the NCA to EBA.</w:t>
      </w:r>
      <w:r>
        <w:br/>
      </w:r>
      <w:r>
        <w:t xml:space="preserve">What makes CASPs unique in the area of supervision, is the fact that it is a new area of activity</w:t>
      </w:r>
      <w:r>
        <w:t xml:space="preserve"> </w:t>
      </w:r>
      <w:r>
        <w:t xml:space="preserve">where firms are in the process of becoming authorised following the entry into application of</w:t>
      </w:r>
      <w:r>
        <w:t xml:space="preserve"> </w:t>
      </w:r>
      <w:r>
        <w:t xml:space="preserve">MiCA. This presents a rare opportunity to formulate a new supervisory approach before legacy</w:t>
      </w:r>
      <w:r>
        <w:t xml:space="preserve"> </w:t>
      </w:r>
      <w:r>
        <w:t xml:space="preserve">issues and divergent supervisory approaches create barriers to the operation of the crypto-</w:t>
      </w:r>
      <w:r>
        <w:t xml:space="preserve"> </w:t>
      </w:r>
      <w:r>
        <w:t xml:space="preserve">market in the EU. In the case of CAPSs, the aim would be to avoid fragmentation from the</w:t>
      </w:r>
      <w:r>
        <w:t xml:space="preserve"> </w:t>
      </w:r>
      <w:r>
        <w:t xml:space="preserve">start, rather than removing existing barriers.</w:t>
      </w:r>
    </w:p>
    <w:p>
      <w:pPr>
        <w:pStyle w:val="BodyText"/>
      </w:pPr>
      <w:r>
        <w:t xml:space="preserve">604 This number is based on estimates that ESMA has asked Member States to provide in a survey. It is a range</w:t>
      </w:r>
      <w:r>
        <w:t xml:space="preserve"> </w:t>
      </w:r>
      <w:r>
        <w:t xml:space="preserve">rather than an exact number and it may overlap with actual authorisations and pending authorisations.</w:t>
      </w:r>
      <w:r>
        <w:t xml:space="preserve"> </w:t>
      </w:r>
      <w:r>
        <w:t xml:space="preserve">605 Based on EBA decision in view of the criteria set out in Article 43 of MiCA, such as number of holders &gt; EUR</w:t>
      </w:r>
      <w:r>
        <w:t xml:space="preserve"> </w:t>
      </w:r>
      <w:r>
        <w:t xml:space="preserve">10 million, market cap of tokens &gt; EUR 5 million, &gt;2.5 million transaction per day amounting to more than &gt;</w:t>
      </w:r>
      <w:r>
        <w:t xml:space="preserve"> </w:t>
      </w:r>
      <w:r>
        <w:t xml:space="preserve">EUR 500 million daily value, etc.</w:t>
      </w:r>
    </w:p>
    <w:p>
      <w:pPr>
        <w:pStyle w:val="BodyText"/>
      </w:pPr>
      <w:r>
        <w:t xml:space="preserve">366</w:t>
      </w:r>
      <w:r>
        <w:t xml:space="preserve"> </w:t>
      </w:r>
      <w:r>
        <w:t xml:space="preserve">3.2. PROBLEM DEFINITION – FRAGMENTED, LESS EFFICIENT AND INEFFECTIVE</w:t>
      </w:r>
      <w:r>
        <w:t xml:space="preserve"> </w:t>
      </w:r>
      <w:r>
        <w:t xml:space="preserve">SUPERVISION</w:t>
      </w:r>
      <w:r>
        <w:br/>
      </w:r>
      <w:r>
        <w:t xml:space="preserve">Despite the legal frameworks in place, several structural and operational shortcomings hinder</w:t>
      </w:r>
      <w:r>
        <w:t xml:space="preserve"> </w:t>
      </w:r>
      <w:r>
        <w:t xml:space="preserve">effective and coherent supervision across the EU financial sector. Supervisory fragmentation,</w:t>
      </w:r>
      <w:r>
        <w:t xml:space="preserve"> </w:t>
      </w:r>
      <w:r>
        <w:t xml:space="preserve">divergent national practices and limited EU-level oversight mechanisms have created a</w:t>
      </w:r>
      <w:r>
        <w:t xml:space="preserve"> </w:t>
      </w:r>
      <w:r>
        <w:t xml:space="preserve">supervisory landscape that is misaligned with the needs of an integrated capital market. These</w:t>
      </w:r>
      <w:r>
        <w:t xml:space="preserve"> </w:t>
      </w:r>
      <w:r>
        <w:t xml:space="preserve">inefficiencies affect all key sectors - CSDs, CCPs, trading venues, asset management and</w:t>
      </w:r>
      <w:r>
        <w:t xml:space="preserve"> </w:t>
      </w:r>
      <w:r>
        <w:t xml:space="preserve">CASPs - via regulatory fragmentation, lack of seamlessly functioning of cross-border</w:t>
      </w:r>
      <w:r>
        <w:t xml:space="preserve"> </w:t>
      </w:r>
      <w:r>
        <w:t xml:space="preserve">operations, and weakened oversight quality. The result is a supervisory regime that is lacking</w:t>
      </w:r>
      <w:r>
        <w:t xml:space="preserve"> </w:t>
      </w:r>
      <w:r>
        <w:t xml:space="preserve">a holistic view of cross-border activities and is insufficiently equipped to ensure consistent</w:t>
      </w:r>
      <w:r>
        <w:t xml:space="preserve"> </w:t>
      </w:r>
      <w:r>
        <w:t xml:space="preserve">outcomes, support cross-border activity, or respond effectively to systemic risks.</w:t>
      </w:r>
      <w:r>
        <w:t xml:space="preserve"> </w:t>
      </w:r>
      <w:r>
        <w:t xml:space="preserve">Moreover, supervision of financial entities at national level cannot always ensure effectiveness</w:t>
      </w:r>
      <w:r>
        <w:t xml:space="preserve"> </w:t>
      </w:r>
      <w:r>
        <w:t xml:space="preserve">and efficiency, particularly when the activities of supervised entities have cross-border</w:t>
      </w:r>
      <w:r>
        <w:t xml:space="preserve"> </w:t>
      </w:r>
      <w:r>
        <w:t xml:space="preserve">implications. While NCAs are well placed to oversee entities operating primarily in their</w:t>
      </w:r>
      <w:r>
        <w:t xml:space="preserve"> </w:t>
      </w:r>
      <w:r>
        <w:t xml:space="preserve">domestic markets, their mandates and tools are limited when risks, market impacts, or spill-</w:t>
      </w:r>
      <w:r>
        <w:t xml:space="preserve"> </w:t>
      </w:r>
      <w:r>
        <w:t xml:space="preserve">overs extend beyond national borders. Divergent supervisory practices, differences in</w:t>
      </w:r>
      <w:r>
        <w:t xml:space="preserve"> </w:t>
      </w:r>
      <w:r>
        <w:t xml:space="preserve">enforcement intensity, and a lack of coordinated oversight may result in regulatory gaps or</w:t>
      </w:r>
      <w:r>
        <w:t xml:space="preserve"> </w:t>
      </w:r>
      <w:r>
        <w:t xml:space="preserve">overlaps, creating inefficiencies and undermining the level playing field within the internal</w:t>
      </w:r>
      <w:r>
        <w:t xml:space="preserve"> </w:t>
      </w:r>
      <w:r>
        <w:t xml:space="preserve">market. This is especially relevant for entities whose business models or services affect</w:t>
      </w:r>
      <w:r>
        <w:t xml:space="preserve"> </w:t>
      </w:r>
      <w:r>
        <w:t xml:space="preserve">multiple Member States, where national supervision alone may be insufficient to address the</w:t>
      </w:r>
      <w:r>
        <w:t xml:space="preserve"> </w:t>
      </w:r>
      <w:r>
        <w:t xml:space="preserve">broader systemic or cross-border consequences.</w:t>
      </w:r>
      <w:r>
        <w:t xml:space="preserve"> </w:t>
      </w:r>
      <w:r>
        <w:t xml:space="preserve">This is also confirmed by some stakeholders in their replies to the consultation. They highlight</w:t>
      </w:r>
      <w:r>
        <w:t xml:space="preserve"> </w:t>
      </w:r>
      <w:r>
        <w:t xml:space="preserve">that market fragmentation in the EU arising from divergent supervisory practices leads to legal</w:t>
      </w:r>
      <w:r>
        <w:t xml:space="preserve"> </w:t>
      </w:r>
      <w:r>
        <w:t xml:space="preserve">uncertainty, higher compliance costs, regulatory arbitrage, and barriers to cross-border activity.</w:t>
      </w:r>
      <w:r>
        <w:t xml:space="preserve"> </w:t>
      </w:r>
      <w:r>
        <w:t xml:space="preserve">These shortcomings diminish the competitiveness of EU capital markets. Without centralised</w:t>
      </w:r>
      <w:r>
        <w:t xml:space="preserve"> </w:t>
      </w:r>
      <w:r>
        <w:t xml:space="preserve">and effective supervisory powers, which would address supervisory aspects from a single</w:t>
      </w:r>
      <w:r>
        <w:t xml:space="preserve"> </w:t>
      </w:r>
      <w:r>
        <w:t xml:space="preserve">market perspective, the EU cannot match the integrated and responsive frameworks seen in</w:t>
      </w:r>
      <w:r>
        <w:t xml:space="preserve"> </w:t>
      </w:r>
      <w:r>
        <w:t xml:space="preserve">global financial centres like the US or UK. The result is higher operational costs, inconsistent</w:t>
      </w:r>
      <w:r>
        <w:t xml:space="preserve"> </w:t>
      </w:r>
      <w:r>
        <w:t xml:space="preserve">or insufficient supervisory action and a less attractive environment for international capital -</w:t>
      </w:r>
      <w:r>
        <w:t xml:space="preserve"> </w:t>
      </w:r>
      <w:r>
        <w:t xml:space="preserve">undermining the goals of the Single Market and the SIU.</w:t>
      </w:r>
      <w:r>
        <w:t xml:space="preserve"> </w:t>
      </w:r>
      <w:r>
        <w:t xml:space="preserve">The OECD, in its 2025 Economic Survey of the European Union and Euro Area606, outlines</w:t>
      </w:r>
      <w:r>
        <w:t xml:space="preserve"> </w:t>
      </w:r>
      <w:r>
        <w:t xml:space="preserve">these supervisory differences and specifically highlights the benefits of a more unified</w:t>
      </w:r>
      <w:r>
        <w:t xml:space="preserve"> </w:t>
      </w:r>
      <w:r>
        <w:t xml:space="preserve">European framework for supervision and includes a suggestion of moving certain supervisory</w:t>
      </w:r>
      <w:r>
        <w:t xml:space="preserve"> </w:t>
      </w:r>
      <w:r>
        <w:t xml:space="preserve">powers to the EU level. The report also raises the example of the tangible benefits that EU</w:t>
      </w:r>
      <w:r>
        <w:t xml:space="preserve"> </w:t>
      </w:r>
      <w:r>
        <w:t xml:space="preserve">banking groups gained in terms of simplified supervision and rules as a result of the move to a</w:t>
      </w:r>
      <w:r>
        <w:t xml:space="preserve"> </w:t>
      </w:r>
      <w:r>
        <w:t xml:space="preserve">unified system of supervision in the post Great Financial Crisis reforms and suggests that the</w:t>
      </w:r>
      <w:r>
        <w:t xml:space="preserve"> </w:t>
      </w:r>
      <w:r>
        <w:t xml:space="preserve">same benefits could be achieved by those active in capital markets.</w:t>
      </w:r>
      <w:r>
        <w:t xml:space="preserve"> </w:t>
      </w:r>
      <w:r>
        <w:t xml:space="preserve">Stakeholder feedback from the public consultation provides concrete, sector-by-sector</w:t>
      </w:r>
      <w:r>
        <w:t xml:space="preserve"> </w:t>
      </w:r>
      <w:r>
        <w:t xml:space="preserve">examples of these issues in practice, as set out below for CCPs, CSDs, trading venues, asset</w:t>
      </w:r>
      <w:r>
        <w:t xml:space="preserve"> </w:t>
      </w:r>
      <w:r>
        <w:t xml:space="preserve">managers, and CASPs.</w:t>
      </w:r>
    </w:p>
    <w:p>
      <w:pPr>
        <w:pStyle w:val="BodyText"/>
      </w:pPr>
      <w:r>
        <w:t xml:space="preserve">606 https://www.oecd.org/content/dam/oecd/en/publications/reports/2025/07/oecd-economic-surveys-european-</w:t>
      </w:r>
      <w:r>
        <w:t xml:space="preserve"> </w:t>
      </w:r>
      <w:r>
        <w:t xml:space="preserve">union-and-euro-area-2025_af6b738a/5ec8dcc2-en.pdf.</w:t>
      </w:r>
    </w:p>
    <w:p>
      <w:pPr>
        <w:pStyle w:val="BodyText"/>
      </w:pPr>
      <w:r>
        <w:t xml:space="preserve">367</w:t>
      </w:r>
      <w:r>
        <w:t xml:space="preserve"> </w:t>
      </w:r>
      <w:r>
        <w:t xml:space="preserve">3.2.1. CCPs</w:t>
      </w:r>
      <w:r>
        <w:t xml:space="preserve"> </w:t>
      </w:r>
      <w:r>
        <w:t xml:space="preserve">A major CCP operator reported significant direct and indirect costs related to engagement with</w:t>
      </w:r>
      <w:r>
        <w:t xml:space="preserve"> </w:t>
      </w:r>
      <w:r>
        <w:t xml:space="preserve">supervisors. Directly, supervisory fees vary widely between jurisdictions, placing some EU</w:t>
      </w:r>
      <w:r>
        <w:t xml:space="preserve"> </w:t>
      </w:r>
      <w:r>
        <w:t xml:space="preserve">CCPs at a competitive disadvantage. Indirectly, costs arise from national gold-plating,</w:t>
      </w:r>
      <w:r>
        <w:t xml:space="preserve"> </w:t>
      </w:r>
      <w:r>
        <w:t xml:space="preserve">duplicative reporting requirements, and lengthy, multi-layered EMIR approval procedures. An</w:t>
      </w:r>
      <w:r>
        <w:t xml:space="preserve"> </w:t>
      </w:r>
      <w:r>
        <w:t xml:space="preserve">indefinite, resource-intensive pre-filing phase for new product authorisations or risk model</w:t>
      </w:r>
      <w:r>
        <w:t xml:space="preserve"> </w:t>
      </w:r>
      <w:r>
        <w:t xml:space="preserve">change validations can delay launches by months, reducing responsiveness compared to non-</w:t>
      </w:r>
      <w:r>
        <w:t xml:space="preserve"> </w:t>
      </w:r>
      <w:r>
        <w:t xml:space="preserve">EU peers. Another large CCP group argued that under the pre-EMIR 3 framework, multi-</w:t>
      </w:r>
      <w:r>
        <w:t xml:space="preserve"> </w:t>
      </w:r>
      <w:r>
        <w:t xml:space="preserve">layered approval processes could take up to 2.5 years, undermining the EU’s position in the</w:t>
      </w:r>
      <w:r>
        <w:t xml:space="preserve"> </w:t>
      </w:r>
      <w:r>
        <w:t xml:space="preserve">global clearing market.</w:t>
      </w:r>
      <w:r>
        <w:br/>
      </w:r>
      <w:r>
        <w:t xml:space="preserve">3.2.2. CSDs</w:t>
      </w:r>
      <w:r>
        <w:t xml:space="preserve"> </w:t>
      </w:r>
      <w:r>
        <w:t xml:space="preserve">Some CSDs have indicated facing difficulties getting NCAs greenlight when wanting to share</w:t>
      </w:r>
      <w:r>
        <w:t xml:space="preserve"> </w:t>
      </w:r>
      <w:r>
        <w:t xml:space="preserve">resources at group level for certain functions, with the objective of a more integrated approach.</w:t>
      </w:r>
      <w:r>
        <w:t xml:space="preserve"> </w:t>
      </w:r>
      <w:r>
        <w:t xml:space="preserve">They indicated that as each group entity may be looked into somewhat in isolation, and with</w:t>
      </w:r>
      <w:r>
        <w:t xml:space="preserve"> </w:t>
      </w:r>
      <w:r>
        <w:t xml:space="preserve">varying supervisory expectations, from the rest of the group, other group entity resources are</w:t>
      </w:r>
      <w:r>
        <w:t xml:space="preserve"> </w:t>
      </w:r>
      <w:r>
        <w:t xml:space="preserve">seen as no different from any third-party provider, undermining integrated cross-border group</w:t>
      </w:r>
      <w:r>
        <w:t xml:space="preserve"> </w:t>
      </w:r>
      <w:r>
        <w:t xml:space="preserve">strategies, and the opportunity for economies of scale those strategies entail.</w:t>
      </w:r>
      <w:r>
        <w:br/>
      </w:r>
      <w:r>
        <w:t xml:space="preserve">One CSD group reported annual supervisory fees totalling around EUR 3.4 million across four</w:t>
      </w:r>
      <w:r>
        <w:t xml:space="preserve"> </w:t>
      </w:r>
      <w:r>
        <w:t xml:space="preserve">jurisdictions, with variations from EUR 572 000 to over EUR 1.1 million per CSD. Another</w:t>
      </w:r>
      <w:r>
        <w:t xml:space="preserve"> </w:t>
      </w:r>
      <w:r>
        <w:t xml:space="preserve">CSD group noted significant discrepancies between the supervisory fees incurred for the</w:t>
      </w:r>
      <w:r>
        <w:t xml:space="preserve"> </w:t>
      </w:r>
      <w:r>
        <w:t xml:space="preserve">different CSDs in the group, and that these differences often bear no clear link to size or</w:t>
      </w:r>
      <w:r>
        <w:t xml:space="preserve"> </w:t>
      </w:r>
      <w:r>
        <w:t xml:space="preserve">complexity of the CSD, and in some countries multiple supervisory fees are charged when</w:t>
      </w:r>
      <w:r>
        <w:t xml:space="preserve"> </w:t>
      </w:r>
      <w:r>
        <w:t xml:space="preserve">oversight is shared between authorities. Such discrepancies risk distorting competition,</w:t>
      </w:r>
      <w:r>
        <w:t xml:space="preserve"> </w:t>
      </w:r>
      <w:r>
        <w:t xml:space="preserve">particularly for smaller CSDs.</w:t>
      </w:r>
      <w:r>
        <w:t xml:space="preserve"> </w:t>
      </w:r>
      <w:r>
        <w:t xml:space="preserve">A major CSD operator argued that greater centralisation is needed to ensure regulatory</w:t>
      </w:r>
      <w:r>
        <w:t xml:space="preserve"> </w:t>
      </w:r>
      <w:r>
        <w:t xml:space="preserve">consistency, reduce opportunities for arbitrage, enable better monitoring of interconnected</w:t>
      </w:r>
      <w:r>
        <w:t xml:space="preserve"> </w:t>
      </w:r>
      <w:r>
        <w:t xml:space="preserve">risks, and harmonise fee structures, thereby creating a more level playing field across the post-</w:t>
      </w:r>
      <w:r>
        <w:t xml:space="preserve"> </w:t>
      </w:r>
      <w:r>
        <w:t xml:space="preserve">trade sector.</w:t>
      </w:r>
      <w:r>
        <w:t xml:space="preserve"> </w:t>
      </w:r>
      <w:r>
        <w:t xml:space="preserve">3.2.3. Trading Venues</w:t>
      </w:r>
      <w:r>
        <w:t xml:space="preserve"> </w:t>
      </w:r>
      <w:r>
        <w:t xml:space="preserve">Operators reported that, even when obligations are harmonised by MiFID II, NCAs apply them</w:t>
      </w:r>
      <w:r>
        <w:t xml:space="preserve"> </w:t>
      </w:r>
      <w:r>
        <w:t xml:space="preserve">differently. Locally tailored requests and, in some cases, duplicative or conflicting instructions</w:t>
      </w:r>
      <w:r>
        <w:t xml:space="preserve"> </w:t>
      </w:r>
      <w:r>
        <w:t xml:space="preserve">from NCAs result in inconsistent and sometimes duplicative supervisory requirements,</w:t>
      </w:r>
      <w:r>
        <w:t xml:space="preserve"> </w:t>
      </w:r>
      <w:r>
        <w:t xml:space="preserve">operational complexity, and higher compliance costs for cross-border operators. As an</w:t>
      </w:r>
      <w:r>
        <w:t xml:space="preserve"> </w:t>
      </w:r>
      <w:r>
        <w:t xml:space="preserve">example, incident reporting may have to be shared with up to eight authorities via separate</w:t>
      </w:r>
      <w:r>
        <w:t xml:space="preserve"> </w:t>
      </w:r>
      <w:r>
        <w:t xml:space="preserve">channels, which multiplies the costs.</w:t>
      </w:r>
      <w:r>
        <w:t xml:space="preserve"> </w:t>
      </w:r>
      <w:r>
        <w:t xml:space="preserve">One NCA involved in the oversight of a trading venue noted that divergent supervisory</w:t>
      </w:r>
      <w:r>
        <w:t xml:space="preserve"> </w:t>
      </w:r>
      <w:r>
        <w:t xml:space="preserve">procedures, including the actors involved, impose around EUR 60 000 in annual costs for</w:t>
      </w:r>
      <w:r>
        <w:t xml:space="preserve"> </w:t>
      </w:r>
      <w:r>
        <w:t xml:space="preserve">certain processes.</w:t>
      </w:r>
      <w:r>
        <w:br/>
      </w:r>
      <w:r>
        <w:t xml:space="preserve">One operator active across several Member States noted that fragmented pre-approval</w:t>
      </w:r>
      <w:r>
        <w:t xml:space="preserve"> </w:t>
      </w:r>
      <w:r>
        <w:t xml:space="preserve">requirements delay product launches for the entire group - because of its harmonised rulebook.</w:t>
      </w:r>
      <w:r>
        <w:t xml:space="preserve"> </w:t>
      </w:r>
      <w:r>
        <w:t xml:space="preserve">And because approval processes can take several months in some Member States, this leads to</w:t>
      </w:r>
      <w:r>
        <w:t xml:space="preserve"> </w:t>
      </w:r>
      <w:r>
        <w:t xml:space="preserve">opportunity costs of low single digit millions of Euros for every new product launched. This</w:t>
      </w:r>
      <w:r>
        <w:t xml:space="preserve"> </w:t>
      </w:r>
      <w:r>
        <w:t xml:space="preserve">does not support innovation and also erodes first-mover advantages. Besides faster product</w:t>
      </w:r>
      <w:r>
        <w:t xml:space="preserve"> </w:t>
      </w:r>
      <w:r>
        <w:t xml:space="preserve">launches, additional benefits from a centralised supervision would include reduced</w:t>
      </w:r>
      <w:r>
        <w:t xml:space="preserve"> </w:t>
      </w:r>
      <w:r>
        <w:t xml:space="preserve">duplications of human resources and improved procedural efficiency. The same group</w:t>
      </w:r>
    </w:p>
    <w:p>
      <w:pPr>
        <w:pStyle w:val="BodyText"/>
      </w:pPr>
      <w:r>
        <w:t xml:space="preserve">368</w:t>
      </w:r>
      <w:r>
        <w:t xml:space="preserve"> </w:t>
      </w:r>
      <w:r>
        <w:t xml:space="preserve">estimated that centralised supervision could yield it savings in the order of tens of millions of</w:t>
      </w:r>
      <w:r>
        <w:t xml:space="preserve"> </w:t>
      </w:r>
      <w:r>
        <w:t xml:space="preserve">euros annually, mainly through reduced compliance and governance costs.</w:t>
      </w:r>
      <w:r>
        <w:br/>
      </w:r>
      <w:r>
        <w:t xml:space="preserve">Feedback received also underlined that annual licence fees vary widely: some Member States</w:t>
      </w:r>
      <w:r>
        <w:t xml:space="preserve"> </w:t>
      </w:r>
      <w:r>
        <w:t xml:space="preserve">charge flat amounts, others levy per-instrument fees, and others charge by the hour for</w:t>
      </w:r>
      <w:r>
        <w:t xml:space="preserve"> </w:t>
      </w:r>
      <w:r>
        <w:t xml:space="preserve">supervisory work.</w:t>
      </w:r>
      <w:r>
        <w:br/>
      </w:r>
      <w:r>
        <w:t xml:space="preserve">3.2.4. Asset Managers</w:t>
      </w:r>
      <w:r>
        <w:t xml:space="preserve"> </w:t>
      </w:r>
      <w:r>
        <w:t xml:space="preserve">Unnecessary administrative barriers continue to impose significant costs on EU asset</w:t>
      </w:r>
      <w:r>
        <w:t xml:space="preserve"> </w:t>
      </w:r>
      <w:r>
        <w:t xml:space="preserve">managers. These costs are higher particularly when funds are being marketed on a cross-border</w:t>
      </w:r>
      <w:r>
        <w:t xml:space="preserve"> </w:t>
      </w:r>
      <w:r>
        <w:t xml:space="preserve">basis. The burden arises from persistent regulatory fragmentation, duplicative procedures,</w:t>
      </w:r>
      <w:r>
        <w:t xml:space="preserve"> </w:t>
      </w:r>
      <w:r>
        <w:t xml:space="preserve">divergent local interpretations of EU rules, and the lack of fully harmonised digital processes</w:t>
      </w:r>
      <w:r>
        <w:t xml:space="preserve"> </w:t>
      </w:r>
      <w:r>
        <w:t xml:space="preserve">among NCAs. Launching a UCITS fund still typically requires between EUR 300 000 and</w:t>
      </w:r>
      <w:r>
        <w:t xml:space="preserve"> </w:t>
      </w:r>
      <w:r>
        <w:t xml:space="preserve">EUR 500 000 in upfront costs, which among other costs comprises legal structuring,</w:t>
      </w:r>
      <w:r>
        <w:t xml:space="preserve"> </w:t>
      </w:r>
      <w:r>
        <w:t xml:space="preserve">documentation, registration, and compliance with local marketing rules. The administrative</w:t>
      </w:r>
      <w:r>
        <w:t xml:space="preserve"> </w:t>
      </w:r>
      <w:r>
        <w:t xml:space="preserve">costs of registering a UCITS in one additional EU Member State can range from EUR 20 000</w:t>
      </w:r>
      <w:r>
        <w:t xml:space="preserve"> </w:t>
      </w:r>
      <w:r>
        <w:t xml:space="preserve">to EUR 60 000, depending on translation, legal, and agent fees. For an EU AIF, these costs can</w:t>
      </w:r>
      <w:r>
        <w:t xml:space="preserve"> </w:t>
      </w:r>
      <w:r>
        <w:t xml:space="preserve">exceed EUR 500 000.</w:t>
      </w:r>
      <w:r>
        <w:t xml:space="preserve"> </w:t>
      </w:r>
      <w:r>
        <w:t xml:space="preserve">3.2.5. CASPs</w:t>
      </w:r>
      <w:r>
        <w:t xml:space="preserve"> </w:t>
      </w:r>
      <w:r>
        <w:t xml:space="preserve">Convergent supervision was a prominent topic for CASPs during the consultation. Industry</w:t>
      </w:r>
      <w:r>
        <w:t xml:space="preserve"> </w:t>
      </w:r>
      <w:r>
        <w:t xml:space="preserve">feedback revealed that despite the short period of time the framework applies, supervisory</w:t>
      </w:r>
      <w:r>
        <w:t xml:space="preserve"> </w:t>
      </w:r>
      <w:r>
        <w:t xml:space="preserve">practices and approaches vary between Member States and several stakeholders highlighted</w:t>
      </w:r>
      <w:r>
        <w:t xml:space="preserve"> </w:t>
      </w:r>
      <w:r>
        <w:t xml:space="preserve">the challenges this presents. For example, one stakeholder noted that NCAs have slightly</w:t>
      </w:r>
      <w:r>
        <w:t xml:space="preserve"> </w:t>
      </w:r>
      <w:r>
        <w:t xml:space="preserve">different understandings of the crypto sector and technical nuances. Another market participant</w:t>
      </w:r>
      <w:r>
        <w:t xml:space="preserve"> </w:t>
      </w:r>
      <w:r>
        <w:t xml:space="preserve">believes that a harmonized application is essential to enable legal clarity for CASPs in the</w:t>
      </w:r>
      <w:r>
        <w:t xml:space="preserve"> </w:t>
      </w:r>
      <w:r>
        <w:t xml:space="preserve">sector, while another one adds that strong leadership at EU-level is needed for supervisory</w:t>
      </w:r>
      <w:r>
        <w:t xml:space="preserve"> </w:t>
      </w:r>
      <w:r>
        <w:t xml:space="preserve">consistency and cross-border scalability, both crucial for a well-functioning digital finance</w:t>
      </w:r>
      <w:r>
        <w:t xml:space="preserve"> </w:t>
      </w:r>
      <w:r>
        <w:t xml:space="preserve">market. One industry respondent argued that differences in supervisory practices sometimes</w:t>
      </w:r>
      <w:r>
        <w:t xml:space="preserve"> </w:t>
      </w:r>
      <w:r>
        <w:t xml:space="preserve">stem from Member States that have not yet prioritized the development of necessary resources</w:t>
      </w:r>
      <w:r>
        <w:t xml:space="preserve"> </w:t>
      </w:r>
      <w:r>
        <w:t xml:space="preserve">and capacities.</w:t>
      </w:r>
      <w:r>
        <w:t xml:space="preserve"> </w:t>
      </w:r>
      <w:r>
        <w:t xml:space="preserve">Several industry participants supported that a more coordinated EU supervision could offer</w:t>
      </w:r>
      <w:r>
        <w:t xml:space="preserve"> </w:t>
      </w:r>
      <w:r>
        <w:t xml:space="preserve">long-term benefits, especially in improving consistency and reducing regulatory divergence</w:t>
      </w:r>
      <w:r>
        <w:t xml:space="preserve"> </w:t>
      </w:r>
      <w:r>
        <w:t xml:space="preserve">across Member States. While they do not expect immediate cost savings, a single supervisory</w:t>
      </w:r>
      <w:r>
        <w:t xml:space="preserve"> </w:t>
      </w:r>
      <w:r>
        <w:t xml:space="preserve">framework could, over time, streamline licensing and monitoring for CASPs. Most</w:t>
      </w:r>
      <w:r>
        <w:t xml:space="preserve"> </w:t>
      </w:r>
      <w:r>
        <w:t xml:space="preserve">importantly, it could ensure a level playing field and clearer expectations on issues like custody,</w:t>
      </w:r>
      <w:r>
        <w:t xml:space="preserve"> </w:t>
      </w:r>
      <w:r>
        <w:t xml:space="preserve">IT risk, or service expansion.</w:t>
      </w:r>
      <w:r>
        <w:t xml:space="preserve"> </w:t>
      </w:r>
      <w:r>
        <w:t xml:space="preserve">One NCA stressed that the phenomenon of forum shopping is particularly prevalent in the</w:t>
      </w:r>
      <w:r>
        <w:t xml:space="preserve"> </w:t>
      </w:r>
      <w:r>
        <w:t xml:space="preserve">crypto asset sector and in view of that, the current framework for supervising CASPs needs to</w:t>
      </w:r>
      <w:r>
        <w:t xml:space="preserve"> </w:t>
      </w:r>
      <w:r>
        <w:t xml:space="preserve">be strengthened.</w:t>
      </w:r>
      <w:r>
        <w:t xml:space="preserve"> </w:t>
      </w:r>
      <w:r>
        <w:t xml:space="preserve">3.3. PROBLEM DRIVERS (WHAT CAUSES THESE PROBLEMS)</w:t>
      </w:r>
      <w:r>
        <w:br/>
      </w:r>
      <w:r>
        <w:t xml:space="preserve">3.3.1. Non-aligned supervisory practices and interpretations across Member</w:t>
      </w:r>
      <w:r>
        <w:t xml:space="preserve"> </w:t>
      </w:r>
      <w:r>
        <w:t xml:space="preserve">States</w:t>
      </w:r>
      <w:r>
        <w:br/>
      </w:r>
      <w:r>
        <w:t xml:space="preserve">In many cases, supervision is carried out almost exclusively at the national level, which leads</w:t>
      </w:r>
      <w:r>
        <w:t xml:space="preserve"> </w:t>
      </w:r>
      <w:r>
        <w:t xml:space="preserve">to a patchwork of divergent interpretations, standards, and enforcement approaches across the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369</w:t>
      </w:r>
      <w:r>
        <w:t xml:space="preserve"> </w:t>
      </w:r>
      <w:r>
        <w:t xml:space="preserve">Inputs received from stakeholders collectively underscore that despite a single rulebook, varied</w:t>
      </w:r>
      <w:r>
        <w:t xml:space="preserve"> </w:t>
      </w:r>
      <w:r>
        <w:t xml:space="preserve">national supervisory interpretations and enforcement undermine the effectiveness of the EU’s</w:t>
      </w:r>
      <w:r>
        <w:t xml:space="preserve"> </w:t>
      </w:r>
      <w:r>
        <w:t xml:space="preserve">regulatory framework, posing a significant obstacle to achieving a fully integrated and</w:t>
      </w:r>
      <w:r>
        <w:t xml:space="preserve"> </w:t>
      </w:r>
      <w:r>
        <w:t xml:space="preserve">competitive capital market.</w:t>
      </w:r>
      <w:r>
        <w:t xml:space="preserve"> </w:t>
      </w:r>
      <w:r>
        <w:t xml:space="preserve">Bruegel’s Nicolas Veron607 showcases the political and competitive aspect of having a</w:t>
      </w:r>
      <w:r>
        <w:t xml:space="preserve"> </w:t>
      </w:r>
      <w:r>
        <w:t xml:space="preserve">multitude of national supervisors, noting that local supervisors “may be more reluctant than a</w:t>
      </w:r>
      <w:r>
        <w:t xml:space="preserve"> </w:t>
      </w:r>
      <w:r>
        <w:t xml:space="preserve">European supervisor to grant authorisations to innovative newcomers in order to protect local</w:t>
      </w:r>
      <w:r>
        <w:t xml:space="preserve"> </w:t>
      </w:r>
      <w:r>
        <w:t xml:space="preserve">incumbents”. On the other hand, there may also be incentives for NCAs to be more lenient to</w:t>
      </w:r>
      <w:r>
        <w:t xml:space="preserve"> </w:t>
      </w:r>
      <w:r>
        <w:t xml:space="preserve">attract business. He suggests that such attitudes to supervision reduce the possibility of</w:t>
      </w:r>
      <w:r>
        <w:t xml:space="preserve"> </w:t>
      </w:r>
      <w:r>
        <w:t xml:space="preserve">achieving a truly competitive European capital market, which could be advanced by well-</w:t>
      </w:r>
      <w:r>
        <w:t xml:space="preserve"> </w:t>
      </w:r>
      <w:r>
        <w:t xml:space="preserve">designed supervisory integration.</w:t>
      </w:r>
      <w:r>
        <w:br/>
      </w:r>
      <w:r>
        <w:t xml:space="preserve">In the area of CSDs, certain requirements of the CSDR are not read consistently by the NCAs.</w:t>
      </w:r>
      <w:r>
        <w:t xml:space="preserve"> </w:t>
      </w:r>
      <w:r>
        <w:t xml:space="preserve">For instance, respondents to the public consultation highlighted that there are significant</w:t>
      </w:r>
      <w:r>
        <w:t xml:space="preserve"> </w:t>
      </w:r>
      <w:r>
        <w:t xml:space="preserve">differences in how authorities identify outsourcing arrangements, in particular staff sharing</w:t>
      </w:r>
      <w:r>
        <w:t xml:space="preserve"> </w:t>
      </w:r>
      <w:r>
        <w:t xml:space="preserve">arrangements, how authorities assess important changes within the CSD, as well as in how</w:t>
      </w:r>
      <w:r>
        <w:t xml:space="preserve"> </w:t>
      </w:r>
      <w:r>
        <w:t xml:space="preserve">authorities handle passporting requests and cross-border provision of services.</w:t>
      </w:r>
      <w:r>
        <w:br/>
      </w:r>
      <w:r>
        <w:t xml:space="preserve">In particular, one respondent to the consultation has identified issues with the CSD home/host</w:t>
      </w:r>
      <w:r>
        <w:t xml:space="preserve"> </w:t>
      </w:r>
      <w:r>
        <w:t xml:space="preserve">process, which indicates limitations in its ability to facilitate cross-border cooperation. There</w:t>
      </w:r>
      <w:r>
        <w:t xml:space="preserve"> </w:t>
      </w:r>
      <w:r>
        <w:t xml:space="preserve">have been instances where host Member State authorities have disapproved the measures</w:t>
      </w:r>
      <w:r>
        <w:t xml:space="preserve"> </w:t>
      </w:r>
      <w:r>
        <w:t xml:space="preserve">proposed by a CSD to comply with local laws. Additionally, the interpretation of specific legal</w:t>
      </w:r>
      <w:r>
        <w:t xml:space="preserve"> </w:t>
      </w:r>
      <w:r>
        <w:t xml:space="preserve">terms and deadlines provided by European regulation has been diverse between home and host</w:t>
      </w:r>
      <w:r>
        <w:t xml:space="preserve"> </w:t>
      </w:r>
      <w:r>
        <w:t xml:space="preserve">authorities, for example with reference to the starting of the effective dates or the relevant</w:t>
      </w:r>
      <w:r>
        <w:t xml:space="preserve"> </w:t>
      </w:r>
      <w:r>
        <w:t xml:space="preserve">calendar to be applied. This creates friction in the regulatory procedures (e.g. passporting</w:t>
      </w:r>
      <w:r>
        <w:t xml:space="preserve"> </w:t>
      </w:r>
      <w:r>
        <w:t xml:space="preserve">process) and can delay or block cross-border service provision. Despite efforts by ESMA to</w:t>
      </w:r>
      <w:r>
        <w:t xml:space="preserve"> </w:t>
      </w:r>
      <w:r>
        <w:t xml:space="preserve">harmonize supervision through questions and answers tool (‘Q&amp;As’) and guidance, NCAs</w:t>
      </w:r>
      <w:r>
        <w:t xml:space="preserve"> </w:t>
      </w:r>
      <w:r>
        <w:t xml:space="preserve">sometimes interpret and enforce CSDR provisions differently, which undermines the goal of a</w:t>
      </w:r>
      <w:r>
        <w:t xml:space="preserve"> </w:t>
      </w:r>
      <w:r>
        <w:t xml:space="preserve">unified EU market and complicates compliance for CSDs operating in multiple countries.</w:t>
      </w:r>
      <w:r>
        <w:t xml:space="preserve"> </w:t>
      </w:r>
      <w:r>
        <w:t xml:space="preserve">Respondents also highlighted that there are significant variations in the scope, frequency and</w:t>
      </w:r>
      <w:r>
        <w:t xml:space="preserve"> </w:t>
      </w:r>
      <w:r>
        <w:t xml:space="preserve">formatting of regulatory reporting across jurisdictions. Another example that was evidenced in</w:t>
      </w:r>
      <w:r>
        <w:t xml:space="preserve"> </w:t>
      </w:r>
      <w:r>
        <w:t xml:space="preserve">the context of the move to T+1 in the EU is the inconsistency in how some authorities</w:t>
      </w:r>
      <w:r>
        <w:t xml:space="preserve"> </w:t>
      </w:r>
      <w:r>
        <w:t xml:space="preserve">considered securities financing transactions conducted on trading venues under the mandatory</w:t>
      </w:r>
      <w:r>
        <w:t xml:space="preserve"> </w:t>
      </w:r>
      <w:r>
        <w:t xml:space="preserve">settlement requirement set out in the CSDR.</w:t>
      </w:r>
      <w:r>
        <w:t xml:space="preserve"> </w:t>
      </w:r>
      <w:r>
        <w:t xml:space="preserve">These inconsistencies become even more pronounced for corporate groups that operate</w:t>
      </w:r>
      <w:r>
        <w:t xml:space="preserve"> </w:t>
      </w:r>
      <w:r>
        <w:t xml:space="preserve">multiple CSDs - such as Euroclear, Deutsche Börse or Euronext - or operate in different</w:t>
      </w:r>
      <w:r>
        <w:t xml:space="preserve"> </w:t>
      </w:r>
      <w:r>
        <w:t xml:space="preserve">markets such as Nasdaq and thus must navigate differing supervisory approaches and</w:t>
      </w:r>
      <w:r>
        <w:t xml:space="preserve"> </w:t>
      </w:r>
      <w:r>
        <w:t xml:space="preserve">interpretations from various competent and relevant authorities. Notably several respondents</w:t>
      </w:r>
      <w:r>
        <w:t xml:space="preserve"> </w:t>
      </w:r>
      <w:r>
        <w:t xml:space="preserve">have highlighted that the CSDR supervisory framework does not sufficiently accommodate</w:t>
      </w:r>
      <w:r>
        <w:t xml:space="preserve"> </w:t>
      </w:r>
      <w:r>
        <w:t xml:space="preserve">group structures. Ignoring the presence of groups with multiple CSDs in supervisory</w:t>
      </w:r>
      <w:r>
        <w:t xml:space="preserve"> </w:t>
      </w:r>
      <w:r>
        <w:t xml:space="preserve">frameworks creates obstacles to efficient and effective consolidation of market infrastructures.</w:t>
      </w:r>
      <w:r>
        <w:br/>
      </w:r>
      <w:r>
        <w:t xml:space="preserve">In the area of CCPs, despite ESMA’s tools to enhance supervisory convergences and the CCP</w:t>
      </w:r>
      <w:r>
        <w:t xml:space="preserve"> </w:t>
      </w:r>
      <w:r>
        <w:t xml:space="preserve">Supervisory Committee’s tasks, there are still significant divergences in supervisory depth,</w:t>
      </w:r>
      <w:r>
        <w:t xml:space="preserve"> </w:t>
      </w:r>
      <w:r>
        <w:t xml:space="preserve">interpretation and practices amongst NCAs. For example, one respondent to the consultation</w:t>
      </w:r>
      <w:r>
        <w:t xml:space="preserve"> </w:t>
      </w:r>
      <w:r>
        <w:t xml:space="preserve">pointed out that the CCP requirements are implemented in very different ways, with cases of</w:t>
      </w:r>
      <w:r>
        <w:t xml:space="preserve"> </w:t>
      </w:r>
      <w:r>
        <w:t xml:space="preserve">requirements imposed being “1000-fold higher in a Member State compared to existing</w:t>
      </w:r>
    </w:p>
    <w:p>
      <w:pPr>
        <w:pStyle w:val="BodyText"/>
      </w:pPr>
      <w:r>
        <w:t xml:space="preserve">607 Bruegel Blueprint 35.pdf.</w:t>
      </w:r>
    </w:p>
    <w:p>
      <w:pPr>
        <w:pStyle w:val="BodyText"/>
      </w:pPr>
      <w:r>
        <w:t xml:space="preserve">370</w:t>
      </w:r>
      <w:r>
        <w:t xml:space="preserve"> </w:t>
      </w:r>
      <w:r>
        <w:t xml:space="preserve">practices” elsewhere. Other respondents pointed out that, when it comes to the approval of new</w:t>
      </w:r>
      <w:r>
        <w:t xml:space="preserve"> </w:t>
      </w:r>
      <w:r>
        <w:t xml:space="preserve">services provided by CCPs and the validation of changes brought to CCP risk models, some</w:t>
      </w:r>
      <w:r>
        <w:t xml:space="preserve"> </w:t>
      </w:r>
      <w:r>
        <w:t xml:space="preserve">NCAs are satisfied with a “desk-based review of documents”, while some other favour the use</w:t>
      </w:r>
      <w:r>
        <w:t xml:space="preserve"> </w:t>
      </w:r>
      <w:r>
        <w:t xml:space="preserve">of “inspection methods”. Some respondents to the public consultation even mentioned the</w:t>
      </w:r>
      <w:r>
        <w:t xml:space="preserve"> </w:t>
      </w:r>
      <w:r>
        <w:t xml:space="preserve">current practice of a “pre-filing phase”, where the CCPs are interacting informally with their</w:t>
      </w:r>
      <w:r>
        <w:t xml:space="preserve"> </w:t>
      </w:r>
      <w:r>
        <w:t xml:space="preserve">regulators, before the official application, which contributes to create costs for some EU CCPs</w:t>
      </w:r>
      <w:r>
        <w:t xml:space="preserve"> </w:t>
      </w:r>
      <w:r>
        <w:t xml:space="preserve">and leads to an unlevel playing field. In parallel, respondents to the public consultation were</w:t>
      </w:r>
      <w:r>
        <w:t xml:space="preserve"> </w:t>
      </w:r>
      <w:r>
        <w:t xml:space="preserve">of the view that recent amendments to EMIR brought by Regulation (EU) 2024/2987 (‘EMIR</w:t>
      </w:r>
      <w:r>
        <w:t xml:space="preserve"> </w:t>
      </w:r>
      <w:r>
        <w:t xml:space="preserve">3’)608, which provide an enhanced role for ESMA in CCP colleges, with more ESMA opinions</w:t>
      </w:r>
      <w:r>
        <w:t xml:space="preserve"> </w:t>
      </w:r>
      <w:r>
        <w:t xml:space="preserve">and better information sharing, should ensure greater supervisory convergence and</w:t>
      </w:r>
      <w:r>
        <w:t xml:space="preserve"> </w:t>
      </w:r>
      <w:r>
        <w:t xml:space="preserve">coordination between NCAs and ESMA.</w:t>
      </w:r>
      <w:r>
        <w:br/>
      </w:r>
      <w:r>
        <w:t xml:space="preserve">Indeed, since the EMIR 3 implementation, ESMA became the co-chair of the CCP college of</w:t>
      </w:r>
      <w:r>
        <w:t xml:space="preserve"> </w:t>
      </w:r>
      <w:r>
        <w:t xml:space="preserve">each EU CCP. However, in practice the CCP colleges’ main purpose is information sharing</w:t>
      </w:r>
      <w:r>
        <w:t xml:space="preserve"> </w:t>
      </w:r>
      <w:r>
        <w:t xml:space="preserve">and preparing non-binding opinions. In addition, the new procedures involving ESMA’s CCP</w:t>
      </w:r>
      <w:r>
        <w:t xml:space="preserve"> </w:t>
      </w:r>
      <w:r>
        <w:t xml:space="preserve">Supervisory Committee and the College’s opinions, have been extended and now cover all the</w:t>
      </w:r>
      <w:r>
        <w:t xml:space="preserve"> </w:t>
      </w:r>
      <w:r>
        <w:t xml:space="preserve">decisions regarding the EU CCP (for instance the CCP’s annual review and any change of the</w:t>
      </w:r>
      <w:r>
        <w:t xml:space="preserve"> </w:t>
      </w:r>
      <w:r>
        <w:t xml:space="preserve">CCP’s participation requirements), which leads to more comparability and consistency of</w:t>
      </w:r>
      <w:r>
        <w:t xml:space="preserve"> </w:t>
      </w:r>
      <w:r>
        <w:t xml:space="preserve">decisions taken regarding EU CCP’s activity. Nevertheless, the changes introduced by EMIR</w:t>
      </w:r>
      <w:r>
        <w:t xml:space="preserve"> </w:t>
      </w:r>
      <w:r>
        <w:t xml:space="preserve">3 will most likely not resolve the issue of the fragmented supervisory structure. In this respect,</w:t>
      </w:r>
      <w:r>
        <w:t xml:space="preserve"> </w:t>
      </w:r>
      <w:r>
        <w:t xml:space="preserve">one respondent to the public consultation argued that the current supervisory structure is not fit</w:t>
      </w:r>
      <w:r>
        <w:t xml:space="preserve"> </w:t>
      </w:r>
      <w:r>
        <w:t xml:space="preserve">for purpose and gave the example of one of the largest CCPs in Europe whose college includes</w:t>
      </w:r>
      <w:r>
        <w:t xml:space="preserve"> </w:t>
      </w:r>
      <w:r>
        <w:t xml:space="preserve">22 different authorities.</w:t>
      </w:r>
      <w:r>
        <w:br/>
      </w:r>
      <w:r>
        <w:t xml:space="preserve">The impact assessment accompanying the Commission’s proposal on EMIR 3 showed that EU</w:t>
      </w:r>
      <w:r>
        <w:t xml:space="preserve"> </w:t>
      </w:r>
      <w:r>
        <w:t xml:space="preserve">CCPs are highly interconnected. This can lead to cross-border risks, i.e. problems in one CCP</w:t>
      </w:r>
      <w:r>
        <w:t xml:space="preserve"> </w:t>
      </w:r>
      <w:r>
        <w:t xml:space="preserve">can propagate to other CCPs. That impact assessment also argued that a supervisory framework</w:t>
      </w:r>
      <w:r>
        <w:t xml:space="preserve"> </w:t>
      </w:r>
      <w:r>
        <w:t xml:space="preserve">relying on cooperation amongst NCAs is inefficient and inadequate to address those risks. A</w:t>
      </w:r>
      <w:r>
        <w:t xml:space="preserve"> </w:t>
      </w:r>
      <w:r>
        <w:t xml:space="preserve">complex and limited framework for the cooperation of national supervisors and relevant</w:t>
      </w:r>
      <w:r>
        <w:t xml:space="preserve"> </w:t>
      </w:r>
      <w:r>
        <w:t xml:space="preserve">authorities leads to supervisory divergence, creates duplicative and burdensome processes and</w:t>
      </w:r>
      <w:r>
        <w:t xml:space="preserve"> </w:t>
      </w:r>
      <w:r>
        <w:t xml:space="preserve">reporting for EU CCPs and ultimately results in an unlevel playing field for those CCPs, as</w:t>
      </w:r>
      <w:r>
        <w:t xml:space="preserve"> </w:t>
      </w:r>
      <w:r>
        <w:t xml:space="preserve">well as potential risks for financial stability. Indeed, the new procedures in EMIR 3 introduced</w:t>
      </w:r>
      <w:r>
        <w:t xml:space="preserve"> </w:t>
      </w:r>
      <w:r>
        <w:t xml:space="preserve">an ambitious timeframe and strict deadlines in order to facilitate EU CCPs bringing new</w:t>
      </w:r>
      <w:r>
        <w:t xml:space="preserve"> </w:t>
      </w:r>
      <w:r>
        <w:t xml:space="preserve">products to the market. Nevertheless, they: i) do not allow for ESMA in its current set-up (with</w:t>
      </w:r>
      <w:r>
        <w:t xml:space="preserve"> </w:t>
      </w:r>
      <w:r>
        <w:t xml:space="preserve">a strong role for NCAs at ESMA’s CCP Supervisory Committee’s level) to study in detail the</w:t>
      </w:r>
      <w:r>
        <w:t xml:space="preserve"> </w:t>
      </w:r>
      <w:r>
        <w:t xml:space="preserve">CCP’s NCA risk assessment and also ii) increase the likelihood that an unsatisfactory</w:t>
      </w:r>
      <w:r>
        <w:t xml:space="preserve"> </w:t>
      </w:r>
      <w:r>
        <w:t xml:space="preserve">application would be rejected and force the CCP to start the full process again. In addition, the</w:t>
      </w:r>
      <w:r>
        <w:t xml:space="preserve"> </w:t>
      </w:r>
      <w:r>
        <w:t xml:space="preserve">CCP’s college discussions, now co-lead by ESMA, in practice do not add much and seem</w:t>
      </w:r>
      <w:r>
        <w:t xml:space="preserve"> </w:t>
      </w:r>
      <w:r>
        <w:t xml:space="preserve">duplicative to the discussion that also occur in parallel at ESMA’s committee level.</w:t>
      </w:r>
      <w:r>
        <w:br/>
      </w:r>
      <w:r>
        <w:t xml:space="preserve">Furthermore, although significant progress has been made in harmonising the EU legislative</w:t>
      </w:r>
      <w:r>
        <w:t xml:space="preserve"> </w:t>
      </w:r>
      <w:r>
        <w:t xml:space="preserve">framework governing trading venues in the last decade, the fact that supervision remains</w:t>
      </w:r>
      <w:r>
        <w:t xml:space="preserve"> </w:t>
      </w:r>
      <w:r>
        <w:t xml:space="preserve">entirely in the hands of NCAs hinders the creation of a single market in that area. First, several</w:t>
      </w:r>
      <w:r>
        <w:t xml:space="preserve"> </w:t>
      </w:r>
      <w:r>
        <w:t xml:space="preserve">rules governing the organisation, governance and operations of trading venues in the EU are</w:t>
      </w:r>
      <w:r>
        <w:t xml:space="preserve"> </w:t>
      </w:r>
      <w:r>
        <w:t xml:space="preserve">set out in a directive (MiFID II), meaning that they are subject to transposition in national laws</w:t>
      </w:r>
      <w:r>
        <w:t xml:space="preserve"> </w:t>
      </w:r>
      <w:r>
        <w:t xml:space="preserve">and/or implementation, which often differ. Secondly, even where rules are harmonised at EU</w:t>
      </w:r>
    </w:p>
    <w:p>
      <w:pPr>
        <w:pStyle w:val="BodyText"/>
      </w:pPr>
      <w:r>
        <w:t xml:space="preserve">608 Regulation (EU) 2024/2987 of the European Parliament and of the Council of 27 November 2024 amending</w:t>
      </w:r>
      <w:r>
        <w:t xml:space="preserve"> </w:t>
      </w:r>
      <w:r>
        <w:t xml:space="preserve">Regulations (EU) No 648/2012, (EU) No 575/2013 and (EU) 2017/1131 as regards measures to mitigate excessive</w:t>
      </w:r>
      <w:r>
        <w:t xml:space="preserve"> </w:t>
      </w:r>
      <w:r>
        <w:t xml:space="preserve">exposures to third-country central counterparties and improve the efficiency of Union clearing markets (OJ L,</w:t>
      </w:r>
      <w:r>
        <w:t xml:space="preserve"> </w:t>
      </w:r>
      <w:r>
        <w:t xml:space="preserve">2024/2987, 4.12.2024, ELI: http://data.europa.eu/eli/reg/2024/2987/oj).</w:t>
      </w:r>
    </w:p>
    <w:p>
      <w:pPr>
        <w:pStyle w:val="BodyText"/>
      </w:pPr>
      <w:r>
        <w:t xml:space="preserve">371</w:t>
      </w:r>
      <w:r>
        <w:t xml:space="preserve"> </w:t>
      </w:r>
      <w:r>
        <w:t xml:space="preserve">level through a regulation, their application often varies in practice due to differing</w:t>
      </w:r>
      <w:r>
        <w:t xml:space="preserve"> </w:t>
      </w:r>
      <w:r>
        <w:t xml:space="preserve">interpretations and supervisory practices609 among NCAs.</w:t>
      </w:r>
      <w:r>
        <w:br/>
      </w:r>
      <w:r>
        <w:t xml:space="preserve">For example, procedures as regards supervisory approval of amendments to exchange</w:t>
      </w:r>
      <w:r>
        <w:t xml:space="preserve"> </w:t>
      </w:r>
      <w:r>
        <w:t xml:space="preserve">rulebooks - which define the rules that govern the operations of an exchange, notably its</w:t>
      </w:r>
      <w:r>
        <w:t xml:space="preserve"> </w:t>
      </w:r>
      <w:r>
        <w:t xml:space="preserve">interaction with participants in the exchange – often differ from one Member State to another.</w:t>
      </w:r>
      <w:r>
        <w:br/>
      </w:r>
      <w:r>
        <w:t xml:space="preserve">As a result, pre-approval of exchange rule books by the national supervisor in certain</w:t>
      </w:r>
      <w:r>
        <w:t xml:space="preserve"> </w:t>
      </w:r>
      <w:r>
        <w:t xml:space="preserve">jurisdictions can create challenges for trading venues to launch new financial products that</w:t>
      </w:r>
      <w:r>
        <w:t xml:space="preserve"> </w:t>
      </w:r>
      <w:r>
        <w:t xml:space="preserve">require rulebook changes, when in other jurisdictions a notification of the rulebook change is</w:t>
      </w:r>
      <w:r>
        <w:t xml:space="preserve"> </w:t>
      </w:r>
      <w:r>
        <w:t xml:space="preserve">sufficient. This results in delays in listing new products, which represent sizable opportunity</w:t>
      </w:r>
      <w:r>
        <w:t xml:space="preserve"> </w:t>
      </w:r>
      <w:r>
        <w:t xml:space="preserve">costs and a clear competitive disadvantage vis-à-vis trading venues located in Member States</w:t>
      </w:r>
      <w:r>
        <w:t xml:space="preserve"> </w:t>
      </w:r>
      <w:r>
        <w:t xml:space="preserve">that have a more flexible approach. This is exacerbated by additional, local regulatory</w:t>
      </w:r>
      <w:r>
        <w:t xml:space="preserve"> </w:t>
      </w:r>
      <w:r>
        <w:t xml:space="preserve">requirements for listing financial instruments. In practice, approaches of NCAs also differ, such</w:t>
      </w:r>
      <w:r>
        <w:t xml:space="preserve"> </w:t>
      </w:r>
      <w:r>
        <w:t xml:space="preserve">as with respect to requirements on risk management, compliance and market surveillance</w:t>
      </w:r>
      <w:r>
        <w:t xml:space="preserve"> </w:t>
      </w:r>
      <w:r>
        <w:t xml:space="preserve">functions. Pan-European groups of trading venues are particularly affected by the challenges</w:t>
      </w:r>
      <w:r>
        <w:t xml:space="preserve"> </w:t>
      </w:r>
      <w:r>
        <w:t xml:space="preserve">of interacting with various NCAs, each with its own set of rules, practices, contact personnel</w:t>
      </w:r>
      <w:r>
        <w:t xml:space="preserve"> </w:t>
      </w:r>
      <w:r>
        <w:t xml:space="preserve">and level of expertise. The division of supervisory responsibilities across EU Member States</w:t>
      </w:r>
      <w:r>
        <w:t xml:space="preserve"> </w:t>
      </w:r>
      <w:r>
        <w:t xml:space="preserve">may further complicate matters, as these groups might handle interactions with NCAs in one</w:t>
      </w:r>
      <w:r>
        <w:t xml:space="preserve"> </w:t>
      </w:r>
      <w:r>
        <w:t xml:space="preserve">jurisdiction, regional supervisory authorities in another, and possibly central banks elsewhere.</w:t>
      </w:r>
      <w:r>
        <w:t xml:space="preserve"> </w:t>
      </w:r>
      <w:r>
        <w:t xml:space="preserve">This fragmented supervisory landscape adds an extra layer of complexity - and hence delays</w:t>
      </w:r>
      <w:r>
        <w:t xml:space="preserve"> </w:t>
      </w:r>
      <w:r>
        <w:t xml:space="preserve">and costs - for groups operating across borders.</w:t>
      </w:r>
      <w:r>
        <w:br/>
      </w:r>
      <w:r>
        <w:t xml:space="preserve">One large European exchange gave several examples as regards differing national requirements</w:t>
      </w:r>
      <w:r>
        <w:t xml:space="preserve"> </w:t>
      </w:r>
      <w:r>
        <w:t xml:space="preserve">in terms of maintaining some functions at local level – e.g. risk, compliance, market</w:t>
      </w:r>
      <w:r>
        <w:t xml:space="preserve"> </w:t>
      </w:r>
      <w:r>
        <w:t xml:space="preserve">monitoring, market abuse - with the result that the group was prevented by several NCAs from</w:t>
      </w:r>
      <w:r>
        <w:t xml:space="preserve"> </w:t>
      </w:r>
      <w:r>
        <w:t xml:space="preserve">outsourcing them to another entity of the group – a notion that is not defined in the current</w:t>
      </w:r>
      <w:r>
        <w:t xml:space="preserve"> </w:t>
      </w:r>
      <w:r>
        <w:t xml:space="preserve">financial framework. One respondent shared an example involving the introduction of already</w:t>
      </w:r>
      <w:r>
        <w:t xml:space="preserve"> </w:t>
      </w:r>
      <w:r>
        <w:t xml:space="preserve">existing and pre-approved IT system and trading engine from one Member State into a newly</w:t>
      </w:r>
      <w:r>
        <w:t xml:space="preserve"> </w:t>
      </w:r>
      <w:r>
        <w:t xml:space="preserve">acquired group subsidiary in another Member State. The “host” NCA required the group to go</w:t>
      </w:r>
      <w:r>
        <w:t xml:space="preserve"> </w:t>
      </w:r>
      <w:r>
        <w:t xml:space="preserve">through an extensive approval process of this intra group outsourcing, even though the system</w:t>
      </w:r>
      <w:r>
        <w:t xml:space="preserve"> </w:t>
      </w:r>
      <w:r>
        <w:t xml:space="preserve">had already been approved and was operational in another Member State. Such duplications</w:t>
      </w:r>
      <w:r>
        <w:t xml:space="preserve"> </w:t>
      </w:r>
      <w:r>
        <w:t xml:space="preserve">and divergences in supervisory approaches prevent pan-European groups from benefitting fully</w:t>
      </w:r>
      <w:r>
        <w:t xml:space="preserve"> </w:t>
      </w:r>
      <w:r>
        <w:t xml:space="preserve">from the economies of scale and cost savings which an EU single market is expected to deliver.</w:t>
      </w:r>
      <w:r>
        <w:t xml:space="preserve"> </w:t>
      </w:r>
      <w:r>
        <w:t xml:space="preserve">The notion of centralised supervision and EU-level authorisation could accommodate</w:t>
      </w:r>
      <w:r>
        <w:t xml:space="preserve"> </w:t>
      </w:r>
      <w:r>
        <w:t xml:space="preserve">integration, however, the concept of “group” does not exist for market operators in the current</w:t>
      </w:r>
      <w:r>
        <w:t xml:space="preserve"> </w:t>
      </w:r>
      <w:r>
        <w:t xml:space="preserve">MiFID II framework. Both, moving to a system of authorization and EU supervision at the</w:t>
      </w:r>
      <w:r>
        <w:t xml:space="preserve"> </w:t>
      </w:r>
      <w:r>
        <w:t xml:space="preserve">level of the consolidated group that would facilitate branchification or EU level supervision of</w:t>
      </w:r>
      <w:r>
        <w:t xml:space="preserve"> </w:t>
      </w:r>
      <w:r>
        <w:t xml:space="preserve">each (nationally) licensed entity would improve the status quo by removing regulatory</w:t>
      </w:r>
      <w:r>
        <w:t xml:space="preserve"> </w:t>
      </w:r>
      <w:r>
        <w:t xml:space="preserve">interactions and limiting supervisory fragmentation. The two policies are not mutually</w:t>
      </w:r>
      <w:r>
        <w:t xml:space="preserve"> </w:t>
      </w:r>
      <w:r>
        <w:t xml:space="preserve">exclusive and can be pursued complementary to each other.</w:t>
      </w:r>
      <w:r>
        <w:br/>
      </w:r>
      <w:r>
        <w:t xml:space="preserve">In parallel to groups with presence in multiple Member States, several platforms (in particular</w:t>
      </w:r>
      <w:r>
        <w:t xml:space="preserve"> </w:t>
      </w:r>
      <w:r>
        <w:t xml:space="preserve">MTFs) operating with a single national license reached significant EU wide market shares in</w:t>
      </w:r>
      <w:r>
        <w:t xml:space="preserve"> </w:t>
      </w:r>
      <w:r>
        <w:t xml:space="preserve">terms of trading volume by hosting trading in non-domestic instruments whose most relevant</w:t>
      </w:r>
      <w:r>
        <w:t xml:space="preserve"> </w:t>
      </w:r>
      <w:r>
        <w:t xml:space="preserve">market in terms of liquidity remains outside the MTF’s place of establishment (typically, in the</w:t>
      </w:r>
    </w:p>
    <w:p>
      <w:pPr>
        <w:pStyle w:val="BodyText"/>
      </w:pPr>
      <w:r>
        <w:t xml:space="preserve">609 For instance, some NCAs adopt a principle-based approach, while others use a risk-based approach. Broadly</w:t>
      </w:r>
      <w:r>
        <w:t xml:space="preserve"> </w:t>
      </w:r>
      <w:r>
        <w:t xml:space="preserve">speaking, a risk-based approach often results in faster authorization processes or a more streamlined approval</w:t>
      </w:r>
      <w:r>
        <w:t xml:space="preserve"> </w:t>
      </w:r>
      <w:r>
        <w:t xml:space="preserve">process for trading venues’ rulebooks and related changes. Conversely, a principle-based approach may be more</w:t>
      </w:r>
      <w:r>
        <w:t xml:space="preserve"> </w:t>
      </w:r>
      <w:r>
        <w:t xml:space="preserve">effective in preventing some risks while being less efficient in terms of timelines.</w:t>
      </w:r>
    </w:p>
    <w:p>
      <w:pPr>
        <w:pStyle w:val="BodyText"/>
      </w:pPr>
      <w:r>
        <w:t xml:space="preserve">372</w:t>
      </w:r>
      <w:r>
        <w:t xml:space="preserve"> </w:t>
      </w:r>
      <w:r>
        <w:t xml:space="preserve">jurisdiction where the issuer of the security is established). Such MTFs operate under a single</w:t>
      </w:r>
      <w:r>
        <w:t xml:space="preserve"> </w:t>
      </w:r>
      <w:r>
        <w:t xml:space="preserve">national license with no involvement of the NCAs supervising the securities’ most relevant</w:t>
      </w:r>
      <w:r>
        <w:t xml:space="preserve"> </w:t>
      </w:r>
      <w:r>
        <w:t xml:space="preserve">trading venue in terms of liquidity (and typically the issuer issuing such securities). This means</w:t>
      </w:r>
      <w:r>
        <w:t xml:space="preserve"> </w:t>
      </w:r>
      <w:r>
        <w:t xml:space="preserve">that the current situation where supervisory powers remain in the hands of NCAs is also</w:t>
      </w:r>
      <w:r>
        <w:t xml:space="preserve"> </w:t>
      </w:r>
      <w:r>
        <w:t xml:space="preserve">suboptimal to monitor risks appropriately.</w:t>
      </w:r>
      <w:r>
        <w:t xml:space="preserve"> </w:t>
      </w:r>
      <w:r>
        <w:t xml:space="preserve">Furthermore, resilient markets are crucially important if the broader policy objective is to</w:t>
      </w:r>
      <w:r>
        <w:t xml:space="preserve"> </w:t>
      </w:r>
      <w:r>
        <w:t xml:space="preserve">increasingly finance growth through capital markets. Centralised supervision could contribute</w:t>
      </w:r>
      <w:r>
        <w:t xml:space="preserve"> </w:t>
      </w:r>
      <w:r>
        <w:t xml:space="preserve">to ensuring a high level of operational resilience for trading venues and high standards of risk</w:t>
      </w:r>
      <w:r>
        <w:t xml:space="preserve"> </w:t>
      </w:r>
      <w:r>
        <w:t xml:space="preserve">controls such that the orderly trading conditions are maintained throughout the EU, even in</w:t>
      </w:r>
      <w:r>
        <w:t xml:space="preserve"> </w:t>
      </w:r>
      <w:r>
        <w:t xml:space="preserve">times of market turmoil that involve large volumes or increased volatility. This might, for</w:t>
      </w:r>
      <w:r>
        <w:t xml:space="preserve"> </w:t>
      </w:r>
      <w:r>
        <w:t xml:space="preserve">example, prevent single markets from having to halt trading in the face of unexpected global</w:t>
      </w:r>
      <w:r>
        <w:t xml:space="preserve"> </w:t>
      </w:r>
      <w:r>
        <w:t xml:space="preserve">events while other European markets manage to remain open or that risk controls to deal with</w:t>
      </w:r>
      <w:r>
        <w:t xml:space="preserve"> </w:t>
      </w:r>
      <w:r>
        <w:t xml:space="preserve">stark price movements are applied differently.</w:t>
      </w:r>
      <w:r>
        <w:t xml:space="preserve"> </w:t>
      </w:r>
      <w:r>
        <w:t xml:space="preserve">In the asset management sector, supervision by NCAs is generally viewed as effective within</w:t>
      </w:r>
      <w:r>
        <w:t xml:space="preserve"> </w:t>
      </w:r>
      <w:r>
        <w:t xml:space="preserve">individual jurisdictions. However, differences in supervisory approaches, rules, and systems</w:t>
      </w:r>
      <w:r>
        <w:t xml:space="preserve"> </w:t>
      </w:r>
      <w:r>
        <w:t xml:space="preserve">across Member States can create challenges for asset managers with cross-border operations.</w:t>
      </w:r>
      <w:r>
        <w:t xml:space="preserve"> </w:t>
      </w:r>
      <w:r>
        <w:t xml:space="preserve">Differing national rules, supervisory approaches and IT systems undermine the effective use</w:t>
      </w:r>
      <w:r>
        <w:t xml:space="preserve"> </w:t>
      </w:r>
      <w:r>
        <w:t xml:space="preserve">of the management and marketing passports enshrined in UCITSD and AIFMD. Asset</w:t>
      </w:r>
      <w:r>
        <w:t xml:space="preserve"> </w:t>
      </w:r>
      <w:r>
        <w:t xml:space="preserve">managers must often undergo multiple regulatory interactions, including divergent notification</w:t>
      </w:r>
      <w:r>
        <w:t xml:space="preserve"> </w:t>
      </w:r>
      <w:r>
        <w:t xml:space="preserve">procedures and requirements for marketing. These divergences increase complexity and</w:t>
      </w:r>
      <w:r>
        <w:t xml:space="preserve"> </w:t>
      </w:r>
      <w:r>
        <w:t xml:space="preserve">generate significant compliance costs, particularly for asset managers operating cross-border.</w:t>
      </w:r>
      <w:r>
        <w:t xml:space="preserve"> </w:t>
      </w:r>
      <w:r>
        <w:t xml:space="preserve">The lack of alignment across the supervisory framework makes it more difficult for firms to</w:t>
      </w:r>
      <w:r>
        <w:t xml:space="preserve"> </w:t>
      </w:r>
      <w:r>
        <w:t xml:space="preserve">navigate regulatory requirements efficiently. In addition, the absence of a consolidated view of</w:t>
      </w:r>
      <w:r>
        <w:t xml:space="preserve"> </w:t>
      </w:r>
      <w:r>
        <w:t xml:space="preserve">asset management groups operating through multiple subsidiaries can limit supervisory</w:t>
      </w:r>
      <w:r>
        <w:t xml:space="preserve"> </w:t>
      </w:r>
      <w:r>
        <w:t xml:space="preserve">effectiveness and make it harder to identify broader risks or ensure consistent oversight across</w:t>
      </w:r>
      <w:r>
        <w:t xml:space="preserve"> </w:t>
      </w:r>
      <w:r>
        <w:t xml:space="preserve">the group. The larger the asset management group, the more critical a consolidated supervisory</w:t>
      </w:r>
      <w:r>
        <w:t xml:space="preserve"> </w:t>
      </w:r>
      <w:r>
        <w:t xml:space="preserve">perspective becomes, requiring enhanced coordination and cooperation among authorities to</w:t>
      </w:r>
      <w:r>
        <w:t xml:space="preserve"> </w:t>
      </w:r>
      <w:r>
        <w:t xml:space="preserve">ensure a comprehensive understanding and consistent supervisory outcomes.</w:t>
      </w:r>
      <w:r>
        <w:br/>
      </w:r>
      <w:r>
        <w:t xml:space="preserve">Currently, cross-border asset management groups work through different mixes of subsidiaries</w:t>
      </w:r>
      <w:r>
        <w:t xml:space="preserve"> </w:t>
      </w:r>
      <w:r>
        <w:t xml:space="preserve">and branches. Each subsidiary is authorised and supervised by the NCA of its home Member</w:t>
      </w:r>
      <w:r>
        <w:t xml:space="preserve"> </w:t>
      </w:r>
      <w:r>
        <w:t xml:space="preserve">State as a free-standing asset manager with no EU-wide structured process of supervisory</w:t>
      </w:r>
      <w:r>
        <w:t xml:space="preserve"> </w:t>
      </w:r>
      <w:r>
        <w:t xml:space="preserve">coordination for cross-border asset management groups, leading to a duplication of functions,</w:t>
      </w:r>
      <w:r>
        <w:t xml:space="preserve"> </w:t>
      </w:r>
      <w:r>
        <w:t xml:space="preserve">such as IT, compliance, or risk management functions, and potentially different supervisory</w:t>
      </w:r>
      <w:r>
        <w:t xml:space="preserve"> </w:t>
      </w:r>
      <w:r>
        <w:t xml:space="preserve">outcomes. This issue is particularly evident in cases where asset managers within the same</w:t>
      </w:r>
      <w:r>
        <w:t xml:space="preserve"> </w:t>
      </w:r>
      <w:r>
        <w:t xml:space="preserve">group share resources (e.g. intra-group delegation). In the public consultation, asset managers</w:t>
      </w:r>
      <w:r>
        <w:t xml:space="preserve"> </w:t>
      </w:r>
      <w:r>
        <w:t xml:space="preserve">provided examples of inconsistent supervisory interpretations, expectations, and processes</w:t>
      </w:r>
      <w:r>
        <w:t xml:space="preserve"> </w:t>
      </w:r>
      <w:r>
        <w:t xml:space="preserve">across Member States. Key supervisory frictions include diverging views on substance and</w:t>
      </w:r>
      <w:r>
        <w:t xml:space="preserve"> </w:t>
      </w:r>
      <w:r>
        <w:t xml:space="preserve">local presence requirements, varying approaches to intra-group delegation, differences in how</w:t>
      </w:r>
      <w:r>
        <w:t xml:space="preserve"> </w:t>
      </w:r>
      <w:r>
        <w:t xml:space="preserve">NCAs assess internal policies, risk frameworks, or compliance arrangements across entities in</w:t>
      </w:r>
      <w:r>
        <w:t xml:space="preserve"> </w:t>
      </w:r>
      <w:r>
        <w:t xml:space="preserve">the same group and limited reliance on group-level assessments.</w:t>
      </w:r>
      <w:r>
        <w:t xml:space="preserve"> </w:t>
      </w:r>
      <w:r>
        <w:t xml:space="preserve">Another key example is the cross-border marketing of investment funds. Host NCAs, where</w:t>
      </w:r>
      <w:r>
        <w:t xml:space="preserve"> </w:t>
      </w:r>
      <w:r>
        <w:t xml:space="preserve">the fund is marketed, review the relevant documentation independently, which can lead to</w:t>
      </w:r>
      <w:r>
        <w:t xml:space="preserve"> </w:t>
      </w:r>
      <w:r>
        <w:t xml:space="preserve">repeated reviews or the imposition of differing standards. For instance, many stakeholders</w:t>
      </w:r>
      <w:r>
        <w:t xml:space="preserve"> </w:t>
      </w:r>
      <w:r>
        <w:t xml:space="preserve">mentioned that NCAs do not coordinate on their requests regarding marketing documents.</w:t>
      </w:r>
      <w:r>
        <w:t xml:space="preserve"> </w:t>
      </w:r>
      <w:r>
        <w:t xml:space="preserve">Therefore, for the same fund, they have to adapt the documents based on NCA requests, which</w:t>
      </w:r>
      <w:r>
        <w:t xml:space="preserve"> </w:t>
      </w:r>
      <w:r>
        <w:t xml:space="preserve">may diverge. For example, certain jurisdictions require a country supplement to the fund</w:t>
      </w:r>
      <w:r>
        <w:t xml:space="preserve"> </w:t>
      </w:r>
      <w:r>
        <w:t xml:space="preserve">prospectus or country-specific disclosures within the prospectus. Moreover, some host NCAs</w:t>
      </w:r>
      <w:r>
        <w:t xml:space="preserve"> </w:t>
      </w:r>
      <w:r>
        <w:t xml:space="preserve">may impose specific formats for investor notices, different from the home NCA format.</w:t>
      </w:r>
    </w:p>
    <w:p>
      <w:pPr>
        <w:pStyle w:val="BodyText"/>
      </w:pPr>
      <w:r>
        <w:t xml:space="preserve">373</w:t>
      </w:r>
      <w:r>
        <w:t xml:space="preserve"> </w:t>
      </w:r>
      <w:r>
        <w:t xml:space="preserve">Likewise, when a risk is identified in one Member State, this information is not systematically</w:t>
      </w:r>
      <w:r>
        <w:t xml:space="preserve"> </w:t>
      </w:r>
      <w:r>
        <w:t xml:space="preserve">shared with others, preventing timely corrective actions across the EU.</w:t>
      </w:r>
      <w:r>
        <w:t xml:space="preserve"> </w:t>
      </w:r>
      <w:r>
        <w:t xml:space="preserve">In addition, host NCAs in the Member States where funds are marketed often impose additional</w:t>
      </w:r>
      <w:r>
        <w:t xml:space="preserve"> </w:t>
      </w:r>
      <w:r>
        <w:t xml:space="preserve">marketing rules. As a result, many Member States apply prescriptive marketing requirements—</w:t>
      </w:r>
      <w:r>
        <w:t xml:space="preserve"> </w:t>
      </w:r>
      <w:r>
        <w:t xml:space="preserve">for example, regarding the length or content of marketing materials. Given their limited insight</w:t>
      </w:r>
      <w:r>
        <w:t xml:space="preserve"> </w:t>
      </w:r>
      <w:r>
        <w:t xml:space="preserve">into the broader group structure, these NCAs often request supplementary information in order</w:t>
      </w:r>
      <w:r>
        <w:t xml:space="preserve"> </w:t>
      </w:r>
      <w:r>
        <w:t xml:space="preserve">to supervise fund marketing within their jurisdiction in accordance with their national</w:t>
      </w:r>
      <w:r>
        <w:t xml:space="preserve"> </w:t>
      </w:r>
      <w:r>
        <w:t xml:space="preserve">frameworks. This leads to a situation where information is asymmetric, supervisory</w:t>
      </w:r>
      <w:r>
        <w:t xml:space="preserve"> </w:t>
      </w:r>
      <w:r>
        <w:t xml:space="preserve">interactions are duplicated, interactions between NCAs are mainly bilateral and ad hoc, and</w:t>
      </w:r>
      <w:r>
        <w:t xml:space="preserve"> </w:t>
      </w:r>
      <w:r>
        <w:t xml:space="preserve">trust is low. From the asset manager’s standpoint, larger structures and operations mean dealing</w:t>
      </w:r>
      <w:r>
        <w:t xml:space="preserve"> </w:t>
      </w:r>
      <w:r>
        <w:t xml:space="preserve">with more NCAs.</w:t>
      </w:r>
      <w:r>
        <w:br/>
      </w:r>
      <w:r>
        <w:t xml:space="preserve">In the case of CASPs, the phenomenon of bringing into a regulated framework a previously</w:t>
      </w:r>
      <w:r>
        <w:t xml:space="preserve"> </w:t>
      </w:r>
      <w:r>
        <w:t xml:space="preserve">unregulated industry, has caused intense competition between NCAs in attracting applications</w:t>
      </w:r>
      <w:r>
        <w:t xml:space="preserve"> </w:t>
      </w:r>
      <w:r>
        <w:t xml:space="preserve">from prospective crypto-asset service providers in their jurisdiction. Some NCAs began</w:t>
      </w:r>
      <w:r>
        <w:t xml:space="preserve"> </w:t>
      </w:r>
      <w:r>
        <w:t xml:space="preserve">accepting applications for a CASP license before the entry into application of the Regulation</w:t>
      </w:r>
      <w:r>
        <w:t xml:space="preserve"> </w:t>
      </w:r>
      <w:r>
        <w:t xml:space="preserve">and assessed unofficially the applications. This practice encouraged forum shopping and</w:t>
      </w:r>
      <w:r>
        <w:t xml:space="preserve"> </w:t>
      </w:r>
      <w:r>
        <w:t xml:space="preserve">provided market participants in these Member States a “first mover” advantage compared to</w:t>
      </w:r>
      <w:r>
        <w:t xml:space="preserve"> </w:t>
      </w:r>
      <w:r>
        <w:t xml:space="preserve">market participants in other Member States where NCAs adopted a more literal interpretation</w:t>
      </w:r>
      <w:r>
        <w:t xml:space="preserve"> </w:t>
      </w:r>
      <w:r>
        <w:t xml:space="preserve">of the rules and waited for the Regulation to start applying before accepting any applications.</w:t>
      </w:r>
      <w:r>
        <w:t xml:space="preserve"> </w:t>
      </w:r>
      <w:r>
        <w:t xml:space="preserve">This practise also partly explains why some Member States have already attracted a large</w:t>
      </w:r>
      <w:r>
        <w:t xml:space="preserve"> </w:t>
      </w:r>
      <w:r>
        <w:t xml:space="preserve">number of applicants and granted a considerable number of CASP authorisations in comparison</w:t>
      </w:r>
      <w:r>
        <w:t xml:space="preserve"> </w:t>
      </w:r>
      <w:r>
        <w:t xml:space="preserve">to other jurisdictions.</w:t>
      </w:r>
      <w:r>
        <w:br/>
      </w:r>
      <w:r>
        <w:t xml:space="preserve">Some competent authorities have reported that it is already challenging to comply with the set</w:t>
      </w:r>
      <w:r>
        <w:t xml:space="preserve"> </w:t>
      </w:r>
      <w:r>
        <w:t xml:space="preserve">deadlines when multiple applications are being processed simultaneously and the quality of</w:t>
      </w:r>
      <w:r>
        <w:t xml:space="preserve"> </w:t>
      </w:r>
      <w:r>
        <w:t xml:space="preserve">many of the initial applications received in general was found to be lacking. CASPs located in</w:t>
      </w:r>
      <w:r>
        <w:t xml:space="preserve"> </w:t>
      </w:r>
      <w:r>
        <w:t xml:space="preserve">jurisdictions with supervisory authorities with a more market driven approach, might have an</w:t>
      </w:r>
      <w:r>
        <w:t xml:space="preserve"> </w:t>
      </w:r>
      <w:r>
        <w:t xml:space="preserve">unfair advantage over those with a strict reading of the rules, potentially leading to regulatory</w:t>
      </w:r>
      <w:r>
        <w:t xml:space="preserve"> </w:t>
      </w:r>
      <w:r>
        <w:t xml:space="preserve">arbitrage. This is already evident in the few months of application of the MiCA Regulation, as</w:t>
      </w:r>
      <w:r>
        <w:t xml:space="preserve"> </w:t>
      </w:r>
      <w:r>
        <w:t xml:space="preserve">the approach of different regulatory authorities to different business models that have presented</w:t>
      </w:r>
      <w:r>
        <w:t xml:space="preserve"> </w:t>
      </w:r>
      <w:r>
        <w:t xml:space="preserve">themselves has not been the same in all situations. Some NCAs are more willing to accept</w:t>
      </w:r>
      <w:r>
        <w:t xml:space="preserve"> </w:t>
      </w:r>
      <w:r>
        <w:t xml:space="preserve">riskier business models (provided there are adequate safeguards) and this may cause friction in</w:t>
      </w:r>
      <w:r>
        <w:t xml:space="preserve"> </w:t>
      </w:r>
      <w:r>
        <w:t xml:space="preserve">cross-border situations with host jurisdictions with a different risk appetite.</w:t>
      </w:r>
      <w:r>
        <w:br/>
      </w:r>
      <w:r>
        <w:t xml:space="preserve">There is also growing concern that the crypto-asset services industry, which is dominated by</w:t>
      </w:r>
      <w:r>
        <w:t xml:space="preserve"> </w:t>
      </w:r>
      <w:r>
        <w:t xml:space="preserve">groups of companies established in third countries, will use the fragmented interpretation of</w:t>
      </w:r>
      <w:r>
        <w:t xml:space="preserve"> </w:t>
      </w:r>
      <w:r>
        <w:t xml:space="preserve">EU rules by NCAs to their benefit.</w:t>
      </w:r>
      <w:r>
        <w:br/>
      </w:r>
      <w:r>
        <w:t xml:space="preserve">In addition to the ongoing authorisation process, under the MiCA Regulation, Member States</w:t>
      </w:r>
      <w:r>
        <w:t xml:space="preserve"> </w:t>
      </w:r>
      <w:r>
        <w:t xml:space="preserve">have the option of implementing ‘transitional measures’ (Article 143 of MiCA) that would</w:t>
      </w:r>
      <w:r>
        <w:t xml:space="preserve"> </w:t>
      </w:r>
      <w:r>
        <w:t xml:space="preserve">allow entities or undertakings already providing crypto-asset services under applicable law in</w:t>
      </w:r>
      <w:r>
        <w:t xml:space="preserve"> </w:t>
      </w:r>
      <w:r>
        <w:t xml:space="preserve">their jurisdictions to continue doing so during the transitional phase of MiCA (i.e., the period</w:t>
      </w:r>
      <w:r>
        <w:t xml:space="preserve"> </w:t>
      </w:r>
      <w:r>
        <w:t xml:space="preserve">of 18-months after full application in December 2024, or a shorter period, depending on the</w:t>
      </w:r>
      <w:r>
        <w:t xml:space="preserve"> </w:t>
      </w:r>
      <w:r>
        <w:t xml:space="preserve">Member State decision). This provision resulted in a multitude of transitional periods610</w:t>
      </w:r>
      <w:r>
        <w:t xml:space="preserve"> </w:t>
      </w:r>
      <w:r>
        <w:t xml:space="preserve">applicable across the EU, ranging from 6 to 18 months -the maximum allowed. This uneven</w:t>
      </w:r>
      <w:r>
        <w:t xml:space="preserve"> </w:t>
      </w:r>
      <w:r>
        <w:t xml:space="preserve">phasing-in has already caused practical problems: in some Member States, undertakings</w:t>
      </w:r>
    </w:p>
    <w:p>
      <w:pPr>
        <w:pStyle w:val="BodyText"/>
      </w:pPr>
      <w:r>
        <w:t xml:space="preserve">610 10 Member States opted for an 18-month transitional period (the maximum default), 8 Member States adopted</w:t>
      </w:r>
      <w:r>
        <w:t xml:space="preserve"> </w:t>
      </w:r>
      <w:r>
        <w:t xml:space="preserve">12 months, 1 Member State opted for 9 months and 6 Member States for 6 months. 2 Member States did not</w:t>
      </w:r>
      <w:r>
        <w:t xml:space="preserve"> </w:t>
      </w:r>
      <w:r>
        <w:t xml:space="preserve">communicate transitional periods.</w:t>
      </w:r>
    </w:p>
    <w:p>
      <w:pPr>
        <w:pStyle w:val="BodyText"/>
      </w:pPr>
      <w:r>
        <w:t xml:space="preserve">374</w:t>
      </w:r>
      <w:r>
        <w:t xml:space="preserve"> </w:t>
      </w:r>
      <w:r>
        <w:t xml:space="preserve">already providing crypto-asset services under applicable law are allowed to operate until mid-</w:t>
      </w:r>
      <w:r>
        <w:t xml:space="preserve"> </w:t>
      </w:r>
      <w:r>
        <w:t xml:space="preserve">2026, while in others transitional rights ended in mid-2025. This complicates cross-border</w:t>
      </w:r>
      <w:r>
        <w:t xml:space="preserve"> </w:t>
      </w:r>
      <w:r>
        <w:t xml:space="preserve">operations and creates confusion for groups trying to passport services consistently across the</w:t>
      </w:r>
      <w:r>
        <w:t xml:space="preserve"> </w:t>
      </w:r>
      <w:r>
        <w:t xml:space="preserve">Union.611 This period is still running for some Member States and is meant to allow for the</w:t>
      </w:r>
      <w:r>
        <w:t xml:space="preserve"> </w:t>
      </w:r>
      <w:r>
        <w:t xml:space="preserve">smooth transition of previously registered entities under the anti-money laundering framework</w:t>
      </w:r>
      <w:r>
        <w:t xml:space="preserve"> </w:t>
      </w:r>
      <w:r>
        <w:t xml:space="preserve">into the comprehensive framework for crypto-assets. This is a temporary situation that will</w:t>
      </w:r>
      <w:r>
        <w:t xml:space="preserve"> </w:t>
      </w:r>
      <w:r>
        <w:t xml:space="preserve">phase out with the gradual ending of the different transitional periods.</w:t>
      </w:r>
      <w:r>
        <w:br/>
      </w:r>
      <w:r>
        <w:t xml:space="preserve">The regulatory framework for this industry is relatively new and market concentration is still</w:t>
      </w:r>
      <w:r>
        <w:t xml:space="preserve"> </w:t>
      </w:r>
      <w:r>
        <w:t xml:space="preserve">too early to determine, however it is already evident that this is a market that will be dominated</w:t>
      </w:r>
      <w:r>
        <w:t xml:space="preserve"> </w:t>
      </w:r>
      <w:r>
        <w:t xml:space="preserve">by cross-border entities. For some crypto-asset services like the operation of a crypto-asset</w:t>
      </w:r>
      <w:r>
        <w:t xml:space="preserve"> </w:t>
      </w:r>
      <w:r>
        <w:t xml:space="preserve">trading platform, there is increased interest to obtain a CASP authorisation by groups with</w:t>
      </w:r>
      <w:r>
        <w:t xml:space="preserve"> </w:t>
      </w:r>
      <w:r>
        <w:t xml:space="preserve">parent companies in third countries, operating various forms of integrated business models and</w:t>
      </w:r>
      <w:r>
        <w:t xml:space="preserve"> </w:t>
      </w:r>
      <w:r>
        <w:t xml:space="preserve">there is a risk of supervisory fragmentation. For example, where a CASP group operates a</w:t>
      </w:r>
      <w:r>
        <w:t xml:space="preserve"> </w:t>
      </w:r>
      <w:r>
        <w:t xml:space="preserve">shared order book across several EU jurisdictions, NCAs have diverged in their interpretation</w:t>
      </w:r>
      <w:r>
        <w:t xml:space="preserve"> </w:t>
      </w:r>
      <w:r>
        <w:t xml:space="preserve">of whether this constitutes a cross-border service. This has led to conflicting supervisory</w:t>
      </w:r>
      <w:r>
        <w:t xml:space="preserve"> </w:t>
      </w:r>
      <w:r>
        <w:t xml:space="preserve">expectations and duplicative oversight. In addition, some NCAs consider staking and lending</w:t>
      </w:r>
      <w:r>
        <w:t xml:space="preserve"> </w:t>
      </w:r>
      <w:r>
        <w:t xml:space="preserve">services as falling clearly within MiCA’s authorisation perimeter, while others treat them as</w:t>
      </w:r>
      <w:r>
        <w:t xml:space="preserve"> </w:t>
      </w:r>
      <w:r>
        <w:t xml:space="preserve">ancillary activities subject only to AML registration. Similarly, divergent approaches have been</w:t>
      </w:r>
      <w:r>
        <w:t xml:space="preserve"> </w:t>
      </w:r>
      <w:r>
        <w:t xml:space="preserve">observed in the assessment of custody arrangements: certain authorities impose strict</w:t>
      </w:r>
      <w:r>
        <w:t xml:space="preserve"> </w:t>
      </w:r>
      <w:r>
        <w:t xml:space="preserve">segregation of client assets, while others accept commingling practices provided there are</w:t>
      </w:r>
      <w:r>
        <w:t xml:space="preserve"> </w:t>
      </w:r>
      <w:r>
        <w:t xml:space="preserve">disclosure safeguards. These inconsistencies result in uneven supervisory intensity and</w:t>
      </w:r>
      <w:r>
        <w:t xml:space="preserve"> </w:t>
      </w:r>
      <w:r>
        <w:t xml:space="preserve">confusion for cross-border groups.</w:t>
      </w:r>
      <w:r>
        <w:br/>
      </w:r>
      <w:r>
        <w:t xml:space="preserve">Currently, apart from building authorisation capacity, the NCAs have not had the time to build</w:t>
      </w:r>
      <w:r>
        <w:t xml:space="preserve"> </w:t>
      </w:r>
      <w:r>
        <w:t xml:space="preserve">capacity for ongoing supervision, i.e. to build-up expertise and dedicate extensive resources to</w:t>
      </w:r>
      <w:r>
        <w:t xml:space="preserve"> </w:t>
      </w:r>
      <w:r>
        <w:t xml:space="preserve">the supervision of these market players. This is particularly evident in ESMA supervisory</w:t>
      </w:r>
      <w:r>
        <w:t xml:space="preserve"> </w:t>
      </w:r>
      <w:r>
        <w:t xml:space="preserve">convergence groups where competent authorities demonstrate a different understanding of the</w:t>
      </w:r>
      <w:r>
        <w:t xml:space="preserve"> </w:t>
      </w:r>
      <w:r>
        <w:t xml:space="preserve">crypto asset sector, the risks it poses and its technical nuances and reality. Given the relatively</w:t>
      </w:r>
      <w:r>
        <w:t xml:space="preserve"> </w:t>
      </w:r>
      <w:r>
        <w:t xml:space="preserve">large number of authorisations already granted, and the applications currently in the pipeline,</w:t>
      </w:r>
      <w:r>
        <w:t xml:space="preserve"> </w:t>
      </w:r>
      <w:r>
        <w:t xml:space="preserve">competent authorities will need resources and skills to supervise a completely new type of</w:t>
      </w:r>
      <w:r>
        <w:t xml:space="preserve"> </w:t>
      </w:r>
      <w:r>
        <w:t xml:space="preserve">industry that does not operate the way financial intermediaries usually do. The capacity to</w:t>
      </w:r>
      <w:r>
        <w:t xml:space="preserve"> </w:t>
      </w:r>
      <w:r>
        <w:t xml:space="preserve">conduct effective supervision of these new market players is therefore paramount and is</w:t>
      </w:r>
      <w:r>
        <w:t xml:space="preserve"> </w:t>
      </w:r>
      <w:r>
        <w:t xml:space="preserve">currently lacking. In addition, the current set-up implies that 27 separate national market abuse</w:t>
      </w:r>
      <w:r>
        <w:t xml:space="preserve"> </w:t>
      </w:r>
      <w:r>
        <w:t xml:space="preserve">teams are monitoring the same crypto-assets traded cross-border, which is inefficient and risks</w:t>
      </w:r>
      <w:r>
        <w:t xml:space="preserve"> </w:t>
      </w:r>
      <w:r>
        <w:t xml:space="preserve">inconsistent enforcement across the Single Market. There are therefore, fewer legacy issues in</w:t>
      </w:r>
      <w:r>
        <w:t xml:space="preserve"> </w:t>
      </w:r>
      <w:r>
        <w:t xml:space="preserve">terms of supervision and crypto-asset service providers are an ideal candidate for centralised</w:t>
      </w:r>
      <w:r>
        <w:t xml:space="preserve"> </w:t>
      </w:r>
      <w:r>
        <w:t xml:space="preserve">supervision under ESMA to ensure uniform rule application, to avoid enforcement</w:t>
      </w:r>
      <w:r>
        <w:t xml:space="preserve"> </w:t>
      </w:r>
      <w:r>
        <w:t xml:space="preserve">asymmetries and to preserve market integrity.</w:t>
      </w:r>
      <w:r>
        <w:t xml:space="preserve"> </w:t>
      </w:r>
      <w:r>
        <w:t xml:space="preserve">In conclusion, supervisory fragmentation results in an uneven playing field as financial entities</w:t>
      </w:r>
      <w:r>
        <w:t xml:space="preserve"> </w:t>
      </w:r>
      <w:r>
        <w:t xml:space="preserve">operating in different Member States face diverging supervisory requirements. The</w:t>
      </w:r>
      <w:r>
        <w:t xml:space="preserve"> </w:t>
      </w:r>
      <w:r>
        <w:t xml:space="preserve">involvement of multiple supervisors also raises the cost of achieving compliance, both at the</w:t>
      </w:r>
    </w:p>
    <w:p>
      <w:pPr>
        <w:pStyle w:val="BodyText"/>
      </w:pPr>
      <w:r>
        <w:t xml:space="preserve">611 For instance, while the Netherlands adopted a six-month transitional window ending on 30 June 2025, France</w:t>
      </w:r>
      <w:r>
        <w:t xml:space="preserve"> </w:t>
      </w:r>
      <w:r>
        <w:t xml:space="preserve">and Malta opted for the full 18‑month period ending on 1 July 2026. This disparity can create brief gaps in</w:t>
      </w:r>
      <w:r>
        <w:t xml:space="preserve"> </w:t>
      </w:r>
      <w:r>
        <w:t xml:space="preserve">compliance: for example, a CASP authorised in France under the previous national law, may continue operating</w:t>
      </w:r>
      <w:r>
        <w:t xml:space="preserve"> </w:t>
      </w:r>
      <w:r>
        <w:t xml:space="preserve">under transitional rights until mid‑2026, but if it seeks to make use of its registration for the provision of virtual-</w:t>
      </w:r>
      <w:r>
        <w:t xml:space="preserve"> </w:t>
      </w:r>
      <w:r>
        <w:t xml:space="preserve">asset services under the previous regime in the Netherlands after June 2025, it could be operating without proper</w:t>
      </w:r>
      <w:r>
        <w:t xml:space="preserve"> </w:t>
      </w:r>
      <w:r>
        <w:t xml:space="preserve">authorisation there—unless it had already obtained a MiCA licence in France (which also grants a passport right).</w:t>
      </w:r>
    </w:p>
    <w:p>
      <w:pPr>
        <w:pStyle w:val="BodyText"/>
      </w:pPr>
      <w:r>
        <w:t xml:space="preserve">375</w:t>
      </w:r>
      <w:r>
        <w:t xml:space="preserve"> </w:t>
      </w:r>
      <w:r>
        <w:t xml:space="preserve">level of the industry and for regulators. Finally, the decentralised system of supervision</w:t>
      </w:r>
      <w:r>
        <w:t xml:space="preserve"> </w:t>
      </w:r>
      <w:r>
        <w:t xml:space="preserve">currently in place limits the ability to detect and manage EU-wide risks.</w:t>
      </w:r>
      <w:r>
        <w:br/>
      </w:r>
      <w:r>
        <w:t xml:space="preserve">3.3.2. Limited tools and powers at EU level to enforce convergence and ensure</w:t>
      </w:r>
      <w:r>
        <w:t xml:space="preserve"> </w:t>
      </w:r>
      <w:r>
        <w:t xml:space="preserve">effective oversight</w:t>
      </w:r>
      <w:r>
        <w:t xml:space="preserve"> </w:t>
      </w:r>
      <w:r>
        <w:t xml:space="preserve">While EU authorities like ESMA provide guidance and non-binding opinions, they currently</w:t>
      </w:r>
      <w:r>
        <w:t xml:space="preserve"> </w:t>
      </w:r>
      <w:r>
        <w:t xml:space="preserve">lack the necessary tools and binding powers to ensure uniform application of rules across the</w:t>
      </w:r>
      <w:r>
        <w:t xml:space="preserve"> </w:t>
      </w:r>
      <w:r>
        <w:t xml:space="preserve">Member States. This limitation severely restricts supervisory convergence, as national</w:t>
      </w:r>
      <w:r>
        <w:t xml:space="preserve"> </w:t>
      </w:r>
      <w:r>
        <w:t xml:space="preserve">authorities remain the final decision-makers, also in areas with systemic cross-border</w:t>
      </w:r>
      <w:r>
        <w:t xml:space="preserve"> </w:t>
      </w:r>
      <w:r>
        <w:t xml:space="preserve">implications. Examples presented below illustrate shortcomings in ESMA’s use of current</w:t>
      </w:r>
      <w:r>
        <w:t xml:space="preserve"> </w:t>
      </w:r>
      <w:r>
        <w:t xml:space="preserve">supervisory convergence tools and limitations inherent to some of these tools.</w:t>
      </w:r>
      <w:r>
        <w:br/>
      </w:r>
      <w:r>
        <w:t xml:space="preserve">CEPS’s Demarigny and Thomadakis outline in their report on EU supervisory integration612</w:t>
      </w:r>
      <w:r>
        <w:t xml:space="preserve"> </w:t>
      </w:r>
      <w:r>
        <w:t xml:space="preserve">that political resistance from Member States has stalled reform, and the current hybrid system</w:t>
      </w:r>
      <w:r>
        <w:t xml:space="preserve"> </w:t>
      </w:r>
      <w:r>
        <w:t xml:space="preserve">of supervision with limited supranational authority has “hampered consistency, weakened</w:t>
      </w:r>
      <w:r>
        <w:t xml:space="preserve"> </w:t>
      </w:r>
      <w:r>
        <w:t xml:space="preserve">enforcement and exposed the EU to regulatory arbitrage and inefficiencies”. Moreover, they</w:t>
      </w:r>
      <w:r>
        <w:t xml:space="preserve"> </w:t>
      </w:r>
      <w:r>
        <w:t xml:space="preserve">have highlighted that this approach is particularly detrimental in areas where an agile, data</w:t>
      </w:r>
      <w:r>
        <w:t xml:space="preserve"> </w:t>
      </w:r>
      <w:r>
        <w:t xml:space="preserve">driven, and forward-looking approach is needed, including in fintech, ESG, and crypto assets.</w:t>
      </w:r>
      <w:r>
        <w:t xml:space="preserve"> </w:t>
      </w:r>
      <w:r>
        <w:t xml:space="preserve">In the case of CCPs, ESMA can only provide non-binding opinions where necessary to</w:t>
      </w:r>
      <w:r>
        <w:t xml:space="preserve"> </w:t>
      </w:r>
      <w:r>
        <w:t xml:space="preserve">promote a consistent and coherent application of a relevant article. As such, ESMA has no</w:t>
      </w:r>
      <w:r>
        <w:t xml:space="preserve"> </w:t>
      </w:r>
      <w:r>
        <w:t xml:space="preserve">binding instrument at its disposal that would ensure similar outcomes of supervisory decisions</w:t>
      </w:r>
      <w:r>
        <w:t xml:space="preserve"> </w:t>
      </w:r>
      <w:r>
        <w:t xml:space="preserve">(except for the validation of the changes to CCPs’ risk models) and therefore cannot ensure a</w:t>
      </w:r>
      <w:r>
        <w:t xml:space="preserve"> </w:t>
      </w:r>
      <w:r>
        <w:t xml:space="preserve">consistent and coherent application of EMIR. There is no ESMA assessment of CCPs’</w:t>
      </w:r>
      <w:r>
        <w:t xml:space="preserve"> </w:t>
      </w:r>
      <w:r>
        <w:t xml:space="preserve">compliance with EMIR or ESMA role in the supervision of EU CCPs, as the input by ESMA</w:t>
      </w:r>
      <w:r>
        <w:t xml:space="preserve"> </w:t>
      </w:r>
      <w:r>
        <w:t xml:space="preserve">is non-binding (except for the validation of the changes to CCPs’ risk models). EU supervision</w:t>
      </w:r>
      <w:r>
        <w:t xml:space="preserve"> </w:t>
      </w:r>
      <w:r>
        <w:t xml:space="preserve">of EU CCPs is vital to ensure the stability, not only of the EU CCPs but also of the EU financial</w:t>
      </w:r>
      <w:r>
        <w:t xml:space="preserve"> </w:t>
      </w:r>
      <w:r>
        <w:t xml:space="preserve">system. Indeed, EU CCPs usually have the same clearing members, and such concentration</w:t>
      </w:r>
      <w:r>
        <w:t xml:space="preserve"> </w:t>
      </w:r>
      <w:r>
        <w:t xml:space="preserve">leads to higher systemic risk in case of default of one of them. This was the approach in EMIR</w:t>
      </w:r>
      <w:r>
        <w:t xml:space="preserve"> </w:t>
      </w:r>
      <w:r>
        <w:t xml:space="preserve">2.2 and EMIR 3, as well as the CCP Recovery and Resolution Regulation613, which all</w:t>
      </w:r>
      <w:r>
        <w:t xml:space="preserve"> </w:t>
      </w:r>
      <w:r>
        <w:t xml:space="preserve">underlined that all EU CCPs were potentially systemically important given the</w:t>
      </w:r>
      <w:r>
        <w:t xml:space="preserve"> </w:t>
      </w:r>
      <w:r>
        <w:t xml:space="preserve">interconnectedness of the EU financial system, and multiple participations of EU clearing</w:t>
      </w:r>
      <w:r>
        <w:t xml:space="preserve"> </w:t>
      </w:r>
      <w:r>
        <w:t xml:space="preserve">members. An example of this was the energy crisis where market participants were active in</w:t>
      </w:r>
      <w:r>
        <w:t xml:space="preserve"> </w:t>
      </w:r>
      <w:r>
        <w:t xml:space="preserve">the same products in multiple CCPs located in different Member States with different risk</w:t>
      </w:r>
      <w:r>
        <w:t xml:space="preserve"> </w:t>
      </w:r>
      <w:r>
        <w:t xml:space="preserve">management rules. Despite limited time since the implementation of EMIR 3, some</w:t>
      </w:r>
      <w:r>
        <w:t xml:space="preserve"> </w:t>
      </w:r>
      <w:r>
        <w:t xml:space="preserve">stakeholders have reported that supervisory practices still diverge from one NCA to another –</w:t>
      </w:r>
      <w:r>
        <w:t xml:space="preserve"> </w:t>
      </w:r>
      <w:r>
        <w:t xml:space="preserve">for instance gold plating additional requirements or application of a pre-filing phase – which</w:t>
      </w:r>
      <w:r>
        <w:t xml:space="preserve"> </w:t>
      </w:r>
      <w:r>
        <w:t xml:space="preserve">would not occur under a single supervision.</w:t>
      </w:r>
      <w:r>
        <w:br/>
      </w:r>
      <w:r>
        <w:t xml:space="preserve">While the CSDR Refit introduced supervisory colleges, these act primarily as information-</w:t>
      </w:r>
      <w:r>
        <w:t xml:space="preserve"> </w:t>
      </w:r>
      <w:r>
        <w:t xml:space="preserve">sharing platforms with limited impact on actual supervisory outcomes. Their role is limited to</w:t>
      </w:r>
      <w:r>
        <w:t xml:space="preserve"> </w:t>
      </w:r>
      <w:r>
        <w:t xml:space="preserve">the issuance of non-binding opinions regarding review and evaluation, outsourcing or</w:t>
      </w:r>
      <w:r>
        <w:t xml:space="preserve"> </w:t>
      </w:r>
      <w:r>
        <w:t xml:space="preserve">extension of activities or potential breaches to the CSDR, pertaining to services offered by a</w:t>
      </w:r>
      <w:r>
        <w:t xml:space="preserve"> </w:t>
      </w:r>
      <w:r>
        <w:t xml:space="preserve">CSD in a host Member States. As a consequence, the limited involvement of numerous</w:t>
      </w:r>
      <w:r>
        <w:t xml:space="preserve"> </w:t>
      </w:r>
      <w:r>
        <w:t xml:space="preserve">authorities in many specific areas of the supervision leads to challenges in supervisory</w:t>
      </w:r>
    </w:p>
    <w:p>
      <w:pPr>
        <w:pStyle w:val="BodyText"/>
      </w:pPr>
      <w:r>
        <w:t xml:space="preserve">612 https://cdn.ceps.eu/wp-content/uploads/2025/06/EU-supervisory-efficiency-Policy-Brief-n-44.pdf.</w:t>
      </w:r>
      <w:r>
        <w:t xml:space="preserve"> </w:t>
      </w:r>
      <w:r>
        <w:t xml:space="preserve">613 Regulation (EU) 2021/23 of the European Parliament and of the Council of 16 December 2020 on a framework</w:t>
      </w:r>
      <w:r>
        <w:t xml:space="preserve"> </w:t>
      </w:r>
      <w:r>
        <w:t xml:space="preserve">for the recovery and resolution of central counterparties and amending Regulations (EU) No 1095/2010, (EU) No</w:t>
      </w:r>
      <w:r>
        <w:t xml:space="preserve"> </w:t>
      </w:r>
      <w:r>
        <w:t xml:space="preserve">648/2012, (EU) No 600/2014, (EU) No 806/2014 and (EU) 2015/2365 and Directives 2002/47/EC, 2004/25/EC,</w:t>
      </w:r>
      <w:r>
        <w:t xml:space="preserve"> </w:t>
      </w:r>
      <w:r>
        <w:t xml:space="preserve">2007/36/EC, 2014/59/EU and (EU) 2017/1132</w:t>
      </w:r>
    </w:p>
    <w:p>
      <w:pPr>
        <w:pStyle w:val="BodyText"/>
      </w:pPr>
      <w:r>
        <w:t xml:space="preserve">376</w:t>
      </w:r>
      <w:r>
        <w:t xml:space="preserve"> </w:t>
      </w:r>
      <w:r>
        <w:t xml:space="preserve">cooperation, particularly regarding consistency and efficiency, which in turn places</w:t>
      </w:r>
      <w:r>
        <w:t xml:space="preserve"> </w:t>
      </w:r>
      <w:r>
        <w:t xml:space="preserve">unnecessary administrative burdens on the entities being supervised. In addition, the</w:t>
      </w:r>
      <w:r>
        <w:t xml:space="preserve"> </w:t>
      </w:r>
      <w:r>
        <w:t xml:space="preserve">introduction of colleges is only foreseen for CSDs that are considered to be of substantive</w:t>
      </w:r>
      <w:r>
        <w:t xml:space="preserve"> </w:t>
      </w:r>
      <w:r>
        <w:t xml:space="preserve">importance in at least two Member States. This means that CSDs, for which colleges have not</w:t>
      </w:r>
      <w:r>
        <w:t xml:space="preserve"> </w:t>
      </w:r>
      <w:r>
        <w:t xml:space="preserve">been set up, continue to be subject to the idiosyncratic interpretation and approach of their</w:t>
      </w:r>
      <w:r>
        <w:t xml:space="preserve"> </w:t>
      </w:r>
      <w:r>
        <w:t xml:space="preserve">NCA(s). The above issues have been highlighted by several respondents to the public</w:t>
      </w:r>
      <w:r>
        <w:t xml:space="preserve"> </w:t>
      </w:r>
      <w:r>
        <w:t xml:space="preserve">consultation, as well as in the previous CSDR Impact Assessment614, and have not been</w:t>
      </w:r>
      <w:r>
        <w:t xml:space="preserve"> </w:t>
      </w:r>
      <w:r>
        <w:t xml:space="preserve">resolved yet.</w:t>
      </w:r>
      <w:r>
        <w:br/>
      </w:r>
      <w:r>
        <w:t xml:space="preserve">The scattered division of supervisory tasks among competent and relevant authorities, as well</w:t>
      </w:r>
      <w:r>
        <w:t xml:space="preserve"> </w:t>
      </w:r>
      <w:r>
        <w:t xml:space="preserve">as colleges of supervisors, leads to an insufficient consideration of cross-border aspects and</w:t>
      </w:r>
      <w:r>
        <w:t xml:space="preserve"> </w:t>
      </w:r>
      <w:r>
        <w:t xml:space="preserve">divergent supervisory outcomes for CSDs that operate cross-border. This was highlighted by</w:t>
      </w:r>
      <w:r>
        <w:t xml:space="preserve"> </w:t>
      </w:r>
      <w:r>
        <w:t xml:space="preserve">several respondents to the public consultation, who noted that the current fragmented</w:t>
      </w:r>
      <w:r>
        <w:t xml:space="preserve"> </w:t>
      </w:r>
      <w:r>
        <w:t xml:space="preserve">supervisory framework is not able to respond promptly to market developments and cited</w:t>
      </w:r>
      <w:r>
        <w:t xml:space="preserve"> </w:t>
      </w:r>
      <w:r>
        <w:t xml:space="preserve">numerous examples of divergences between NCAs in several areas, such as reporting</w:t>
      </w:r>
      <w:r>
        <w:t xml:space="preserve"> </w:t>
      </w:r>
      <w:r>
        <w:t xml:space="preserve">obligations, the assessment of passport notifications, the supervisory assessment of important</w:t>
      </w:r>
      <w:r>
        <w:t xml:space="preserve"> </w:t>
      </w:r>
      <w:r>
        <w:t xml:space="preserve">changes within the CSD, diverging views on governance matters.</w:t>
      </w:r>
      <w:r>
        <w:t xml:space="preserve"> </w:t>
      </w:r>
      <w:r>
        <w:t xml:space="preserve">The involvement of ESMA in the supervision of CSDs is currently limited to resolving</w:t>
      </w:r>
      <w:r>
        <w:t xml:space="preserve"> </w:t>
      </w:r>
      <w:r>
        <w:t xml:space="preserve">disagreements between authorities. ESMA is also neither involved in the authorisation and</w:t>
      </w:r>
      <w:r>
        <w:t xml:space="preserve"> </w:t>
      </w:r>
      <w:r>
        <w:t xml:space="preserve">supervision of links, nor in the passporting of central maintenance and notary services in host</w:t>
      </w:r>
      <w:r>
        <w:t xml:space="preserve"> </w:t>
      </w:r>
      <w:r>
        <w:t xml:space="preserve">Member States. Given the potential increase in cross-border CSD-level activity, a more</w:t>
      </w:r>
      <w:r>
        <w:t xml:space="preserve"> </w:t>
      </w:r>
      <w:r>
        <w:t xml:space="preserve">substantial role for ESMA is required.</w:t>
      </w:r>
      <w:r>
        <w:t xml:space="preserve"> </w:t>
      </w:r>
      <w:r>
        <w:t xml:space="preserve">For trading venues, under the MiFID II framework, supervision is enforced by NCAs and</w:t>
      </w:r>
      <w:r>
        <w:t xml:space="preserve"> </w:t>
      </w:r>
      <w:r>
        <w:t xml:space="preserve">ESMA has no supervisory power. Under MiFIR, ESMA was conferred supervisory powers on</w:t>
      </w:r>
      <w:r>
        <w:t xml:space="preserve"> </w:t>
      </w:r>
      <w:r>
        <w:t xml:space="preserve">Approved Reporting Mechanisms (ARMs), Approved Publication Arrangements (APAs) and</w:t>
      </w:r>
      <w:r>
        <w:t xml:space="preserve"> </w:t>
      </w:r>
      <w:r>
        <w:t xml:space="preserve">Consolidated Tape Providers (CTPs). Furthermore, ESMA is empowered to monitor the market</w:t>
      </w:r>
      <w:r>
        <w:t xml:space="preserve"> </w:t>
      </w:r>
      <w:r>
        <w:t xml:space="preserve">for financial instruments which are marketed, distributed or sold in the Union, and can</w:t>
      </w:r>
      <w:r>
        <w:t xml:space="preserve"> </w:t>
      </w:r>
      <w:r>
        <w:t xml:space="preserve">temporarily prohibit or restrict the marketing, distribution, or sale of certain financial</w:t>
      </w:r>
      <w:r>
        <w:t xml:space="preserve"> </w:t>
      </w:r>
      <w:r>
        <w:t xml:space="preserve">instruments or types of financial activities if they pose a threat to investor protection, orderly</w:t>
      </w:r>
      <w:r>
        <w:t xml:space="preserve"> </w:t>
      </w:r>
      <w:r>
        <w:t xml:space="preserve">functioning and integrity of financial markets, or the stability of the whole or part of the</w:t>
      </w:r>
      <w:r>
        <w:t xml:space="preserve"> </w:t>
      </w:r>
      <w:r>
        <w:t xml:space="preserve">financial system in the EU. However, key areas of MiFIR, such as transparency requirements</w:t>
      </w:r>
      <w:r>
        <w:t xml:space="preserve"> </w:t>
      </w:r>
      <w:r>
        <w:t xml:space="preserve">for equity and non-equity instruments, transmission of data, obligation to maintain recordings</w:t>
      </w:r>
      <w:r>
        <w:t xml:space="preserve"> </w:t>
      </w:r>
      <w:r>
        <w:t xml:space="preserve">and report transactions, remain subject to national supervision. Furthermore, the different</w:t>
      </w:r>
      <w:r>
        <w:t xml:space="preserve"> </w:t>
      </w:r>
      <w:r>
        <w:t xml:space="preserve">implementation by Member States has created a highly diverse supervisory landscape with</w:t>
      </w:r>
      <w:r>
        <w:t xml:space="preserve"> </w:t>
      </w:r>
      <w:r>
        <w:t xml:space="preserve">varying regulatory legal requirements as well as regulatory practices.</w:t>
      </w:r>
      <w:r>
        <w:t xml:space="preserve"> </w:t>
      </w:r>
      <w:r>
        <w:t xml:space="preserve">For example, the recent amendments brought by Regulation (EU) 2024/2809615, as part of the</w:t>
      </w:r>
      <w:r>
        <w:t xml:space="preserve"> </w:t>
      </w:r>
      <w:r>
        <w:t xml:space="preserve">Listing Act, to MAR introduced the possibility for ESMA to set up a collaboration platform,</w:t>
      </w:r>
      <w:r>
        <w:t xml:space="preserve"> </w:t>
      </w:r>
      <w:r>
        <w:t xml:space="preserve">in order to protect market integrity and prevent the risk of cross border market abuse. However,</w:t>
      </w:r>
      <w:r>
        <w:t xml:space="preserve"> </w:t>
      </w:r>
      <w:r>
        <w:t xml:space="preserve">Regulation (EU) 2024/2809 only allows ESMA to set up a collaboration platform at the request</w:t>
      </w:r>
      <w:r>
        <w:t xml:space="preserve"> </w:t>
      </w:r>
      <w:r>
        <w:t xml:space="preserve">of one or more NCAs and limited to the case of serious concerns about market integrity or the</w:t>
      </w:r>
      <w:r>
        <w:t xml:space="preserve"> </w:t>
      </w:r>
      <w:r>
        <w:t xml:space="preserve">orderly functioning of markets. Allowing ESMA to act on its own initiative to set up and</w:t>
      </w:r>
      <w:r>
        <w:t xml:space="preserve"> </w:t>
      </w:r>
      <w:r>
        <w:t xml:space="preserve">coordinate a collaboration platform, with a possibility to coordinate investigations or</w:t>
      </w:r>
    </w:p>
    <w:p>
      <w:pPr>
        <w:pStyle w:val="BodyText"/>
      </w:pPr>
      <w:r>
        <w:t xml:space="preserve">614https://ec.europa.eu/info/law/better-regulation/have-your-say/initiatives/12649-Central-securities-</w:t>
      </w:r>
      <w:r>
        <w:t xml:space="preserve"> </w:t>
      </w:r>
      <w:r>
        <w:t xml:space="preserve">depositories-review-of-EU-rules_en</w:t>
      </w:r>
      <w:r>
        <w:br/>
      </w:r>
      <w:r>
        <w:t xml:space="preserve">615 Regulation (EU) 2024/2809 of the European Parliament and of the Council of 23 October 2024 amending</w:t>
      </w:r>
      <w:r>
        <w:t xml:space="preserve"> </w:t>
      </w:r>
      <w:r>
        <w:t xml:space="preserve">Regulations (EU) 2017/1129, (EU) No 596/2014 and (EU) No 600/2014 to make public capital markets in the</w:t>
      </w:r>
      <w:r>
        <w:t xml:space="preserve"> </w:t>
      </w:r>
      <w:r>
        <w:t xml:space="preserve">Union more attractive for companies and to facilitate access to capital for small and medium-sized enterprises (OJ</w:t>
      </w:r>
      <w:r>
        <w:t xml:space="preserve"> </w:t>
      </w:r>
      <w:r>
        <w:t xml:space="preserve">L, 2024/2809, 14.11.2024, ELI: http://data.europa.eu/eli/reg/2024/2809/oj).</w:t>
      </w:r>
    </w:p>
    <w:p>
      <w:pPr>
        <w:pStyle w:val="BodyText"/>
      </w:pPr>
      <w:r>
        <w:t xml:space="preserve">377</w:t>
      </w:r>
      <w:r>
        <w:t xml:space="preserve"> </w:t>
      </w:r>
      <w:r>
        <w:t xml:space="preserve">inspections with a cross-border effect would have been more effective to protect market</w:t>
      </w:r>
      <w:r>
        <w:t xml:space="preserve"> </w:t>
      </w:r>
      <w:r>
        <w:t xml:space="preserve">integrity and foster cooperation among NCAs. Similarly, a new mechanism to permit the</w:t>
      </w:r>
      <w:r>
        <w:t xml:space="preserve"> </w:t>
      </w:r>
      <w:r>
        <w:t xml:space="preserve">ongoing and timely exchange of order data on shares, bonds or futures is to be set up by NCAs,</w:t>
      </w:r>
      <w:r>
        <w:t xml:space="preserve"> </w:t>
      </w:r>
      <w:r>
        <w:t xml:space="preserve">albeit they can decide to delegate the set up to ESMA. Under the Short Selling Regulation</w:t>
      </w:r>
      <w:r>
        <w:t xml:space="preserve"> </w:t>
      </w:r>
      <w:r>
        <w:t xml:space="preserve">framework, ESMA was conferred intervention powers in exceptional circumstances, notably</w:t>
      </w:r>
      <w:r>
        <w:t xml:space="preserve"> </w:t>
      </w:r>
      <w:r>
        <w:t xml:space="preserve">(i) the power to require the notification to NCAs or public disclosure of net short positions and</w:t>
      </w:r>
      <w:r>
        <w:t xml:space="preserve"> </w:t>
      </w:r>
      <w:r>
        <w:t xml:space="preserve">(ii) the power to prohibit or impose conditions on short sales. However, ESMA can act only if</w:t>
      </w:r>
      <w:r>
        <w:t xml:space="preserve"> </w:t>
      </w:r>
      <w:r>
        <w:t xml:space="preserve">the measures target a threat to the orderly functioning or integrity of financial markets or to</w:t>
      </w:r>
      <w:r>
        <w:t xml:space="preserve"> </w:t>
      </w:r>
      <w:r>
        <w:t xml:space="preserve">financial stability and involve cross-border implications, and if NCAs have not taken adequate</w:t>
      </w:r>
      <w:r>
        <w:t xml:space="preserve"> </w:t>
      </w:r>
      <w:r>
        <w:t xml:space="preserve">action to address the threat. As result, those powers are almost never used (an exception was</w:t>
      </w:r>
      <w:r>
        <w:t xml:space="preserve"> </w:t>
      </w:r>
      <w:r>
        <w:t xml:space="preserve">the COVID-19 crisis, where ESMA used its intervention powers to lower the threshold for the</w:t>
      </w:r>
      <w:r>
        <w:t xml:space="preserve"> </w:t>
      </w:r>
      <w:r>
        <w:t xml:space="preserve">reporting of significant net short positions in shares). In conclusion, ESMA’s role is limited to</w:t>
      </w:r>
      <w:r>
        <w:t xml:space="preserve"> </w:t>
      </w:r>
      <w:r>
        <w:t xml:space="preserve">using soft tools such as common supervisory actions, peer reviews, guidelines or Q&amp;As, or by</w:t>
      </w:r>
      <w:r>
        <w:t xml:space="preserve"> </w:t>
      </w:r>
      <w:r>
        <w:t xml:space="preserve">promoting exchange of information, discussions of supervisory cases, and sharing of best</w:t>
      </w:r>
      <w:r>
        <w:t xml:space="preserve"> </w:t>
      </w:r>
      <w:r>
        <w:t xml:space="preserve">practices in the relevant ESMA standing committees or working groups, to which NCAs</w:t>
      </w:r>
      <w:r>
        <w:t xml:space="preserve"> </w:t>
      </w:r>
      <w:r>
        <w:t xml:space="preserve">participate.</w:t>
      </w:r>
      <w:r>
        <w:t xml:space="preserve"> </w:t>
      </w:r>
      <w:r>
        <w:t xml:space="preserve">A fundamental obstacle to achieving supervisory convergence in the asset management sector</w:t>
      </w:r>
      <w:r>
        <w:t xml:space="preserve"> </w:t>
      </w:r>
      <w:r>
        <w:t xml:space="preserve">lies in the limits of ESMA’s mandate. ESMA does not have direct access to case-specific</w:t>
      </w:r>
      <w:r>
        <w:t xml:space="preserve"> </w:t>
      </w:r>
      <w:r>
        <w:t xml:space="preserve">supervisory information held by NCAs, nor any role in coordinating the day-to-day supervision</w:t>
      </w:r>
      <w:r>
        <w:t xml:space="preserve"> </w:t>
      </w:r>
      <w:r>
        <w:t xml:space="preserve">of asset managers or the marketing of investment funds. As a result, it lacks visibility into how</w:t>
      </w:r>
      <w:r>
        <w:t xml:space="preserve"> </w:t>
      </w:r>
      <w:r>
        <w:t xml:space="preserve">rules are applied in practice across the EU and where the barriers to cross-border activities lie.</w:t>
      </w:r>
      <w:r>
        <w:t xml:space="preserve"> </w:t>
      </w:r>
      <w:r>
        <w:t xml:space="preserve">In addition, when ESMA detects - or is informed through the complaint mechanism - that</w:t>
      </w:r>
      <w:r>
        <w:t xml:space="preserve"> </w:t>
      </w:r>
      <w:r>
        <w:t xml:space="preserve">persistent barriers to cross-border activities exist, it cannot trigger a structured escalation</w:t>
      </w:r>
      <w:r>
        <w:t xml:space="preserve"> </w:t>
      </w:r>
      <w:r>
        <w:t xml:space="preserve">process to resolve the issue. In practice, ESMA cannot take proportionate actions, from</w:t>
      </w:r>
      <w:r>
        <w:t xml:space="preserve"> </w:t>
      </w:r>
      <w:r>
        <w:t xml:space="preserve">advising NCAs, to initiate a mandatory collaborative platform to foster coordinated case</w:t>
      </w:r>
      <w:r>
        <w:t xml:space="preserve"> </w:t>
      </w:r>
      <w:r>
        <w:t xml:space="preserve">resolution, or, as a last resort, resort to binding mediation. Its mediation powers are in fact</w:t>
      </w:r>
      <w:r>
        <w:t xml:space="preserve"> </w:t>
      </w:r>
      <w:r>
        <w:t xml:space="preserve">limited to specific cases under UCITS and AIFMD, and do not extend to CBDR, and can be</w:t>
      </w:r>
      <w:r>
        <w:t xml:space="preserve"> </w:t>
      </w:r>
      <w:r>
        <w:t xml:space="preserve">used only at NCAs requests.</w:t>
      </w:r>
      <w:r>
        <w:br/>
      </w:r>
      <w:r>
        <w:t xml:space="preserve">Existing convergence tools, such as peer reviews or supervisory briefings, have limited impact,</w:t>
      </w:r>
      <w:r>
        <w:t xml:space="preserve"> </w:t>
      </w:r>
      <w:r>
        <w:t xml:space="preserve">as ESMA must rely on ex-post surveys rather than having insight into real supervisory cases.</w:t>
      </w:r>
      <w:r>
        <w:t xml:space="preserve"> </w:t>
      </w:r>
      <w:r>
        <w:t xml:space="preserve">This prevents it from effectively detecting divergences or addressing inconsistent treatment,</w:t>
      </w:r>
      <w:r>
        <w:t xml:space="preserve"> </w:t>
      </w:r>
      <w:r>
        <w:t xml:space="preserve">for example in cross-border fund marketing or intra-group delegation. Moreover, there is no</w:t>
      </w:r>
      <w:r>
        <w:t xml:space="preserve"> </w:t>
      </w:r>
      <w:r>
        <w:t xml:space="preserve">systematic EU-level process for sharing risk-related information between NCAs, further</w:t>
      </w:r>
      <w:r>
        <w:t xml:space="preserve"> </w:t>
      </w:r>
      <w:r>
        <w:t xml:space="preserve">constraining supervisory convergence.</w:t>
      </w:r>
      <w:r>
        <w:t xml:space="preserve"> </w:t>
      </w:r>
      <w:r>
        <w:t xml:space="preserve">To address these shortcomings, ESMA could be granted new coordination powers that are</w:t>
      </w:r>
      <w:r>
        <w:t xml:space="preserve"> </w:t>
      </w:r>
      <w:r>
        <w:t xml:space="preserve">operational in nature and directly linked to the day-to-day supervision of asset managers and</w:t>
      </w:r>
      <w:r>
        <w:t xml:space="preserve"> </w:t>
      </w:r>
      <w:r>
        <w:t xml:space="preserve">the marketing of investment funds. A prerequisite for such operational cooperation is that</w:t>
      </w:r>
      <w:r>
        <w:t xml:space="preserve"> </w:t>
      </w:r>
      <w:r>
        <w:t xml:space="preserve">NCAs apply the same rules in a consistent manner, which requires reducing national discretion</w:t>
      </w:r>
      <w:r>
        <w:t xml:space="preserve"> </w:t>
      </w:r>
      <w:r>
        <w:t xml:space="preserve">in many areas. Only with a common rulebook and harmonised supervisory approaches can</w:t>
      </w:r>
      <w:r>
        <w:t xml:space="preserve"> </w:t>
      </w:r>
      <w:r>
        <w:t xml:space="preserve">ESMA ensure effective coordination, avoid duplicative processes, and promote close</w:t>
      </w:r>
      <w:r>
        <w:t xml:space="preserve"> </w:t>
      </w:r>
      <w:r>
        <w:t xml:space="preserve">cooperation between NCAs when overseeing cross-border groups and marketing activities.</w:t>
      </w:r>
      <w:r>
        <w:t xml:space="preserve"> </w:t>
      </w:r>
      <w:r>
        <w:t xml:space="preserve">Such an operational coordination role would strengthen the functioning of the single market</w:t>
      </w:r>
      <w:r>
        <w:t xml:space="preserve"> </w:t>
      </w:r>
      <w:r>
        <w:t xml:space="preserve">while respecting the role of NCAs as front-line supervisors.</w:t>
      </w:r>
      <w:r>
        <w:br/>
      </w:r>
      <w:r>
        <w:t xml:space="preserve">However, stakeholders in the consultation opposed the idea of a single centralised supervisor,</w:t>
      </w:r>
      <w:r>
        <w:t xml:space="preserve"> </w:t>
      </w:r>
      <w:r>
        <w:t xml:space="preserve">arguing that this would represent a major institutional shift and could add complexity rather</w:t>
      </w:r>
      <w:r>
        <w:t xml:space="preserve"> </w:t>
      </w:r>
      <w:r>
        <w:t xml:space="preserve">than simplifying supervision. They expressed priority to be able to interact with NCAs with</w:t>
      </w:r>
      <w:r>
        <w:t xml:space="preserve"> </w:t>
      </w:r>
      <w:r>
        <w:t xml:space="preserve">knowledge and experience within their jurisdiction and stressed the importance of maintaining</w:t>
      </w:r>
      <w:r>
        <w:t xml:space="preserve"> </w:t>
      </w:r>
      <w:r>
        <w:t xml:space="preserve">close contact with them. According to them, the real issue is not the existence of multiple</w:t>
      </w:r>
    </w:p>
    <w:p>
      <w:pPr>
        <w:pStyle w:val="BodyText"/>
      </w:pPr>
      <w:r>
        <w:t xml:space="preserve">378</w:t>
      </w:r>
      <w:r>
        <w:t xml:space="preserve"> </w:t>
      </w:r>
      <w:r>
        <w:t xml:space="preserve">supervisors but the lack of consistency: NCAs should apply the same supervisory approach and</w:t>
      </w:r>
      <w:r>
        <w:t xml:space="preserve"> </w:t>
      </w:r>
      <w:r>
        <w:t xml:space="preserve">follow the same rules, with ESMA’s role in coordinating NCAs’ supervisory practices ensuring</w:t>
      </w:r>
      <w:r>
        <w:t xml:space="preserve"> </w:t>
      </w:r>
      <w:r>
        <w:t xml:space="preserve">that this is the case in practice.</w:t>
      </w:r>
      <w:r>
        <w:br/>
      </w:r>
      <w:r>
        <w:t xml:space="preserve">In this context, ESMA should be granted the power to take proportionate action vis-à-vis</w:t>
      </w:r>
      <w:r>
        <w:t xml:space="preserve"> </w:t>
      </w:r>
      <w:r>
        <w:t xml:space="preserve">NCAs, included extended binding mediation powers at ESMA’s initiative.</w:t>
      </w:r>
      <w:r>
        <w:t xml:space="preserve"> </w:t>
      </w:r>
      <w:r>
        <w:t xml:space="preserve">In the case of CASPs, ESMA is empowered to maintain a number of registers containing</w:t>
      </w:r>
      <w:r>
        <w:t xml:space="preserve"> </w:t>
      </w:r>
      <w:r>
        <w:t xml:space="preserve">information on the number of authorisations granted by NCAs or on non-compliant entities</w:t>
      </w:r>
      <w:r>
        <w:t xml:space="preserve"> </w:t>
      </w:r>
      <w:r>
        <w:t xml:space="preserve">providing crypto-asset services. It can also monitor the market for crypto-assets other than asset</w:t>
      </w:r>
      <w:r>
        <w:t xml:space="preserve"> </w:t>
      </w:r>
      <w:r>
        <w:t xml:space="preserve">referenced tokens and e-money tokens, which are marketed, distributed or sold in the Union.</w:t>
      </w:r>
      <w:r>
        <w:t xml:space="preserve"> </w:t>
      </w:r>
      <w:r>
        <w:t xml:space="preserve">These registers are mainly providing transparency and information but they are not a tool for</w:t>
      </w:r>
      <w:r>
        <w:t xml:space="preserve"> </w:t>
      </w:r>
      <w:r>
        <w:t xml:space="preserve">convergence. ESMA can also temporarily prohibit or restrict the marketing, distribution, or</w:t>
      </w:r>
      <w:r>
        <w:t xml:space="preserve"> </w:t>
      </w:r>
      <w:r>
        <w:t xml:space="preserve">sale of certain types of crypto-assets, if they pose a threat to investor protection, the orderly</w:t>
      </w:r>
      <w:r>
        <w:t xml:space="preserve"> </w:t>
      </w:r>
      <w:r>
        <w:t xml:space="preserve">functioning and integrity of financial markets, or the stability of the whole or part of the</w:t>
      </w:r>
      <w:r>
        <w:t xml:space="preserve"> </w:t>
      </w:r>
      <w:r>
        <w:t xml:space="preserve">financial system in the EU. Product intervention powers are a temporary measure and can be</w:t>
      </w:r>
      <w:r>
        <w:t xml:space="preserve"> </w:t>
      </w:r>
      <w:r>
        <w:t xml:space="preserve">used only in very specific circumstances.</w:t>
      </w:r>
      <w:r>
        <w:t xml:space="preserve"> </w:t>
      </w:r>
      <w:r>
        <w:t xml:space="preserve">In terms of significant CASPs, i.e. according to MiCA those with more than 15 million active</w:t>
      </w:r>
      <w:r>
        <w:t xml:space="preserve"> </w:t>
      </w:r>
      <w:r>
        <w:t xml:space="preserve">users across the EU, the competent authorities of their home Member States provide an annual</w:t>
      </w:r>
      <w:r>
        <w:t xml:space="preserve"> </w:t>
      </w:r>
      <w:r>
        <w:t xml:space="preserve">update to ESMA on limited supervisory issues, followed by an exchange of views at ESMA’s</w:t>
      </w:r>
      <w:r>
        <w:t xml:space="preserve"> </w:t>
      </w:r>
      <w:r>
        <w:t xml:space="preserve">Board of Supervisors. Where appropriate, ESMA may make use of its, limited, powers to fulfil</w:t>
      </w:r>
      <w:r>
        <w:t xml:space="preserve"> </w:t>
      </w:r>
      <w:r>
        <w:t xml:space="preserve">its coordination role and promote a common supervisory culture but is neither involved in the</w:t>
      </w:r>
      <w:r>
        <w:t xml:space="preserve"> </w:t>
      </w:r>
      <w:r>
        <w:t xml:space="preserve">authorisation and supervision of CASPs, nor the passporting of crypto-asset services to</w:t>
      </w:r>
      <w:r>
        <w:t xml:space="preserve"> </w:t>
      </w:r>
      <w:r>
        <w:t xml:space="preserve">Member States other than the home Member State. ESMA has published supervisory</w:t>
      </w:r>
      <w:r>
        <w:t xml:space="preserve"> </w:t>
      </w:r>
      <w:r>
        <w:t xml:space="preserve">convergence measures to ensure the NCAs adopted similar practices but its supervisory</w:t>
      </w:r>
      <w:r>
        <w:t xml:space="preserve"> </w:t>
      </w:r>
      <w:r>
        <w:t xml:space="preserve">briefing on the procedure for authorisations, which aimed to assist NCAs in the practical</w:t>
      </w:r>
      <w:r>
        <w:t xml:space="preserve"> </w:t>
      </w:r>
      <w:r>
        <w:t xml:space="preserve">application of requirements, so far did not lead to a harmonised approach. Supervisory</w:t>
      </w:r>
      <w:r>
        <w:t xml:space="preserve"> </w:t>
      </w:r>
      <w:r>
        <w:t xml:space="preserve">convergence measures also include forum discussions amongst NCAs on selected applications</w:t>
      </w:r>
      <w:r>
        <w:t xml:space="preserve"> </w:t>
      </w:r>
      <w:r>
        <w:t xml:space="preserve">and best practices but rather than improving the level of harmonisation, they highlight the</w:t>
      </w:r>
      <w:r>
        <w:t xml:space="preserve"> </w:t>
      </w:r>
      <w:r>
        <w:t xml:space="preserve">different approaches of the NCAs and lead to mistrust and home-host tension. Achieving</w:t>
      </w:r>
      <w:r>
        <w:t xml:space="preserve"> </w:t>
      </w:r>
      <w:r>
        <w:t xml:space="preserve">convergent supervisory approaches in a new and versatile area of financial markets like crypto-</w:t>
      </w:r>
      <w:r>
        <w:t xml:space="preserve"> </w:t>
      </w:r>
      <w:r>
        <w:t xml:space="preserve">assets, is proving to be particularly challenging. All these measures, although discussed and</w:t>
      </w:r>
      <w:r>
        <w:t xml:space="preserve"> </w:t>
      </w:r>
      <w:r>
        <w:t xml:space="preserve">decided with the NCAs, are not binding and rarely express the NCAs views in a unanimous</w:t>
      </w:r>
      <w:r>
        <w:t xml:space="preserve"> </w:t>
      </w:r>
      <w:r>
        <w:t xml:space="preserve">way. There is an urgent need for convergence, but current convergence tools fall short.</w:t>
      </w:r>
      <w:r>
        <w:br/>
      </w:r>
      <w:r>
        <w:t xml:space="preserve">In the area of enforcement, based on information gathered by ESMA in 2020, between 2015</w:t>
      </w:r>
      <w:r>
        <w:t xml:space="preserve"> </w:t>
      </w:r>
      <w:r>
        <w:t xml:space="preserve">and 2019 out of the total of 1 474 cross-border financial penalties imposed by NCAs for</w:t>
      </w:r>
      <w:r>
        <w:t xml:space="preserve"> </w:t>
      </w:r>
      <w:r>
        <w:t xml:space="preserve">breaches of EU securities legislation and to be enforced outside their jurisdiction, 335 have not</w:t>
      </w:r>
      <w:r>
        <w:t xml:space="preserve"> </w:t>
      </w:r>
      <w:r>
        <w:t xml:space="preserve">been recovered, to the overall value of approximately EUR 35 million.616 The cause of this</w:t>
      </w:r>
      <w:r>
        <w:t xml:space="preserve"> </w:t>
      </w:r>
      <w:r>
        <w:t xml:space="preserve">failure appears to be the lack of a mechanism for mutual recognition of administrative sanctions</w:t>
      </w:r>
      <w:r>
        <w:t xml:space="preserve"> </w:t>
      </w:r>
      <w:r>
        <w:t xml:space="preserve">decisions allowing the rapid and efficient cross-border enforcement of a fine. This problem</w:t>
      </w:r>
      <w:r>
        <w:t xml:space="preserve"> </w:t>
      </w:r>
      <w:r>
        <w:t xml:space="preserve">illustrates further the inconsistent and weak enforcement framework used by national</w:t>
      </w:r>
      <w:r>
        <w:t xml:space="preserve"> </w:t>
      </w:r>
      <w:r>
        <w:t xml:space="preserve">authorities, especially in cross-border contexts that are most relevant for the single market.</w:t>
      </w:r>
      <w:r>
        <w:br/>
      </w:r>
      <w:r>
        <w:t xml:space="preserve">In short, the challenge lies in ESMA’s limited role and absence of direct supervisory</w:t>
      </w:r>
      <w:r>
        <w:t xml:space="preserve"> </w:t>
      </w:r>
      <w:r>
        <w:t xml:space="preserve">responsibilities - preventing a coherent, EU-wide supervisory approach and perpetuating</w:t>
      </w:r>
      <w:r>
        <w:t xml:space="preserve"> </w:t>
      </w:r>
      <w:r>
        <w:t xml:space="preserve">fragmentation in oversight. Several respondents to the consultation highlight that the EU</w:t>
      </w:r>
    </w:p>
    <w:p>
      <w:pPr>
        <w:pStyle w:val="BodyText"/>
      </w:pPr>
      <w:r>
        <w:t xml:space="preserve">616 Further examples shared by a few ESMA members confirms that the problem persisted beyond the surveyed</w:t>
      </w:r>
      <w:r>
        <w:t xml:space="preserve"> </w:t>
      </w:r>
      <w:r>
        <w:t xml:space="preserve">period: as a way of example, one NCA reported that between 2020 and 2022 the unrecovered financial penalties</w:t>
      </w:r>
      <w:r>
        <w:t xml:space="preserve"> </w:t>
      </w:r>
      <w:r>
        <w:t xml:space="preserve">imposed upon both physical persons and companies amounted to EUR 1 785 000.</w:t>
      </w:r>
    </w:p>
    <w:p>
      <w:pPr>
        <w:pStyle w:val="BodyText"/>
      </w:pPr>
      <w:r>
        <w:t xml:space="preserve">379</w:t>
      </w:r>
      <w:r>
        <w:t xml:space="preserve"> </w:t>
      </w:r>
      <w:r>
        <w:t xml:space="preserve">currently lacks sufficient tools and powers at the central level to enforce supervisory</w:t>
      </w:r>
      <w:r>
        <w:t xml:space="preserve"> </w:t>
      </w:r>
      <w:r>
        <w:t xml:space="preserve">convergence and ensure effective oversight. Replies suggest that more robust decision-making</w:t>
      </w:r>
      <w:r>
        <w:t xml:space="preserve"> </w:t>
      </w:r>
      <w:r>
        <w:t xml:space="preserve">processes, binding convergence tools and expanded EU-level powers for ESMA are necessary</w:t>
      </w:r>
      <w:r>
        <w:t xml:space="preserve"> </w:t>
      </w:r>
      <w:r>
        <w:t xml:space="preserve">to ensure consistent and effective supervision across the Single Market.</w:t>
      </w:r>
      <w:r>
        <w:t xml:space="preserve"> </w:t>
      </w:r>
      <w:r>
        <w:t xml:space="preserve">3.4. OBJECTIVE (WHAT DO WE WANT TO ACHIEVE)</w:t>
      </w:r>
      <w:r>
        <w:br/>
      </w:r>
      <w:r>
        <w:t xml:space="preserve">3.4.1. Improve supervision by reducing divergences and ensuring adequate</w:t>
      </w:r>
      <w:r>
        <w:t xml:space="preserve"> </w:t>
      </w:r>
      <w:r>
        <w:t xml:space="preserve">cross-border supervision</w:t>
      </w:r>
      <w:r>
        <w:br/>
      </w:r>
      <w:r>
        <w:t xml:space="preserve">The overall goal of the European supervisory framework is to promote effective and efficient</w:t>
      </w:r>
      <w:r>
        <w:t xml:space="preserve"> </w:t>
      </w:r>
      <w:r>
        <w:t xml:space="preserve">supervision of the EU financial system, in particular with regard to cross-border activities and</w:t>
      </w:r>
      <w:r>
        <w:t xml:space="preserve"> </w:t>
      </w:r>
      <w:r>
        <w:t xml:space="preserve">entities, which ensures financial stability, appropriate protection of consumers and investors,</w:t>
      </w:r>
      <w:r>
        <w:t xml:space="preserve"> </w:t>
      </w:r>
      <w:r>
        <w:t xml:space="preserve">and the proper functioning of financial markets in the EU. Fragmented supervision and</w:t>
      </w:r>
      <w:r>
        <w:t xml:space="preserve"> </w:t>
      </w:r>
      <w:r>
        <w:t xml:space="preserve">divergent national practices can lead to regulatory inconsistencies, compliance complexity, and</w:t>
      </w:r>
      <w:r>
        <w:t xml:space="preserve"> </w:t>
      </w:r>
      <w:r>
        <w:t xml:space="preserve">barriers to the free movement of financial services within the Single Market. By fostering</w:t>
      </w:r>
      <w:r>
        <w:t xml:space="preserve"> </w:t>
      </w:r>
      <w:r>
        <w:t xml:space="preserve">greater supervisory convergence and cooperation, and by improving oversight of cross-border</w:t>
      </w:r>
      <w:r>
        <w:t xml:space="preserve"> </w:t>
      </w:r>
      <w:r>
        <w:t xml:space="preserve">entities, as well as entities with cross-border interdependencies, including by transferring</w:t>
      </w:r>
      <w:r>
        <w:t xml:space="preserve"> </w:t>
      </w:r>
      <w:r>
        <w:t xml:space="preserve">supervisory powers to ESMA, the EU can reduce duplication of efforts, lower compliance costs</w:t>
      </w:r>
      <w:r>
        <w:t xml:space="preserve"> </w:t>
      </w:r>
      <w:r>
        <w:t xml:space="preserve">for firms, and enhance investor confidence. As a result, this objective not only strengthens the</w:t>
      </w:r>
      <w:r>
        <w:t xml:space="preserve"> </w:t>
      </w:r>
      <w:r>
        <w:t xml:space="preserve">resilience of the financial system but also contributes to deeper market integration, enabling a</w:t>
      </w:r>
      <w:r>
        <w:t xml:space="preserve"> </w:t>
      </w:r>
      <w:r>
        <w:t xml:space="preserve">more competitive, innovative, and inclusive European financial sector. Improving supervision</w:t>
      </w:r>
      <w:r>
        <w:t xml:space="preserve"> </w:t>
      </w:r>
      <w:r>
        <w:t xml:space="preserve">by reducing divergences means strengthening the supervisory capacity by increasing its</w:t>
      </w:r>
      <w:r>
        <w:t xml:space="preserve"> </w:t>
      </w:r>
      <w:r>
        <w:t xml:space="preserve">efficiency and effectiveness to detect, assess, and address emerging risks in a timely and</w:t>
      </w:r>
      <w:r>
        <w:t xml:space="preserve"> </w:t>
      </w:r>
      <w:r>
        <w:t xml:space="preserve">proportionate manner, while reducing unnecessary administrative burdens and overlap. This,</w:t>
      </w:r>
      <w:r>
        <w:t xml:space="preserve"> </w:t>
      </w:r>
      <w:r>
        <w:t xml:space="preserve">in turn, enhances the quality and responsiveness of oversight, particularly in increasingly</w:t>
      </w:r>
      <w:r>
        <w:t xml:space="preserve"> </w:t>
      </w:r>
      <w:r>
        <w:t xml:space="preserve">complex and interconnected financial markets. A more efficient and effective supervisory</w:t>
      </w:r>
      <w:r>
        <w:t xml:space="preserve"> </w:t>
      </w:r>
      <w:r>
        <w:t xml:space="preserve">framework directly supports the broader objective of promoting market integration, by creating</w:t>
      </w:r>
      <w:r>
        <w:t xml:space="preserve"> </w:t>
      </w:r>
      <w:r>
        <w:t xml:space="preserve">trust in the well-functioning of capital markets and by reducing costs for cross-border</w:t>
      </w:r>
      <w:r>
        <w:t xml:space="preserve"> </w:t>
      </w:r>
      <w:r>
        <w:t xml:space="preserve">operations. Removing existing divergences and improving supervision supports simplification</w:t>
      </w:r>
      <w:r>
        <w:t xml:space="preserve"> </w:t>
      </w:r>
      <w:r>
        <w:t xml:space="preserve">by streamlining regulatory processes and reducing administrative burdens and cost for financial</w:t>
      </w:r>
      <w:r>
        <w:t xml:space="preserve"> </w:t>
      </w:r>
      <w:r>
        <w:t xml:space="preserve">institutions. This streamlined approach not only makes compliance easier but also ensures that</w:t>
      </w:r>
      <w:r>
        <w:t xml:space="preserve"> </w:t>
      </w:r>
      <w:r>
        <w:t xml:space="preserve">supervision remains focused on key risks and priorities, thereby enhancing clarity and</w:t>
      </w:r>
      <w:r>
        <w:t xml:space="preserve"> </w:t>
      </w:r>
      <w:r>
        <w:t xml:space="preserve">consistency across the financial sector.</w:t>
      </w:r>
      <w:r>
        <w:br/>
      </w:r>
      <w:r>
        <w:t xml:space="preserve">Replies to the consultation highlight that achieving a more efficient and integrated internal</w:t>
      </w:r>
      <w:r>
        <w:t xml:space="preserve"> </w:t>
      </w:r>
      <w:r>
        <w:t xml:space="preserve">market requires addressing persistent supervisory divergences that increase compliance costs,</w:t>
      </w:r>
      <w:r>
        <w:t xml:space="preserve"> </w:t>
      </w:r>
      <w:r>
        <w:t xml:space="preserve">create legal uncertainty, and hinder cross-border financial activities. Stakeholders emphasise</w:t>
      </w:r>
      <w:r>
        <w:t xml:space="preserve"> </w:t>
      </w:r>
      <w:r>
        <w:t xml:space="preserve">that fragmented supervision, varying interpretations of EU rules, and inconsistent enforcement</w:t>
      </w:r>
      <w:r>
        <w:t xml:space="preserve"> </w:t>
      </w:r>
      <w:r>
        <w:t xml:space="preserve">by NCAs undermine market efficiency and prevent firms and consumers from fully benefiting</w:t>
      </w:r>
      <w:r>
        <w:t xml:space="preserve"> </w:t>
      </w:r>
      <w:r>
        <w:t xml:space="preserve">from the Single Market. Several advocate for expanding ESMA’s direct supervisory powers</w:t>
      </w:r>
      <w:r>
        <w:t xml:space="preserve"> </w:t>
      </w:r>
      <w:r>
        <w:t xml:space="preserve">over systemic and/or cross-border entities to ensure uniform application of rules, reduce</w:t>
      </w:r>
      <w:r>
        <w:t xml:space="preserve"> </w:t>
      </w:r>
      <w:r>
        <w:t xml:space="preserve">regulatory arbitrage, and enhance investor protection. Replies underline that reducing</w:t>
      </w:r>
      <w:r>
        <w:t xml:space="preserve"> </w:t>
      </w:r>
      <w:r>
        <w:t xml:space="preserve">supervisory divergences is key to lowering barriers, reducing costs for cross-border operations,</w:t>
      </w:r>
      <w:r>
        <w:t xml:space="preserve"> </w:t>
      </w:r>
      <w:r>
        <w:t xml:space="preserve">and delivering a more competitive, resilient, and consumer-friendly EU financial market.</w:t>
      </w:r>
      <w:r>
        <w:br/>
      </w:r>
      <w:r>
        <w:t xml:space="preserve">To address these challenges, the EU aims to move towards a more harmonised and coordinated</w:t>
      </w:r>
      <w:r>
        <w:t xml:space="preserve"> </w:t>
      </w:r>
      <w:r>
        <w:t xml:space="preserve">supervisory framework, with ESMA playing a greater and more direct role in supervisory</w:t>
      </w:r>
      <w:r>
        <w:t xml:space="preserve"> </w:t>
      </w:r>
      <w:r>
        <w:t xml:space="preserve">activities, where appropriate, differentiating where necessary to take into account different risk</w:t>
      </w:r>
      <w:r>
        <w:t xml:space="preserve"> </w:t>
      </w:r>
      <w:r>
        <w:t xml:space="preserve">profile and risk propagation. Increased involvement of ESMA will help ensure uniform</w:t>
      </w:r>
      <w:r>
        <w:t xml:space="preserve"> </w:t>
      </w:r>
      <w:r>
        <w:t xml:space="preserve">application of rules, improve the quality and consistency of supervision, and facilitate early</w:t>
      </w:r>
    </w:p>
    <w:p>
      <w:pPr>
        <w:pStyle w:val="BodyText"/>
      </w:pPr>
      <w:r>
        <w:t xml:space="preserve">380</w:t>
      </w:r>
      <w:r>
        <w:t xml:space="preserve"> </w:t>
      </w:r>
      <w:r>
        <w:t xml:space="preserve">identification and mitigation of risks. A more coherent supervisory approach will also enable</w:t>
      </w:r>
      <w:r>
        <w:t xml:space="preserve"> </w:t>
      </w:r>
      <w:r>
        <w:t xml:space="preserve">better resource allocation, reduce inefficiencies, and ensure that oversight remains</w:t>
      </w:r>
      <w:r>
        <w:t xml:space="preserve"> </w:t>
      </w:r>
      <w:r>
        <w:t xml:space="preserve">proportionate to the risks involved.</w:t>
      </w:r>
      <w:r>
        <w:br/>
      </w:r>
      <w:r>
        <w:t xml:space="preserve">4. POLICY OPTIONS AND ASSESSMENT</w:t>
      </w:r>
      <w:r>
        <w:br/>
      </w:r>
      <w:r>
        <w:t xml:space="preserve">1.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2.</w:t>
      </w:r>
      <w:r>
        <w:t xml:space="preserve"> </w:t>
      </w:r>
      <w:r>
        <w:t xml:space="preserve">Option 1 -</w:t>
      </w:r>
      <w:r>
        <w:t xml:space="preserve"> </w:t>
      </w:r>
      <w:r>
        <w:t xml:space="preserve">Status quo</w:t>
      </w:r>
      <w:r>
        <w:t xml:space="preserve"> </w:t>
      </w:r>
      <w:r>
        <w:t xml:space="preserve">3.</w:t>
      </w:r>
      <w:r>
        <w:t xml:space="preserve"> </w:t>
      </w:r>
      <w:r>
        <w:t xml:space="preserve">Option 2 – Improved</w:t>
      </w:r>
      <w:r>
        <w:t xml:space="preserve"> </w:t>
      </w:r>
      <w:r>
        <w:t xml:space="preserve">supervisory convergence and an</w:t>
      </w:r>
      <w:r>
        <w:t xml:space="preserve"> </w:t>
      </w:r>
      <w:r>
        <w:t xml:space="preserve">enhanced role for ESMA in</w:t>
      </w:r>
      <w:r>
        <w:t xml:space="preserve"> </w:t>
      </w:r>
      <w:r>
        <w:t xml:space="preserve">supervision</w:t>
      </w:r>
      <w:r>
        <w:t xml:space="preserve"> </w:t>
      </w:r>
      <w:r>
        <w:t xml:space="preserve">4.</w:t>
      </w:r>
      <w:r>
        <w:t xml:space="preserve"> </w:t>
      </w:r>
      <w:r>
        <w:t xml:space="preserve">Option 3 -</w:t>
      </w:r>
      <w:r>
        <w:t xml:space="preserve"> </w:t>
      </w:r>
      <w:r>
        <w:t xml:space="preserve">ESMA single</w:t>
      </w:r>
      <w:r>
        <w:t xml:space="preserve"> </w:t>
      </w:r>
      <w:r>
        <w:t xml:space="preserve">supervisor for all EU</w:t>
      </w:r>
      <w:r>
        <w:t xml:space="preserve"> </w:t>
      </w:r>
      <w:r>
        <w:t xml:space="preserve">trading venues, post</w:t>
      </w:r>
      <w:r>
        <w:t xml:space="preserve"> </w:t>
      </w:r>
      <w:r>
        <w:t xml:space="preserve">trading, asset</w:t>
      </w:r>
      <w:r>
        <w:t xml:space="preserve"> </w:t>
      </w:r>
      <w:r>
        <w:t xml:space="preserve">managers, and CASPs</w:t>
      </w:r>
      <w:r>
        <w:t xml:space="preserve"> </w:t>
      </w:r>
      <w:r>
        <w:t xml:space="preserve">1. Trading</w:t>
      </w:r>
      <w:r>
        <w:t xml:space="preserve"> </w:t>
      </w:r>
      <w:r>
        <w:t xml:space="preserve">sector</w:t>
      </w:r>
      <w:r>
        <w:br/>
      </w:r>
      <w:r>
        <w:t xml:space="preserve">5.</w:t>
      </w:r>
      <w:r>
        <w:t xml:space="preserve"> </w:t>
      </w:r>
      <w:r>
        <w:t xml:space="preserve">The baseline</w:t>
      </w:r>
      <w:r>
        <w:t xml:space="preserve"> </w:t>
      </w:r>
      <w:r>
        <w:t xml:space="preserve">scenario – no changes</w:t>
      </w:r>
      <w:r>
        <w:t xml:space="preserve"> </w:t>
      </w:r>
      <w:r>
        <w:t xml:space="preserve">in the current powers</w:t>
      </w:r>
      <w:r>
        <w:t xml:space="preserve"> </w:t>
      </w:r>
      <w:r>
        <w:t xml:space="preserve">of ESMA</w:t>
      </w:r>
      <w:r>
        <w:t xml:space="preserve"> </w:t>
      </w:r>
      <w:r>
        <w:t xml:space="preserve">6.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ESMA would directly</w:t>
      </w:r>
      <w:r>
        <w:t xml:space="preserve"> </w:t>
      </w:r>
      <w:r>
        <w:t xml:space="preserve">supervise the most significant</w:t>
      </w:r>
      <w:r>
        <w:t xml:space="preserve"> </w:t>
      </w:r>
      <w:r>
        <w:t xml:space="preserve">trading venues in terms of size</w:t>
      </w:r>
      <w:r>
        <w:t xml:space="preserve"> </w:t>
      </w:r>
      <w:r>
        <w:t xml:space="preserve">and cross-border dimension</w:t>
      </w:r>
      <w:r>
        <w:t xml:space="preserve"> </w:t>
      </w:r>
      <w:r>
        <w:t xml:space="preserve">that are currently under</w:t>
      </w:r>
      <w:r>
        <w:t xml:space="preserve"> </w:t>
      </w:r>
      <w:r>
        <w:t xml:space="preserve">national supervision</w:t>
      </w:r>
      <w:r>
        <w:t xml:space="preserve"> </w:t>
      </w:r>
      <w:r>
        <w:t xml:space="preserve">•</w:t>
      </w:r>
      <w:r>
        <w:t xml:space="preserve"> </w:t>
      </w:r>
      <w:r>
        <w:t xml:space="preserve">Making greater use of ESMA’s</w:t>
      </w:r>
      <w:r>
        <w:t xml:space="preserve"> </w:t>
      </w:r>
      <w:r>
        <w:t xml:space="preserve">supervisory convergence tools</w:t>
      </w:r>
      <w:r>
        <w:t xml:space="preserve"> </w:t>
      </w:r>
      <w:r>
        <w:t xml:space="preserve">across all trading venues</w:t>
      </w:r>
      <w:r>
        <w:t xml:space="preserve"> </w:t>
      </w:r>
      <w:r>
        <w:t xml:space="preserve">(regardless of their profile)</w:t>
      </w:r>
      <w:r>
        <w:t xml:space="preserve"> </w:t>
      </w:r>
      <w:r>
        <w:t xml:space="preserve">7.</w:t>
      </w:r>
      <w:r>
        <w:t xml:space="preserve"> </w:t>
      </w:r>
      <w:r>
        <w:t xml:space="preserve">Centralised</w:t>
      </w:r>
      <w:r>
        <w:t xml:space="preserve"> </w:t>
      </w:r>
      <w:r>
        <w:t xml:space="preserve">supervision at Union</w:t>
      </w:r>
      <w:r>
        <w:t xml:space="preserve"> </w:t>
      </w:r>
      <w:r>
        <w:t xml:space="preserve">level of all EU trading</w:t>
      </w:r>
      <w:r>
        <w:t xml:space="preserve"> </w:t>
      </w:r>
      <w:r>
        <w:t xml:space="preserve">venues</w:t>
      </w:r>
      <w:r>
        <w:t xml:space="preserve"> </w:t>
      </w:r>
      <w:r>
        <w:t xml:space="preserve">8.</w:t>
      </w:r>
    </w:p>
    <w:p>
      <w:pPr>
        <w:pStyle w:val="Compact"/>
        <w:numPr>
          <w:ilvl w:val="0"/>
          <w:numId w:val="1038"/>
        </w:numPr>
      </w:pPr>
      <w:r>
        <w:t xml:space="preserve">Post trade</w:t>
      </w:r>
      <w:r>
        <w:t xml:space="preserve"> </w:t>
      </w:r>
      <w:r>
        <w:t xml:space="preserve">sector</w:t>
      </w:r>
    </w:p>
    <w:p>
      <w:pPr>
        <w:pStyle w:val="Compact"/>
        <w:numPr>
          <w:ilvl w:val="0"/>
          <w:numId w:val="1038"/>
        </w:numPr>
      </w:pPr>
      <w:r>
        <w:t xml:space="preserve">The baseline</w:t>
      </w:r>
      <w:r>
        <w:t xml:space="preserve"> </w:t>
      </w:r>
      <w:r>
        <w:t xml:space="preserve">scenario – no changes</w:t>
      </w:r>
      <w:r>
        <w:t xml:space="preserve"> </w:t>
      </w:r>
      <w:r>
        <w:t xml:space="preserve">in the current powers</w:t>
      </w:r>
      <w:r>
        <w:t xml:space="preserve"> </w:t>
      </w:r>
      <w:r>
        <w:t xml:space="preserve">of ESMA</w:t>
      </w:r>
    </w:p>
    <w:p>
      <w:pPr>
        <w:pStyle w:val="FirstParagraph"/>
      </w:pPr>
      <w:r>
        <w:t xml:space="preserve">•</w:t>
      </w:r>
      <w:r>
        <w:t xml:space="preserve"> </w:t>
      </w:r>
      <w:r>
        <w:t xml:space="preserve">ESMA would directly</w:t>
      </w:r>
      <w:r>
        <w:t xml:space="preserve"> </w:t>
      </w:r>
      <w:r>
        <w:t xml:space="preserve">supervise the most significant</w:t>
      </w:r>
      <w:r>
        <w:t xml:space="preserve"> </w:t>
      </w:r>
      <w:r>
        <w:t xml:space="preserve">cross-border CSDs and most</w:t>
      </w:r>
      <w:r>
        <w:t xml:space="preserve"> </w:t>
      </w:r>
      <w:r>
        <w:t xml:space="preserve">significant cross-border FMI</w:t>
      </w:r>
      <w:r>
        <w:br/>
      </w:r>
      <w:r>
        <w:t xml:space="preserve">groups and the largest CCPs</w:t>
      </w:r>
      <w:r>
        <w:t xml:space="preserve"> </w:t>
      </w:r>
      <w:r>
        <w:t xml:space="preserve">that are currently under</w:t>
      </w:r>
      <w:r>
        <w:t xml:space="preserve"> </w:t>
      </w:r>
      <w:r>
        <w:t xml:space="preserve">national supervision</w:t>
      </w:r>
      <w:r>
        <w:t xml:space="preserve"> </w:t>
      </w:r>
      <w:r>
        <w:t xml:space="preserve">•</w:t>
      </w:r>
      <w:r>
        <w:t xml:space="preserve"> </w:t>
      </w:r>
      <w:r>
        <w:t xml:space="preserve">Making greater use of</w:t>
      </w:r>
      <w:r>
        <w:t xml:space="preserve"> </w:t>
      </w:r>
      <w:r>
        <w:t xml:space="preserve">supervisory convergence tools</w:t>
      </w:r>
      <w:r>
        <w:t xml:space="preserve"> </w:t>
      </w:r>
      <w:r>
        <w:t xml:space="preserve">across all the CSDs and CCPs</w:t>
      </w:r>
      <w:r>
        <w:t xml:space="preserve"> </w:t>
      </w:r>
      <w:r>
        <w:t xml:space="preserve">(regardless of their profile)</w:t>
      </w:r>
      <w:r>
        <w:t xml:space="preserve"> </w:t>
      </w:r>
      <w:r>
        <w:t xml:space="preserve">11.</w:t>
      </w:r>
      <w:r>
        <w:t xml:space="preserve"> </w:t>
      </w:r>
      <w:r>
        <w:t xml:space="preserve">Centralised</w:t>
      </w:r>
      <w:r>
        <w:t xml:space="preserve"> </w:t>
      </w:r>
      <w:r>
        <w:t xml:space="preserve">supervision at Union</w:t>
      </w:r>
      <w:r>
        <w:t xml:space="preserve"> </w:t>
      </w:r>
      <w:r>
        <w:t xml:space="preserve">level of all EU CSDs and</w:t>
      </w:r>
      <w:r>
        <w:t xml:space="preserve"> </w:t>
      </w:r>
      <w:r>
        <w:t xml:space="preserve">CCPs</w:t>
      </w:r>
      <w:r>
        <w:t xml:space="preserve"> </w:t>
      </w:r>
      <w:r>
        <w:t xml:space="preserve">12.</w:t>
      </w:r>
    </w:p>
    <w:p>
      <w:pPr>
        <w:pStyle w:val="Compact"/>
        <w:numPr>
          <w:ilvl w:val="0"/>
          <w:numId w:val="1039"/>
        </w:numPr>
      </w:pPr>
      <w:r>
        <w:t xml:space="preserve">Asset</w:t>
      </w:r>
      <w:r>
        <w:t xml:space="preserve"> </w:t>
      </w:r>
      <w:r>
        <w:t xml:space="preserve">management</w:t>
      </w:r>
      <w:r>
        <w:t xml:space="preserve"> </w:t>
      </w:r>
      <w:r>
        <w:t xml:space="preserve">sector</w:t>
      </w:r>
    </w:p>
    <w:p>
      <w:pPr>
        <w:pStyle w:val="Compact"/>
        <w:numPr>
          <w:ilvl w:val="0"/>
          <w:numId w:val="1039"/>
        </w:numPr>
      </w:pPr>
      <w:r>
        <w:t xml:space="preserve">The baseline</w:t>
      </w:r>
      <w:r>
        <w:t xml:space="preserve"> </w:t>
      </w:r>
      <w:r>
        <w:t xml:space="preserve">scenario – no changes</w:t>
      </w:r>
      <w:r>
        <w:t xml:space="preserve"> </w:t>
      </w:r>
      <w:r>
        <w:t xml:space="preserve">in the current powers</w:t>
      </w:r>
      <w:r>
        <w:t xml:space="preserve"> </w:t>
      </w:r>
      <w:r>
        <w:t xml:space="preserve">of ESMA</w:t>
      </w:r>
      <w:r>
        <w:t xml:space="preserve"> </w:t>
      </w:r>
      <w:r>
        <w:t xml:space="preserve">•</w:t>
      </w:r>
      <w:r>
        <w:t xml:space="preserve"> </w:t>
      </w:r>
      <w:r>
        <w:t xml:space="preserve">ESMA would have enhanced</w:t>
      </w:r>
      <w:r>
        <w:t xml:space="preserve"> </w:t>
      </w:r>
      <w:r>
        <w:t xml:space="preserve">powers to ensure supervisory</w:t>
      </w:r>
      <w:r>
        <w:t xml:space="preserve"> </w:t>
      </w:r>
      <w:r>
        <w:t xml:space="preserve">convergence and a coordinated</w:t>
      </w:r>
      <w:r>
        <w:t xml:space="preserve"> </w:t>
      </w:r>
      <w:r>
        <w:t xml:space="preserve">approach to the oversight of</w:t>
      </w:r>
      <w:r>
        <w:t xml:space="preserve"> </w:t>
      </w:r>
      <w:r>
        <w:t xml:space="preserve">asset managers within large</w:t>
      </w:r>
      <w:r>
        <w:t xml:space="preserve"> </w:t>
      </w:r>
      <w:r>
        <w:t xml:space="preserve">asset management groups</w:t>
      </w:r>
      <w:r>
        <w:t xml:space="preserve"> </w:t>
      </w:r>
      <w:r>
        <w:t xml:space="preserve">•</w:t>
      </w:r>
      <w:r>
        <w:t xml:space="preserve"> </w:t>
      </w:r>
      <w:r>
        <w:t xml:space="preserve">ESMA would coordinate</w:t>
      </w:r>
      <w:r>
        <w:t xml:space="preserve"> </w:t>
      </w:r>
      <w:r>
        <w:t xml:space="preserve">cross-border fund provision by</w:t>
      </w:r>
      <w:r>
        <w:t xml:space="preserve"> </w:t>
      </w:r>
      <w:r>
        <w:t xml:space="preserve">receiving notifications,</w:t>
      </w:r>
      <w:r>
        <w:t xml:space="preserve"> </w:t>
      </w:r>
      <w:r>
        <w:t xml:space="preserve">resolving NCA divergences,</w:t>
      </w:r>
      <w:r>
        <w:t xml:space="preserve"> </w:t>
      </w:r>
      <w:r>
        <w:t xml:space="preserve">notably in collaboration</w:t>
      </w:r>
      <w:r>
        <w:t xml:space="preserve"> </w:t>
      </w:r>
      <w:r>
        <w:t xml:space="preserve">platforms.</w:t>
      </w:r>
      <w:r>
        <w:br/>
      </w:r>
      <w:r>
        <w:t xml:space="preserve">•</w:t>
      </w:r>
      <w:r>
        <w:t xml:space="preserve"> </w:t>
      </w:r>
      <w:r>
        <w:t xml:space="preserve">Making greater use of</w:t>
      </w:r>
      <w:r>
        <w:t xml:space="preserve"> </w:t>
      </w:r>
      <w:r>
        <w:t xml:space="preserve">supervisory convergence tools</w:t>
      </w:r>
      <w:r>
        <w:t xml:space="preserve"> </w:t>
      </w:r>
      <w:r>
        <w:t xml:space="preserve">across all the asset managers</w:t>
      </w:r>
      <w:r>
        <w:t xml:space="preserve"> </w:t>
      </w:r>
      <w:r>
        <w:t xml:space="preserve">(regardless of their profile)</w:t>
      </w:r>
    </w:p>
    <w:p>
      <w:pPr>
        <w:pStyle w:val="Compact"/>
        <w:numPr>
          <w:ilvl w:val="0"/>
          <w:numId w:val="1039"/>
        </w:numPr>
      </w:pPr>
      <w:r>
        <w:t xml:space="preserve">Centralised</w:t>
      </w:r>
      <w:r>
        <w:t xml:space="preserve"> </w:t>
      </w:r>
      <w:r>
        <w:t xml:space="preserve">supervision at Union</w:t>
      </w:r>
      <w:r>
        <w:t xml:space="preserve"> </w:t>
      </w:r>
      <w:r>
        <w:t xml:space="preserve">level of all the EU asset</w:t>
      </w:r>
      <w:r>
        <w:t xml:space="preserve"> </w:t>
      </w:r>
      <w:r>
        <w:t xml:space="preserve">managers</w:t>
      </w:r>
    </w:p>
    <w:p>
      <w:pPr>
        <w:pStyle w:val="Compact"/>
        <w:numPr>
          <w:ilvl w:val="0"/>
          <w:numId w:val="1039"/>
        </w:numPr>
      </w:pPr>
      <w:r>
        <w:t xml:space="preserve">ESMA would</w:t>
      </w:r>
      <w:r>
        <w:t xml:space="preserve"> </w:t>
      </w:r>
      <w:r>
        <w:t xml:space="preserve">ensure the effective</w:t>
      </w:r>
      <w:r>
        <w:t xml:space="preserve"> </w:t>
      </w:r>
      <w:r>
        <w:t xml:space="preserve">functioning of the cross-</w:t>
      </w:r>
      <w:r>
        <w:t xml:space="preserve"> </w:t>
      </w:r>
      <w:r>
        <w:t xml:space="preserve">border marketing of</w:t>
      </w:r>
      <w:r>
        <w:t xml:space="preserve"> </w:t>
      </w:r>
      <w:r>
        <w:t xml:space="preserve">investment funds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CASP sector</w:t>
      </w:r>
    </w:p>
    <w:p>
      <w:pPr>
        <w:pStyle w:val="Compact"/>
        <w:numPr>
          <w:ilvl w:val="0"/>
          <w:numId w:val="1039"/>
        </w:numPr>
      </w:pPr>
      <w:r>
        <w:t xml:space="preserve">The baseline</w:t>
      </w:r>
      <w:r>
        <w:t xml:space="preserve"> </w:t>
      </w:r>
      <w:r>
        <w:t xml:space="preserve">scenario – no changes</w:t>
      </w:r>
      <w:r>
        <w:t xml:space="preserve"> </w:t>
      </w:r>
      <w:r>
        <w:t xml:space="preserve">in the current powers</w:t>
      </w:r>
      <w:r>
        <w:t xml:space="preserve"> </w:t>
      </w:r>
      <w:r>
        <w:t xml:space="preserve">of ESMA</w:t>
      </w:r>
      <w:r>
        <w:t xml:space="preserve"> </w:t>
      </w:r>
      <w:r>
        <w:t xml:space="preserve">•</w:t>
      </w:r>
      <w:r>
        <w:t xml:space="preserve"> </w:t>
      </w:r>
      <w:r>
        <w:t xml:space="preserve">Centralised supervision at</w:t>
      </w:r>
      <w:r>
        <w:t xml:space="preserve"> </w:t>
      </w:r>
      <w:r>
        <w:t xml:space="preserve">Union level of all EU CASPs</w:t>
      </w:r>
    </w:p>
    <w:p>
      <w:pPr>
        <w:pStyle w:val="Compact"/>
        <w:numPr>
          <w:ilvl w:val="0"/>
          <w:numId w:val="1039"/>
        </w:numPr>
      </w:pPr>
      <w:r>
        <w:t xml:space="preserve">Centralised</w:t>
      </w:r>
      <w:r>
        <w:t xml:space="preserve"> </w:t>
      </w:r>
      <w:r>
        <w:t xml:space="preserve">supervision at Union</w:t>
      </w:r>
      <w:r>
        <w:t xml:space="preserve"> </w:t>
      </w:r>
      <w:r>
        <w:t xml:space="preserve">level of all the EU</w:t>
      </w:r>
      <w:r>
        <w:t xml:space="preserve"> </w:t>
      </w:r>
      <w:r>
        <w:t xml:space="preserve">CASPs</w:t>
      </w:r>
    </w:p>
    <w:p>
      <w:pPr>
        <w:pStyle w:val="FirstParagraph"/>
      </w:pPr>
      <w:r>
        <w:t xml:space="preserve">381</w:t>
      </w:r>
    </w:p>
    <w:p>
      <w:pPr>
        <w:pStyle w:val="BodyText"/>
      </w:pPr>
      <w:r>
        <w:t xml:space="preserve">4.1. OPTION 1 – NO POLICY ACTION</w:t>
      </w:r>
      <w:r>
        <w:br/>
      </w:r>
      <w:r>
        <w:t xml:space="preserve">Current powers in relation to regulatory and supervisory convergence tasks remain unchanged,</w:t>
      </w:r>
      <w:r>
        <w:t xml:space="preserve"> </w:t>
      </w:r>
      <w:r>
        <w:t xml:space="preserve">as well as ESMA’s direct supervisory responsibilities (baseline scenario).</w:t>
      </w:r>
      <w:r>
        <w:br/>
      </w:r>
      <w:r>
        <w:t xml:space="preserve">Under the baseline scenario of no policy action, the current fragmented and nationally driven</w:t>
      </w:r>
      <w:r>
        <w:t xml:space="preserve"> </w:t>
      </w:r>
      <w:r>
        <w:t xml:space="preserve">supervisory framework across all key financial sectors - CCPs, CSDs, trading venues, asset</w:t>
      </w:r>
      <w:r>
        <w:t xml:space="preserve"> </w:t>
      </w:r>
      <w:r>
        <w:t xml:space="preserve">managers, and CASPs - would persist. Supervision would continue to be conducted primarily</w:t>
      </w:r>
      <w:r>
        <w:t xml:space="preserve"> </w:t>
      </w:r>
      <w:r>
        <w:t xml:space="preserve">by NCAs, with limited and non-binding coordination roles for ESMA. As a result, regulatory</w:t>
      </w:r>
      <w:r>
        <w:t xml:space="preserve"> </w:t>
      </w:r>
      <w:r>
        <w:t xml:space="preserve">and supervisory convergence across the EU would remain slow and uneven, with Member</w:t>
      </w:r>
      <w:r>
        <w:t xml:space="preserve"> </w:t>
      </w:r>
      <w:r>
        <w:t xml:space="preserve">States applying EU rules differently, due to divergent supervisory practices, resources, and</w:t>
      </w:r>
      <w:r>
        <w:t xml:space="preserve"> </w:t>
      </w:r>
      <w:r>
        <w:t xml:space="preserve">interpretations. This fragmentation would perpetuate an uneven playing field, inefficiencies,</w:t>
      </w:r>
      <w:r>
        <w:t xml:space="preserve"> </w:t>
      </w:r>
      <w:r>
        <w:t xml:space="preserve">and increased compliance burdens - especially for cross-border groups - which face duplicative</w:t>
      </w:r>
      <w:r>
        <w:t xml:space="preserve"> </w:t>
      </w:r>
      <w:r>
        <w:t xml:space="preserve">supervision, inconsistent oversight, and greater operational complexity. This situation would</w:t>
      </w:r>
      <w:r>
        <w:t xml:space="preserve"> </w:t>
      </w:r>
      <w:r>
        <w:t xml:space="preserve">also continue to act as a barrier for reaping the benefits of the Single Market and fostering</w:t>
      </w:r>
      <w:r>
        <w:t xml:space="preserve"> </w:t>
      </w:r>
      <w:r>
        <w:t xml:space="preserve">opportunities for entities willing to expand their business in other Member States.</w:t>
      </w:r>
      <w:r>
        <w:t xml:space="preserve"> </w:t>
      </w:r>
      <w:r>
        <w:t xml:space="preserve">If cross-border supervision does not keep up with the increase in cross-border activities, it</w:t>
      </w:r>
      <w:r>
        <w:t xml:space="preserve"> </w:t>
      </w:r>
      <w:r>
        <w:t xml:space="preserve">might not be effective enough to protect consumers and investors, as well as market integrity</w:t>
      </w:r>
      <w:r>
        <w:t xml:space="preserve"> </w:t>
      </w:r>
      <w:r>
        <w:t xml:space="preserve">and financial stability. While, in some cases, colleges of supervisors help the exchange of</w:t>
      </w:r>
      <w:r>
        <w:t xml:space="preserve"> </w:t>
      </w:r>
      <w:r>
        <w:t xml:space="preserve">information and should further convergence, their scope and efficiency remain limited, for</w:t>
      </w:r>
      <w:r>
        <w:t xml:space="preserve"> </w:t>
      </w:r>
      <w:r>
        <w:t xml:space="preserve">example in the field of CCP, the colleges are entity specific and thus the emphasis is on</w:t>
      </w:r>
      <w:r>
        <w:t xml:space="preserve"> </w:t>
      </w:r>
      <w:r>
        <w:t xml:space="preserve">information sharing rather than convergence. In the extreme, undetected risks might endanger</w:t>
      </w:r>
      <w:r>
        <w:t xml:space="preserve"> </w:t>
      </w:r>
      <w:r>
        <w:t xml:space="preserve">market integrity or financial stability.</w:t>
      </w:r>
      <w:r>
        <w:br/>
      </w:r>
      <w:r>
        <w:t xml:space="preserve">Replies to the consultation caution that if no action is taken to address supervisory divergences</w:t>
      </w:r>
      <w:r>
        <w:t xml:space="preserve"> </w:t>
      </w:r>
      <w:r>
        <w:t xml:space="preserve">and fragmented enforcement, the EU risks perpetuating market inefficiencies, regulatory</w:t>
      </w:r>
      <w:r>
        <w:t xml:space="preserve"> </w:t>
      </w:r>
      <w:r>
        <w:t xml:space="preserve">arbitrage, and an uneven playing field. Some stakeholders warn that continued inconsistencies</w:t>
      </w:r>
      <w:r>
        <w:t xml:space="preserve"> </w:t>
      </w:r>
      <w:r>
        <w:t xml:space="preserve">across national supervisory practices will sustain higher compliance costs for firms, limit cross-</w:t>
      </w:r>
      <w:r>
        <w:t xml:space="preserve"> </w:t>
      </w:r>
      <w:r>
        <w:t xml:space="preserve">border growth, and weaken the EU’s global competitiveness. Several responses also highlight</w:t>
      </w:r>
      <w:r>
        <w:t xml:space="preserve"> </w:t>
      </w:r>
      <w:r>
        <w:t xml:space="preserve">that without intervention, investor protection and financial stability oversight may remain</w:t>
      </w:r>
      <w:r>
        <w:t xml:space="preserve"> </w:t>
      </w:r>
      <w:r>
        <w:t xml:space="preserve">inadequate for systemic and/or cross-border entities, leaving the EU exposed to emerging risks.</w:t>
      </w:r>
      <w:r>
        <w:t xml:space="preserve"> </w:t>
      </w:r>
      <w:r>
        <w:t xml:space="preserve">Furthermore, they stress that failure to act would reinforce operational complexities and legal</w:t>
      </w:r>
      <w:r>
        <w:t xml:space="preserve"> </w:t>
      </w:r>
      <w:r>
        <w:t xml:space="preserve">uncertainties, deterring investment and integration within the Single Market. Ultimately,</w:t>
      </w:r>
      <w:r>
        <w:t xml:space="preserve"> </w:t>
      </w:r>
      <w:r>
        <w:t xml:space="preserve">stakeholders argue that inaction would undermine the objectives of the Savings and</w:t>
      </w:r>
      <w:r>
        <w:t xml:space="preserve"> </w:t>
      </w:r>
      <w:r>
        <w:t xml:space="preserve">Investments Union, stalling efforts to mobilise private capital for EU strategic priorities.</w:t>
      </w:r>
      <w:r>
        <w:t xml:space="preserve"> </w:t>
      </w:r>
      <w:r>
        <w:t xml:space="preserve">Without action, the baseline scenario would evolve towards an unsustainable situation and a</w:t>
      </w:r>
      <w:r>
        <w:t xml:space="preserve"> </w:t>
      </w:r>
      <w:r>
        <w:t xml:space="preserve">worsening of the general problem described in Section 3, i.e., fragmentation due to divergent</w:t>
      </w:r>
      <w:r>
        <w:t xml:space="preserve"> </w:t>
      </w:r>
      <w:r>
        <w:t xml:space="preserve">supervision.</w:t>
      </w:r>
      <w:r>
        <w:br/>
      </w:r>
      <w:r>
        <w:t xml:space="preserve">4.1.1. Baseline for CSD</w:t>
      </w:r>
      <w:r>
        <w:t xml:space="preserve"> </w:t>
      </w:r>
      <w:r>
        <w:t xml:space="preserve">Under the baseline scenario, the supervision of EU CSDs would remain fragmented and</w:t>
      </w:r>
      <w:r>
        <w:t xml:space="preserve"> </w:t>
      </w:r>
      <w:r>
        <w:t xml:space="preserve">primarily conducted by NCAs. While there would likely be some improvement in terms of</w:t>
      </w:r>
      <w:r>
        <w:t xml:space="preserve"> </w:t>
      </w:r>
      <w:r>
        <w:t xml:space="preserve">supervisory convergence for CSDs, for which colleges were introduced under the CSDR Refit,</w:t>
      </w:r>
      <w:r>
        <w:t xml:space="preserve"> </w:t>
      </w:r>
      <w:r>
        <w:t xml:space="preserve">the large majority of the issues identified above would persist, ultimately maintaining the</w:t>
      </w:r>
      <w:r>
        <w:t xml:space="preserve"> </w:t>
      </w:r>
      <w:r>
        <w:t xml:space="preserve">current unlevel playing field for CSDs, as well as leaving the potential risks to the EU’s</w:t>
      </w:r>
      <w:r>
        <w:t xml:space="preserve"> </w:t>
      </w:r>
      <w:r>
        <w:t xml:space="preserve">financial stability unaddressed.</w:t>
      </w:r>
    </w:p>
    <w:p>
      <w:pPr>
        <w:pStyle w:val="BodyText"/>
      </w:pPr>
      <w:r>
        <w:t xml:space="preserve">382</w:t>
      </w:r>
      <w:r>
        <w:t xml:space="preserve"> </w:t>
      </w:r>
      <w:r>
        <w:t xml:space="preserve">4.1.2. Baseline for CCPs</w:t>
      </w:r>
      <w:r>
        <w:t xml:space="preserve"> </w:t>
      </w:r>
      <w:r>
        <w:t xml:space="preserve">Under the baseline scenario, the supervision of EU CCPs would remain fragmented and</w:t>
      </w:r>
      <w:r>
        <w:t xml:space="preserve"> </w:t>
      </w:r>
      <w:r>
        <w:t xml:space="preserve">primarily conducted by NCAs. While the recent enhancements under EMIR 3 are expected to</w:t>
      </w:r>
      <w:r>
        <w:t xml:space="preserve"> </w:t>
      </w:r>
      <w:r>
        <w:t xml:space="preserve">bring certain improvements in terms of supervisory convergence, in some instances</w:t>
      </w:r>
      <w:r>
        <w:t xml:space="preserve"> </w:t>
      </w:r>
      <w:r>
        <w:t xml:space="preserve">significantly, most of the issues identified above would persist, ultimately maintaining the</w:t>
      </w:r>
      <w:r>
        <w:t xml:space="preserve"> </w:t>
      </w:r>
      <w:r>
        <w:t xml:space="preserve">current unlevel playing field for CCPs and risks to financial stability.</w:t>
      </w:r>
      <w:r>
        <w:br/>
      </w:r>
      <w:r>
        <w:t xml:space="preserve">4.1.3. Baseline for trading venues</w:t>
      </w:r>
      <w:r>
        <w:br/>
      </w:r>
      <w:r>
        <w:t xml:space="preserve">Under the baseline scenario, the current fragmented supervisory framework for trading venues</w:t>
      </w:r>
      <w:r>
        <w:t xml:space="preserve"> </w:t>
      </w:r>
      <w:r>
        <w:t xml:space="preserve">would persist. Trading venues would continue to operate under divergent interpretations of EU</w:t>
      </w:r>
      <w:r>
        <w:t xml:space="preserve"> </w:t>
      </w:r>
      <w:r>
        <w:t xml:space="preserve">law and different supervisory approaches, leading to an uneven playing field. Cross-border</w:t>
      </w:r>
      <w:r>
        <w:t xml:space="preserve"> </w:t>
      </w:r>
      <w:r>
        <w:t xml:space="preserve">trading groups would remain subject to duplicative and inconsistent supervisory requirements</w:t>
      </w:r>
      <w:r>
        <w:t xml:space="preserve"> </w:t>
      </w:r>
      <w:r>
        <w:t xml:space="preserve">and face multiple NCAs, resulting in operational inefficiencies and high compliance costs. The</w:t>
      </w:r>
      <w:r>
        <w:t xml:space="preserve"> </w:t>
      </w:r>
      <w:r>
        <w:t xml:space="preserve">fragmented supervisory framework would continue to prevent these groups from streamlining</w:t>
      </w:r>
      <w:r>
        <w:t xml:space="preserve"> </w:t>
      </w:r>
      <w:r>
        <w:t xml:space="preserve">operations across the EU and hence prevent economies of scale, synergies and cost savings.</w:t>
      </w:r>
      <w:r>
        <w:br/>
      </w:r>
      <w:r>
        <w:t xml:space="preserve">Additionally, NCAs would continue to have no or limited visibility over the operations of</w:t>
      </w:r>
      <w:r>
        <w:t xml:space="preserve"> </w:t>
      </w:r>
      <w:r>
        <w:t xml:space="preserve">trading venues that are established in another Member State but may still be relevant in terms</w:t>
      </w:r>
      <w:r>
        <w:t xml:space="preserve"> </w:t>
      </w:r>
      <w:r>
        <w:t xml:space="preserve">of supervision as, for example, they have a high market share in the secondary trading of</w:t>
      </w:r>
      <w:r>
        <w:t xml:space="preserve"> </w:t>
      </w:r>
      <w:r>
        <w:t xml:space="preserve">securities from issuers established in their jurisdiction. Overall, the baseline scenario would</w:t>
      </w:r>
      <w:r>
        <w:t xml:space="preserve"> </w:t>
      </w:r>
      <w:r>
        <w:t xml:space="preserve">perpetuate an unlevel playing field, inefficiencies, unnecessary compliance burdens and costs,</w:t>
      </w:r>
      <w:r>
        <w:t xml:space="preserve"> </w:t>
      </w:r>
      <w:r>
        <w:t xml:space="preserve">hence limiting the opportunities which a fully integrated single market should offer, as well as</w:t>
      </w:r>
      <w:r>
        <w:t xml:space="preserve"> </w:t>
      </w:r>
      <w:r>
        <w:t xml:space="preserve">limit the consistency and possibly effectiveness of supervision of trading venues across the EU.</w:t>
      </w:r>
      <w:r>
        <w:t xml:space="preserve"> </w:t>
      </w:r>
      <w:r>
        <w:t xml:space="preserve">4.1.4. Baseline for asset managers</w:t>
      </w:r>
      <w:r>
        <w:t xml:space="preserve"> </w:t>
      </w:r>
      <w:r>
        <w:t xml:space="preserve">Supervision of EU asset managers would remain fragmented and nationally based, with each</w:t>
      </w:r>
      <w:r>
        <w:t xml:space="preserve"> </w:t>
      </w:r>
      <w:r>
        <w:t xml:space="preserve">asset manager continuing to be authorised and supervised by its home NCA. The current lack</w:t>
      </w:r>
      <w:r>
        <w:t xml:space="preserve"> </w:t>
      </w:r>
      <w:r>
        <w:t xml:space="preserve">of structured and consistent cross-border supervisory coordination would persist, particularly</w:t>
      </w:r>
      <w:r>
        <w:t xml:space="preserve"> </w:t>
      </w:r>
      <w:r>
        <w:t xml:space="preserve">for large cross-border asset management groups operating through a mix of subsidiaries and</w:t>
      </w:r>
      <w:r>
        <w:t xml:space="preserve"> </w:t>
      </w:r>
      <w:r>
        <w:t xml:space="preserve">branches. NCAs would continue to have limited visibility over the operations of these groups,</w:t>
      </w:r>
      <w:r>
        <w:t xml:space="preserve"> </w:t>
      </w:r>
      <w:r>
        <w:t xml:space="preserve">leading to duplicated requests, inconsistent supervisory outcomes, and low levels of trust and</w:t>
      </w:r>
      <w:r>
        <w:t xml:space="preserve"> </w:t>
      </w:r>
      <w:r>
        <w:t xml:space="preserve">coordination, at the asset managers and investment fund level. They would continue to apply</w:t>
      </w:r>
      <w:r>
        <w:t xml:space="preserve"> </w:t>
      </w:r>
      <w:r>
        <w:t xml:space="preserve">divergent marketing rules, creating barriers and added complexity for the cross-border</w:t>
      </w:r>
      <w:r>
        <w:t xml:space="preserve"> </w:t>
      </w:r>
      <w:r>
        <w:t xml:space="preserve">distribution of investment funds. There would be no expansion of voluntary colleges or</w:t>
      </w:r>
      <w:r>
        <w:t xml:space="preserve"> </w:t>
      </w:r>
      <w:r>
        <w:t xml:space="preserve">introduction of structured EU-level mechanisms to coordinate supervision across jurisdictions.</w:t>
      </w:r>
      <w:r>
        <w:t xml:space="preserve"> </w:t>
      </w:r>
      <w:r>
        <w:t xml:space="preserve">Numerous unstructured and often duplicative bilateral NCA interactions would persist. The</w:t>
      </w:r>
      <w:r>
        <w:t xml:space="preserve"> </w:t>
      </w:r>
      <w:r>
        <w:t xml:space="preserve">heterogeneity of market structures and activities across the sector would continue to hinder the</w:t>
      </w:r>
      <w:r>
        <w:t xml:space="preserve"> </w:t>
      </w:r>
      <w:r>
        <w:t xml:space="preserve">development of a coherent and efficient single market for asset management. Without any</w:t>
      </w:r>
      <w:r>
        <w:t xml:space="preserve"> </w:t>
      </w:r>
      <w:r>
        <w:t xml:space="preserve">regulatory or supervisory change, the potential for supervisory inefficiencies, market</w:t>
      </w:r>
      <w:r>
        <w:t xml:space="preserve"> </w:t>
      </w:r>
      <w:r>
        <w:t xml:space="preserve">fragmentation, and unequal treatment of market participants would remain unaddressed,</w:t>
      </w:r>
      <w:r>
        <w:t xml:space="preserve"> </w:t>
      </w:r>
      <w:r>
        <w:t xml:space="preserve">hampering progress towards deeper financial integration in the EU asset management sector.</w:t>
      </w:r>
      <w:r>
        <w:t xml:space="preserve"> </w:t>
      </w:r>
      <w:r>
        <w:t xml:space="preserve">4.1.5. Baseline for CASPs</w:t>
      </w:r>
      <w:r>
        <w:t xml:space="preserve"> </w:t>
      </w:r>
      <w:r>
        <w:t xml:space="preserve">Under the baseline scenario, the current situation, where NCAs are responsible for supervising</w:t>
      </w:r>
      <w:r>
        <w:t xml:space="preserve"> </w:t>
      </w:r>
      <w:r>
        <w:t xml:space="preserve">CASPs, will continue. ESMA will maintain its role in promoting supervisory convergence</w:t>
      </w:r>
      <w:r>
        <w:t xml:space="preserve"> </w:t>
      </w:r>
      <w:r>
        <w:t xml:space="preserve">through guidance, Q&amp;As, statements, supervisory guidance documents and best practices.</w:t>
      </w:r>
      <w:r>
        <w:t xml:space="preserve"> </w:t>
      </w:r>
      <w:r>
        <w:t xml:space="preserve">However, this approach has not led to harmonisation in other sectors and although the crypto-</w:t>
      </w:r>
      <w:r>
        <w:t xml:space="preserve"> </w:t>
      </w:r>
      <w:r>
        <w:t xml:space="preserve">market is still relatively new, it is expected the same scenario will play out in the case of</w:t>
      </w:r>
      <w:r>
        <w:t xml:space="preserve"> </w:t>
      </w:r>
      <w:r>
        <w:t xml:space="preserve">CASPs. The risks of regulatory arbitrage and fragmentation in supervisory practises will persist</w:t>
      </w:r>
      <w:r>
        <w:t xml:space="preserve"> </w:t>
      </w:r>
      <w:r>
        <w:t xml:space="preserve">and likely amplify over time. This may lead to a competitive disadvantage for CASPs operating</w:t>
      </w:r>
    </w:p>
    <w:p>
      <w:pPr>
        <w:pStyle w:val="BodyText"/>
      </w:pPr>
      <w:r>
        <w:t xml:space="preserve">383</w:t>
      </w:r>
      <w:r>
        <w:t xml:space="preserve"> </w:t>
      </w:r>
      <w:r>
        <w:t xml:space="preserve">in jurisdictions with a stricter interpretation of the rules, while those operating in jurisdictions</w:t>
      </w:r>
      <w:r>
        <w:t xml:space="preserve"> </w:t>
      </w:r>
      <w:r>
        <w:t xml:space="preserve">with laxer interpretations in order to attract market participants may enjoy an unfair advantage.</w:t>
      </w:r>
      <w:r>
        <w:t xml:space="preserve"> </w:t>
      </w:r>
      <w:r>
        <w:t xml:space="preserve">There is therefore a danger of a potential race to the bottom in terms of supervisory intensity,</w:t>
      </w:r>
      <w:r>
        <w:t xml:space="preserve"> </w:t>
      </w:r>
      <w:r>
        <w:t xml:space="preserve">resulting in a disproportionate number of CASPs being authorised in a few jurisdictions while</w:t>
      </w:r>
      <w:r>
        <w:t xml:space="preserve"> </w:t>
      </w:r>
      <w:r>
        <w:t xml:space="preserve">serving clients in the entire Union. Divergent supervisory approaches also mean that CASPs</w:t>
      </w:r>
      <w:r>
        <w:t xml:space="preserve"> </w:t>
      </w:r>
      <w:r>
        <w:t xml:space="preserve">may need to adapt to different regulatory requirements and supervisory practices in each</w:t>
      </w:r>
      <w:r>
        <w:t xml:space="preserve"> </w:t>
      </w:r>
      <w:r>
        <w:t xml:space="preserve">jurisdiction, which can be costly and time-consuming. The home-host tensions will continue</w:t>
      </w:r>
      <w:r>
        <w:t xml:space="preserve"> </w:t>
      </w:r>
      <w:r>
        <w:t xml:space="preserve">to persist to the detriment of the single market.</w:t>
      </w:r>
      <w:r>
        <w:t xml:space="preserve"> </w:t>
      </w:r>
      <w:r>
        <w:t xml:space="preserve">4.2. OPTION 2 - IMPROVED SUPERVISORY CONVERGENCE AND ENHANCED ROLE FOR</w:t>
      </w:r>
      <w:r>
        <w:t xml:space="preserve"> </w:t>
      </w:r>
      <w:r>
        <w:t xml:space="preserve">ESMA IN SUPERVISION</w:t>
      </w:r>
      <w:r>
        <w:t xml:space="preserve"> </w:t>
      </w:r>
      <w:r>
        <w:t xml:space="preserve">This option is composed of 3 interlinked blocks. Each of them is described below:</w:t>
      </w:r>
      <w:r>
        <w:t xml:space="preserve"> </w:t>
      </w:r>
      <w:r>
        <w:t xml:space="preserve">-</w:t>
      </w:r>
      <w:r>
        <w:t xml:space="preserve"> </w:t>
      </w:r>
      <w:r>
        <w:t xml:space="preserve">Enhanced supervision</w:t>
      </w:r>
      <w:r>
        <w:br/>
      </w:r>
      <w:r>
        <w:t xml:space="preserve">-</w:t>
      </w:r>
      <w:r>
        <w:t xml:space="preserve"> </w:t>
      </w:r>
      <w:r>
        <w:t xml:space="preserve">Supervisory convergence</w:t>
      </w:r>
      <w:r>
        <w:t xml:space="preserve"> </w:t>
      </w:r>
      <w:r>
        <w:t xml:space="preserve">-</w:t>
      </w:r>
      <w:r>
        <w:t xml:space="preserve"> </w:t>
      </w:r>
      <w:r>
        <w:t xml:space="preserve">Governance of ESMA</w:t>
      </w:r>
      <w:r>
        <w:t xml:space="preserve"> </w:t>
      </w:r>
      <w:r>
        <w:t xml:space="preserve">4.2.1. Enhanced supervision</w:t>
      </w:r>
      <w:r>
        <w:t xml:space="preserve"> </w:t>
      </w:r>
      <w:r>
        <w:t xml:space="preserve">This option comprises sector-specific measures by empowering ESMA with direct supervision</w:t>
      </w:r>
      <w:r>
        <w:t xml:space="preserve"> </w:t>
      </w:r>
      <w:r>
        <w:t xml:space="preserve">over specific financial entities, which are already regulated at Union level but are supervised</w:t>
      </w:r>
      <w:r>
        <w:t xml:space="preserve"> </w:t>
      </w:r>
      <w:r>
        <w:t xml:space="preserve">at national level. Enrico Letta, in his landmark report on the EU’s Single Market617, showcases</w:t>
      </w:r>
      <w:r>
        <w:t xml:space="preserve"> </w:t>
      </w:r>
      <w:r>
        <w:t xml:space="preserve">the potential benefits of moving to a framework with a strengthened ESMA working in</w:t>
      </w:r>
      <w:r>
        <w:t xml:space="preserve"> </w:t>
      </w:r>
      <w:r>
        <w:t xml:space="preserve">collaboration with NCAs, whereby ESMA takes responsibility for major entities in specific</w:t>
      </w:r>
      <w:r>
        <w:t xml:space="preserve"> </w:t>
      </w:r>
      <w:r>
        <w:t xml:space="preserve">sectors such as “trading venues, issuers, asset managers, and other financial market</w:t>
      </w:r>
      <w:r>
        <w:t xml:space="preserve"> </w:t>
      </w:r>
      <w:r>
        <w:t xml:space="preserve">participants”. Similarly, the IMF, in its 2025 Annual Consultation618 on the euro area, has</w:t>
      </w:r>
      <w:r>
        <w:t xml:space="preserve"> </w:t>
      </w:r>
      <w:r>
        <w:t xml:space="preserve">specifically recommended strengthening ESMA’s institutional and governance arrangements</w:t>
      </w:r>
      <w:r>
        <w:t xml:space="preserve"> </w:t>
      </w:r>
      <w:r>
        <w:t xml:space="preserve">for supervision, including by “giving ESMA a wider range of supervisory powers and a</w:t>
      </w:r>
      <w:r>
        <w:t xml:space="preserve"> </w:t>
      </w:r>
      <w:r>
        <w:t xml:space="preserve">sustainable funding framework, before expanding its direct, risk based supervisory mandate”.</w:t>
      </w:r>
      <w:r>
        <w:br/>
      </w:r>
      <w:r>
        <w:t xml:space="preserve">As discussed in the problem description, supervision of these entities at national level cannot</w:t>
      </w:r>
      <w:r>
        <w:t xml:space="preserve"> </w:t>
      </w:r>
      <w:r>
        <w:t xml:space="preserve">(always) ensure effectiveness and efficiency, in particular with respect to the impacts the</w:t>
      </w:r>
      <w:r>
        <w:t xml:space="preserve"> </w:t>
      </w:r>
      <w:r>
        <w:t xml:space="preserve">respective activities might have in other Member States than the one of the NCA. The following</w:t>
      </w:r>
      <w:r>
        <w:t xml:space="preserve"> </w:t>
      </w:r>
      <w:r>
        <w:t xml:space="preserve">tasks could be transferred to ESMA:</w:t>
      </w:r>
      <w:r>
        <w:t xml:space="preserve"> </w:t>
      </w:r>
      <w:r>
        <w:t xml:space="preserve">1. Supervision of significant CCPs</w:t>
      </w:r>
      <w:r>
        <w:t xml:space="preserve"> </w:t>
      </w:r>
      <w:r>
        <w:t xml:space="preserve">2. Supervision of significant CSDs</w:t>
      </w:r>
      <w:r>
        <w:t xml:space="preserve"> </w:t>
      </w:r>
      <w:r>
        <w:t xml:space="preserve">3. Supervision of significant trading venues</w:t>
      </w:r>
      <w:r>
        <w:t xml:space="preserve"> </w:t>
      </w:r>
      <w:r>
        <w:t xml:space="preserve">4. Supervision of CASPs</w:t>
      </w:r>
      <w:r>
        <w:t xml:space="preserve"> </w:t>
      </w:r>
      <w:r>
        <w:t xml:space="preserve">5. Enhanced coordination of supervision of the most significant asset managers groups</w:t>
      </w:r>
      <w:r>
        <w:t xml:space="preserve"> </w:t>
      </w:r>
      <w:r>
        <w:t xml:space="preserve">and of cross-border marketing of investment funds</w:t>
      </w:r>
    </w:p>
    <w:p>
      <w:pPr>
        <w:pStyle w:val="BodyText"/>
      </w:pPr>
      <w:r>
        <w:t xml:space="preserve">617 Enrico Letta - Much more than a market (April 2024).</w:t>
      </w:r>
      <w:r>
        <w:t xml:space="preserve"> </w:t>
      </w:r>
      <w:r>
        <w:t xml:space="preserve">618 Euro Area Policies: 2025 Annual Consultation-Press Release; Staff Report; and Statement by the Executive</w:t>
      </w:r>
      <w:r>
        <w:t xml:space="preserve"> </w:t>
      </w:r>
      <w:r>
        <w:t xml:space="preserve">Director for Member Countries.</w:t>
      </w:r>
    </w:p>
    <w:p>
      <w:pPr>
        <w:pStyle w:val="BodyText"/>
      </w:pPr>
      <w:r>
        <w:t xml:space="preserve">384</w:t>
      </w:r>
      <w:r>
        <w:t xml:space="preserve"> </w:t>
      </w:r>
      <w:r>
        <w:t xml:space="preserve">As a horizontal measure, to strengthen the effectiveness of supervision in the areas that are not</w:t>
      </w:r>
      <w:r>
        <w:t xml:space="preserve"> </w:t>
      </w:r>
      <w:r>
        <w:t xml:space="preserve">centralised, a legal basis for the enforcement of administrative sanctions in cross-border</w:t>
      </w:r>
      <w:r>
        <w:t xml:space="preserve"> </w:t>
      </w:r>
      <w:r>
        <w:t xml:space="preserve">contexts would be introduced in the ESMA Regulation.619</w:t>
      </w:r>
      <w:r>
        <w:br/>
      </w:r>
      <w:r>
        <w:t xml:space="preserve">The following general impacts are expected:</w:t>
      </w:r>
      <w:r>
        <w:t xml:space="preserve"> </w:t>
      </w:r>
      <w:r>
        <w:t xml:space="preserve">Centralisation of certain tasks and powers, in particular those related to areas of significance to</w:t>
      </w:r>
      <w:r>
        <w:t xml:space="preserve"> </w:t>
      </w:r>
      <w:r>
        <w:t xml:space="preserve">the EU (CCPs, CSDs, trading venues) and with a high degree of cross-border activities (asset</w:t>
      </w:r>
      <w:r>
        <w:t xml:space="preserve"> </w:t>
      </w:r>
      <w:r>
        <w:t xml:space="preserve">managers’ groups, CASPs) within the EU would lead to considerable gains in efficiency and</w:t>
      </w:r>
      <w:r>
        <w:t xml:space="preserve"> </w:t>
      </w:r>
      <w:r>
        <w:t xml:space="preserve">effectiveness of supervision across the EU compared to the baseline scenario. This option</w:t>
      </w:r>
      <w:r>
        <w:t xml:space="preserve"> </w:t>
      </w:r>
      <w:r>
        <w:t xml:space="preserve">would ensure a more coherent and risk-sensitive supervisory response across Member States.</w:t>
      </w:r>
      <w:r>
        <w:t xml:space="preserve"> </w:t>
      </w:r>
      <w:r>
        <w:t xml:space="preserve">Direct supervision of certain financial entities would enable a proportionate and targeted</w:t>
      </w:r>
      <w:r>
        <w:t xml:space="preserve"> </w:t>
      </w:r>
      <w:r>
        <w:t xml:space="preserve">approach for addressing issues related to institutional fragmentation and single jurisdiction-</w:t>
      </w:r>
      <w:r>
        <w:t xml:space="preserve"> </w:t>
      </w:r>
      <w:r>
        <w:t xml:space="preserve">focused supervision. Enhanced supervisory convergence tools would support more consistent</w:t>
      </w:r>
      <w:r>
        <w:t xml:space="preserve"> </w:t>
      </w:r>
      <w:r>
        <w:t xml:space="preserve">rule interpretation, improve enforcement across jurisdictions, and address diverging national</w:t>
      </w:r>
      <w:r>
        <w:t xml:space="preserve"> </w:t>
      </w:r>
      <w:r>
        <w:t xml:space="preserve">practices that currently hinder market integration and investor protection. This option would</w:t>
      </w:r>
      <w:r>
        <w:t xml:space="preserve"> </w:t>
      </w:r>
      <w:r>
        <w:t xml:space="preserve">address the fundamental issues of the baseline scenario while ensuring integrated Union-level</w:t>
      </w:r>
      <w:r>
        <w:t xml:space="preserve"> </w:t>
      </w:r>
      <w:r>
        <w:t xml:space="preserve">supervision for cases where it brings the largest added value. Furthermore, this option would</w:t>
      </w:r>
      <w:r>
        <w:t xml:space="preserve"> </w:t>
      </w:r>
      <w:r>
        <w:t xml:space="preserve">simplify the supervisory framework for those entities in scope, contributing to the overall</w:t>
      </w:r>
      <w:r>
        <w:t xml:space="preserve"> </w:t>
      </w:r>
      <w:r>
        <w:t xml:space="preserve">objective of reducing burden on entities. It would also facilitate their relationship with</w:t>
      </w:r>
      <w:r>
        <w:t xml:space="preserve"> </w:t>
      </w:r>
      <w:r>
        <w:t xml:space="preserve">supervisors.</w:t>
      </w:r>
      <w:r>
        <w:br/>
      </w:r>
      <w:r>
        <w:t xml:space="preserve">Central supervision may not always be the most appropriate tool for small or locally focused</w:t>
      </w:r>
      <w:r>
        <w:t xml:space="preserve"> </w:t>
      </w:r>
      <w:r>
        <w:t xml:space="preserve">entities, where national supervision offers greater flexibility and responsiveness. Therefore,</w:t>
      </w:r>
      <w:r>
        <w:t xml:space="preserve"> </w:t>
      </w:r>
      <w:r>
        <w:t xml:space="preserve">NCAs would remain responsible for supervising locally active entities, where proximity and</w:t>
      </w:r>
      <w:r>
        <w:t xml:space="preserve"> </w:t>
      </w:r>
      <w:r>
        <w:t xml:space="preserve">knowledge of local market conditions are important and potential spill-over effects to other</w:t>
      </w:r>
      <w:r>
        <w:t xml:space="preserve"> </w:t>
      </w:r>
      <w:r>
        <w:t xml:space="preserve">Member States limited. Divergent interpretation and application of rules at national level may</w:t>
      </w:r>
      <w:r>
        <w:t xml:space="preserve"> </w:t>
      </w:r>
      <w:r>
        <w:t xml:space="preserve">still occur, therefore strengthening supervisory convergence tools is critical to ensure consistent</w:t>
      </w:r>
      <w:r>
        <w:t xml:space="preserve"> </w:t>
      </w:r>
      <w:r>
        <w:t xml:space="preserve">outcomes.</w:t>
      </w:r>
      <w:r>
        <w:br/>
      </w:r>
      <w:r>
        <w:t xml:space="preserve">Supervision conducted at EU level allows for significant economies of scale and reduces</w:t>
      </w:r>
      <w:r>
        <w:t xml:space="preserve"> </w:t>
      </w:r>
      <w:r>
        <w:t xml:space="preserve">inefficiencies linked to fragmented national supervision by pooling resources, expertise, and</w:t>
      </w:r>
      <w:r>
        <w:t xml:space="preserve"> </w:t>
      </w:r>
      <w:r>
        <w:t xml:space="preserve">infrastructure. Instead of duplicating efforts across different national authorities—e.g. each</w:t>
      </w:r>
      <w:r>
        <w:t xml:space="preserve"> </w:t>
      </w:r>
      <w:r>
        <w:t xml:space="preserve">assigning a fraction of an FTE to supervise a CSD—central supervision enables the creation of</w:t>
      </w:r>
      <w:r>
        <w:t xml:space="preserve"> </w:t>
      </w:r>
      <w:r>
        <w:t xml:space="preserve">specialised teams with deeper knowledge and broader oversight. It would also allow for shared</w:t>
      </w:r>
      <w:r>
        <w:t xml:space="preserve"> </w:t>
      </w:r>
      <w:r>
        <w:t xml:space="preserve">development of SupTech tools, reducing costs and avoiding fragmented IT investment.</w:t>
      </w:r>
      <w:r>
        <w:t xml:space="preserve"> </w:t>
      </w:r>
      <w:r>
        <w:t xml:space="preserve">Centralising supervision of entities with a predominantly cross-border footprint would</w:t>
      </w:r>
      <w:r>
        <w:t xml:space="preserve"> </w:t>
      </w:r>
      <w:r>
        <w:t xml:space="preserve">eliminate unnecessary compliance duplication and inconsistencies, helping to lower</w:t>
      </w:r>
      <w:r>
        <w:t xml:space="preserve"> </w:t>
      </w:r>
      <w:r>
        <w:t xml:space="preserve">compliance and administrative costs for firms and enhancing the EU’s competitiveness as a</w:t>
      </w:r>
      <w:r>
        <w:t xml:space="preserve"> </w:t>
      </w:r>
      <w:r>
        <w:t xml:space="preserve">financial centre. These benefits would also indirectly support deeper capital market integration</w:t>
      </w:r>
      <w:r>
        <w:t xml:space="preserve"> </w:t>
      </w:r>
      <w:r>
        <w:t xml:space="preserve">and reinforce investor confidence in the integrity and stability of the EU financial system.</w:t>
      </w:r>
      <w:r>
        <w:t xml:space="preserve"> </w:t>
      </w:r>
      <w:r>
        <w:t xml:space="preserve">The option is in line with the principles of proportionality (involving sufficient but not</w:t>
      </w:r>
      <w:r>
        <w:t xml:space="preserve"> </w:t>
      </w:r>
      <w:r>
        <w:t xml:space="preserve">excessive powers and resources allocated to EU level) and subsidiarity (considering that</w:t>
      </w:r>
      <w:r>
        <w:t xml:space="preserve"> </w:t>
      </w:r>
      <w:r>
        <w:t xml:space="preserve">national supervisory authorities would remain part of the integrated supervisory system, even</w:t>
      </w:r>
      <w:r>
        <w:t xml:space="preserve"> </w:t>
      </w:r>
      <w:r>
        <w:t xml:space="preserve">in cases where direct supervision is transferred to EU level and such direct EU supervision</w:t>
      </w:r>
      <w:r>
        <w:t xml:space="preserve"> </w:t>
      </w:r>
      <w:r>
        <w:t xml:space="preserve">would only cover entities for which central supervision is more efficient).</w:t>
      </w:r>
    </w:p>
    <w:p>
      <w:pPr>
        <w:pStyle w:val="BodyText"/>
      </w:pPr>
      <w:r>
        <w:t xml:space="preserve">619 Regulation (EU) No 1095/2010 of the European Parliament and of the Council of 24 November 2010</w:t>
      </w:r>
      <w:r>
        <w:t xml:space="preserve"> </w:t>
      </w:r>
      <w:r>
        <w:t xml:space="preserve">establishing a European Supervisory Authority (European Securities and Markets Authority), amending Decision</w:t>
      </w:r>
      <w:r>
        <w:t xml:space="preserve"> </w:t>
      </w:r>
      <w:r>
        <w:t xml:space="preserve">No 716/2009/EC and repealing Commission Decision 2009/77/EC (OJ L 331, 15.12.2010, p. 84. ELI:</w:t>
      </w:r>
      <w:r>
        <w:t xml:space="preserve"> </w:t>
      </w:r>
      <w:r>
        <w:t xml:space="preserve">http://data.europa.eu/eli/reg/2010/1095/oj).</w:t>
      </w:r>
    </w:p>
    <w:p>
      <w:pPr>
        <w:pStyle w:val="BodyText"/>
      </w:pPr>
      <w:r>
        <w:t xml:space="preserve">385</w:t>
      </w:r>
      <w:r>
        <w:t xml:space="preserve"> </w:t>
      </w:r>
      <w:r>
        <w:t xml:space="preserve">There is clear momentum among stakeholders in favour of enhancing ESMA’s central</w:t>
      </w:r>
      <w:r>
        <w:t xml:space="preserve"> </w:t>
      </w:r>
      <w:r>
        <w:t xml:space="preserve">supervisory role in targeted areas, notably for systemically important, cross-border entities and</w:t>
      </w:r>
      <w:r>
        <w:t xml:space="preserve"> </w:t>
      </w:r>
      <w:r>
        <w:t xml:space="preserve">emerging digital sectors. In their replies to our consultation, several stakeholders highlighted</w:t>
      </w:r>
      <w:r>
        <w:t xml:space="preserve"> </w:t>
      </w:r>
      <w:r>
        <w:t xml:space="preserve">that centralising supervision under ESMA would enhance consistency, reduce fragmentation,</w:t>
      </w:r>
      <w:r>
        <w:t xml:space="preserve"> </w:t>
      </w:r>
      <w:r>
        <w:t xml:space="preserve">increase efficiency, enable better oversight of cross-border and emerging risks and improve</w:t>
      </w:r>
      <w:r>
        <w:t xml:space="preserve"> </w:t>
      </w:r>
      <w:r>
        <w:t xml:space="preserve">investor protection across the EU. Central supervision in the areas selected above is also seen</w:t>
      </w:r>
      <w:r>
        <w:t xml:space="preserve"> </w:t>
      </w:r>
      <w:r>
        <w:t xml:space="preserve">as a way to simplify the European rulebook, reduce operational complexities, and enhance the</w:t>
      </w:r>
      <w:r>
        <w:t xml:space="preserve"> </w:t>
      </w:r>
      <w:r>
        <w:t xml:space="preserve">EU’s global competitiveness in financial services. Respondents emphasise the need to ensure</w:t>
      </w:r>
      <w:r>
        <w:t xml:space="preserve"> </w:t>
      </w:r>
      <w:r>
        <w:t xml:space="preserve">that ESMA focuses on areas where EU-level oversight adds the most value, while national</w:t>
      </w:r>
      <w:r>
        <w:t xml:space="preserve"> </w:t>
      </w:r>
      <w:r>
        <w:t xml:space="preserve">authorities continue to supervise smaller, locally-focused entities. This dual approach aligns</w:t>
      </w:r>
      <w:r>
        <w:t xml:space="preserve"> </w:t>
      </w:r>
      <w:r>
        <w:t xml:space="preserve">with the EU’s strategic ambition to build a stronger, more cohesive Savings and Investment</w:t>
      </w:r>
      <w:r>
        <w:t xml:space="preserve"> </w:t>
      </w:r>
      <w:r>
        <w:t xml:space="preserve">Union.</w:t>
      </w:r>
      <w:r>
        <w:br/>
      </w:r>
      <w:r>
        <w:t xml:space="preserve">The specific impacts of the proposed changes can be described as follows.</w:t>
      </w:r>
      <w:r>
        <w:t xml:space="preserve"> </w:t>
      </w:r>
      <w:r>
        <w:t xml:space="preserve">4.2.1.1. Supervision of significant CCPs</w:t>
      </w:r>
      <w:r>
        <w:t xml:space="preserve"> </w:t>
      </w:r>
      <w:r>
        <w:t xml:space="preserve">Under this option, ESMA would become the supervisor of the largest, most important CCPs in</w:t>
      </w:r>
      <w:r>
        <w:t xml:space="preserve"> </w:t>
      </w:r>
      <w:r>
        <w:t xml:space="preserve">terms of risks. ESMA would also supervise EU CCPs that are part of a market infrastructure</w:t>
      </w:r>
      <w:r>
        <w:t xml:space="preserve"> </w:t>
      </w:r>
      <w:r>
        <w:t xml:space="preserve">group within which other entities are also subject to ESMA supervision. In practice that would</w:t>
      </w:r>
      <w:r>
        <w:t xml:space="preserve"> </w:t>
      </w:r>
      <w:r>
        <w:t xml:space="preserve">mean between [5 and 8 CCPs out of the 14 CCPs] authorised under EMIR.</w:t>
      </w:r>
      <w:r>
        <w:br/>
      </w:r>
      <w:r>
        <w:t xml:space="preserve">This option is consistent with the Savings and Investments Union strategy communication14,</w:t>
      </w:r>
      <w:r>
        <w:t xml:space="preserve"> </w:t>
      </w:r>
      <w:r>
        <w:t xml:space="preserve">which highlights the need to develop a more integrated EU post-trading landscape and states</w:t>
      </w:r>
      <w:r>
        <w:t xml:space="preserve"> </w:t>
      </w:r>
      <w:r>
        <w:t xml:space="preserve">that ”harmonised supervision can contribute to integrating markets by eliminating barriers to</w:t>
      </w:r>
      <w:r>
        <w:t xml:space="preserve"> </w:t>
      </w:r>
      <w:r>
        <w:t xml:space="preserve">cross-border activity, creating a level playing field for market participants and fostering</w:t>
      </w:r>
      <w:r>
        <w:t xml:space="preserve"> </w:t>
      </w:r>
      <w:r>
        <w:t xml:space="preserve">investors’ confidence”. It also states that there are some cases where market participants have</w:t>
      </w:r>
      <w:r>
        <w:t xml:space="preserve"> </w:t>
      </w:r>
      <w:r>
        <w:t xml:space="preserve">a significant cross-border presence, such as “large trading and post-trading infrastructures”</w:t>
      </w:r>
      <w:r>
        <w:t xml:space="preserve"> </w:t>
      </w:r>
      <w:r>
        <w:t xml:space="preserve">where a “supervisory perspective that extends beyond the national level can bring useful</w:t>
      </w:r>
      <w:r>
        <w:t xml:space="preserve"> </w:t>
      </w:r>
      <w:r>
        <w:t xml:space="preserve">synergies”.</w:t>
      </w:r>
      <w:r>
        <w:br/>
      </w:r>
      <w:r>
        <w:t xml:space="preserve">This option is also supported in the Draghi Report15, according to which ESMA should be</w:t>
      </w:r>
      <w:r>
        <w:t xml:space="preserve"> </w:t>
      </w:r>
      <w:r>
        <w:t xml:space="preserve">entrusted with supervision of CCPs. Finally, it is also consistent with the Letta Report16, which</w:t>
      </w:r>
      <w:r>
        <w:t xml:space="preserve"> </w:t>
      </w:r>
      <w:r>
        <w:t xml:space="preserve">suggested that ESMA could assume more supervisory responsibilities for the “major entities”,</w:t>
      </w:r>
      <w:r>
        <w:t xml:space="preserve"> </w:t>
      </w:r>
      <w:r>
        <w:t xml:space="preserve">identified based on their size, cross-border activities and systemic importance. In addition,</w:t>
      </w:r>
      <w:r>
        <w:t xml:space="preserve"> </w:t>
      </w:r>
      <w:r>
        <w:t xml:space="preserve">amongst the respondents to the public consultation, a couple of them suggested that EU CCPs</w:t>
      </w:r>
      <w:r>
        <w:t xml:space="preserve"> </w:t>
      </w:r>
      <w:r>
        <w:t xml:space="preserve">could be classified by their systemic importance and the most systemic ones would be subject</w:t>
      </w:r>
      <w:r>
        <w:t xml:space="preserve"> </w:t>
      </w:r>
      <w:r>
        <w:t xml:space="preserve">to centralised EU supervision, while the others would remain under the supervision of NCAs.</w:t>
      </w:r>
      <w:r>
        <w:t xml:space="preserve"> </w:t>
      </w:r>
      <w:r>
        <w:t xml:space="preserve">Under this option, in addition to the direct access to all necessary supervisory information,</w:t>
      </w:r>
      <w:r>
        <w:t xml:space="preserve"> </w:t>
      </w:r>
      <w:r>
        <w:t xml:space="preserve">ESMA would be competent to take all supervisory decisions on the CCPs it supervises. This</w:t>
      </w:r>
      <w:r>
        <w:t xml:space="preserve"> </w:t>
      </w:r>
      <w:r>
        <w:t xml:space="preserve">would allow it to monitor and effectively address cross-border risks, ensuring financial</w:t>
      </w:r>
      <w:r>
        <w:t xml:space="preserve"> </w:t>
      </w:r>
      <w:r>
        <w:t xml:space="preserve">stability. Indeed, due to the concentration of clearing members across CCPs (i.e. CCPs have</w:t>
      </w:r>
      <w:r>
        <w:t xml:space="preserve"> </w:t>
      </w:r>
      <w:r>
        <w:t xml:space="preserve">largely the same clearing members), a default of a clearing member would have an impact on</w:t>
      </w:r>
      <w:r>
        <w:t xml:space="preserve"> </w:t>
      </w:r>
      <w:r>
        <w:t xml:space="preserve">many CCPs. ESMA’s power over the most significant CCPs, would help to manage such cases</w:t>
      </w:r>
      <w:r>
        <w:t xml:space="preserve"> </w:t>
      </w:r>
      <w:r>
        <w:t xml:space="preserve">effectively and efficiently as it would avoid the coordination time between the NCAs of the</w:t>
      </w:r>
      <w:r>
        <w:t xml:space="preserve"> </w:t>
      </w:r>
      <w:r>
        <w:t xml:space="preserve">various CCPs and allow for a single, global view of the default management process.</w:t>
      </w:r>
      <w:r>
        <w:t xml:space="preserve"> </w:t>
      </w:r>
      <w:r>
        <w:t xml:space="preserve">For the CCPs under ESMA’s direct supervision, this option would eliminate the problems</w:t>
      </w:r>
      <w:r>
        <w:t xml:space="preserve"> </w:t>
      </w:r>
      <w:r>
        <w:t xml:space="preserve">arising from inefficient supervisory cooperation and ensure full supervisory convergence.</w:t>
      </w:r>
      <w:r>
        <w:br/>
      </w:r>
      <w:r>
        <w:t xml:space="preserve">This option would imply significant costs for ESMA: one-off (e.g. setting up procedures and</w:t>
      </w:r>
      <w:r>
        <w:t xml:space="preserve"> </w:t>
      </w:r>
      <w:r>
        <w:t xml:space="preserve">tools to assume the role of the single supervisor and for cooperating, to the extent necessary,</w:t>
      </w:r>
      <w:r>
        <w:t xml:space="preserve"> </w:t>
      </w:r>
      <w:r>
        <w:t xml:space="preserve">with other authorities) and recurrent (significant extension of supervisory capacity in ESMA,</w:t>
      </w:r>
    </w:p>
    <w:p>
      <w:pPr>
        <w:pStyle w:val="BodyText"/>
      </w:pPr>
      <w:r>
        <w:t xml:space="preserve">386</w:t>
      </w:r>
      <w:r>
        <w:t xml:space="preserve"> </w:t>
      </w:r>
      <w:r>
        <w:t xml:space="preserve">operation of the single supervisor), even though some economies of scale could occur since</w:t>
      </w:r>
      <w:r>
        <w:t xml:space="preserve"> </w:t>
      </w:r>
      <w:r>
        <w:t xml:space="preserve">ESMA already has supervisory teams, tools and procedures for the direct supervision of Tier 2</w:t>
      </w:r>
      <w:r>
        <w:t xml:space="preserve"> </w:t>
      </w:r>
      <w:r>
        <w:t xml:space="preserve">third country CCPs. These costs would be ongoing and could be covered via fees levied on EU</w:t>
      </w:r>
      <w:r>
        <w:t xml:space="preserve"> </w:t>
      </w:r>
      <w:r>
        <w:t xml:space="preserve">CCPs, whereas currently some EU CCPs are subject to substantial supervisory fees by their</w:t>
      </w:r>
      <w:r>
        <w:t xml:space="preserve"> </w:t>
      </w:r>
      <w:r>
        <w:t xml:space="preserve">NCAs, whereas others are not. A few respondents to the public consultation raised a concern</w:t>
      </w:r>
      <w:r>
        <w:t xml:space="preserve"> </w:t>
      </w:r>
      <w:r>
        <w:t xml:space="preserve">regarding these supervisory fees. But those concerns were mainly raised regarding small CCPs,</w:t>
      </w:r>
      <w:r>
        <w:t xml:space="preserve"> </w:t>
      </w:r>
      <w:r>
        <w:t xml:space="preserve">which would not be captured under this option, and for whom the current framework of EMIR</w:t>
      </w:r>
      <w:r>
        <w:t xml:space="preserve"> </w:t>
      </w:r>
      <w:r>
        <w:t xml:space="preserve">3 will continue to apply. To note that since these ‘non-significant’ EU CCPs would still be</w:t>
      </w:r>
      <w:r>
        <w:t xml:space="preserve"> </w:t>
      </w:r>
      <w:r>
        <w:t xml:space="preserve">supervised by their local NCAs, additional costs will also occur for supervisory convergence</w:t>
      </w:r>
      <w:r>
        <w:t xml:space="preserve"> </w:t>
      </w:r>
      <w:r>
        <w:t xml:space="preserve">regimes.</w:t>
      </w:r>
      <w:r>
        <w:br/>
      </w:r>
      <w:r>
        <w:t xml:space="preserve">4.2.1.2. Supervision of significant CSDs</w:t>
      </w:r>
      <w:r>
        <w:t xml:space="preserve"> </w:t>
      </w:r>
      <w:r>
        <w:t xml:space="preserve">Under this option, ESMA would become the supervisor of the largest, most significant CSDs</w:t>
      </w:r>
      <w:r>
        <w:t xml:space="preserve"> </w:t>
      </w:r>
      <w:r>
        <w:t xml:space="preserve">and the most significant cross-border groups of CSDs. In principle, ESMA would also</w:t>
      </w:r>
      <w:r>
        <w:t xml:space="preserve"> </w:t>
      </w:r>
      <w:r>
        <w:t xml:space="preserve">supervise CSDs that are part of a market infrastructure group within which other entities are</w:t>
      </w:r>
      <w:r>
        <w:t xml:space="preserve"> </w:t>
      </w:r>
      <w:r>
        <w:t xml:space="preserve">also subject to ESMA supervision. National CSDs which are not of substantial importance</w:t>
      </w:r>
      <w:r>
        <w:t xml:space="preserve"> </w:t>
      </w:r>
      <w:r>
        <w:t xml:space="preserve">would remain under national supervision. In practice that would mean between [10 and 13</w:t>
      </w:r>
      <w:r>
        <w:t xml:space="preserve"> </w:t>
      </w:r>
      <w:r>
        <w:t xml:space="preserve">CSDs out of the 25] authorised under the CSDR.</w:t>
      </w:r>
      <w:r>
        <w:t xml:space="preserve"> </w:t>
      </w:r>
      <w:r>
        <w:t xml:space="preserve">ESMA would also have a convergence role with respect to the smaller CSDs that are not subject</w:t>
      </w:r>
      <w:r>
        <w:t xml:space="preserve"> </w:t>
      </w:r>
      <w:r>
        <w:t xml:space="preserve">to direct supervision and an increased cooperation with the relevant central banks of issue.</w:t>
      </w:r>
      <w:r>
        <w:br/>
      </w:r>
      <w:r>
        <w:t xml:space="preserve">As in the case of CCP supervision, this option is consistent with the SIU Communication, the</w:t>
      </w:r>
      <w:r>
        <w:t xml:space="preserve"> </w:t>
      </w:r>
      <w:r>
        <w:t xml:space="preserve">Draghi Report and the Letta Report.</w:t>
      </w:r>
      <w:r>
        <w:t xml:space="preserve"> </w:t>
      </w:r>
      <w:r>
        <w:t xml:space="preserve">For CSDs under ESMA’s direct supervision, this option would eliminate the problems arising</w:t>
      </w:r>
      <w:r>
        <w:t xml:space="preserve"> </w:t>
      </w:r>
      <w:r>
        <w:t xml:space="preserve">from authorities’ inefficient supervisory cooperation and ensure full supervisory convergence</w:t>
      </w:r>
      <w:r>
        <w:t xml:space="preserve"> </w:t>
      </w:r>
      <w:r>
        <w:t xml:space="preserve">throughout the EU. Furthermore, under this option, ESMA would have direct access to all</w:t>
      </w:r>
      <w:r>
        <w:t xml:space="preserve"> </w:t>
      </w:r>
      <w:r>
        <w:t xml:space="preserve">necessary supervisory information and would be competent to take all supervisory decisions</w:t>
      </w:r>
      <w:r>
        <w:t xml:space="preserve"> </w:t>
      </w:r>
      <w:r>
        <w:t xml:space="preserve">on these CSDs it supervises.</w:t>
      </w:r>
      <w:r>
        <w:t xml:space="preserve"> </w:t>
      </w:r>
      <w:r>
        <w:t xml:space="preserve">Many stakeholders consulted so far did not at this stage advocate for centralised ESMA</w:t>
      </w:r>
      <w:r>
        <w:t xml:space="preserve"> </w:t>
      </w:r>
      <w:r>
        <w:t xml:space="preserve">supervision and expressed concerns about it, particularly highlighting the risk of loss of NCA</w:t>
      </w:r>
      <w:r>
        <w:t xml:space="preserve"> </w:t>
      </w:r>
      <w:r>
        <w:t xml:space="preserve">proximity and agility, and the risk of an increase in supervisory costs. However, many</w:t>
      </w:r>
      <w:r>
        <w:t xml:space="preserve"> </w:t>
      </w:r>
      <w:r>
        <w:t xml:space="preserve">stakeholders (including some of those not advocating for integrated supervision) pointed out</w:t>
      </w:r>
      <w:r>
        <w:t xml:space="preserve"> </w:t>
      </w:r>
      <w:r>
        <w:t xml:space="preserve">that a lack of convergence persists in CSD supervisory practices, particularly in relation to</w:t>
      </w:r>
      <w:r>
        <w:t xml:space="preserve"> </w:t>
      </w:r>
      <w:r>
        <w:t xml:space="preserve">cross-border provision of services and outsourcing, as well as on regulatory reporting and</w:t>
      </w:r>
      <w:r>
        <w:t xml:space="preserve"> </w:t>
      </w:r>
      <w:r>
        <w:t xml:space="preserve">supervisory assessments of important changes with the CSDs.</w:t>
      </w:r>
      <w:r>
        <w:br/>
      </w:r>
      <w:r>
        <w:t xml:space="preserve">Several relevant stakeholders (and notably CSDs with cross-border and group activities)</w:t>
      </w:r>
      <w:r>
        <w:t xml:space="preserve"> </w:t>
      </w:r>
      <w:r>
        <w:t xml:space="preserve">advocated for stronger convergence and predictability of supervisory practices, including</w:t>
      </w:r>
      <w:r>
        <w:t xml:space="preserve"> </w:t>
      </w:r>
      <w:r>
        <w:t xml:space="preserve">through integrated EU supervision, in order to eliminate inconsistencies, reduce compliance</w:t>
      </w:r>
      <w:r>
        <w:t xml:space="preserve"> </w:t>
      </w:r>
      <w:r>
        <w:t xml:space="preserve">burdens and strengthen the integration of EU capital markets. According to some respondents,</w:t>
      </w:r>
      <w:r>
        <w:t xml:space="preserve"> </w:t>
      </w:r>
      <w:r>
        <w:t xml:space="preserve">single supervision would help in removing several existing barriers to market integration,</w:t>
      </w:r>
      <w:r>
        <w:t xml:space="preserve"> </w:t>
      </w:r>
      <w:r>
        <w:t xml:space="preserve">notably it could facilitate the provision of cross-border services and simplify and accelerate the</w:t>
      </w:r>
      <w:r>
        <w:t xml:space="preserve"> </w:t>
      </w:r>
      <w:r>
        <w:t xml:space="preserve">procedure for outsourcing of CSD services. Other respondents however disagreed with this,</w:t>
      </w:r>
      <w:r>
        <w:t xml:space="preserve"> </w:t>
      </w:r>
      <w:r>
        <w:t xml:space="preserve">noting that single supervision would not be the solution to barriers to market integration.</w:t>
      </w:r>
      <w:r>
        <w:br/>
      </w:r>
      <w:r>
        <w:t xml:space="preserve">This option would imply significant costs for ESMA: one-off (e.g. setting up procedures and</w:t>
      </w:r>
      <w:r>
        <w:t xml:space="preserve"> </w:t>
      </w:r>
      <w:r>
        <w:t xml:space="preserve">tools to assume the role of the single supervisor and for cooperating, to the extent necessary,</w:t>
      </w:r>
      <w:r>
        <w:t xml:space="preserve"> </w:t>
      </w:r>
      <w:r>
        <w:t xml:space="preserve">with other authorities) and recurrent (significant extension of supervisory capacity in ESMA,</w:t>
      </w:r>
      <w:r>
        <w:t xml:space="preserve"> </w:t>
      </w:r>
      <w:r>
        <w:t xml:space="preserve">operation of the single supervisor). These costs would be ongoing and could be covered via</w:t>
      </w:r>
    </w:p>
    <w:p>
      <w:pPr>
        <w:pStyle w:val="BodyText"/>
      </w:pPr>
      <w:r>
        <w:t xml:space="preserve">387</w:t>
      </w:r>
      <w:r>
        <w:t xml:space="preserve"> </w:t>
      </w:r>
      <w:r>
        <w:t xml:space="preserve">fees levied on EU CSDs, whereas currently not all EU CSDs are subject to supervisory fees</w:t>
      </w:r>
      <w:r>
        <w:t xml:space="preserve"> </w:t>
      </w:r>
      <w:r>
        <w:t xml:space="preserve">from their NCAs.</w:t>
      </w:r>
      <w:r>
        <w:t xml:space="preserve"> </w:t>
      </w:r>
      <w:r>
        <w:t xml:space="preserve">This option is considered the most balanced and effective solution to achieve supervisory</w:t>
      </w:r>
      <w:r>
        <w:t xml:space="preserve"> </w:t>
      </w:r>
      <w:r>
        <w:t xml:space="preserve">consistency and efficiency. It would allow for a consistent supervisory approach on cross-</w:t>
      </w:r>
      <w:r>
        <w:t xml:space="preserve"> </w:t>
      </w:r>
      <w:r>
        <w:t xml:space="preserve">border CSD activity and as such facilitate the development of cross-border settlement, while</w:t>
      </w:r>
      <w:r>
        <w:t xml:space="preserve"> </w:t>
      </w:r>
      <w:r>
        <w:t xml:space="preserve">ensuring that risks are appropriately mitigated. It would also provide a harmonised supervisory</w:t>
      </w:r>
      <w:r>
        <w:t xml:space="preserve"> </w:t>
      </w:r>
      <w:r>
        <w:t xml:space="preserve">framework for CSD groups, removing barriers to the full development of cross-border group</w:t>
      </w:r>
      <w:r>
        <w:t xml:space="preserve"> </w:t>
      </w:r>
      <w:r>
        <w:t xml:space="preserve">synergies and to the effective consolidation of market infrastructures. It would ultimately</w:t>
      </w:r>
      <w:r>
        <w:t xml:space="preserve"> </w:t>
      </w:r>
      <w:r>
        <w:t xml:space="preserve">reduce burdens for CSDs and other relevant stakeholders by ensuring alignment, consistency</w:t>
      </w:r>
      <w:r>
        <w:t xml:space="preserve"> </w:t>
      </w:r>
      <w:r>
        <w:t xml:space="preserve">and predictability of supervision. This approach would also ensure proportionality as NCAs</w:t>
      </w:r>
      <w:r>
        <w:t xml:space="preserve"> </w:t>
      </w:r>
      <w:r>
        <w:t xml:space="preserve">would remain the lead supervisors for national CSDs with no significant cross-border activity.</w:t>
      </w:r>
      <w:r>
        <w:br/>
      </w:r>
      <w:r>
        <w:t xml:space="preserve">ESMA is considered the most appropriate authority to lead EU supervision of significant CSDs,</w:t>
      </w:r>
      <w:r>
        <w:t xml:space="preserve"> </w:t>
      </w:r>
      <w:r>
        <w:t xml:space="preserve">in light of its experience as a regulator and coordinator of working groups and task forces in</w:t>
      </w:r>
      <w:r>
        <w:t xml:space="preserve"> </w:t>
      </w:r>
      <w:r>
        <w:t xml:space="preserve">the settlement domain and in light of the expertise it acquired through continuous interactions</w:t>
      </w:r>
      <w:r>
        <w:t xml:space="preserve"> </w:t>
      </w:r>
      <w:r>
        <w:t xml:space="preserve">with NCAs, CSDs and market players. This was confirmed by several respondents to the public</w:t>
      </w:r>
      <w:r>
        <w:t xml:space="preserve"> </w:t>
      </w:r>
      <w:r>
        <w:t xml:space="preserve">consultation.</w:t>
      </w:r>
      <w:r>
        <w:br/>
      </w:r>
      <w:r>
        <w:t xml:space="preserve">The role of relevant authorities (the authority responsible for the oversight of the security</w:t>
      </w:r>
      <w:r>
        <w:t xml:space="preserve"> </w:t>
      </w:r>
      <w:r>
        <w:t xml:space="preserve">settlement system(s) operated by a CSD, the relevant central banks of issue) under the CSDR</w:t>
      </w:r>
      <w:r>
        <w:t xml:space="preserve"> </w:t>
      </w:r>
      <w:r>
        <w:t xml:space="preserve">would remain, as well as that of the banking supervisors for CSDs with a banking license.</w:t>
      </w:r>
      <w:r>
        <w:br/>
      </w:r>
      <w:r>
        <w:t xml:space="preserve">4.2.1.3. Supervision of significant Trading Venues</w:t>
      </w:r>
      <w:r>
        <w:t xml:space="preserve"> </w:t>
      </w:r>
      <w:r>
        <w:t xml:space="preserve">Under this option, ESMA would become the supervisor of the largest trading venues in the EU</w:t>
      </w:r>
      <w:r>
        <w:t xml:space="preserve"> </w:t>
      </w:r>
      <w:r>
        <w:t xml:space="preserve">that also have a significant cross-border dimension. In addition, if a trading venue is subject to</w:t>
      </w:r>
      <w:r>
        <w:t xml:space="preserve"> </w:t>
      </w:r>
      <w:r>
        <w:t xml:space="preserve">ESMA supervision, all trading venues that are operated within that group would also be subject</w:t>
      </w:r>
      <w:r>
        <w:t xml:space="preserve"> </w:t>
      </w:r>
      <w:r>
        <w:t xml:space="preserve">to ESMA supervision. Trading venues that are less significant in terms of size and cross-border</w:t>
      </w:r>
      <w:r>
        <w:t xml:space="preserve"> </w:t>
      </w:r>
      <w:r>
        <w:t xml:space="preserve">dimension and are not part of such a group would remain under national supervision.</w:t>
      </w:r>
      <w:r>
        <w:br/>
      </w:r>
      <w:r>
        <w:t xml:space="preserve">As in the case of CCP and CSD supervision, this option is consistent with the SIU</w:t>
      </w:r>
      <w:r>
        <w:t xml:space="preserve"> </w:t>
      </w:r>
      <w:r>
        <w:t xml:space="preserve">Communication, the Draghi Report and the Letta Report.</w:t>
      </w:r>
      <w:r>
        <w:t xml:space="preserve"> </w:t>
      </w:r>
      <w:r>
        <w:t xml:space="preserve">Scope of trading venues that would fall under EU-level supervision</w:t>
      </w:r>
      <w:r>
        <w:t xml:space="preserve"> </w:t>
      </w:r>
      <w:r>
        <w:t xml:space="preserve">Under this option, trading venues that would meet two criteria would fall under EU-level</w:t>
      </w:r>
      <w:r>
        <w:t xml:space="preserve"> </w:t>
      </w:r>
      <w:r>
        <w:t xml:space="preserve">supervision: (i) they are significant (large in size) in terms of market share of total EU trading</w:t>
      </w:r>
      <w:r>
        <w:t xml:space="preserve"> </w:t>
      </w:r>
      <w:r>
        <w:t xml:space="preserve">volume in at least one asset class (taking into consideration the trading volume at group level,</w:t>
      </w:r>
      <w:r>
        <w:t xml:space="preserve"> </w:t>
      </w:r>
      <w:r>
        <w:t xml:space="preserve">where relevant), and (ii) they have a significant cross-border dimension. The latter could be</w:t>
      </w:r>
      <w:r>
        <w:t xml:space="preserve"> </w:t>
      </w:r>
      <w:r>
        <w:t xml:space="preserve">assessed for example by looking at the cross-border dimension of the trading venue itself (for</w:t>
      </w:r>
      <w:r>
        <w:t xml:space="preserve"> </w:t>
      </w:r>
      <w:r>
        <w:t xml:space="preserve">example when the trading venue hosts a significant volume of trading in financial instruments</w:t>
      </w:r>
      <w:r>
        <w:t xml:space="preserve"> </w:t>
      </w:r>
      <w:r>
        <w:t xml:space="preserve">that are issued in other Member States), or the structure of the group to which the trading venue</w:t>
      </w:r>
      <w:r>
        <w:t xml:space="preserve"> </w:t>
      </w:r>
      <w:r>
        <w:t xml:space="preserve">belongs.</w:t>
      </w:r>
      <w:r>
        <w:t xml:space="preserve"> </w:t>
      </w:r>
      <w:r>
        <w:t xml:space="preserve">Supervisory powers</w:t>
      </w:r>
      <w:r>
        <w:t xml:space="preserve"> </w:t>
      </w:r>
      <w:r>
        <w:t xml:space="preserve">In terms of supervisory responsibilities to be transferred to EU level, one must distinguish</w:t>
      </w:r>
      <w:r>
        <w:t xml:space="preserve"> </w:t>
      </w:r>
      <w:r>
        <w:t xml:space="preserve">between (i) the supervision of the market operator managing the regulated market or of the</w:t>
      </w:r>
      <w:r>
        <w:t xml:space="preserve"> </w:t>
      </w:r>
      <w:r>
        <w:t xml:space="preserve">market operator/investment firm managing the MTF or OTF, and (ii) the supervision of the</w:t>
      </w:r>
      <w:r>
        <w:t xml:space="preserve"> </w:t>
      </w:r>
      <w:r>
        <w:t xml:space="preserve">market itself (market surveillance). The former notably covers the powers to grant (or</w:t>
      </w:r>
      <w:r>
        <w:t xml:space="preserve"> </w:t>
      </w:r>
      <w:r>
        <w:t xml:space="preserve">withdraw) the authorisation to operate a trading venue, and the powers to check if the market</w:t>
      </w:r>
      <w:r>
        <w:t xml:space="preserve"> </w:t>
      </w:r>
      <w:r>
        <w:t xml:space="preserve">operator/investment firm complies with EU legislative requirements in terms, for example, of</w:t>
      </w:r>
      <w:r>
        <w:t xml:space="preserve"> </w:t>
      </w:r>
      <w:r>
        <w:t xml:space="preserve">organisational requirements, governance, resilience (e.g. requirements as regards the risk, audit</w:t>
      </w:r>
      <w:r>
        <w:t xml:space="preserve"> </w:t>
      </w:r>
      <w:r>
        <w:t xml:space="preserve">and, compliance functions, outsourcing), rules and procedures to provide fair and orderly</w:t>
      </w:r>
      <w:r>
        <w:t xml:space="preserve"> </w:t>
      </w:r>
      <w:r>
        <w:t xml:space="preserve">trading and efficient execution of orders (exchange rulebooks), IT systems and trading</w:t>
      </w:r>
    </w:p>
    <w:p>
      <w:pPr>
        <w:pStyle w:val="BodyText"/>
      </w:pPr>
      <w:r>
        <w:t xml:space="preserve">388</w:t>
      </w:r>
      <w:r>
        <w:t xml:space="preserve"> </w:t>
      </w:r>
      <w:r>
        <w:t xml:space="preserve">processes. The latter relates to the obligation to ensure that market operators/investment firms</w:t>
      </w:r>
      <w:r>
        <w:t xml:space="preserve"> </w:t>
      </w:r>
      <w:r>
        <w:t xml:space="preserve">fulfil their obligations to survey the trading activity on the regulated markets, MTFs and OTFs</w:t>
      </w:r>
      <w:r>
        <w:t xml:space="preserve"> </w:t>
      </w:r>
      <w:r>
        <w:t xml:space="preserve">which they are operating, notably to identify possible disorderly trading conditions (e.g. high</w:t>
      </w:r>
      <w:r>
        <w:t xml:space="preserve"> </w:t>
      </w:r>
      <w:r>
        <w:t xml:space="preserve">volatility events, unaccounted price developments in illiquid securities) and conduct that may</w:t>
      </w:r>
      <w:r>
        <w:t xml:space="preserve"> </w:t>
      </w:r>
      <w:r>
        <w:t xml:space="preserve">be prohibited under the market abuse framework (e.g. insider dealing, market manipulation).</w:t>
      </w:r>
      <w:r>
        <w:t xml:space="preserve"> </w:t>
      </w:r>
      <w:r>
        <w:t xml:space="preserve">Associated to these are powers to suspend trading or remove specific instruments from trading,</w:t>
      </w:r>
      <w:r>
        <w:t xml:space="preserve"> </w:t>
      </w:r>
      <w:r>
        <w:t xml:space="preserve">and powers to investigate and possibly prosecute potential market abuse cases.</w:t>
      </w:r>
      <w:r>
        <w:t xml:space="preserve"> </w:t>
      </w:r>
      <w:r>
        <w:t xml:space="preserve">The preferred policy option foresees transferring the supervision of the market</w:t>
      </w:r>
      <w:r>
        <w:t xml:space="preserve"> </w:t>
      </w:r>
      <w:r>
        <w:t xml:space="preserve">operator/investment firm operating trading venues to EU level, while keeping market</w:t>
      </w:r>
      <w:r>
        <w:t xml:space="preserve"> </w:t>
      </w:r>
      <w:r>
        <w:t xml:space="preserve">surveillance at national level. At this stage, this option is seen as more proportionate and</w:t>
      </w:r>
      <w:r>
        <w:t xml:space="preserve"> </w:t>
      </w:r>
      <w:r>
        <w:t xml:space="preserve">effective than a transfer to EU level of all supervisory powers because national market</w:t>
      </w:r>
      <w:r>
        <w:t xml:space="preserve"> </w:t>
      </w:r>
      <w:r>
        <w:t xml:space="preserve">surveillance teams typically also serve other NCAs’ departments such as those responsible for</w:t>
      </w:r>
      <w:r>
        <w:t xml:space="preserve"> </w:t>
      </w:r>
      <w:r>
        <w:t xml:space="preserve">the supervision of issuers or investment firms and the one in charge of the investigation of</w:t>
      </w:r>
      <w:r>
        <w:t xml:space="preserve"> </w:t>
      </w:r>
      <w:r>
        <w:t xml:space="preserve">possible cases of market abuse, as well as possibly the separate entity in charge of the possible</w:t>
      </w:r>
      <w:r>
        <w:t xml:space="preserve"> </w:t>
      </w:r>
      <w:r>
        <w:t xml:space="preserve">prosecution of such cases (possibly leading to criminal sanctions, which is a national</w:t>
      </w:r>
      <w:r>
        <w:t xml:space="preserve"> </w:t>
      </w:r>
      <w:r>
        <w:t xml:space="preserve">competence). In addition, effective market surveillance, which involves analysing extensive</w:t>
      </w:r>
      <w:r>
        <w:t xml:space="preserve"> </w:t>
      </w:r>
      <w:r>
        <w:t xml:space="preserve">streams of data, requires large teams of expert staff who have developed an in-dept</w:t>
      </w:r>
      <w:r>
        <w:t xml:space="preserve"> </w:t>
      </w:r>
      <w:r>
        <w:t xml:space="preserve">understanding of and proximity with local markets and sizable ICT infrastructures, which so</w:t>
      </w:r>
      <w:r>
        <w:t xml:space="preserve"> </w:t>
      </w:r>
      <w:r>
        <w:t xml:space="preserve">far have been progressively built at national level in some Member States. Therefore, even if</w:t>
      </w:r>
      <w:r>
        <w:t xml:space="preserve"> </w:t>
      </w:r>
      <w:r>
        <w:t xml:space="preserve">the transfer of market surveillance tasks at EU level would be expected to result in a more</w:t>
      </w:r>
      <w:r>
        <w:t xml:space="preserve"> </w:t>
      </w:r>
      <w:r>
        <w:t xml:space="preserve">efficient detection of market abuse cases (in particular when such cases take place in several</w:t>
      </w:r>
      <w:r>
        <w:t xml:space="preserve"> </w:t>
      </w:r>
      <w:r>
        <w:t xml:space="preserve">Member States) and to generate significant synergies and cost savings for NCAs (notably as</w:t>
      </w:r>
      <w:r>
        <w:t xml:space="preserve"> </w:t>
      </w:r>
      <w:r>
        <w:t xml:space="preserve">regards IT systems/software) as well as groups of trading venues operating across borders and</w:t>
      </w:r>
      <w:r>
        <w:t xml:space="preserve"> </w:t>
      </w:r>
      <w:r>
        <w:t xml:space="preserve">now facing different approaches and requirements from national supervisors as regards market</w:t>
      </w:r>
      <w:r>
        <w:t xml:space="preserve"> </w:t>
      </w:r>
      <w:r>
        <w:t xml:space="preserve">surveillance), such a transfer of powers would require a step by step approach, which should</w:t>
      </w:r>
      <w:r>
        <w:t xml:space="preserve"> </w:t>
      </w:r>
      <w:r>
        <w:t xml:space="preserve">start with improved sharing/collection of the relevant data – in particular order book data - at</w:t>
      </w:r>
      <w:r>
        <w:t xml:space="preserve"> </w:t>
      </w:r>
      <w:r>
        <w:t xml:space="preserve">EU level.</w:t>
      </w:r>
      <w:r>
        <w:t xml:space="preserve"> </w:t>
      </w:r>
      <w:r>
        <w:t xml:space="preserve">Impact</w:t>
      </w:r>
      <w:r>
        <w:t xml:space="preserve"> </w:t>
      </w:r>
      <w:r>
        <w:t xml:space="preserve">The transfer of supervisory powers to EU level is expected to lead to a more uniform</w:t>
      </w:r>
      <w:r>
        <w:t xml:space="preserve"> </w:t>
      </w:r>
      <w:r>
        <w:t xml:space="preserve">application of MiFID/R requirements for trading venues associated with the 8-11 groups that</w:t>
      </w:r>
      <w:r>
        <w:t xml:space="preserve"> </w:t>
      </w:r>
      <w:r>
        <w:t xml:space="preserve">would be expected to fall in scope of EU-level supervision, i.e. approximately 30-40 market</w:t>
      </w:r>
      <w:r>
        <w:t xml:space="preserve"> </w:t>
      </w:r>
      <w:r>
        <w:t xml:space="preserve">operators , which would represent at least two-thirds of the on-venue trading activity in the</w:t>
      </w:r>
      <w:r>
        <w:t xml:space="preserve"> </w:t>
      </w:r>
      <w:r>
        <w:t xml:space="preserve">main asset classes (shares, bonds, exchange traded funds (ETFs), derivatives) in the EU. The</w:t>
      </w:r>
      <w:r>
        <w:t xml:space="preserve"> </w:t>
      </w:r>
      <w:r>
        <w:t xml:space="preserve">benefits of a uniform supervisory approach across the EU would leverage on the enhanced</w:t>
      </w:r>
      <w:r>
        <w:t xml:space="preserve"> </w:t>
      </w:r>
      <w:r>
        <w:t xml:space="preserve">single rule book for exchanges that is also put forward as part of this SIU legislative package.</w:t>
      </w:r>
      <w:r>
        <w:t xml:space="preserve"> </w:t>
      </w:r>
      <w:r>
        <w:t xml:space="preserve">In fact, combining a transfer of some rules governing regulated markets, MTFs and OTFs from</w:t>
      </w:r>
      <w:r>
        <w:t xml:space="preserve"> </w:t>
      </w:r>
      <w:r>
        <w:t xml:space="preserve">MiFID II to MiFIR (hence avoiding transposition in different national laws) and a unique</w:t>
      </w:r>
      <w:r>
        <w:t xml:space="preserve"> </w:t>
      </w:r>
      <w:r>
        <w:t xml:space="preserve">supervisor will greatly enhance the level playing field for trading venues falling under EU-</w:t>
      </w:r>
      <w:r>
        <w:t xml:space="preserve"> </w:t>
      </w:r>
      <w:r>
        <w:t xml:space="preserve">level supervision. It will also make it easier and less costly to operate cross-border. For groups</w:t>
      </w:r>
      <w:r>
        <w:t xml:space="preserve"> </w:t>
      </w:r>
      <w:r>
        <w:t xml:space="preserve">operating trading venues in several Member States (or regions within some Member States),</w:t>
      </w:r>
      <w:r>
        <w:t xml:space="preserve"> </w:t>
      </w:r>
      <w:r>
        <w:t xml:space="preserve">and thus dealing with different supervisors, this approach would effectively eliminate divergent</w:t>
      </w:r>
      <w:r>
        <w:t xml:space="preserve"> </w:t>
      </w:r>
      <w:r>
        <w:t xml:space="preserve">interpretations of EU law as well as different supervisory practices and requirements.</w:t>
      </w:r>
      <w:r>
        <w:br/>
      </w:r>
      <w:r>
        <w:t xml:space="preserve">Even though it was not possible to collect comprehensive estimates of potential cost savings,</w:t>
      </w:r>
      <w:r>
        <w:t xml:space="preserve"> </w:t>
      </w:r>
      <w:r>
        <w:t xml:space="preserve">anecdotal evidence shows that they can be significant – and maximised if associated with the</w:t>
      </w:r>
      <w:r>
        <w:t xml:space="preserve"> </w:t>
      </w:r>
      <w:r>
        <w:t xml:space="preserve">measures envisaged to enhance market integration. One stakeholder operating in several</w:t>
      </w:r>
      <w:r>
        <w:t xml:space="preserve"> </w:t>
      </w:r>
      <w:r>
        <w:t xml:space="preserve">Member States estimated that centralising supervision would yield it savings in tens of millions</w:t>
      </w:r>
      <w:r>
        <w:t xml:space="preserve"> </w:t>
      </w:r>
      <w:r>
        <w:t xml:space="preserve">of euros annually by rationalising its operations, corporate structure and local governance</w:t>
      </w:r>
      <w:r>
        <w:t xml:space="preserve"> </w:t>
      </w:r>
      <w:r>
        <w:t xml:space="preserve">presence in the different Member States in which it operates. These savings would come from</w:t>
      </w:r>
    </w:p>
    <w:p>
      <w:pPr>
        <w:pStyle w:val="BodyText"/>
      </w:pPr>
      <w:r>
        <w:t xml:space="preserve">389</w:t>
      </w:r>
      <w:r>
        <w:t xml:space="preserve"> </w:t>
      </w:r>
      <w:r>
        <w:t xml:space="preserve">eliminating duplications and exploiting synergies notably as regards compliance, market</w:t>
      </w:r>
      <w:r>
        <w:t xml:space="preserve"> </w:t>
      </w:r>
      <w:r>
        <w:t xml:space="preserve">surveillance, risk management as well as support functions for example in the legal, finance</w:t>
      </w:r>
      <w:r>
        <w:t xml:space="preserve"> </w:t>
      </w:r>
      <w:r>
        <w:t xml:space="preserve">and human resources departments. An additional significant benefit would be faster approval</w:t>
      </w:r>
      <w:r>
        <w:t xml:space="preserve"> </w:t>
      </w:r>
      <w:r>
        <w:t xml:space="preserve">of new products launches – compared to the current situation where different pre-approval</w:t>
      </w:r>
      <w:r>
        <w:t xml:space="preserve"> </w:t>
      </w:r>
      <w:r>
        <w:t xml:space="preserve">requirements apply and where approval processes can take several months in some Member</w:t>
      </w:r>
      <w:r>
        <w:t xml:space="preserve"> </w:t>
      </w:r>
      <w:r>
        <w:t xml:space="preserve">States, which delay the launch of new products across the whole group and represent</w:t>
      </w:r>
      <w:r>
        <w:t xml:space="preserve"> </w:t>
      </w:r>
      <w:r>
        <w:t xml:space="preserve">opportunity costs of low single digit millions of euros for every new product launched. Such</w:t>
      </w:r>
      <w:r>
        <w:t xml:space="preserve"> </w:t>
      </w:r>
      <w:r>
        <w:t xml:space="preserve">groups would fully benefit from the costs savings and economies of scale of a truly single</w:t>
      </w:r>
      <w:r>
        <w:t xml:space="preserve"> </w:t>
      </w:r>
      <w:r>
        <w:t xml:space="preserve">market. This would significantly enhance their competitiveness vis-a-vis other EU and non-EU</w:t>
      </w:r>
      <w:r>
        <w:t xml:space="preserve"> </w:t>
      </w:r>
      <w:r>
        <w:t xml:space="preserve">trading venues. It could also facilitate the consolidation of EU trading venues across borders.</w:t>
      </w:r>
      <w:r>
        <w:br/>
      </w:r>
      <w:r>
        <w:t xml:space="preserve">For trading venues that would remain outside the scope of EU-level supervision and continue</w:t>
      </w:r>
      <w:r>
        <w:t xml:space="preserve"> </w:t>
      </w:r>
      <w:r>
        <w:t xml:space="preserve">to be supervised at national/local level, it is expected that EU level supervision of significant</w:t>
      </w:r>
      <w:r>
        <w:t xml:space="preserve"> </w:t>
      </w:r>
      <w:r>
        <w:t xml:space="preserve">trading venues will establish a benchmark for supervisory practices across the EU.</w:t>
      </w:r>
      <w:r>
        <w:t xml:space="preserve"> </w:t>
      </w:r>
      <w:r>
        <w:t xml:space="preserve">Consequently, it is expected, to some extent, to also create a more level the playing field for</w:t>
      </w:r>
      <w:r>
        <w:t xml:space="preserve"> </w:t>
      </w:r>
      <w:r>
        <w:t xml:space="preserve">these venues.</w:t>
      </w:r>
      <w:r>
        <w:t xml:space="preserve"> </w:t>
      </w:r>
      <w:r>
        <w:t xml:space="preserve">This option would imply significant costs for ESMA: one-off (e.g. setting up procedures and</w:t>
      </w:r>
      <w:r>
        <w:t xml:space="preserve"> </w:t>
      </w:r>
      <w:r>
        <w:t xml:space="preserve">tools to assume the role of the single supervisor and for cooperating, to the extent necessary,</w:t>
      </w:r>
      <w:r>
        <w:t xml:space="preserve"> </w:t>
      </w:r>
      <w:r>
        <w:t xml:space="preserve">with other authorities) and recurrent (significant extension of supervisory capacity in ESMA,</w:t>
      </w:r>
      <w:r>
        <w:t xml:space="preserve"> </w:t>
      </w:r>
      <w:r>
        <w:t xml:space="preserve">operation of the single supervisor). These costs would be ongoing and could be covered via</w:t>
      </w:r>
      <w:r>
        <w:t xml:space="preserve"> </w:t>
      </w:r>
      <w:r>
        <w:t xml:space="preserve">fees levied on EU trading venues.</w:t>
      </w:r>
      <w:r>
        <w:t xml:space="preserve"> </w:t>
      </w:r>
      <w:r>
        <w:t xml:space="preserve">4.2.1.4. Supervision of CASPs</w:t>
      </w:r>
      <w:r>
        <w:t xml:space="preserve"> </w:t>
      </w:r>
      <w:r>
        <w:t xml:space="preserve">Under this option, ESMA would be responsible for supervising all CASPs. By centralising</w:t>
      </w:r>
      <w:r>
        <w:t xml:space="preserve"> </w:t>
      </w:r>
      <w:r>
        <w:t xml:space="preserve">supervision at the EU level, ESMA can ensure that the risks, associated with CASPs are</w:t>
      </w:r>
      <w:r>
        <w:t xml:space="preserve"> </w:t>
      </w:r>
      <w:r>
        <w:t xml:space="preserve">adequately addressed. The expected impact of this option is enhanced supervision of CASPs,</w:t>
      </w:r>
      <w:r>
        <w:t xml:space="preserve"> </w:t>
      </w:r>
      <w:r>
        <w:t xml:space="preserve">reduced risks of regulatory arbitrage, and improved consistency in supervision.</w:t>
      </w:r>
      <w:r>
        <w:br/>
      </w:r>
      <w:r>
        <w:t xml:space="preserve">Under this option, ESMA would be able to determine the best way to allocate resources and</w:t>
      </w:r>
      <w:r>
        <w:t xml:space="preserve"> </w:t>
      </w:r>
      <w:r>
        <w:t xml:space="preserve">intensity of supervision. In this way, ESMA will have the overview of the provision of crypto-</w:t>
      </w:r>
      <w:r>
        <w:t xml:space="preserve"> </w:t>
      </w:r>
      <w:r>
        <w:t xml:space="preserve">asset services in the Union. For example, CASPs with a significant number of active clients,</w:t>
      </w:r>
      <w:r>
        <w:t xml:space="preserve"> </w:t>
      </w:r>
      <w:r>
        <w:t xml:space="preserve">value of assets under custody, providing multiple crypto-asset services and having a</w:t>
      </w:r>
      <w:r>
        <w:t xml:space="preserve"> </w:t>
      </w:r>
      <w:r>
        <w:t xml:space="preserve">considerable cross border activity are likely to be more risky and hence subject to more intense</w:t>
      </w:r>
      <w:r>
        <w:t xml:space="preserve"> </w:t>
      </w:r>
      <w:r>
        <w:t xml:space="preserve">supervision. They could for that purpose be categorised as significant. 20 out of the 36</w:t>
      </w:r>
      <w:r>
        <w:t xml:space="preserve"> </w:t>
      </w:r>
      <w:r>
        <w:t xml:space="preserve">respondents to the consultation responded that significant CASPs may be subject to different</w:t>
      </w:r>
      <w:r>
        <w:t xml:space="preserve"> </w:t>
      </w:r>
      <w:r>
        <w:t xml:space="preserve">risks than smaller CASPs. The majority of respondents went on to clarify that risks posed by</w:t>
      </w:r>
      <w:r>
        <w:t xml:space="preserve"> </w:t>
      </w:r>
      <w:r>
        <w:t xml:space="preserve">significant CASPs can be addressed at EU level. By rendering ESMA the supervisory authority,</w:t>
      </w:r>
      <w:r>
        <w:t xml:space="preserve"> </w:t>
      </w:r>
      <w:r>
        <w:t xml:space="preserve">the level and intensity of supervision can be targeted to those CASPs that pose the most risks.</w:t>
      </w:r>
      <w:r>
        <w:br/>
      </w:r>
      <w:r>
        <w:t xml:space="preserve">Significant CASPs pose financial risks, as well as risks to market integrity and require more</w:t>
      </w:r>
      <w:r>
        <w:t xml:space="preserve"> </w:t>
      </w:r>
      <w:r>
        <w:t xml:space="preserve">consistent and specialised supervision. Significant CASPs usually operate on a (large) cross-</w:t>
      </w:r>
      <w:r>
        <w:t xml:space="preserve"> </w:t>
      </w:r>
      <w:r>
        <w:t xml:space="preserve">border basis, serve large and often retail-dominated client bases, and offer a wide range of</w:t>
      </w:r>
      <w:r>
        <w:t xml:space="preserve"> </w:t>
      </w:r>
      <w:r>
        <w:t xml:space="preserve">services within a single group structure. This multiplies their operational, compliance, and legal</w:t>
      </w:r>
      <w:r>
        <w:t xml:space="preserve"> </w:t>
      </w:r>
      <w:r>
        <w:t xml:space="preserve">risks across jurisdictions. Some may also reach a level of market relevance such that their</w:t>
      </w:r>
      <w:r>
        <w:t xml:space="preserve"> </w:t>
      </w:r>
      <w:r>
        <w:t xml:space="preserve">failure could trigger broader market disruptions through loss of client funds, breakdown of</w:t>
      </w:r>
      <w:r>
        <w:t xml:space="preserve"> </w:t>
      </w:r>
      <w:r>
        <w:t xml:space="preserve">liquidity provision, or adverse effects on confidence in crypto markets more generally. Their</w:t>
      </w:r>
      <w:r>
        <w:t xml:space="preserve"> </w:t>
      </w:r>
      <w:r>
        <w:t xml:space="preserve">centrality in certain token ecosystems can further exacerbate such risks. Due to their scale and</w:t>
      </w:r>
      <w:r>
        <w:t xml:space="preserve"> </w:t>
      </w:r>
      <w:r>
        <w:t xml:space="preserve">visibility, and in particular because they tend to custody crypto-assets that are bearer digital</w:t>
      </w:r>
      <w:r>
        <w:t xml:space="preserve"> </w:t>
      </w:r>
      <w:r>
        <w:t xml:space="preserve">assets existing on a permissionless blockchain infrastructure and therefore can be stolen, they</w:t>
      </w:r>
      <w:r>
        <w:t xml:space="preserve"> </w:t>
      </w:r>
      <w:r>
        <w:t xml:space="preserve">are also more attractive targets for cyberattacks.</w:t>
      </w:r>
    </w:p>
    <w:p>
      <w:pPr>
        <w:pStyle w:val="BodyText"/>
      </w:pPr>
      <w:r>
        <w:t xml:space="preserve">390</w:t>
      </w:r>
      <w:r>
        <w:t xml:space="preserve"> </w:t>
      </w:r>
      <w:r>
        <w:t xml:space="preserve">A bankruptcy, interruption in service, misconduct, other kinds of incidents at significant</w:t>
      </w:r>
      <w:r>
        <w:t xml:space="preserve"> </w:t>
      </w:r>
      <w:r>
        <w:t xml:space="preserve">CASPs would have much wider ramifications than if these happened at a smaller, non-</w:t>
      </w:r>
      <w:r>
        <w:t xml:space="preserve"> </w:t>
      </w:r>
      <w:r>
        <w:t xml:space="preserve">significant CASP. This could lead to overall public mistrust of the market, a run on CASPs,</w:t>
      </w:r>
      <w:r>
        <w:t xml:space="preserve"> </w:t>
      </w:r>
      <w:r>
        <w:t xml:space="preserve">mistrust among CASPs, leading to a freezing up of business among market participants, among</w:t>
      </w:r>
      <w:r>
        <w:t xml:space="preserve"> </w:t>
      </w:r>
      <w:r>
        <w:t xml:space="preserve">other issues.</w:t>
      </w:r>
      <w:r>
        <w:t xml:space="preserve"> </w:t>
      </w:r>
      <w:r>
        <w:t xml:space="preserve">ESMA would therefore tailor the intensity of supervision, which could include the organisation</w:t>
      </w:r>
      <w:r>
        <w:t xml:space="preserve"> </w:t>
      </w:r>
      <w:r>
        <w:t xml:space="preserve">of supervisory tasks, in proportion to the degree of risk and significance. While MiCA currently</w:t>
      </w:r>
      <w:r>
        <w:t xml:space="preserve"> </w:t>
      </w:r>
      <w:r>
        <w:t xml:space="preserve">contains a simple approach to measuring significance (15 million active users), further</w:t>
      </w:r>
      <w:r>
        <w:t xml:space="preserve"> </w:t>
      </w:r>
      <w:r>
        <w:t xml:space="preserve">indicators for identifying CASPs that are significant and hence could become subject of more</w:t>
      </w:r>
      <w:r>
        <w:t xml:space="preserve"> </w:t>
      </w:r>
      <w:r>
        <w:t xml:space="preserve">intense supervision could also include assets under custody, degree of cross-border activity</w:t>
      </w:r>
      <w:r>
        <w:t xml:space="preserve"> </w:t>
      </w:r>
      <w:r>
        <w:t xml:space="preserve">and/or type of crypto-asset services provided.</w:t>
      </w:r>
      <w:r>
        <w:t xml:space="preserve"> </w:t>
      </w:r>
      <w:r>
        <w:t xml:space="preserve">This option would imply significant costs for ESMA: one-off (e.g. setting up procedures and</w:t>
      </w:r>
      <w:r>
        <w:t xml:space="preserve"> </w:t>
      </w:r>
      <w:r>
        <w:t xml:space="preserve">tools to assume the role of the single supervisor and for cooperating, to the extent necessary,</w:t>
      </w:r>
      <w:r>
        <w:t xml:space="preserve"> </w:t>
      </w:r>
      <w:r>
        <w:t xml:space="preserve">with other authorities) and recurrent (significant extension of supervisory capacity in ESMA,</w:t>
      </w:r>
      <w:r>
        <w:t xml:space="preserve"> </w:t>
      </w:r>
      <w:r>
        <w:t xml:space="preserve">operation of the single supervisor). These costs would be ongoing and could be covered via</w:t>
      </w:r>
      <w:r>
        <w:t xml:space="preserve"> </w:t>
      </w:r>
      <w:r>
        <w:t xml:space="preserve">fees levied on EU CASPs.</w:t>
      </w:r>
      <w:r>
        <w:t xml:space="preserve"> </w:t>
      </w:r>
      <w:r>
        <w:t xml:space="preserve">4.2.1.5. Enhanced coordination of the supervision of large asset management groups</w:t>
      </w:r>
      <w:r>
        <w:t xml:space="preserve"> </w:t>
      </w:r>
      <w:r>
        <w:t xml:space="preserve">and of the cross-border marketing of investment funds</w:t>
      </w:r>
      <w:r>
        <w:t xml:space="preserve"> </w:t>
      </w:r>
      <w:r>
        <w:t xml:space="preserve">Just as for trading venues, one must distinguish between the supervision of asset managers and</w:t>
      </w:r>
      <w:r>
        <w:t xml:space="preserve"> </w:t>
      </w:r>
      <w:r>
        <w:t xml:space="preserve">funds themselves. The proposed review of asset manager groups’ supervision within the EU</w:t>
      </w:r>
      <w:r>
        <w:t xml:space="preserve"> </w:t>
      </w:r>
      <w:r>
        <w:t xml:space="preserve">aims to enhance supervisory convergence and coordination among NCAs in supervising large</w:t>
      </w:r>
      <w:r>
        <w:t xml:space="preserve"> </w:t>
      </w:r>
      <w:r>
        <w:t xml:space="preserve">UCITS management companies and AIF managers. It seeks to reduce unnecessary costs and</w:t>
      </w:r>
      <w:r>
        <w:t xml:space="preserve"> </w:t>
      </w:r>
      <w:r>
        <w:t xml:space="preserve">frictions for asset managers, acknowledging the sector’s current regulatory and supervisory set</w:t>
      </w:r>
      <w:r>
        <w:t xml:space="preserve"> </w:t>
      </w:r>
      <w:r>
        <w:t xml:space="preserve">up, complexity and increasing cross-border operations. This option aims to strike a balance</w:t>
      </w:r>
      <w:r>
        <w:t xml:space="preserve"> </w:t>
      </w:r>
      <w:r>
        <w:t xml:space="preserve">between strategic decision-making and a coordinated supervisory approach, helping to avoid</w:t>
      </w:r>
      <w:r>
        <w:t xml:space="preserve"> </w:t>
      </w:r>
      <w:r>
        <w:t xml:space="preserve">duplicative requests and inconsistent requests from one NCA to another.</w:t>
      </w:r>
      <w:r>
        <w:t xml:space="preserve"> </w:t>
      </w:r>
      <w:r>
        <w:t xml:space="preserve">As explained above, the complexity of today’s supervision system for asset managers is further</w:t>
      </w:r>
      <w:r>
        <w:t xml:space="preserve"> </w:t>
      </w:r>
      <w:r>
        <w:t xml:space="preserve">reinforced by the fact that Member States implement differing national rules, limiting the</w:t>
      </w:r>
      <w:r>
        <w:t xml:space="preserve"> </w:t>
      </w:r>
      <w:r>
        <w:t xml:space="preserve">potential for supervisory convergence, as NCAs remain bound by their national frameworks.</w:t>
      </w:r>
      <w:r>
        <w:t xml:space="preserve"> </w:t>
      </w:r>
      <w:r>
        <w:t xml:space="preserve">Therefore, a key enabler of the proposed option is the adoption of measures aimed at removing</w:t>
      </w:r>
      <w:r>
        <w:t xml:space="preserve"> </w:t>
      </w:r>
      <w:r>
        <w:t xml:space="preserve">gold plating and national discretion in the transposition of the UCITS and AIFM directives, to</w:t>
      </w:r>
      <w:r>
        <w:t xml:space="preserve"> </w:t>
      </w:r>
      <w:r>
        <w:t xml:space="preserve">ensure that asset managers and UCITS are subject to harmonised rules across the Union.</w:t>
      </w:r>
      <w:r>
        <w:t xml:space="preserve"> </w:t>
      </w:r>
      <w:r>
        <w:t xml:space="preserve">Under this option ESMA would be involved in the supervision of large asset manager groups.</w:t>
      </w:r>
      <w:r>
        <w:t xml:space="preserve"> </w:t>
      </w:r>
      <w:r>
        <w:t xml:space="preserve">Large asset manager groups are defined as the top 10 – 15 asset managers with significant</w:t>
      </w:r>
      <w:r>
        <w:t xml:space="preserve"> </w:t>
      </w:r>
      <w:r>
        <w:t xml:space="preserve">cross-border presence.620 According to available data, each of these asset managers has assets</w:t>
      </w:r>
      <w:r>
        <w:t xml:space="preserve"> </w:t>
      </w:r>
      <w:r>
        <w:t xml:space="preserve">under management exceeding approximately EUR 250 billion. Targeting only the largest cross-</w:t>
      </w:r>
      <w:r>
        <w:t xml:space="preserve"> </w:t>
      </w:r>
      <w:r>
        <w:t xml:space="preserve">border groups ensures that the measure remains proportionate, focusing supervisory</w:t>
      </w:r>
      <w:r>
        <w:t xml:space="preserve"> </w:t>
      </w:r>
      <w:r>
        <w:t xml:space="preserve">coordination where the risks and complexity are greatest. This approach avoids overburdening</w:t>
      </w:r>
      <w:r>
        <w:t xml:space="preserve"> </w:t>
      </w:r>
      <w:r>
        <w:t xml:space="preserve">smaller, domestically active managers while enhancing supervisory consistency, reducing</w:t>
      </w:r>
      <w:r>
        <w:t xml:space="preserve"> </w:t>
      </w:r>
      <w:r>
        <w:t xml:space="preserve">duplication, and improving oversight of entities with significant systemic relevance and</w:t>
      </w:r>
      <w:r>
        <w:t xml:space="preserve"> </w:t>
      </w:r>
      <w:r>
        <w:t xml:space="preserve">investor exposure across the Single Market.</w:t>
      </w:r>
      <w:r>
        <w:t xml:space="preserve"> </w:t>
      </w:r>
      <w:r>
        <w:t xml:space="preserve">ESMA would ensure a coordinated approach to the oversight of large cross-border asset</w:t>
      </w:r>
      <w:r>
        <w:t xml:space="preserve"> </w:t>
      </w:r>
      <w:r>
        <w:t xml:space="preserve">management groups through a mandate to carry out, together with NCAs, periodical group-</w:t>
      </w:r>
    </w:p>
    <w:p>
      <w:pPr>
        <w:pStyle w:val="BodyText"/>
      </w:pPr>
      <w:r>
        <w:t xml:space="preserve">620 Based on assets under management criteria.</w:t>
      </w:r>
    </w:p>
    <w:p>
      <w:pPr>
        <w:pStyle w:val="BodyText"/>
      </w:pPr>
      <w:r>
        <w:t xml:space="preserve">391</w:t>
      </w:r>
      <w:r>
        <w:t xml:space="preserve"> </w:t>
      </w:r>
      <w:r>
        <w:t xml:space="preserve">wide review of the supervisory approach for asset management companies, which should foster</w:t>
      </w:r>
      <w:r>
        <w:t xml:space="preserve"> </w:t>
      </w:r>
      <w:r>
        <w:t xml:space="preserve">a converged NCA supervision of asset management groups’ activities. This could potentially</w:t>
      </w:r>
      <w:r>
        <w:t xml:space="preserve"> </w:t>
      </w:r>
      <w:r>
        <w:t xml:space="preserve">include operations, management, risk monitoring or the corporate structure of the largest asset</w:t>
      </w:r>
      <w:r>
        <w:t xml:space="preserve"> </w:t>
      </w:r>
      <w:r>
        <w:t xml:space="preserve">managers. NCAs would present the information on the entities of the group to have a</w:t>
      </w:r>
      <w:r>
        <w:t xml:space="preserve"> </w:t>
      </w:r>
      <w:r>
        <w:t xml:space="preserve">consolidated view, including on the shared resources and functions (e.g. compliance function).</w:t>
      </w:r>
      <w:r>
        <w:t xml:space="preserve"> </w:t>
      </w:r>
      <w:r>
        <w:t xml:space="preserve">Beyond those periodic reviews of large asset managers groups coordination under ESMA</w:t>
      </w:r>
      <w:r>
        <w:t xml:space="preserve"> </w:t>
      </w:r>
      <w:r>
        <w:t xml:space="preserve">would include monitoring risks on an ongoing basis, using dashboards derived from</w:t>
      </w:r>
      <w:r>
        <w:t xml:space="preserve"> </w:t>
      </w:r>
      <w:r>
        <w:t xml:space="preserve">supervisory data and risk indicators to identify emerging vulnerabilities, and initiate</w:t>
      </w:r>
      <w:r>
        <w:t xml:space="preserve"> </w:t>
      </w:r>
      <w:r>
        <w:t xml:space="preserve">investigations by joint teams, if need be. In order to ensure that the costs incurred by ESMA in</w:t>
      </w:r>
      <w:r>
        <w:t xml:space="preserve"> </w:t>
      </w:r>
      <w:r>
        <w:t xml:space="preserve">carrying out the reviews of large Union groups of management companies would be borne by</w:t>
      </w:r>
      <w:r>
        <w:t xml:space="preserve"> </w:t>
      </w:r>
      <w:r>
        <w:t xml:space="preserve">those entities that benefit from an enhanced supervisory coordination, ESMA would charge</w:t>
      </w:r>
      <w:r>
        <w:t xml:space="preserve"> </w:t>
      </w:r>
      <w:r>
        <w:t xml:space="preserve">those groups proportionate fees. Such fees would cover the reasonable costs related to the</w:t>
      </w:r>
      <w:r>
        <w:t xml:space="preserve"> </w:t>
      </w:r>
      <w:r>
        <w:t xml:space="preserve">preparation, conduct and follow-up of the reviews referred.</w:t>
      </w:r>
      <w:r>
        <w:t xml:space="preserve"> </w:t>
      </w:r>
      <w:r>
        <w:t xml:space="preserve">This option would significantly enhance supervisory consistency and coordination across the</w:t>
      </w:r>
      <w:r>
        <w:t xml:space="preserve"> </w:t>
      </w:r>
      <w:r>
        <w:t xml:space="preserve">EU. For larger asset managers and investment funds marketed on a cross-border basis, this</w:t>
      </w:r>
      <w:r>
        <w:t xml:space="preserve"> </w:t>
      </w:r>
      <w:r>
        <w:t xml:space="preserve">would mean fewer duplicative information requests, more predictable supervisory outcomes,</w:t>
      </w:r>
      <w:r>
        <w:t xml:space="preserve"> </w:t>
      </w:r>
      <w:r>
        <w:t xml:space="preserve">and smoother cross-border fund distribution. Supervisory decisions would be coherent across</w:t>
      </w:r>
      <w:r>
        <w:t xml:space="preserve"> </w:t>
      </w:r>
      <w:r>
        <w:t xml:space="preserve">jurisdictions, reducing compliance burdens and mitigating the risk of conflicting approaches</w:t>
      </w:r>
      <w:r>
        <w:t xml:space="preserve"> </w:t>
      </w:r>
      <w:r>
        <w:t xml:space="preserve">from different NCAs. This would improve regulatory certainty for both asset managers and</w:t>
      </w:r>
      <w:r>
        <w:t xml:space="preserve"> </w:t>
      </w:r>
      <w:r>
        <w:t xml:space="preserve">investment products operating within the single market.</w:t>
      </w:r>
      <w:r>
        <w:t xml:space="preserve"> </w:t>
      </w:r>
      <w:r>
        <w:t xml:space="preserve">By establishing a safe environment for sharing confidential information, fostering trust and a</w:t>
      </w:r>
      <w:r>
        <w:t xml:space="preserve"> </w:t>
      </w:r>
      <w:r>
        <w:t xml:space="preserve">shared understanding of large asset manager groups among NCAs, this approach would make</w:t>
      </w:r>
      <w:r>
        <w:t xml:space="preserve"> </w:t>
      </w:r>
      <w:r>
        <w:t xml:space="preserve">it possible to exclude delegations to EU-authorised entities from the scope of the delegation</w:t>
      </w:r>
      <w:r>
        <w:t xml:space="preserve"> </w:t>
      </w:r>
      <w:r>
        <w:t xml:space="preserve">framework. In practice, this means that the NCA responsible for supervising the delegating</w:t>
      </w:r>
      <w:r>
        <w:t xml:space="preserve"> </w:t>
      </w:r>
      <w:r>
        <w:t xml:space="preserve">asset manager would receive all necessary information directly from the NCA supervising the</w:t>
      </w:r>
      <w:r>
        <w:t xml:space="preserve"> </w:t>
      </w:r>
      <w:r>
        <w:t xml:space="preserve">delegate. Consequently, asset managers would no longer need to duplicate reporting efforts or</w:t>
      </w:r>
      <w:r>
        <w:t xml:space="preserve"> </w:t>
      </w:r>
      <w:r>
        <w:t xml:space="preserve">provide the same information to multiple authorities. Furthermore, they would be exempt from</w:t>
      </w:r>
      <w:r>
        <w:t xml:space="preserve"> </w:t>
      </w:r>
      <w:r>
        <w:t xml:space="preserve">the costs and administrative burden of overseeing intragroup delegations, as these would no</w:t>
      </w:r>
      <w:r>
        <w:t xml:space="preserve"> </w:t>
      </w:r>
      <w:r>
        <w:t xml:space="preserve">longer be subject to separate supervisory requirements.</w:t>
      </w:r>
      <w:r>
        <w:t xml:space="preserve"> </w:t>
      </w:r>
      <w:r>
        <w:t xml:space="preserve">At the investment fund level, ESMA’s pivotal role in collaboration platforms, would ensure</w:t>
      </w:r>
      <w:r>
        <w:t xml:space="preserve"> </w:t>
      </w:r>
      <w:r>
        <w:t xml:space="preserve">convergence in the supervision of funds provided on a cross-border basis. The design of</w:t>
      </w:r>
      <w:r>
        <w:t xml:space="preserve"> </w:t>
      </w:r>
      <w:r>
        <w:t xml:space="preserve">collaboration platforms in this area would be similar to existing models for collaboration</w:t>
      </w:r>
      <w:r>
        <w:t xml:space="preserve"> </w:t>
      </w:r>
      <w:r>
        <w:t xml:space="preserve">platforms in other areas of the EU financial services acquis but with a stronger role for ESMA</w:t>
      </w:r>
      <w:r>
        <w:t xml:space="preserve"> </w:t>
      </w:r>
      <w:r>
        <w:t xml:space="preserve">in initiating procedures and doing binding mediation, facilitated by the proposed setting up of</w:t>
      </w:r>
      <w:r>
        <w:t xml:space="preserve"> </w:t>
      </w:r>
      <w:r>
        <w:t xml:space="preserve">an ESMA cross border notification marketing data base.</w:t>
      </w:r>
      <w:r>
        <w:br/>
      </w:r>
      <w:r>
        <w:t xml:space="preserve">ESMA would be actively involved in the seamless passporting of UCITS funds and AIFs by</w:t>
      </w:r>
      <w:r>
        <w:t xml:space="preserve"> </w:t>
      </w:r>
      <w:r>
        <w:t xml:space="preserve">centralising notifications (see Annex on asset management), operating collaboration platforms,</w:t>
      </w:r>
      <w:r>
        <w:t xml:space="preserve"> </w:t>
      </w:r>
      <w:r>
        <w:t xml:space="preserve">thereby addressing NCAs disagreement or handling stakeholders’ complaints. ESMA would</w:t>
      </w:r>
      <w:r>
        <w:t xml:space="preserve"> </w:t>
      </w:r>
      <w:r>
        <w:t xml:space="preserve">exercise binding mediation powers. ESMA would coordinate the single market supervision of</w:t>
      </w:r>
      <w:r>
        <w:t xml:space="preserve"> </w:t>
      </w:r>
      <w:r>
        <w:t xml:space="preserve">UCITS and AIFs through the establishment of collaboration platforms. ESMA would: (i) set</w:t>
      </w:r>
      <w:r>
        <w:t xml:space="preserve"> </w:t>
      </w:r>
      <w:r>
        <w:t xml:space="preserve">the agenda for such collaboration platforms; (ii) host regular collaboration platforms, manage</w:t>
      </w:r>
      <w:r>
        <w:t xml:space="preserve"> </w:t>
      </w:r>
      <w:r>
        <w:t xml:space="preserve">workflows, and share relevant information on a dedicated IT tool (accessible to NCAs) for</w:t>
      </w:r>
      <w:r>
        <w:t xml:space="preserve"> </w:t>
      </w:r>
      <w:r>
        <w:t xml:space="preserve">UCITS funds and AIFs operating in the single market; (iii) initiate ad hoc collaboration</w:t>
      </w:r>
      <w:r>
        <w:t xml:space="preserve"> </w:t>
      </w:r>
      <w:r>
        <w:t xml:space="preserve">platforms based on complaints from NCAs, market participants or consumers; and (iv)</w:t>
      </w:r>
      <w:r>
        <w:t xml:space="preserve"> </w:t>
      </w:r>
      <w:r>
        <w:t xml:space="preserve">facilitate role between NCAs in the collaboration platform. ESMA’s Executive Board and</w:t>
      </w:r>
      <w:r>
        <w:t xml:space="preserve"> </w:t>
      </w:r>
      <w:r>
        <w:t xml:space="preserve">Board of Supervisors would have to play important roles in this regard.</w:t>
      </w:r>
    </w:p>
    <w:p>
      <w:pPr>
        <w:pStyle w:val="BodyText"/>
      </w:pPr>
      <w:r>
        <w:t xml:space="preserve">392</w:t>
      </w:r>
      <w:r>
        <w:t xml:space="preserve"> </w:t>
      </w:r>
      <w:r>
        <w:t xml:space="preserve">4.2.2. Supervisory convergence</w:t>
      </w:r>
      <w:r>
        <w:br/>
      </w:r>
      <w:r>
        <w:t xml:space="preserve">Changes in the ESMA Regulation could be introduced to ensure that ESMA can perform its</w:t>
      </w:r>
      <w:r>
        <w:t xml:space="preserve"> </w:t>
      </w:r>
      <w:r>
        <w:t xml:space="preserve">tasks efficiently and effectively. Below is a detailed description how supervisory convergence</w:t>
      </w:r>
      <w:r>
        <w:t xml:space="preserve"> </w:t>
      </w:r>
      <w:r>
        <w:t xml:space="preserve">can be strengthened.</w:t>
      </w:r>
      <w:r>
        <w:br/>
      </w:r>
      <w:r>
        <w:t xml:space="preserve">Currently, ESMA is not making full use of its supervisory convergence tools to identify and</w:t>
      </w:r>
      <w:r>
        <w:t xml:space="preserve"> </w:t>
      </w:r>
      <w:r>
        <w:t xml:space="preserve">tackle significantly divergent national practices. Notable inconsistencies in several regulatory</w:t>
      </w:r>
      <w:r>
        <w:t xml:space="preserve"> </w:t>
      </w:r>
      <w:r>
        <w:t xml:space="preserve">domains could be addressed using existing tools.</w:t>
      </w:r>
      <w:r>
        <w:br/>
      </w:r>
      <w:r>
        <w:t xml:space="preserve">The majority of respondents to the consultation think that the current supervisory convergence</w:t>
      </w:r>
      <w:r>
        <w:t xml:space="preserve"> </w:t>
      </w:r>
      <w:r>
        <w:t xml:space="preserve">tools are not used to the extent that is possible and that the current governance and decision-</w:t>
      </w:r>
      <w:r>
        <w:t xml:space="preserve"> </w:t>
      </w:r>
      <w:r>
        <w:t xml:space="preserve">making processes within ESMA do not provide sufficient incentives for the use of supervisory</w:t>
      </w:r>
      <w:r>
        <w:t xml:space="preserve"> </w:t>
      </w:r>
      <w:r>
        <w:t xml:space="preserve">convergence tools. Respondents further explain that ESMA’s consensus-driven model led by</w:t>
      </w:r>
      <w:r>
        <w:t xml:space="preserve"> </w:t>
      </w:r>
      <w:r>
        <w:t xml:space="preserve">NCAs creates conflicts of interest and discourages assertive action and that ESMA lacks</w:t>
      </w:r>
      <w:r>
        <w:t xml:space="preserve"> </w:t>
      </w:r>
      <w:r>
        <w:t xml:space="preserve">independent executive power and incentives to drive supervisory convergence. In addition,</w:t>
      </w:r>
      <w:r>
        <w:t xml:space="preserve"> </w:t>
      </w:r>
      <w:r>
        <w:t xml:space="preserve">respondents perceived significant shortcomings in supervisory convergence tools such as</w:t>
      </w:r>
      <w:r>
        <w:t xml:space="preserve"> </w:t>
      </w:r>
      <w:r>
        <w:t xml:space="preserve">breach of Union law, no action letters and binding mediation amongst others, which result in a</w:t>
      </w:r>
      <w:r>
        <w:t xml:space="preserve"> </w:t>
      </w:r>
      <w:r>
        <w:t xml:space="preserve">lack of use or minimal use of these tools.</w:t>
      </w:r>
      <w:r>
        <w:br/>
      </w:r>
      <w:r>
        <w:t xml:space="preserve">This policy option involves improving the incentives to use supervisory convergence tools,</w:t>
      </w:r>
      <w:r>
        <w:t xml:space="preserve"> </w:t>
      </w:r>
      <w:r>
        <w:t xml:space="preserve">which will be achieved by increasing the accountability, transparency and independence of</w:t>
      </w:r>
      <w:r>
        <w:t xml:space="preserve"> </w:t>
      </w:r>
      <w:r>
        <w:t xml:space="preserve">ESMA’s supervisory convergence mandate. This will involve moving supervisory convergence</w:t>
      </w:r>
      <w:r>
        <w:t xml:space="preserve"> </w:t>
      </w:r>
      <w:r>
        <w:t xml:space="preserve">decisions to an Executive Board with decision-making powers for supervisory work.</w:t>
      </w:r>
      <w:r>
        <w:br/>
      </w:r>
      <w:r>
        <w:t xml:space="preserve">Decisions in the area of supervisory convergence, i.e. opinions, recommendations, breach of</w:t>
      </w:r>
      <w:r>
        <w:t xml:space="preserve"> </w:t>
      </w:r>
      <w:r>
        <w:t xml:space="preserve">Union law, peer reviews, binding mediation etc., would be transferred to the new Executive</w:t>
      </w:r>
      <w:r>
        <w:t xml:space="preserve"> </w:t>
      </w:r>
      <w:r>
        <w:t xml:space="preserve">Board. These activities would be prepared in the same way as currently through standing</w:t>
      </w:r>
      <w:r>
        <w:t xml:space="preserve"> </w:t>
      </w:r>
      <w:r>
        <w:t xml:space="preserve">committees in which all NCAs are represented. Draft decisions in this area would be adopted</w:t>
      </w:r>
      <w:r>
        <w:t xml:space="preserve"> </w:t>
      </w:r>
      <w:r>
        <w:t xml:space="preserve">by the Executive Board to ensure that the EU perspective is taken into consideration. They</w:t>
      </w:r>
      <w:r>
        <w:t xml:space="preserve"> </w:t>
      </w:r>
      <w:r>
        <w:t xml:space="preserve">would then go to the Board of Supervisors, via non-objection procedure for decisions in</w:t>
      </w:r>
      <w:r>
        <w:t xml:space="preserve"> </w:t>
      </w:r>
      <w:r>
        <w:t xml:space="preserve">individual cases (breach of Union law, peer reviews, investigations) or via normal voting</w:t>
      </w:r>
      <w:r>
        <w:t xml:space="preserve"> </w:t>
      </w:r>
      <w:r>
        <w:t xml:space="preserve">procedure for general acts of relevance for supervision (e.g. guidelines, Q&amp;As etc.).</w:t>
      </w:r>
      <w:r>
        <w:br/>
      </w:r>
      <w:r>
        <w:t xml:space="preserve">This option will also involve targeted enhancements to existing tools, such as the breach of</w:t>
      </w:r>
      <w:r>
        <w:t xml:space="preserve"> </w:t>
      </w:r>
      <w:r>
        <w:t xml:space="preserve">Union law procedure, binding mediation, no action-letters, increasing transparency and</w:t>
      </w:r>
      <w:r>
        <w:t xml:space="preserve"> </w:t>
      </w:r>
      <w:r>
        <w:t xml:space="preserve">accountability and making them easier to use. For example, improvements in the breach of</w:t>
      </w:r>
      <w:r>
        <w:t xml:space="preserve"> </w:t>
      </w:r>
      <w:r>
        <w:t xml:space="preserve">Union law procedure would involve that any decision by ESMA not to open a breach of law</w:t>
      </w:r>
      <w:r>
        <w:t xml:space="preserve"> </w:t>
      </w:r>
      <w:r>
        <w:t xml:space="preserve">case should be justified and made public, introducing more realistic deadlines for concluding</w:t>
      </w:r>
      <w:r>
        <w:t xml:space="preserve"> </w:t>
      </w:r>
      <w:r>
        <w:t xml:space="preserve">an investigation and granting ESMA the power to issue decisions to NCAs, rather than mere</w:t>
      </w:r>
      <w:r>
        <w:t xml:space="preserve"> </w:t>
      </w:r>
      <w:r>
        <w:t xml:space="preserve">recommendations. Binding mediation would be improved by giving financial actors and</w:t>
      </w:r>
      <w:r>
        <w:t xml:space="preserve"> </w:t>
      </w:r>
      <w:r>
        <w:t xml:space="preserve">relevant stakeholders, and not just NCAs, the possibility to refer a matter to ESMA’s binding</w:t>
      </w:r>
      <w:r>
        <w:t xml:space="preserve"> </w:t>
      </w:r>
      <w:r>
        <w:t xml:space="preserve">mediation in the event of a significant divergence of interpretations or supervisory practices</w:t>
      </w:r>
      <w:r>
        <w:t xml:space="preserve"> </w:t>
      </w:r>
      <w:r>
        <w:t xml:space="preserve">between two NCAs.</w:t>
      </w:r>
      <w:r>
        <w:br/>
      </w:r>
      <w:r>
        <w:t xml:space="preserve">In addition, new tools that have proven their effectiveness in sector legislation, such as</w:t>
      </w:r>
      <w:r>
        <w:t xml:space="preserve"> </w:t>
      </w:r>
      <w:r>
        <w:t xml:space="preserve">collaboration platforms, would be included in the supervisory toolset. Collaboration platforms</w:t>
      </w:r>
      <w:r>
        <w:t xml:space="preserve"> </w:t>
      </w:r>
      <w:r>
        <w:t xml:space="preserve">with a strong role for ESMA, would facilitate coordination and information exchange between</w:t>
      </w:r>
      <w:r>
        <w:t xml:space="preserve"> </w:t>
      </w:r>
      <w:r>
        <w:t xml:space="preserve">home and host supervisory authorities for significant cross-border activities. In the</w:t>
      </w:r>
      <w:r>
        <w:t xml:space="preserve"> </w:t>
      </w:r>
      <w:r>
        <w:t xml:space="preserve">consultation, respondents reported that certain ESMA tools appear to be</w:t>
      </w:r>
      <w:r>
        <w:t xml:space="preserve"> </w:t>
      </w:r>
      <w:r>
        <w:t xml:space="preserve">“toothless”</w:t>
      </w:r>
      <w:r>
        <w:t xml:space="preserve"> </w:t>
      </w:r>
      <w:r>
        <w:t xml:space="preserve">due to the</w:t>
      </w:r>
      <w:r>
        <w:t xml:space="preserve"> </w:t>
      </w:r>
      <w:r>
        <w:t xml:space="preserve">limited powers to enforce them and proposed to empower ESMA to issue a second opinion or</w:t>
      </w:r>
      <w:r>
        <w:t xml:space="preserve"> </w:t>
      </w:r>
      <w:r>
        <w:t xml:space="preserve">binding advice in cases where national supervision is deemed ineffective, preventing products</w:t>
      </w:r>
      <w:r>
        <w:t xml:space="preserve"> </w:t>
      </w:r>
      <w:r>
        <w:t xml:space="preserve">or entities from accessing the EU market without adequate supervision.</w:t>
      </w:r>
    </w:p>
    <w:p>
      <w:pPr>
        <w:pStyle w:val="BodyText"/>
      </w:pPr>
      <w:r>
        <w:t xml:space="preserve">393</w:t>
      </w:r>
      <w:r>
        <w:t xml:space="preserve"> </w:t>
      </w:r>
      <w:r>
        <w:t xml:space="preserve">The proposed measures to improve the supervisory convergence framework are expected to</w:t>
      </w:r>
      <w:r>
        <w:t xml:space="preserve"> </w:t>
      </w:r>
      <w:r>
        <w:t xml:space="preserve">have a substantial positive impact on improving consistency and effectiveness of supervision</w:t>
      </w:r>
      <w:r>
        <w:t xml:space="preserve"> </w:t>
      </w:r>
      <w:r>
        <w:t xml:space="preserve">across all sectors. By increasing the accountability and transparency of ESMA’s supervisory</w:t>
      </w:r>
      <w:r>
        <w:t xml:space="preserve"> </w:t>
      </w:r>
      <w:r>
        <w:t xml:space="preserve">convergence mandate, and transferring decision-making powers to an Executive Board, ESMA</w:t>
      </w:r>
      <w:r>
        <w:t xml:space="preserve"> </w:t>
      </w:r>
      <w:r>
        <w:t xml:space="preserve">will be better equipped to identify and address significantly divergent national practices. The</w:t>
      </w:r>
      <w:r>
        <w:t xml:space="preserve"> </w:t>
      </w:r>
      <w:r>
        <w:t xml:space="preserve">targeted enhancements to existing tools, such as the breach of Union law procedure and binding</w:t>
      </w:r>
      <w:r>
        <w:t xml:space="preserve"> </w:t>
      </w:r>
      <w:r>
        <w:t xml:space="preserve">mediation, will provide more effective mechanisms for resolving disputes and ensuring</w:t>
      </w:r>
      <w:r>
        <w:t xml:space="preserve"> </w:t>
      </w:r>
      <w:r>
        <w:t xml:space="preserve">compliance with EU rules. Additionally, the introduction of new tools, such as collaboration</w:t>
      </w:r>
      <w:r>
        <w:t xml:space="preserve"> </w:t>
      </w:r>
      <w:r>
        <w:t xml:space="preserve">platforms, will facilitate information exchange and cooperation between national supervisory</w:t>
      </w:r>
      <w:r>
        <w:t xml:space="preserve"> </w:t>
      </w:r>
      <w:r>
        <w:t xml:space="preserve">authorities, leading to more consistent and effective supervision of cross-border activities.</w:t>
      </w:r>
      <w:r>
        <w:t xml:space="preserve"> </w:t>
      </w:r>
      <w:r>
        <w:t xml:space="preserve">Overall, these measures are expected to lead to a more harmonized and effective supervisory</w:t>
      </w:r>
      <w:r>
        <w:t xml:space="preserve"> </w:t>
      </w:r>
      <w:r>
        <w:t xml:space="preserve">framework, reducing the risk of regulatory arbitrage and improving the overall stability and</w:t>
      </w:r>
      <w:r>
        <w:t xml:space="preserve"> </w:t>
      </w:r>
      <w:r>
        <w:t xml:space="preserve">integrity of the EU’s financial system.</w:t>
      </w:r>
      <w:r>
        <w:t xml:space="preserve"> </w:t>
      </w:r>
      <w:r>
        <w:t xml:space="preserve">4.2.3. Governance changes required to ensure greater supervisory convergence</w:t>
      </w:r>
      <w:r>
        <w:t xml:space="preserve"> </w:t>
      </w:r>
      <w:r>
        <w:t xml:space="preserve">and an enhanced role for ESMA in supervision</w:t>
      </w:r>
      <w:r>
        <w:br/>
      </w:r>
      <w:r>
        <w:t xml:space="preserve">To ensure that ESMA can carry out the new tasks and competences in an efficient way, changes</w:t>
      </w:r>
      <w:r>
        <w:t xml:space="preserve"> </w:t>
      </w:r>
      <w:r>
        <w:t xml:space="preserve">to its governance structure are needed under this option. The aim of these changes is to establish</w:t>
      </w:r>
      <w:r>
        <w:t xml:space="preserve"> </w:t>
      </w:r>
      <w:r>
        <w:t xml:space="preserve">a lean, efficient and uniform decision-making process around a small executive board of</w:t>
      </w:r>
      <w:r>
        <w:t xml:space="preserve"> </w:t>
      </w:r>
      <w:r>
        <w:t xml:space="preserve">independent members, while building on existing national supervisory capacities.</w:t>
      </w:r>
      <w:r>
        <w:br/>
      </w:r>
      <w:r>
        <w:t xml:space="preserve">The new governance framework for supervisory tasks would be built around the following</w:t>
      </w:r>
      <w:r>
        <w:t xml:space="preserve"> </w:t>
      </w:r>
      <w:r>
        <w:t xml:space="preserve">bodies.</w:t>
      </w:r>
      <w:r>
        <w:t xml:space="preserve"> </w:t>
      </w:r>
      <w:r>
        <w:t xml:space="preserve">• A new Executive Board would be composed of ESMA’s Chair and 5 independent</w:t>
      </w:r>
      <w:r>
        <w:t xml:space="preserve"> </w:t>
      </w:r>
      <w:r>
        <w:t xml:space="preserve">members, with diverse composition bringing different types of supervisory expertise</w:t>
      </w:r>
      <w:r>
        <w:t xml:space="preserve"> </w:t>
      </w:r>
      <w:r>
        <w:t xml:space="preserve">(e.g. CCPs, CSD, trading venues, asset managers/funds, prudential, central banks, etc.).</w:t>
      </w:r>
      <w:r>
        <w:t xml:space="preserve"> </w:t>
      </w:r>
      <w:r>
        <w:t xml:space="preserve">For entity specific decisions, the home NCA or relevant authorities (for example</w:t>
      </w:r>
      <w:r>
        <w:t xml:space="preserve"> </w:t>
      </w:r>
      <w:r>
        <w:t xml:space="preserve">SSM/ECB and other central banks of issue) would be observers. The Executive Board</w:t>
      </w:r>
      <w:r>
        <w:t xml:space="preserve"> </w:t>
      </w:r>
      <w:r>
        <w:t xml:space="preserve">would be the main decision-making body for direct supervision and supervisory</w:t>
      </w:r>
      <w:r>
        <w:t xml:space="preserve"> </w:t>
      </w:r>
      <w:r>
        <w:t xml:space="preserve">convergence measures that target individual entities. The Executive Board would also</w:t>
      </w:r>
      <w:r>
        <w:t xml:space="preserve"> </w:t>
      </w:r>
      <w:r>
        <w:t xml:space="preserve">take over the tasks of the current Management Board.</w:t>
      </w:r>
      <w:r>
        <w:br/>
      </w:r>
      <w:r>
        <w:t xml:space="preserve">• The Board of Supervisors would be composed of the Chair, the heads of the NCAs</w:t>
      </w:r>
      <w:r>
        <w:t xml:space="preserve"> </w:t>
      </w:r>
      <w:r>
        <w:t xml:space="preserve">and the members of the Executive Board. The Commission would be observer, for</w:t>
      </w:r>
      <w:r>
        <w:t xml:space="preserve"> </w:t>
      </w:r>
      <w:r>
        <w:t xml:space="preserve">decisions relevant for CCPs and CSDs, SSM/ECB and other central banks of issue</w:t>
      </w:r>
      <w:r>
        <w:t xml:space="preserve"> </w:t>
      </w:r>
      <w:r>
        <w:t xml:space="preserve">could attend as observers. The Board of Supervisors would approve or reject</w:t>
      </w:r>
      <w:r>
        <w:t xml:space="preserve"> </w:t>
      </w:r>
      <w:r>
        <w:t xml:space="preserve">supervisory decisions621 of the Executive Board within 10 days (1-3 days in urgent</w:t>
      </w:r>
      <w:r>
        <w:t xml:space="preserve"> </w:t>
      </w:r>
      <w:r>
        <w:t xml:space="preserve">cases) in the form of a non-objection procedure. In the area of supervisory convergence,</w:t>
      </w:r>
      <w:r>
        <w:t xml:space="preserve"> </w:t>
      </w:r>
      <w:r>
        <w:t xml:space="preserve">decisions in individual cases (breach of Union law, peer reviews, investigations and</w:t>
      </w:r>
      <w:r>
        <w:t xml:space="preserve"> </w:t>
      </w:r>
      <w:r>
        <w:t xml:space="preserve">decisions addressed to NCAs) would go to the Board of Supervisors through the same</w:t>
      </w:r>
      <w:r>
        <w:t xml:space="preserve"> </w:t>
      </w:r>
      <w:r>
        <w:t xml:space="preserve">procedure as for direct supervision via a non-objection procedure. On general acts of</w:t>
      </w:r>
      <w:r>
        <w:t xml:space="preserve"> </w:t>
      </w:r>
      <w:r>
        <w:t xml:space="preserve">relevance for supervisory convergence (e.g. supervisory briefings, supervisory</w:t>
      </w:r>
      <w:r>
        <w:t xml:space="preserve"> </w:t>
      </w:r>
      <w:r>
        <w:t xml:space="preserve">handbook, principles etc.) the Board of Supervisors would decide in a normal voting</w:t>
      </w:r>
      <w:r>
        <w:t xml:space="preserve"> </w:t>
      </w:r>
      <w:r>
        <w:t xml:space="preserve">procedure.</w:t>
      </w:r>
      <w:r>
        <w:br/>
      </w:r>
      <w:r>
        <w:t xml:space="preserve">The Board of Supervisors would continue to adopt regulatory decisions.</w:t>
      </w:r>
    </w:p>
    <w:p>
      <w:pPr>
        <w:pStyle w:val="BodyText"/>
      </w:pPr>
      <w:r>
        <w:t xml:space="preserve">621 The non-objection procedure should be limited to key decisions, e.g. refusal or withdrawal of authorisation,</w:t>
      </w:r>
      <w:r>
        <w:t xml:space="preserve"> </w:t>
      </w:r>
      <w:r>
        <w:t xml:space="preserve">enforcement measures etc.</w:t>
      </w:r>
    </w:p>
    <w:p>
      <w:pPr>
        <w:pStyle w:val="BodyText"/>
      </w:pPr>
      <w:r>
        <w:t xml:space="preserve">394</w:t>
      </w:r>
      <w:r>
        <w:t xml:space="preserve"> </w:t>
      </w:r>
      <w:r>
        <w:t xml:space="preserve">• In building up supervisory capacity ESMA will rely on cooperation with NCAs and</w:t>
      </w:r>
      <w:r>
        <w:t xml:space="preserve"> </w:t>
      </w:r>
      <w:r>
        <w:t xml:space="preserve">for day-to-day supervision may set up joint supervisory teams.</w:t>
      </w:r>
      <w:r>
        <w:br/>
      </w:r>
      <w:r>
        <w:t xml:space="preserve">To avoid overburdening the Executive Board with a significant number of decisions, it would</w:t>
      </w:r>
      <w:r>
        <w:t xml:space="preserve"> </w:t>
      </w:r>
      <w:r>
        <w:t xml:space="preserve">be important to provide it with the possibility to delegate decisions that are not key - such as</w:t>
      </w:r>
      <w:r>
        <w:t xml:space="preserve"> </w:t>
      </w:r>
      <w:r>
        <w:t xml:space="preserve">refusal or withdrawal of authorisation, enforcement measures - to the Chair, one member,</w:t>
      </w:r>
      <w:r>
        <w:t xml:space="preserve"> </w:t>
      </w:r>
      <w:r>
        <w:t xml:space="preserve">ESMA staff or the joint supervisory teams (for operational decisions). It should also be possible</w:t>
      </w:r>
      <w:r>
        <w:t xml:space="preserve"> </w:t>
      </w:r>
      <w:r>
        <w:t xml:space="preserve">for the Executive Board to delegate some tasks/decisions to NCAs, so that only those with the</w:t>
      </w:r>
      <w:r>
        <w:t xml:space="preserve"> </w:t>
      </w:r>
      <w:r>
        <w:t xml:space="preserve">greatest relevance for the Single Market would be taken directly by the Executive Board.</w:t>
      </w:r>
      <w:r>
        <w:t xml:space="preserve"> </w:t>
      </w:r>
      <w:r>
        <w:t xml:space="preserve">The advantage of the governance changes set out under this option is that they would align the</w:t>
      </w:r>
      <w:r>
        <w:t xml:space="preserve"> </w:t>
      </w:r>
      <w:r>
        <w:t xml:space="preserve">governance arrangements with the new tasks, striking the right balance between efficiency and</w:t>
      </w:r>
      <w:r>
        <w:t xml:space="preserve"> </w:t>
      </w:r>
      <w:r>
        <w:t xml:space="preserve">representation. The proposed changes would:</w:t>
      </w:r>
      <w:r>
        <w:t xml:space="preserve"> </w:t>
      </w:r>
      <w:r>
        <w:t xml:space="preserve">1. Ensure effective and swift decision-making processes compared to the current decision-</w:t>
      </w:r>
      <w:r>
        <w:t xml:space="preserve"> </w:t>
      </w:r>
      <w:r>
        <w:t xml:space="preserve">making in the Board of Supervisors with 27 NCAs voting. The Executive Board with</w:t>
      </w:r>
      <w:r>
        <w:t xml:space="preserve"> </w:t>
      </w:r>
      <w:r>
        <w:t xml:space="preserve">full-time members would meet more frequently than the current Board of Supervisors</w:t>
      </w:r>
      <w:r>
        <w:t xml:space="preserve"> </w:t>
      </w:r>
      <w:r>
        <w:t xml:space="preserve">and the leaner structure would make it easier to achieve meaningful compromises. The</w:t>
      </w:r>
      <w:r>
        <w:t xml:space="preserve"> </w:t>
      </w:r>
      <w:r>
        <w:t xml:space="preserve">approval or rejection of the Executive Board’s decisions by an enlarged Board of</w:t>
      </w:r>
      <w:r>
        <w:t xml:space="preserve"> </w:t>
      </w:r>
      <w:r>
        <w:t xml:space="preserve">Supervisors would be strictly framed to avoid blockages.</w:t>
      </w:r>
      <w:r>
        <w:br/>
      </w:r>
      <w:r>
        <w:t xml:space="preserve">2. Ensure independent decision-making and reduce the propensity of inaction as regards</w:t>
      </w:r>
      <w:r>
        <w:t xml:space="preserve"> </w:t>
      </w:r>
      <w:r>
        <w:t xml:space="preserve">supervisory decisions resulting from conflicts of interest faced by voting members.</w:t>
      </w:r>
      <w:r>
        <w:t xml:space="preserve"> </w:t>
      </w:r>
      <w:r>
        <w:t xml:space="preserve">Such conflicts would be corrected by establishing the Executive Board with its</w:t>
      </w:r>
      <w:r>
        <w:t xml:space="preserve"> </w:t>
      </w:r>
      <w:r>
        <w:t xml:space="preserve">independent members as the main decision-making body, subject only to a non-</w:t>
      </w:r>
      <w:r>
        <w:t xml:space="preserve"> </w:t>
      </w:r>
      <w:r>
        <w:t xml:space="preserve">objection procedure by the Board of Supervisors under strict conditions.</w:t>
      </w:r>
      <w:r>
        <w:br/>
      </w:r>
      <w:r>
        <w:t xml:space="preserve">3. Improve the incentives to use supervisory convergence powers by clearly allocating</w:t>
      </w:r>
      <w:r>
        <w:t xml:space="preserve"> </w:t>
      </w:r>
      <w:r>
        <w:t xml:space="preserve">this responsibility to the new Executive Board.</w:t>
      </w:r>
      <w:r>
        <w:br/>
      </w:r>
      <w:r>
        <w:t xml:space="preserve">4. The proposed set-up would rebalance the EU perspective and national perspectives,</w:t>
      </w:r>
      <w:r>
        <w:t xml:space="preserve"> </w:t>
      </w:r>
      <w:r>
        <w:t xml:space="preserve">including in the Board of Supervisors where the Executive Board members would</w:t>
      </w:r>
      <w:r>
        <w:t xml:space="preserve"> </w:t>
      </w:r>
      <w:r>
        <w:t xml:space="preserve">become voting members while keeping NCAs involved to maintain proximity and</w:t>
      </w:r>
      <w:r>
        <w:t xml:space="preserve"> </w:t>
      </w:r>
      <w:r>
        <w:t xml:space="preserve">market knowledge.</w:t>
      </w:r>
      <w:r>
        <w:br/>
      </w:r>
      <w:r>
        <w:t xml:space="preserve">The design of ESMA’s governance would thus be improved, providing the decision-making</w:t>
      </w:r>
      <w:r>
        <w:t xml:space="preserve"> </w:t>
      </w:r>
      <w:r>
        <w:t xml:space="preserve">bodies with better incentives to use their powers in the supervisory area and better enable them</w:t>
      </w:r>
      <w:r>
        <w:t xml:space="preserve"> </w:t>
      </w:r>
      <w:r>
        <w:t xml:space="preserve">to address upcoming challenges.</w:t>
      </w:r>
      <w:r>
        <w:t xml:space="preserve"> </w:t>
      </w:r>
      <w:r>
        <w:t xml:space="preserve">This approach would be in line with feedback received in the consultation where ESMA’s</w:t>
      </w:r>
      <w:r>
        <w:t xml:space="preserve"> </w:t>
      </w:r>
      <w:r>
        <w:t xml:space="preserve">governance is seen as too dominated by NCAs and national influences, impeding EU-wide</w:t>
      </w:r>
      <w:r>
        <w:t xml:space="preserve"> </w:t>
      </w:r>
      <w:r>
        <w:t xml:space="preserve">interests. Stakeholders call for governance reforms include establishing an independent</w:t>
      </w:r>
      <w:r>
        <w:t xml:space="preserve"> </w:t>
      </w:r>
      <w:r>
        <w:t xml:space="preserve">executive board to ensure more independent, expert-driven and agile decision-making. They</w:t>
      </w:r>
      <w:r>
        <w:t xml:space="preserve"> </w:t>
      </w:r>
      <w:r>
        <w:t xml:space="preserve">also warn that ESMA supervision is perceived as more expensive compared to NCAs</w:t>
      </w:r>
      <w:r>
        <w:t xml:space="preserve"> </w:t>
      </w:r>
      <w:r>
        <w:t xml:space="preserve">supervision.</w:t>
      </w:r>
      <w:r>
        <w:br/>
      </w:r>
      <w:r>
        <w:t xml:space="preserve">4.2.3.1. Changes to the funding system and architecture</w:t>
      </w:r>
      <w:r>
        <w:br/>
      </w:r>
      <w:r>
        <w:t xml:space="preserve">To ensure that the changes proposed under this option deliver their intended outcomes, ESMA</w:t>
      </w:r>
      <w:r>
        <w:t xml:space="preserve"> </w:t>
      </w:r>
      <w:r>
        <w:t xml:space="preserve">must be equipped with a sustainable, fair, and adaptable funding framework. As ESMA’s</w:t>
      </w:r>
      <w:r>
        <w:t xml:space="preserve"> </w:t>
      </w:r>
      <w:r>
        <w:t xml:space="preserve">mandate expands—particularly through the assumption of new direct supervisory</w:t>
      </w:r>
      <w:r>
        <w:t xml:space="preserve"> </w:t>
      </w:r>
      <w:r>
        <w:t xml:space="preserve">responsibilities—it becomes imperative to align its financial model with the increased scale</w:t>
      </w:r>
      <w:r>
        <w:t xml:space="preserve"> </w:t>
      </w:r>
      <w:r>
        <w:t xml:space="preserve">and complexity of its tasks. A well-designed funding structure is not only essential to guarantee</w:t>
      </w:r>
      <w:r>
        <w:t xml:space="preserve"> </w:t>
      </w:r>
      <w:r>
        <w:t xml:space="preserve">the agency’s operational independence and effectiveness, but also to uphold the credibility,</w:t>
      </w:r>
      <w:r>
        <w:t xml:space="preserve"> </w:t>
      </w:r>
      <w:r>
        <w:t xml:space="preserve">continuity, and resilience of EU-level supervision.</w:t>
      </w:r>
    </w:p>
    <w:p>
      <w:pPr>
        <w:pStyle w:val="BodyText"/>
      </w:pPr>
      <w:r>
        <w:t xml:space="preserve">395</w:t>
      </w:r>
      <w:r>
        <w:t xml:space="preserve"> </w:t>
      </w:r>
      <w:r>
        <w:t xml:space="preserve">A reformed funding system should be guided by clear principles: those who benefit from</w:t>
      </w:r>
      <w:r>
        <w:t xml:space="preserve"> </w:t>
      </w:r>
      <w:r>
        <w:t xml:space="preserve">ESMA’s supervisory services should contribute proportionately to their cost; legal and</w:t>
      </w:r>
      <w:r>
        <w:t xml:space="preserve"> </w:t>
      </w:r>
      <w:r>
        <w:t xml:space="preserve">procedural frameworks should be simplified to reduce administrative burdens; and the system</w:t>
      </w:r>
      <w:r>
        <w:t xml:space="preserve"> </w:t>
      </w:r>
      <w:r>
        <w:t xml:space="preserve">must provide sufficient flexibility for ESMA to react to changing market conditions and</w:t>
      </w:r>
      <w:r>
        <w:t xml:space="preserve"> </w:t>
      </w:r>
      <w:r>
        <w:t xml:space="preserve">emerging priorities, including the supervision of innovative or high-risk areas.</w:t>
      </w:r>
      <w:r>
        <w:t xml:space="preserve"> </w:t>
      </w:r>
      <w:r>
        <w:t xml:space="preserve">The following targeted funding changes are proposed:</w:t>
      </w:r>
      <w:r>
        <w:t xml:space="preserve"> </w:t>
      </w:r>
      <w:r>
        <w:t xml:space="preserve">-</w:t>
      </w:r>
      <w:r>
        <w:t xml:space="preserve"> </w:t>
      </w:r>
      <w:r>
        <w:t xml:space="preserve">Direct supervisory mandates should be fully fee-funded. This ensures that the</w:t>
      </w:r>
      <w:r>
        <w:t xml:space="preserve"> </w:t>
      </w:r>
      <w:r>
        <w:t xml:space="preserve">costs of supervision are borne by the supervised entities themselves, reinforcing the</w:t>
      </w:r>
      <w:r>
        <w:t xml:space="preserve"> </w:t>
      </w:r>
      <w:r>
        <w:t xml:space="preserve">user-pays principle and safeguarding ESMA’s financial autonomy. This would be</w:t>
      </w:r>
      <w:r>
        <w:t xml:space="preserve"> </w:t>
      </w:r>
      <w:r>
        <w:t xml:space="preserve">in line with the current direct supervision mandates. At the same time ESMA’s</w:t>
      </w:r>
      <w:r>
        <w:t xml:space="preserve"> </w:t>
      </w:r>
      <w:r>
        <w:t xml:space="preserve">accountability will be strengthened with appropriate transparency and monitoring</w:t>
      </w:r>
      <w:r>
        <w:t xml:space="preserve"> </w:t>
      </w:r>
      <w:r>
        <w:t xml:space="preserve">mechanisms. The cost of ESMA’s convergence-related tasks linked to these</w:t>
      </w:r>
      <w:r>
        <w:t xml:space="preserve"> </w:t>
      </w:r>
      <w:r>
        <w:t xml:space="preserve">mandates should also be included in the supervisory fee.</w:t>
      </w:r>
      <w:r>
        <w:t xml:space="preserve"> </w:t>
      </w:r>
      <w:r>
        <w:t xml:space="preserve">-</w:t>
      </w:r>
      <w:r>
        <w:t xml:space="preserve"> </w:t>
      </w:r>
      <w:r>
        <w:t xml:space="preserve">Fee for a specific service – in the asset management area ESMA would carry out</w:t>
      </w:r>
      <w:r>
        <w:t xml:space="preserve"> </w:t>
      </w:r>
      <w:r>
        <w:t xml:space="preserve">annual reviews of the largest Union groups of management companies. In order to</w:t>
      </w:r>
      <w:r>
        <w:t xml:space="preserve"> </w:t>
      </w:r>
      <w:r>
        <w:t xml:space="preserve">ensure that the costs incurred by ESMA in carrying out these reviews are borne by</w:t>
      </w:r>
      <w:r>
        <w:t xml:space="preserve"> </w:t>
      </w:r>
      <w:r>
        <w:t xml:space="preserve">those entities that benefit from an enhanced supervisory coordination, ESMA</w:t>
      </w:r>
      <w:r>
        <w:t xml:space="preserve"> </w:t>
      </w:r>
      <w:r>
        <w:t xml:space="preserve">should charge those groups proportionate fees. Such fees should cover the</w:t>
      </w:r>
      <w:r>
        <w:t xml:space="preserve"> </w:t>
      </w:r>
      <w:r>
        <w:t xml:space="preserve">reasonable costs related to the preparation, conduct and follow-up of the reviews</w:t>
      </w:r>
      <w:r>
        <w:t xml:space="preserve"> </w:t>
      </w:r>
      <w:r>
        <w:t xml:space="preserve">referred.</w:t>
      </w:r>
      <w:r>
        <w:br/>
      </w:r>
      <w:r>
        <w:t xml:space="preserve">-</w:t>
      </w:r>
      <w:r>
        <w:t xml:space="preserve"> </w:t>
      </w:r>
      <w:r>
        <w:t xml:space="preserve">Cost-recovery rules should be consolidated under the ESMA Regulation. The</w:t>
      </w:r>
      <w:r>
        <w:t xml:space="preserve"> </w:t>
      </w:r>
      <w:r>
        <w:t xml:space="preserve">principle of full cost recovery for direct supervision should be enshrined in the</w:t>
      </w:r>
      <w:r>
        <w:t xml:space="preserve"> </w:t>
      </w:r>
      <w:r>
        <w:t xml:space="preserve">ESMA Regulation, replacing the current patchwork of sector-specific fee</w:t>
      </w:r>
      <w:r>
        <w:t xml:space="preserve"> </w:t>
      </w:r>
      <w:r>
        <w:t xml:space="preserve">arrangements. Centralising this principle would empower ESMA with greater</w:t>
      </w:r>
      <w:r>
        <w:t xml:space="preserve"> </w:t>
      </w:r>
      <w:r>
        <w:t xml:space="preserve">budgetary flexibility—allowing risk-based supervision. This would also support a</w:t>
      </w:r>
      <w:r>
        <w:t xml:space="preserve"> </w:t>
      </w:r>
      <w:r>
        <w:t xml:space="preserve">more efficient, risk-based allocation of supervisory resources, ensuring ESMA can</w:t>
      </w:r>
      <w:r>
        <w:t xml:space="preserve"> </w:t>
      </w:r>
      <w:r>
        <w:t xml:space="preserve">respond proportionately to supervisory demands. These measures would be</w:t>
      </w:r>
      <w:r>
        <w:t xml:space="preserve"> </w:t>
      </w:r>
      <w:r>
        <w:t xml:space="preserve">accompanied with stronger monitoring and accountability mechanisms.</w:t>
      </w:r>
      <w:r>
        <w:t xml:space="preserve"> </w:t>
      </w:r>
      <w:r>
        <w:t xml:space="preserve">-</w:t>
      </w:r>
      <w:r>
        <w:t xml:space="preserve"> </w:t>
      </w:r>
      <w:r>
        <w:t xml:space="preserve">Clarify and streamline the legal architecture for fees. Currently, sector-specific</w:t>
      </w:r>
      <w:r>
        <w:t xml:space="preserve"> </w:t>
      </w:r>
      <w:r>
        <w:t xml:space="preserve">rules limit ESMA’s ability to manage its budget efficiently. The ESMA Regulation</w:t>
      </w:r>
      <w:r>
        <w:t xml:space="preserve"> </w:t>
      </w:r>
      <w:r>
        <w:t xml:space="preserve">should define the main principles of fee collection, including cost coverage,</w:t>
      </w:r>
      <w:r>
        <w:t xml:space="preserve"> </w:t>
      </w:r>
      <w:r>
        <w:t xml:space="preserve">proportionality, transparency, and flexibility. Sector-specific details—such as</w:t>
      </w:r>
      <w:r>
        <w:t xml:space="preserve"> </w:t>
      </w:r>
      <w:r>
        <w:t xml:space="preserve">calculation methods or payment modalities—could be set out in delegated acts on</w:t>
      </w:r>
      <w:r>
        <w:t xml:space="preserve"> </w:t>
      </w:r>
      <w:r>
        <w:t xml:space="preserve">fees, allowing greater agility to adapt to sectoral dynamics without requiring</w:t>
      </w:r>
      <w:r>
        <w:t xml:space="preserve"> </w:t>
      </w:r>
      <w:r>
        <w:t xml:space="preserve">legislative changes.</w:t>
      </w:r>
      <w:r>
        <w:t xml:space="preserve"> </w:t>
      </w:r>
      <w:r>
        <w:t xml:space="preserve">-</w:t>
      </w:r>
      <w:r>
        <w:t xml:space="preserve"> </w:t>
      </w:r>
      <w:r>
        <w:t xml:space="preserve">Reconsider the current NCA/EU contribution model. Given ESMA’s increasing</w:t>
      </w:r>
      <w:r>
        <w:t xml:space="preserve"> </w:t>
      </w:r>
      <w:r>
        <w:t xml:space="preserve">role as a central pillar of the SIU, particularly in areas with strong cross-border and</w:t>
      </w:r>
      <w:r>
        <w:t xml:space="preserve"> </w:t>
      </w:r>
      <w:r>
        <w:t xml:space="preserve">systemic implications, the existing 40:60 funding ratio between NCAs and the EU</w:t>
      </w:r>
      <w:r>
        <w:t xml:space="preserve"> </w:t>
      </w:r>
      <w:r>
        <w:t xml:space="preserve">budget should be reassessed. A greater share of EU-level funding would be justified</w:t>
      </w:r>
      <w:r>
        <w:t xml:space="preserve"> </w:t>
      </w:r>
      <w:r>
        <w:t xml:space="preserve">to reflect the pan-European value of ESMA’s activities and the public good nature</w:t>
      </w:r>
      <w:r>
        <w:t xml:space="preserve"> </w:t>
      </w:r>
      <w:r>
        <w:t xml:space="preserve">of integrated supervision. This would also support national authorities in managing</w:t>
      </w:r>
      <w:r>
        <w:t xml:space="preserve"> </w:t>
      </w:r>
      <w:r>
        <w:t xml:space="preserve">the transition, as supervisory responsibilities shift to the EU level. This change</w:t>
      </w:r>
      <w:r>
        <w:t xml:space="preserve"> </w:t>
      </w:r>
      <w:r>
        <w:t xml:space="preserve">depends on the outcome of the current negotiations of the next MFF.</w:t>
      </w:r>
      <w:r>
        <w:t xml:space="preserve"> </w:t>
      </w:r>
      <w:r>
        <w:t xml:space="preserve">Taken together, these changes would ensure that ESMA has the financial stability, flexibility,</w:t>
      </w:r>
      <w:r>
        <w:t xml:space="preserve"> </w:t>
      </w:r>
      <w:r>
        <w:t xml:space="preserve">and responsiveness required to carry out its growing responsibilities efficiently and equitably,</w:t>
      </w:r>
      <w:r>
        <w:t xml:space="preserve"> </w:t>
      </w:r>
      <w:r>
        <w:t xml:space="preserve">while maintaining public trust and accountability in its role.</w:t>
      </w:r>
    </w:p>
    <w:p>
      <w:pPr>
        <w:pStyle w:val="BodyText"/>
      </w:pPr>
      <w:r>
        <w:t xml:space="preserve">396</w:t>
      </w:r>
      <w:r>
        <w:t xml:space="preserve"> </w:t>
      </w:r>
      <w:r>
        <w:t xml:space="preserve">4.3. OPTION 3 – ESMA SINGLE SUPERVISOR FOR ALL EU TRADING VENUES, POST</w:t>
      </w:r>
      <w:r>
        <w:t xml:space="preserve"> </w:t>
      </w:r>
      <w:r>
        <w:t xml:space="preserve">TRADING, ASSET MANAGERS AND CRYPTO ASSET SERVICE PROVIDERS</w:t>
      </w:r>
      <w:r>
        <w:t xml:space="preserve"> </w:t>
      </w:r>
      <w:r>
        <w:t xml:space="preserve">Under this option, ESMA would be responsible for supervising all EU CCPs, CSDs, trading</w:t>
      </w:r>
      <w:r>
        <w:t xml:space="preserve"> </w:t>
      </w:r>
      <w:r>
        <w:t xml:space="preserve">venues, asset managers and crypto asset service providers, regardless of size, significance or</w:t>
      </w:r>
      <w:r>
        <w:t xml:space="preserve"> </w:t>
      </w:r>
      <w:r>
        <w:t xml:space="preserve">cross-border nature. NCAs will no longer be involved in authorisation and supervision of these</w:t>
      </w:r>
      <w:r>
        <w:t xml:space="preserve"> </w:t>
      </w:r>
      <w:r>
        <w:t xml:space="preserve">entities. The rationale behind this option is to create a single, EU-wide supervisor, ensuring</w:t>
      </w:r>
      <w:r>
        <w:t xml:space="preserve"> </w:t>
      </w:r>
      <w:r>
        <w:t xml:space="preserve">EU-wide consistency and eliminating the risks of regulatory arbitrage, forum shopping and</w:t>
      </w:r>
      <w:r>
        <w:t xml:space="preserve"> </w:t>
      </w:r>
      <w:r>
        <w:t xml:space="preserve">divergent approaches to supervision. Especially for entities belonging to a group of companies,</w:t>
      </w:r>
      <w:r>
        <w:t xml:space="preserve"> </w:t>
      </w:r>
      <w:r>
        <w:t xml:space="preserve">this option would offer a single point of contact, which can reduce regulatory complexity and</w:t>
      </w:r>
      <w:r>
        <w:t xml:space="preserve"> </w:t>
      </w:r>
      <w:r>
        <w:t xml:space="preserve">costs.</w:t>
      </w:r>
      <w:r>
        <w:br/>
      </w:r>
      <w:r>
        <w:t xml:space="preserve">The single supervisor could be organised as strictly central units or partially decentralised with</w:t>
      </w:r>
      <w:r>
        <w:t xml:space="preserve"> </w:t>
      </w:r>
      <w:r>
        <w:t xml:space="preserve">offices or branches in all Member States either serving as contact points for (retail) investors</w:t>
      </w:r>
      <w:r>
        <w:t xml:space="preserve"> </w:t>
      </w:r>
      <w:r>
        <w:t xml:space="preserve">and potential complainants as well as the supervised entities, or (partially) performing the</w:t>
      </w:r>
      <w:r>
        <w:t xml:space="preserve"> </w:t>
      </w:r>
      <w:r>
        <w:t xml:space="preserve">supervision on the spot.</w:t>
      </w:r>
      <w:r>
        <w:br/>
      </w:r>
      <w:r>
        <w:t xml:space="preserve">This option would reduce costs of supervision at Member State level considerably because it</w:t>
      </w:r>
      <w:r>
        <w:t xml:space="preserve"> </w:t>
      </w:r>
      <w:r>
        <w:t xml:space="preserve">would no longer be required that competencies for all supervisory tasks in all areas are ensured</w:t>
      </w:r>
      <w:r>
        <w:t xml:space="preserve"> </w:t>
      </w:r>
      <w:r>
        <w:t xml:space="preserve">separately in all Member States and because of a reduction of costs of coordination among</w:t>
      </w:r>
      <w:r>
        <w:t xml:space="preserve"> </w:t>
      </w:r>
      <w:r>
        <w:t xml:space="preserve">competent authorities and with ESMA. It would exploit economies of scale to the full and avoid</w:t>
      </w:r>
      <w:r>
        <w:t xml:space="preserve"> </w:t>
      </w:r>
      <w:r>
        <w:t xml:space="preserve">the duplication of tasks. In terms of effectiveness, this option would fully address the identified</w:t>
      </w:r>
      <w:r>
        <w:t xml:space="preserve"> </w:t>
      </w:r>
      <w:r>
        <w:t xml:space="preserve">problem of limited tools and powers at EU level to enforce convergence and divergent</w:t>
      </w:r>
      <w:r>
        <w:t xml:space="preserve"> </w:t>
      </w:r>
      <w:r>
        <w:t xml:space="preserve">supervisory practices.</w:t>
      </w:r>
      <w:r>
        <w:br/>
      </w:r>
      <w:r>
        <w:t xml:space="preserve">4.3.1. Governance changes</w:t>
      </w:r>
      <w:r>
        <w:t xml:space="preserve"> </w:t>
      </w:r>
      <w:r>
        <w:t xml:space="preserve">In terms of governance, under this option ESMA would assume supervisory responsibilities</w:t>
      </w:r>
      <w:r>
        <w:t xml:space="preserve"> </w:t>
      </w:r>
      <w:r>
        <w:t xml:space="preserve">following the model already in place for areas currently under ESMA’s direct supervision. As</w:t>
      </w:r>
      <w:r>
        <w:t xml:space="preserve"> </w:t>
      </w:r>
      <w:r>
        <w:t xml:space="preserve">for option 2 this would entail a significant restructuring of ESMA’s institutional setup to</w:t>
      </w:r>
      <w:r>
        <w:t xml:space="preserve"> </w:t>
      </w:r>
      <w:r>
        <w:t xml:space="preserve">accommodate its expanded mandate as the sole supervisor of trading, post-trading, asset</w:t>
      </w:r>
      <w:r>
        <w:t xml:space="preserve"> </w:t>
      </w:r>
      <w:r>
        <w:t xml:space="preserve">management, and crypto-asset services across the EU. Unlike option 2, day-to-day supervision</w:t>
      </w:r>
      <w:r>
        <w:t xml:space="preserve"> </w:t>
      </w:r>
      <w:r>
        <w:t xml:space="preserve">would be carried out by ESMA staff, leveraging sector-specific expertise and operating under</w:t>
      </w:r>
      <w:r>
        <w:t xml:space="preserve"> </w:t>
      </w:r>
      <w:r>
        <w:t xml:space="preserve">a unified supervisory framework. NCAs would no longer be involved in the day-to-day</w:t>
      </w:r>
      <w:r>
        <w:t xml:space="preserve"> </w:t>
      </w:r>
      <w:r>
        <w:t xml:space="preserve">supervisory activities. A key institutional change would be the creation of a new Executive</w:t>
      </w:r>
      <w:r>
        <w:t xml:space="preserve"> </w:t>
      </w:r>
      <w:r>
        <w:t xml:space="preserve">Board composed of a limited number of full-time members selected for their technical expertise</w:t>
      </w:r>
      <w:r>
        <w:t xml:space="preserve"> </w:t>
      </w:r>
      <w:r>
        <w:t xml:space="preserve">and mandated to act in the interest of the EU as a whole, rather than representing national</w:t>
      </w:r>
      <w:r>
        <w:t xml:space="preserve"> </w:t>
      </w:r>
      <w:r>
        <w:t xml:space="preserve">perspectives. The Executive Board would become the sole decision-making body for all</w:t>
      </w:r>
      <w:r>
        <w:t xml:space="preserve"> </w:t>
      </w:r>
      <w:r>
        <w:t xml:space="preserve">supervisory decisions - including authorisations, sanctions, and enforcement actions – ensuring</w:t>
      </w:r>
      <w:r>
        <w:t xml:space="preserve"> </w:t>
      </w:r>
      <w:r>
        <w:t xml:space="preserve">strategic consistency and operational independence from national influence. The current Board</w:t>
      </w:r>
      <w:r>
        <w:t xml:space="preserve"> </w:t>
      </w:r>
      <w:r>
        <w:t xml:space="preserve">of Supervisors, which comprises representatives from NCAs, would no longer be involved in</w:t>
      </w:r>
      <w:r>
        <w:t xml:space="preserve"> </w:t>
      </w:r>
      <w:r>
        <w:t xml:space="preserve">supervisory or regulatory decisions. However, a centralised body of this nature may face</w:t>
      </w:r>
      <w:r>
        <w:t xml:space="preserve"> </w:t>
      </w:r>
      <w:r>
        <w:t xml:space="preserve">challenges in replicating the breadth of practical, on the ground supervisory expertise currently</w:t>
      </w:r>
      <w:r>
        <w:t xml:space="preserve"> </w:t>
      </w:r>
      <w:r>
        <w:t xml:space="preserve">embedded within NCAs. In particular there is a significant risk that the loss of local knowledge</w:t>
      </w:r>
      <w:r>
        <w:t xml:space="preserve"> </w:t>
      </w:r>
      <w:r>
        <w:t xml:space="preserve">and real-time insight - especially for entities operating in a purely domestic context - could</w:t>
      </w:r>
      <w:r>
        <w:t xml:space="preserve"> </w:t>
      </w:r>
      <w:r>
        <w:t xml:space="preserve">impair the effectiveness of supervision.</w:t>
      </w:r>
      <w:r>
        <w:br/>
      </w:r>
      <w:r>
        <w:t xml:space="preserve">4.3.2. Funding</w:t>
      </w:r>
      <w:r>
        <w:br/>
      </w:r>
      <w:r>
        <w:t xml:space="preserve">In terms of funding, the model would rely entirely on fees levied on supervised entities,</w:t>
      </w:r>
      <w:r>
        <w:t xml:space="preserve"> </w:t>
      </w:r>
      <w:r>
        <w:t xml:space="preserve">replacing the current national funding mechanisms. These fees would need to cover the full</w:t>
      </w:r>
      <w:r>
        <w:t xml:space="preserve"> </w:t>
      </w:r>
      <w:r>
        <w:t xml:space="preserve">operational costs of supervision, including the significant expansion of ESMA’s staffing and</w:t>
      </w:r>
      <w:r>
        <w:t xml:space="preserve"> </w:t>
      </w:r>
      <w:r>
        <w:t xml:space="preserve">infrastructure.</w:t>
      </w:r>
    </w:p>
    <w:p>
      <w:pPr>
        <w:pStyle w:val="BodyText"/>
      </w:pPr>
      <w:r>
        <w:t xml:space="preserve">397</w:t>
      </w:r>
      <w:r>
        <w:t xml:space="preserve"> </w:t>
      </w:r>
      <w:r>
        <w:t xml:space="preserve">Replies from the consultation reveal that while there is support from some respondents for</w:t>
      </w:r>
      <w:r>
        <w:t xml:space="preserve"> </w:t>
      </w:r>
      <w:r>
        <w:t xml:space="preserve">ESMA’s expanded role in specific, systemic or cross-border areas, stakeholders generally</w:t>
      </w:r>
      <w:r>
        <w:t xml:space="preserve"> </w:t>
      </w:r>
      <w:r>
        <w:t xml:space="preserve">reject a blanket centralisation of all trading, post-trading, asset management, and crypto</w:t>
      </w:r>
      <w:r>
        <w:t xml:space="preserve"> </w:t>
      </w:r>
      <w:r>
        <w:t xml:space="preserve">services under ESMA. Stakeholders caution against full centralisation due to risks of losing</w:t>
      </w:r>
      <w:r>
        <w:t xml:space="preserve"> </w:t>
      </w:r>
      <w:r>
        <w:t xml:space="preserve">local market knowledge, increasing costs, and reducing supervisory responsiveness. They</w:t>
      </w:r>
      <w:r>
        <w:t xml:space="preserve"> </w:t>
      </w:r>
      <w:r>
        <w:t xml:space="preserve">emphasise the importance of national expertise and proximity to markets and argue that</w:t>
      </w:r>
      <w:r>
        <w:t xml:space="preserve"> </w:t>
      </w:r>
      <w:r>
        <w:t xml:space="preserve">national supervisors understand local legal frameworks, business models, and market nuances</w:t>
      </w:r>
      <w:r>
        <w:t xml:space="preserve"> </w:t>
      </w:r>
      <w:r>
        <w:t xml:space="preserve">better than a central body could. They highlight that full centralisation might weaken the</w:t>
      </w:r>
      <w:r>
        <w:t xml:space="preserve"> </w:t>
      </w:r>
      <w:r>
        <w:t xml:space="preserve">proportionality of supervision and lead to a</w:t>
      </w:r>
      <w:r>
        <w:t xml:space="preserve"> </w:t>
      </w:r>
      <w:r>
        <w:t xml:space="preserve">“one-size-fits-all”</w:t>
      </w:r>
      <w:r>
        <w:t xml:space="preserve"> </w:t>
      </w:r>
      <w:r>
        <w:t xml:space="preserve">approach, unsuitable for local</w:t>
      </w:r>
      <w:r>
        <w:t xml:space="preserve"> </w:t>
      </w:r>
      <w:r>
        <w:t xml:space="preserve">players.</w:t>
      </w:r>
      <w:r>
        <w:t xml:space="preserve"> </w:t>
      </w:r>
      <w:r>
        <w:t xml:space="preserve">4.4. ASSESSMENT OF THE IMPACT OF OPTION 2</w:t>
      </w:r>
      <w:r>
        <w:t xml:space="preserve"> </w:t>
      </w:r>
      <w:r>
        <w:t xml:space="preserve">4.4.1. Effectiveness</w:t>
      </w:r>
      <w:r>
        <w:t xml:space="preserve"> </w:t>
      </w:r>
      <w:r>
        <w:t xml:space="preserve">Transferring supervisory responsibilities of entities that are large and have a significant cross-</w:t>
      </w:r>
      <w:r>
        <w:t xml:space="preserve"> </w:t>
      </w:r>
      <w:r>
        <w:t xml:space="preserve">border dimension will result in greater integration of the European financial market, because it</w:t>
      </w:r>
      <w:r>
        <w:t xml:space="preserve"> </w:t>
      </w:r>
      <w:r>
        <w:t xml:space="preserve">will streamline the application of EU law and will harmonise supervisory requirements. It will</w:t>
      </w:r>
      <w:r>
        <w:t xml:space="preserve"> </w:t>
      </w:r>
      <w:r>
        <w:t xml:space="preserve">also enhance the competitiveness of the European capital market. Greater supervisory</w:t>
      </w:r>
      <w:r>
        <w:t xml:space="preserve"> </w:t>
      </w:r>
      <w:r>
        <w:t xml:space="preserve">convergence is also likely to make cross-border consolidation of financial market</w:t>
      </w:r>
      <w:r>
        <w:t xml:space="preserve"> </w:t>
      </w:r>
      <w:r>
        <w:t xml:space="preserve">infrastructures more economically attractive, making such entities also more competitive on a</w:t>
      </w:r>
      <w:r>
        <w:t xml:space="preserve"> </w:t>
      </w:r>
      <w:r>
        <w:t xml:space="preserve">global stage. Currently, infrastructure operators might hesitate cross-border activities due to</w:t>
      </w:r>
      <w:r>
        <w:t xml:space="preserve"> </w:t>
      </w:r>
      <w:r>
        <w:t xml:space="preserve">the legal risks evoked by having to engage with a different supervisory authority.</w:t>
      </w:r>
      <w:r>
        <w:br/>
      </w:r>
      <w:r>
        <w:t xml:space="preserve">The most significant EU CCPs concerned would benefit from harmonised supervisory</w:t>
      </w:r>
      <w:r>
        <w:t xml:space="preserve"> </w:t>
      </w:r>
      <w:r>
        <w:t xml:space="preserve">processes, for example regarding the authorisation of new services or changes to risk models,</w:t>
      </w:r>
      <w:r>
        <w:t xml:space="preserve"> </w:t>
      </w:r>
      <w:r>
        <w:t xml:space="preserve">which would allow for a level playing field for those CCPs and hence foster greater</w:t>
      </w:r>
      <w:r>
        <w:t xml:space="preserve"> </w:t>
      </w:r>
      <w:r>
        <w:t xml:space="preserve">competition. The increased competition amongst CCPs could trigger a virtuous circle with</w:t>
      </w:r>
      <w:r>
        <w:t xml:space="preserve"> </w:t>
      </w:r>
      <w:r>
        <w:t xml:space="preserve">increasing opportunities for clearing members.</w:t>
      </w:r>
      <w:r>
        <w:br/>
      </w:r>
      <w:r>
        <w:t xml:space="preserve">A centralised supervisor would have a comprehensive view of the interconnectedness of these</w:t>
      </w:r>
      <w:r>
        <w:t xml:space="preserve"> </w:t>
      </w:r>
      <w:r>
        <w:t xml:space="preserve">CCPs and their participants, enabling it to better identify and manage systemic risks that might</w:t>
      </w:r>
      <w:r>
        <w:t xml:space="preserve"> </w:t>
      </w:r>
      <w:r>
        <w:t xml:space="preserve">otherwise go undetected under fragmented supervision. It would also simplify the processes</w:t>
      </w:r>
      <w:r>
        <w:t xml:space="preserve"> </w:t>
      </w:r>
      <w:r>
        <w:t xml:space="preserve">and allow for more flexibility, without duplication when assessing the CCP’s requests.</w:t>
      </w:r>
      <w:r>
        <w:t xml:space="preserve"> </w:t>
      </w:r>
      <w:r>
        <w:t xml:space="preserve">Similarly, for the most significant EU CSDs, a centralised supervisor would be able to monitor</w:t>
      </w:r>
      <w:r>
        <w:t xml:space="preserve"> </w:t>
      </w:r>
      <w:r>
        <w:t xml:space="preserve">the cross-border risks stemming from the increased volumes of cross-border transactions at</w:t>
      </w:r>
      <w:r>
        <w:t xml:space="preserve"> </w:t>
      </w:r>
      <w:r>
        <w:t xml:space="preserve">CSD level in order to better identify and mitigate the financial stability, and systemic risks</w:t>
      </w:r>
      <w:r>
        <w:t xml:space="preserve"> </w:t>
      </w:r>
      <w:r>
        <w:t xml:space="preserve">stemming from the provision of CSD services.</w:t>
      </w:r>
      <w:r>
        <w:br/>
      </w:r>
      <w:r>
        <w:t xml:space="preserve">For the most significant EU CSDs, supervision by ESMA would entail harmonised supervisory</w:t>
      </w:r>
      <w:r>
        <w:t xml:space="preserve"> </w:t>
      </w:r>
      <w:r>
        <w:t xml:space="preserve">processes, for example in relation to the intra-group outsourcing of services or to the</w:t>
      </w:r>
      <w:r>
        <w:t xml:space="preserve"> </w:t>
      </w:r>
      <w:r>
        <w:t xml:space="preserve">authorisations of the extension of services offered. This would ensure a level playing field for</w:t>
      </w:r>
      <w:r>
        <w:t xml:space="preserve"> </w:t>
      </w:r>
      <w:r>
        <w:t xml:space="preserve">those CSDs and foster a competitive landscape for securities services.</w:t>
      </w:r>
      <w:r>
        <w:br/>
      </w:r>
      <w:r>
        <w:t xml:space="preserve">Furthermore, for the entities in scope, EU-level supervision would ensure that prudential and</w:t>
      </w:r>
      <w:r>
        <w:t xml:space="preserve"> </w:t>
      </w:r>
      <w:r>
        <w:t xml:space="preserve">conduct risks are assessed with a uniform, EU-wide perspective, enabling a more</w:t>
      </w:r>
      <w:r>
        <w:t xml:space="preserve"> </w:t>
      </w:r>
      <w:r>
        <w:t xml:space="preserve">comprehensive and timely supervisory approach. This is particularly true for CCPs, CSDs and</w:t>
      </w:r>
      <w:r>
        <w:t xml:space="preserve"> </w:t>
      </w:r>
      <w:r>
        <w:t xml:space="preserve">trading venues that belong to a group and fall under EU level supervision. This means that</w:t>
      </w:r>
      <w:r>
        <w:t xml:space="preserve"> </w:t>
      </w:r>
      <w:r>
        <w:t xml:space="preserve">ESMA would have full visibility over both the trading and post-trade operations of these</w:t>
      </w:r>
      <w:r>
        <w:t xml:space="preserve"> </w:t>
      </w:r>
      <w:r>
        <w:t xml:space="preserve">entities across Member States, which would enable it to better detect systemic risks, monitor</w:t>
      </w:r>
      <w:r>
        <w:t xml:space="preserve"> </w:t>
      </w:r>
      <w:r>
        <w:t xml:space="preserve">market developments, and ensure consistent application of the Single Rulebook. This is</w:t>
      </w:r>
      <w:r>
        <w:t xml:space="preserve"> </w:t>
      </w:r>
      <w:r>
        <w:t xml:space="preserve">particularly relevant for financial sectors where activities and risks do not stop at national</w:t>
      </w:r>
    </w:p>
    <w:p>
      <w:pPr>
        <w:pStyle w:val="BodyText"/>
      </w:pPr>
      <w:r>
        <w:t xml:space="preserve">398</w:t>
      </w:r>
      <w:r>
        <w:t xml:space="preserve"> </w:t>
      </w:r>
      <w:r>
        <w:t xml:space="preserve">borders, such as post-trade infrastructure providers and trading venues serving cross-border</w:t>
      </w:r>
      <w:r>
        <w:t xml:space="preserve"> </w:t>
      </w:r>
      <w:r>
        <w:t xml:space="preserve">markets, pan-European asset managers and crypto-asset service providers.</w:t>
      </w:r>
      <w:r>
        <w:t xml:space="preserve"> </w:t>
      </w:r>
      <w:r>
        <w:t xml:space="preserve">Within this preferred policy option, ESMA would have the capacity to develop strong expertise</w:t>
      </w:r>
      <w:r>
        <w:t xml:space="preserve"> </w:t>
      </w:r>
      <w:r>
        <w:t xml:space="preserve">on fast changing technologies and impose the same requirements in that regard on all the</w:t>
      </w:r>
      <w:r>
        <w:t xml:space="preserve"> </w:t>
      </w:r>
      <w:r>
        <w:t xml:space="preserve">entities it is supervising. Through a more agile and data driven supervisory approach, it will</w:t>
      </w:r>
      <w:r>
        <w:t xml:space="preserve"> </w:t>
      </w:r>
      <w:r>
        <w:t xml:space="preserve">also facilitate innovation in fast moving sectors.</w:t>
      </w:r>
      <w:r>
        <w:br/>
      </w:r>
      <w:r>
        <w:t xml:space="preserve">In the trading sector, the centralisation of supervisory powers as envisaged in Option 2 will</w:t>
      </w:r>
      <w:r>
        <w:t xml:space="preserve"> </w:t>
      </w:r>
      <w:r>
        <w:t xml:space="preserve">eliminate the fragmentation of supervisory approaches along national lines and hence level the</w:t>
      </w:r>
      <w:r>
        <w:t xml:space="preserve"> </w:t>
      </w:r>
      <w:r>
        <w:t xml:space="preserve">playing field for those trading venues that are in scope of EU-level supervision. It will foster</w:t>
      </w:r>
      <w:r>
        <w:t xml:space="preserve"> </w:t>
      </w:r>
      <w:r>
        <w:t xml:space="preserve">fair competition among them and facilitate cross-border operations by reducing costs and</w:t>
      </w:r>
      <w:r>
        <w:t xml:space="preserve"> </w:t>
      </w:r>
      <w:r>
        <w:t xml:space="preserve">enabling the synergies which a friction-less single market for capital should offer. Because of</w:t>
      </w:r>
      <w:r>
        <w:t xml:space="preserve"> </w:t>
      </w:r>
      <w:r>
        <w:t xml:space="preserve">the significant part of the sector falling in scope [more than two thirds of the trading venues</w:t>
      </w:r>
      <w:r>
        <w:t xml:space="preserve"> </w:t>
      </w:r>
      <w:r>
        <w:t xml:space="preserve">and trading volume in all major asset classes] as well as the enhanced supervisory convergence</w:t>
      </w:r>
      <w:r>
        <w:t xml:space="preserve"> </w:t>
      </w:r>
      <w:r>
        <w:t xml:space="preserve">tools for ESMA foreseen under Option 2, it is also expected to support an improvement in the</w:t>
      </w:r>
      <w:r>
        <w:t xml:space="preserve"> </w:t>
      </w:r>
      <w:r>
        <w:t xml:space="preserve">alignment of supervisory approaches towards those trading venues which, because of their</w:t>
      </w:r>
      <w:r>
        <w:t xml:space="preserve"> </w:t>
      </w:r>
      <w:r>
        <w:t xml:space="preserve">smaller size and national dimension, will remain under national supervision.</w:t>
      </w:r>
      <w:r>
        <w:br/>
      </w:r>
      <w:r>
        <w:t xml:space="preserve">In the asset management sector, enhanced cooperation between ESMA and NCAs on the</w:t>
      </w:r>
      <w:r>
        <w:t xml:space="preserve"> </w:t>
      </w:r>
      <w:r>
        <w:t xml:space="preserve">supervision of large asset managers has the potential to improve supervisory consistency and</w:t>
      </w:r>
      <w:r>
        <w:t xml:space="preserve"> </w:t>
      </w:r>
      <w:r>
        <w:t xml:space="preserve">predictability. It can lead to a lower compliance burden and cost savings for individual asset</w:t>
      </w:r>
      <w:r>
        <w:t xml:space="preserve"> </w:t>
      </w:r>
      <w:r>
        <w:t xml:space="preserve">managers, for example, if they no longer have to comply with diverging requests for documents</w:t>
      </w:r>
      <w:r>
        <w:t xml:space="preserve"> </w:t>
      </w:r>
      <w:r>
        <w:t xml:space="preserve">or disclosures from different NCAs for the same product. A consistent sharing of information</w:t>
      </w:r>
      <w:r>
        <w:t xml:space="preserve"> </w:t>
      </w:r>
      <w:r>
        <w:t xml:space="preserve">between ESMA and NCAs would help eliminate the duplicative information requests that</w:t>
      </w:r>
      <w:r>
        <w:t xml:space="preserve"> </w:t>
      </w:r>
      <w:r>
        <w:t xml:space="preserve">today often force large asset managers to submit the same data multiple times to different</w:t>
      </w:r>
      <w:r>
        <w:t xml:space="preserve"> </w:t>
      </w:r>
      <w:r>
        <w:t xml:space="preserve">authorities in varying formats. Furthermore, a regular exchange of views among NCAs on</w:t>
      </w:r>
      <w:r>
        <w:t xml:space="preserve"> </w:t>
      </w:r>
      <w:r>
        <w:t xml:space="preserve">innovative products and strategies, for instance, would promote a consistent interpretation</w:t>
      </w:r>
      <w:r>
        <w:t xml:space="preserve"> </w:t>
      </w:r>
      <w:r>
        <w:t xml:space="preserve">between home and host NCAs, making it easier for fund managers to market their products</w:t>
      </w:r>
      <w:r>
        <w:t xml:space="preserve"> </w:t>
      </w:r>
      <w:r>
        <w:t xml:space="preserve">across borders. Asset managers would also benefit from a common supervisory approach to</w:t>
      </w:r>
      <w:r>
        <w:t xml:space="preserve"> </w:t>
      </w:r>
      <w:r>
        <w:t xml:space="preserve">eligible assets which could be fostered in the new setup. NCAs would have to make a bigger</w:t>
      </w:r>
      <w:r>
        <w:t xml:space="preserve"> </w:t>
      </w:r>
      <w:r>
        <w:t xml:space="preserve">effort to coordinate and converge under this approach than they currently do. This can,</w:t>
      </w:r>
      <w:r>
        <w:t xml:space="preserve"> </w:t>
      </w:r>
      <w:r>
        <w:t xml:space="preserve">however, at least partially be offset by the additional insights they gain through the enhanced</w:t>
      </w:r>
      <w:r>
        <w:t xml:space="preserve"> </w:t>
      </w:r>
      <w:r>
        <w:t xml:space="preserve">cooperation and the pooling of expertise. Detecting and managing risks would also become</w:t>
      </w:r>
      <w:r>
        <w:t xml:space="preserve"> </w:t>
      </w:r>
      <w:r>
        <w:t xml:space="preserve">easier for them.</w:t>
      </w:r>
      <w:r>
        <w:br/>
      </w:r>
      <w:r>
        <w:t xml:space="preserve">For CASPs, centralised supervision by ESMA would provide a level playing field and</w:t>
      </w:r>
      <w:r>
        <w:t xml:space="preserve"> </w:t>
      </w:r>
      <w:r>
        <w:t xml:space="preserve">supervisory consistency from the beginning, in a new area of financial activity not previously</w:t>
      </w:r>
      <w:r>
        <w:t xml:space="preserve"> </w:t>
      </w:r>
      <w:r>
        <w:t xml:space="preserve">regulated. Risks would be monitored and addressed in a comprehensive and consistent manner.</w:t>
      </w:r>
      <w:r>
        <w:t xml:space="preserve"> </w:t>
      </w:r>
      <w:r>
        <w:t xml:space="preserve">Centralised oversight would ensure the consistent application of regulatory standards. It would</w:t>
      </w:r>
      <w:r>
        <w:t xml:space="preserve"> </w:t>
      </w:r>
      <w:r>
        <w:t xml:space="preserve">mitigate supervisory gaps across jurisdictions and address the disproportionate impact their</w:t>
      </w:r>
      <w:r>
        <w:t xml:space="preserve"> </w:t>
      </w:r>
      <w:r>
        <w:t xml:space="preserve">potential failure could have on the EU’s crypto-asset ecosystem. Supervision would also be</w:t>
      </w:r>
      <w:r>
        <w:t xml:space="preserve"> </w:t>
      </w:r>
      <w:r>
        <w:t xml:space="preserve">more effective with ESMA being the single supervisory authority for CASPs, instead of many</w:t>
      </w:r>
      <w:r>
        <w:t xml:space="preserve"> </w:t>
      </w:r>
      <w:r>
        <w:t xml:space="preserve">authorities spread across different jurisdictions and relying on complicated cooperation</w:t>
      </w:r>
      <w:r>
        <w:t xml:space="preserve"> </w:t>
      </w:r>
      <w:r>
        <w:t xml:space="preserve">arrangements that are time-consuming. Centralised supervision from the beginning would</w:t>
      </w:r>
      <w:r>
        <w:t xml:space="preserve"> </w:t>
      </w:r>
      <w:r>
        <w:t xml:space="preserve">mean the danger of fragmentation would not materialise and there would be no national barriers</w:t>
      </w:r>
      <w:r>
        <w:t xml:space="preserve"> </w:t>
      </w:r>
      <w:r>
        <w:t xml:space="preserve">to remove as with other sectors. The supervision of CASPs provides a unique opportunity to</w:t>
      </w:r>
      <w:r>
        <w:t xml:space="preserve"> </w:t>
      </w:r>
      <w:r>
        <w:t xml:space="preserve">establish a centralised supervisory model for a new area.</w:t>
      </w:r>
      <w:r>
        <w:t xml:space="preserve"> </w:t>
      </w:r>
      <w:r>
        <w:t xml:space="preserve">4.4.2. Coherence</w:t>
      </w:r>
      <w:r>
        <w:br/>
      </w:r>
      <w:r>
        <w:t xml:space="preserve">This option ensures coherence with the SIU communication and the specific objective of</w:t>
      </w:r>
      <w:r>
        <w:t xml:space="preserve"> </w:t>
      </w:r>
      <w:r>
        <w:t xml:space="preserve">improved supervision by reducing divergences. It does so by balancing national and EU-level</w:t>
      </w:r>
    </w:p>
    <w:p>
      <w:pPr>
        <w:pStyle w:val="BodyText"/>
      </w:pPr>
      <w:r>
        <w:t xml:space="preserve">399</w:t>
      </w:r>
      <w:r>
        <w:t xml:space="preserve"> </w:t>
      </w:r>
      <w:r>
        <w:t xml:space="preserve">roles. It enhances ESMA’s oversight where EU-wide supervision adds value, particularly for</w:t>
      </w:r>
      <w:r>
        <w:t xml:space="preserve"> </w:t>
      </w:r>
      <w:r>
        <w:t xml:space="preserve">large or cross-border entities, while NCAs retain control over smaller and/or purely national</w:t>
      </w:r>
      <w:r>
        <w:t xml:space="preserve"> </w:t>
      </w:r>
      <w:r>
        <w:t xml:space="preserve">actors. It reflects some stakeholders’ support for targeted, not full, centralisation—preserving</w:t>
      </w:r>
      <w:r>
        <w:t xml:space="preserve"> </w:t>
      </w:r>
      <w:r>
        <w:t xml:space="preserve">national input, while addressing cross-border risks effectively. Governance changes, like the</w:t>
      </w:r>
      <w:r>
        <w:t xml:space="preserve"> </w:t>
      </w:r>
      <w:r>
        <w:t xml:space="preserve">new Executive Board, strengthen ESMA’s independence and align decision-making with its</w:t>
      </w:r>
      <w:r>
        <w:t xml:space="preserve"> </w:t>
      </w:r>
      <w:r>
        <w:t xml:space="preserve">expanded role. Stronger convergence tools would promote consistent supervision, supporting</w:t>
      </w:r>
      <w:r>
        <w:t xml:space="preserve"> </w:t>
      </w:r>
      <w:r>
        <w:t xml:space="preserve">the Single Market and the SIU.</w:t>
      </w:r>
      <w:r>
        <w:br/>
      </w:r>
      <w:r>
        <w:t xml:space="preserve">Regarding EU CCPs, a single supervisor for significant CCPs would eliminate discrepancies</w:t>
      </w:r>
      <w:r>
        <w:t xml:space="preserve"> </w:t>
      </w:r>
      <w:r>
        <w:t xml:space="preserve">that arise from differences in how national authorities interpret and apply EMIR (such as the</w:t>
      </w:r>
      <w:r>
        <w:t xml:space="preserve"> </w:t>
      </w:r>
      <w:r>
        <w:t xml:space="preserve">current application of additional costs from some NCAs, the current existence of a pre-filing</w:t>
      </w:r>
      <w:r>
        <w:t xml:space="preserve"> </w:t>
      </w:r>
      <w:r>
        <w:t xml:space="preserve">phase from some NCAs or divergent interpretations about which CCP changes should be</w:t>
      </w:r>
      <w:r>
        <w:t xml:space="preserve"> </w:t>
      </w:r>
      <w:r>
        <w:t xml:space="preserve">subject to authorisation/validation). This would create a consistent regulatory landscape,</w:t>
      </w:r>
      <w:r>
        <w:t xml:space="preserve"> </w:t>
      </w:r>
      <w:r>
        <w:t xml:space="preserve">preventing an unlevel playing field between the most significant EU CCPs.</w:t>
      </w:r>
      <w:r>
        <w:br/>
      </w:r>
      <w:r>
        <w:t xml:space="preserve">Regarding EU CSDs, a single supervisor for significant CSDs would ensure consistent</w:t>
      </w:r>
      <w:r>
        <w:t xml:space="preserve"> </w:t>
      </w:r>
      <w:r>
        <w:t xml:space="preserve">interpretation of CSDR provisions, notably with respect to the provision of cross-border</w:t>
      </w:r>
      <w:r>
        <w:t xml:space="preserve"> </w:t>
      </w:r>
      <w:r>
        <w:t xml:space="preserve">services by CSDs and outsourcing within CSD groups. This would create a level playing field</w:t>
      </w:r>
      <w:r>
        <w:t xml:space="preserve"> </w:t>
      </w:r>
      <w:r>
        <w:t xml:space="preserve">and ensure regulatory consistency for the most significant EU CSDs.</w:t>
      </w:r>
      <w:r>
        <w:br/>
      </w:r>
      <w:r>
        <w:t xml:space="preserve">As regards trading venues, EU-level supervision of the most important trading venues in the</w:t>
      </w:r>
      <w:r>
        <w:t xml:space="preserve"> </w:t>
      </w:r>
      <w:r>
        <w:t xml:space="preserve">EU will support market integration and competitiveness in this sector, hence contributing to</w:t>
      </w:r>
      <w:r>
        <w:t xml:space="preserve"> </w:t>
      </w:r>
      <w:r>
        <w:t xml:space="preserve">the SIU’s objectives of facilitating access to funding for EU companies – therefore supporting</w:t>
      </w:r>
      <w:r>
        <w:t xml:space="preserve"> </w:t>
      </w:r>
      <w:r>
        <w:t xml:space="preserve">their competitiveness - and offering attractive investment opportunities on capital markets to</w:t>
      </w:r>
      <w:r>
        <w:t xml:space="preserve"> </w:t>
      </w:r>
      <w:r>
        <w:t xml:space="preserve">investors, including retail investors.</w:t>
      </w:r>
      <w:r>
        <w:t xml:space="preserve"> </w:t>
      </w:r>
      <w:r>
        <w:t xml:space="preserve">Large asset managers and the cross-border marketing of funds would benefit from a stronger</w:t>
      </w:r>
      <w:r>
        <w:t xml:space="preserve"> </w:t>
      </w:r>
      <w:r>
        <w:t xml:space="preserve">coordination of supervision. Greater supervisory convergence and a shared approach by NCAs</w:t>
      </w:r>
      <w:r>
        <w:t xml:space="preserve"> </w:t>
      </w:r>
      <w:r>
        <w:t xml:space="preserve">would help drive market integration, a key objective of the SIU, and enable firms to create</w:t>
      </w:r>
      <w:r>
        <w:t xml:space="preserve"> </w:t>
      </w:r>
      <w:r>
        <w:t xml:space="preserve">bigger funds and attain economies of scale. By making it easier for asset managers to market</w:t>
      </w:r>
      <w:r>
        <w:t xml:space="preserve"> </w:t>
      </w:r>
      <w:r>
        <w:t xml:space="preserve">funds across Member States, closer supervisory coordination will enhance the range of</w:t>
      </w:r>
      <w:r>
        <w:t xml:space="preserve"> </w:t>
      </w:r>
      <w:r>
        <w:t xml:space="preserve">products available to investors, notably retail investors. This will help to channel household</w:t>
      </w:r>
      <w:r>
        <w:t xml:space="preserve"> </w:t>
      </w:r>
      <w:r>
        <w:t xml:space="preserve">savings into investments offering higher returns than deposits, funding the real economy,</w:t>
      </w:r>
      <w:r>
        <w:t xml:space="preserve"> </w:t>
      </w:r>
      <w:r>
        <w:t xml:space="preserve">strengthening competitiveness and supporting the EU in reaching its strategic goals, for</w:t>
      </w:r>
      <w:r>
        <w:t xml:space="preserve"> </w:t>
      </w:r>
      <w:r>
        <w:t xml:space="preserve">example in financing defence capabilities and the green transition.</w:t>
      </w:r>
      <w:r>
        <w:br/>
      </w:r>
      <w:r>
        <w:t xml:space="preserve">The centralised supervision of CASPs under ESMA will ensure the consistent interpretation</w:t>
      </w:r>
      <w:r>
        <w:t xml:space="preserve"> </w:t>
      </w:r>
      <w:r>
        <w:t xml:space="preserve">and application of the regulatory framework for crypto players and will reduce drastically</w:t>
      </w:r>
      <w:r>
        <w:t xml:space="preserve"> </w:t>
      </w:r>
      <w:r>
        <w:t xml:space="preserve">forum shopping, especially in situations where there are divergent views whether different</w:t>
      </w:r>
      <w:r>
        <w:t xml:space="preserve"> </w:t>
      </w:r>
      <w:r>
        <w:t xml:space="preserve">business models are compliant with the regulatory framework. In addition, it will eliminate</w:t>
      </w:r>
      <w:r>
        <w:t xml:space="preserve"> </w:t>
      </w:r>
      <w:r>
        <w:t xml:space="preserve">gold-plating in the form of additional obligations being imposed on market players by national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For cross-border financial services and firms operating EU-wide, as testified by some of the</w:t>
      </w:r>
      <w:r>
        <w:t xml:space="preserve"> </w:t>
      </w:r>
      <w:r>
        <w:t xml:space="preserve">replies to the consultation, this approach is considered a strategic move to enhance regulatory</w:t>
      </w:r>
      <w:r>
        <w:t xml:space="preserve"> </w:t>
      </w:r>
      <w:r>
        <w:t xml:space="preserve">consistency, reduce cross-border barriers, and foster market integration and competitiveness</w:t>
      </w:r>
      <w:r>
        <w:t xml:space="preserve"> </w:t>
      </w:r>
      <w:r>
        <w:t xml:space="preserve">across the EU. The expectation is that this approach would lead to more efficient, predictable,</w:t>
      </w:r>
      <w:r>
        <w:t xml:space="preserve"> </w:t>
      </w:r>
      <w:r>
        <w:t xml:space="preserve">unified financial markets and long-term cost savings.</w:t>
      </w:r>
      <w:r>
        <w:t xml:space="preserve"> </w:t>
      </w:r>
      <w:r>
        <w:t xml:space="preserve">Overall, this is a coherent, proportionate, and politically viable path to stronger EU supervision.</w:t>
      </w:r>
      <w:r>
        <w:t xml:space="preserve"> </w:t>
      </w:r>
      <w:r>
        <w:t xml:space="preserve">4.4.3. Efficiency</w:t>
      </w:r>
      <w:r>
        <w:br/>
      </w:r>
      <w:r>
        <w:t xml:space="preserve">In terms of efficiency, Option 2 would remove duplication, streamline interactions, and deliver</w:t>
      </w:r>
      <w:r>
        <w:t xml:space="preserve"> </w:t>
      </w:r>
      <w:r>
        <w:t xml:space="preserve">measurable economies of scale for cross-border firms.</w:t>
      </w:r>
    </w:p>
    <w:p>
      <w:pPr>
        <w:pStyle w:val="BodyText"/>
      </w:pPr>
      <w:r>
        <w:t xml:space="preserve">400</w:t>
      </w:r>
      <w:r>
        <w:t xml:space="preserve"> </w:t>
      </w:r>
      <w:r>
        <w:t xml:space="preserve">The transfer of responsibilities is expected to generate significant cost savings for entities</w:t>
      </w:r>
      <w:r>
        <w:t xml:space="preserve"> </w:t>
      </w:r>
      <w:r>
        <w:t xml:space="preserve">already operating across borders in the EU and to facilitate the expansion for those currently</w:t>
      </w:r>
      <w:r>
        <w:t xml:space="preserve"> </w:t>
      </w:r>
      <w:r>
        <w:t xml:space="preserve">operating in only one Member State, resulting in competitiveness gains across the board. From</w:t>
      </w:r>
      <w:r>
        <w:t xml:space="preserve"> </w:t>
      </w:r>
      <w:r>
        <w:t xml:space="preserve">a cost perspective, Option 2 is expected to remove a substantial share of the recurring costs</w:t>
      </w:r>
      <w:r>
        <w:t xml:space="preserve"> </w:t>
      </w:r>
      <w:r>
        <w:t xml:space="preserve">identified in the problem definition, reflecting the market share and systemic footprint of the</w:t>
      </w:r>
      <w:r>
        <w:t xml:space="preserve"> </w:t>
      </w:r>
      <w:r>
        <w:t xml:space="preserve">significant cross-border entities brought under EU-level supervision, while avoiding the full</w:t>
      </w:r>
      <w:r>
        <w:t xml:space="preserve"> </w:t>
      </w:r>
      <w:r>
        <w:t xml:space="preserve">supervisory resource requirements and transition costs of complete centralisation.</w:t>
      </w:r>
      <w:r>
        <w:t xml:space="preserve"> </w:t>
      </w:r>
      <w:r>
        <w:t xml:space="preserve">Regarding post-trade infrastructures, this option would target between 5 and 8 CCPs and</w:t>
      </w:r>
      <w:r>
        <w:t xml:space="preserve"> </w:t>
      </w:r>
      <w:r>
        <w:t xml:space="preserve">between 10 and 13 CSDs amongst the 14 EU CCPs authorised under EMIR and the 25 EU</w:t>
      </w:r>
      <w:r>
        <w:t xml:space="preserve"> </w:t>
      </w:r>
      <w:r>
        <w:t xml:space="preserve">CSDs authorised under the CSDR. In terms of efficiency, this would require less coordination</w:t>
      </w:r>
      <w:r>
        <w:t xml:space="preserve"> </w:t>
      </w:r>
      <w:r>
        <w:t xml:space="preserve">efforts between the NCAs and ESMA in relation to supervisory convergence and would allow</w:t>
      </w:r>
      <w:r>
        <w:t xml:space="preserve"> </w:t>
      </w:r>
      <w:r>
        <w:t xml:space="preserve">for the development of common horizontal supervisory poles within ESMA (e.g. for model</w:t>
      </w:r>
      <w:r>
        <w:t xml:space="preserve"> </w:t>
      </w:r>
      <w:r>
        <w:t xml:space="preserve">approval or product authorisation), allowing for a more efficient use of supervisory resources.</w:t>
      </w:r>
      <w:r>
        <w:t xml:space="preserve"> </w:t>
      </w:r>
      <w:r>
        <w:t xml:space="preserve">Targeting these systemic infrastructures could remove large, recurring costs from multiple-fee</w:t>
      </w:r>
      <w:r>
        <w:t xml:space="preserve"> </w:t>
      </w:r>
      <w:r>
        <w:t xml:space="preserve">regimes, duplicative reporting, and lengthy product approvals, while keeping implementation</w:t>
      </w:r>
      <w:r>
        <w:t xml:space="preserve"> </w:t>
      </w:r>
      <w:r>
        <w:t xml:space="preserve">costs proportionate to the reduced scope compared with Option 3.</w:t>
      </w:r>
      <w:r>
        <w:t xml:space="preserve"> </w:t>
      </w:r>
      <w:r>
        <w:t xml:space="preserve">As regards trading venues, by transferring the supervision of approximately 8-11 groups of</w:t>
      </w:r>
      <w:r>
        <w:t xml:space="preserve"> </w:t>
      </w:r>
      <w:r>
        <w:t xml:space="preserve">trading venues to EU-level, Option 2 is expected to cover at least two-thirds of the on-venue</w:t>
      </w:r>
      <w:r>
        <w:t xml:space="preserve"> </w:t>
      </w:r>
      <w:r>
        <w:t xml:space="preserve">trading activity in the main asset classes in the EU. In terms of costs, Option 2 is expected, in</w:t>
      </w:r>
      <w:r>
        <w:t xml:space="preserve"> </w:t>
      </w:r>
      <w:r>
        <w:t xml:space="preserve">particular for the groups that are operating in different Member States and hence are currently</w:t>
      </w:r>
      <w:r>
        <w:t xml:space="preserve"> </w:t>
      </w:r>
      <w:r>
        <w:t xml:space="preserve">engaging with multiple NCAs and facing different supervisory approaches, to remove the</w:t>
      </w:r>
      <w:r>
        <w:t xml:space="preserve"> </w:t>
      </w:r>
      <w:r>
        <w:t xml:space="preserve">majority of the duplication, conflicting instructions from multiple interlocutors, and procedural</w:t>
      </w:r>
      <w:r>
        <w:t xml:space="preserve"> </w:t>
      </w:r>
      <w:r>
        <w:t xml:space="preserve">delays described in the problem definition. For example, one trading group indicated that the</w:t>
      </w:r>
      <w:r>
        <w:t xml:space="preserve"> </w:t>
      </w:r>
      <w:r>
        <w:t xml:space="preserve">fact that approval processes in some Member States can take several months results in</w:t>
      </w:r>
      <w:r>
        <w:t xml:space="preserve"> </w:t>
      </w:r>
      <w:r>
        <w:t xml:space="preserve">opportunity costs of low single digit millions of Euros for every new product launched. In</w:t>
      </w:r>
      <w:r>
        <w:t xml:space="preserve"> </w:t>
      </w:r>
      <w:r>
        <w:t xml:space="preserve">addition, migrating a newly acquired trading venue to a group’s trading system can result in</w:t>
      </w:r>
      <w:r>
        <w:t xml:space="preserve"> </w:t>
      </w:r>
      <w:r>
        <w:t xml:space="preserve">costs running into the millions of euros because of the requirements for changes to the trading</w:t>
      </w:r>
      <w:r>
        <w:t xml:space="preserve"> </w:t>
      </w:r>
      <w:r>
        <w:t xml:space="preserve">system imposed by the national authority supervising the newly acquired venue, while in</w:t>
      </w:r>
      <w:r>
        <w:t xml:space="preserve"> </w:t>
      </w:r>
      <w:r>
        <w:t xml:space="preserve">another jurisdiction the same migration could be completed without having to do any change</w:t>
      </w:r>
      <w:r>
        <w:t xml:space="preserve"> </w:t>
      </w:r>
      <w:r>
        <w:t xml:space="preserve">to the trading system. The analysis also points to inconsistencies in national rulebook approval</w:t>
      </w:r>
      <w:r>
        <w:t xml:space="preserve"> </w:t>
      </w:r>
      <w:r>
        <w:t xml:space="preserve">procedures and in timelines for pre-trade transparency waiver applications that oblige firms to</w:t>
      </w:r>
      <w:r>
        <w:t xml:space="preserve"> </w:t>
      </w:r>
      <w:r>
        <w:t xml:space="preserve">apply the strictest national standard across all markets. For example, in one Member State the</w:t>
      </w:r>
      <w:r>
        <w:t xml:space="preserve"> </w:t>
      </w:r>
      <w:r>
        <w:t xml:space="preserve">filing timeframe is around one month longer than in others.</w:t>
      </w:r>
      <w:r>
        <w:t xml:space="preserve"> </w:t>
      </w:r>
      <w:r>
        <w:t xml:space="preserve">Under Option 2, which would result in 8-11 trading groups being under EU-level supervision,</w:t>
      </w:r>
      <w:r>
        <w:t xml:space="preserve"> </w:t>
      </w:r>
      <w:r>
        <w:t xml:space="preserve">a considerable proportion of these potential savings and synergies could be realised, while</w:t>
      </w:r>
      <w:r>
        <w:t xml:space="preserve"> </w:t>
      </w:r>
      <w:r>
        <w:t xml:space="preserve">avoiding the full supervisory resource requirements and transition costs of a complete</w:t>
      </w:r>
      <w:r>
        <w:t xml:space="preserve"> </w:t>
      </w:r>
      <w:r>
        <w:t xml:space="preserve">centralisation as envisaged under Option 3.</w:t>
      </w:r>
      <w:r>
        <w:t xml:space="preserve"> </w:t>
      </w:r>
      <w:r>
        <w:t xml:space="preserve">As regards operators of trading venues that are established in only one Member State, the</w:t>
      </w:r>
      <w:r>
        <w:t xml:space="preserve"> </w:t>
      </w:r>
      <w:r>
        <w:t xml:space="preserve">benefits of EU-level supervision will not be as immediate, at least in terms of costs. In fact, 24</w:t>
      </w:r>
      <w:r>
        <w:t xml:space="preserve"> </w:t>
      </w:r>
      <w:r>
        <w:t xml:space="preserve">out of 33 respondents to the consultation which expressed a view on costs indicated that they</w:t>
      </w:r>
      <w:r>
        <w:t xml:space="preserve"> </w:t>
      </w:r>
      <w:r>
        <w:t xml:space="preserve">disagreed with the statement that EU-level supervision could reduce EU trading venues’</w:t>
      </w:r>
      <w:r>
        <w:t xml:space="preserve"> </w:t>
      </w:r>
      <w:r>
        <w:t xml:space="preserve">regulatory costs. This is partly explained by the fact that some of these trading venues are also</w:t>
      </w:r>
      <w:r>
        <w:t xml:space="preserve"> </w:t>
      </w:r>
      <w:r>
        <w:t xml:space="preserve">Data Reporting Service Providers (DRSPs) under MiFIR and saw a significant increase in</w:t>
      </w:r>
      <w:r>
        <w:t xml:space="preserve"> </w:t>
      </w:r>
      <w:r>
        <w:t xml:space="preserve">supervisory fees after their oversight moved from national authorities to ESMA. However, this</w:t>
      </w:r>
      <w:r>
        <w:t xml:space="preserve"> </w:t>
      </w:r>
      <w:r>
        <w:t xml:space="preserve">increase was partly due to initial setup costs spread across a small number of firms, while in</w:t>
      </w:r>
      <w:r>
        <w:t xml:space="preserve"> </w:t>
      </w:r>
      <w:r>
        <w:t xml:space="preserve">the case of option 2, many more entities would fall under EU-level supervision, which is</w:t>
      </w:r>
      <w:r>
        <w:t xml:space="preserve"> </w:t>
      </w:r>
      <w:r>
        <w:t xml:space="preserve">expected to limit per-entity supervisory fees. This reinforces that the targeted approach</w:t>
      </w:r>
      <w:r>
        <w:t xml:space="preserve"> </w:t>
      </w:r>
      <w:r>
        <w:t xml:space="preserve">minimises unnecessary cost increases for purely domestic operators, while focusing resources</w:t>
      </w:r>
    </w:p>
    <w:p>
      <w:pPr>
        <w:pStyle w:val="BodyText"/>
      </w:pPr>
      <w:r>
        <w:t xml:space="preserve">401</w:t>
      </w:r>
      <w:r>
        <w:t xml:space="preserve"> </w:t>
      </w:r>
      <w:r>
        <w:t xml:space="preserve">on the entities where the largest savings and synergies from removing divergence can be</w:t>
      </w:r>
      <w:r>
        <w:t xml:space="preserve"> </w:t>
      </w:r>
      <w:r>
        <w:t xml:space="preserve">achieved.</w:t>
      </w:r>
      <w:r>
        <w:t xml:space="preserve"> </w:t>
      </w:r>
      <w:r>
        <w:t xml:space="preserve">Regarding the asset management sector, focusing on strengthening supervisory coordination</w:t>
      </w:r>
      <w:r>
        <w:t xml:space="preserve"> </w:t>
      </w:r>
      <w:r>
        <w:t xml:space="preserve">for only the largest 10 to 15 groups is efficient as it leaves the current structures and practises</w:t>
      </w:r>
      <w:r>
        <w:t xml:space="preserve"> </w:t>
      </w:r>
      <w:r>
        <w:t xml:space="preserve">in place for smaller, more domestically oriented players. Large asset managers will benefit</w:t>
      </w:r>
      <w:r>
        <w:t xml:space="preserve"> </w:t>
      </w:r>
      <w:r>
        <w:t xml:space="preserve">from improved supervisory convergence and greater economies of scale, while still being able</w:t>
      </w:r>
      <w:r>
        <w:t xml:space="preserve"> </w:t>
      </w:r>
      <w:r>
        <w:t xml:space="preserve">to interact with the respective NCAs. NCAs in turn will be able to access confidential</w:t>
      </w:r>
      <w:r>
        <w:t xml:space="preserve"> </w:t>
      </w:r>
      <w:r>
        <w:t xml:space="preserve">information provided by their peers, reducing the need for duplicative work, for example in</w:t>
      </w:r>
      <w:r>
        <w:t xml:space="preserve"> </w:t>
      </w:r>
      <w:r>
        <w:t xml:space="preserve">gathering data on individual firms or market developments and emerging risks. Building on</w:t>
      </w:r>
      <w:r>
        <w:t xml:space="preserve"> </w:t>
      </w:r>
      <w:r>
        <w:t xml:space="preserve">this sharing of confidential information among NCAs, asset managers might for example be</w:t>
      </w:r>
      <w:r>
        <w:t xml:space="preserve"> </w:t>
      </w:r>
      <w:r>
        <w:t xml:space="preserve">able to have only one risk management function for the group rather than multiple ones across</w:t>
      </w:r>
      <w:r>
        <w:t xml:space="preserve"> </w:t>
      </w:r>
      <w:r>
        <w:t xml:space="preserve">different Member States as is the case today. These changes would remove a large share of the</w:t>
      </w:r>
      <w:r>
        <w:t xml:space="preserve"> </w:t>
      </w:r>
      <w:r>
        <w:t xml:space="preserve">compliance costs identified in the problem definition, such as duplicative risk management</w:t>
      </w:r>
      <w:r>
        <w:t xml:space="preserve"> </w:t>
      </w:r>
      <w:r>
        <w:t xml:space="preserve">teams and multiple reporting obligations, for the cross-border groups affected, while leaving</w:t>
      </w:r>
      <w:r>
        <w:t xml:space="preserve"> </w:t>
      </w:r>
      <w:r>
        <w:t xml:space="preserve">the cost base for purely domestic managers unchanged. The cost of ESMA’s enhanced role for</w:t>
      </w:r>
      <w:r>
        <w:t xml:space="preserve"> </w:t>
      </w:r>
      <w:r>
        <w:t xml:space="preserve">the largest groups would be fee funded.</w:t>
      </w:r>
      <w:r>
        <w:br/>
      </w:r>
      <w:r>
        <w:t xml:space="preserve">In the case of CASPs, the NCAs are currently building capacity in the examination and</w:t>
      </w:r>
      <w:r>
        <w:t xml:space="preserve"> </w:t>
      </w:r>
      <w:r>
        <w:t xml:space="preserve">assessment of CASP applications for authorisation. Given the recent entry into application of</w:t>
      </w:r>
      <w:r>
        <w:t xml:space="preserve"> </w:t>
      </w:r>
      <w:r>
        <w:t xml:space="preserve">MiCA, there is very little supervisory activity yet, but the situation is expected to change as</w:t>
      </w:r>
      <w:r>
        <w:t xml:space="preserve"> </w:t>
      </w:r>
      <w:r>
        <w:t xml:space="preserve">most CASPs receiving authorisation expect to grow in size rapidly, due to the passport of their</w:t>
      </w:r>
      <w:r>
        <w:t xml:space="preserve"> </w:t>
      </w:r>
      <w:r>
        <w:t xml:space="preserve">authorisation. Transferring the supervisory powers to ESMA will cause minimum disruption,</w:t>
      </w:r>
      <w:r>
        <w:t xml:space="preserve"> </w:t>
      </w:r>
      <w:r>
        <w:t xml:space="preserve">as the industry is still not well established and there are no legacy issues to overcome in terms</w:t>
      </w:r>
      <w:r>
        <w:t xml:space="preserve"> </w:t>
      </w:r>
      <w:r>
        <w:t xml:space="preserve">of supervision. As regards national administrations, while there may be some temporary</w:t>
      </w:r>
      <w:r>
        <w:t xml:space="preserve"> </w:t>
      </w:r>
      <w:r>
        <w:t xml:space="preserve">overlap and redundancy during the transition to centralised EU-level supervision, in the long</w:t>
      </w:r>
      <w:r>
        <w:t xml:space="preserve"> </w:t>
      </w:r>
      <w:r>
        <w:t xml:space="preserve">term, it is expected to be more efficient and cost-effective than Member State supervision. In</w:t>
      </w:r>
      <w:r>
        <w:t xml:space="preserve"> </w:t>
      </w:r>
      <w:r>
        <w:t xml:space="preserve">addition, this centralisation would, by lightening their supervisory burden, allow them to focus</w:t>
      </w:r>
      <w:r>
        <w:t xml:space="preserve"> </w:t>
      </w:r>
      <w:r>
        <w:t xml:space="preserve">on other national priorities and entities that are smaller or of purely domestic relevance. The</w:t>
      </w:r>
      <w:r>
        <w:t xml:space="preserve"> </w:t>
      </w:r>
      <w:r>
        <w:t xml:space="preserve">consolidation of supervisory capacity at EU level would also foster specialisation and</w:t>
      </w:r>
      <w:r>
        <w:t xml:space="preserve"> </w:t>
      </w:r>
      <w:r>
        <w:t xml:space="preserve">knowledge-sharing, leading to higher-quality, more risk-based supervision.</w:t>
      </w:r>
      <w:r>
        <w:br/>
      </w:r>
      <w:r>
        <w:t xml:space="preserve">As regards the cost-benefit dimension, while ESMA would require increased resources to carry</w:t>
      </w:r>
      <w:r>
        <w:t xml:space="preserve"> </w:t>
      </w:r>
      <w:r>
        <w:t xml:space="preserve">out its new tasks, the costs are expected to be offset by the broader system-wide gains in terms</w:t>
      </w:r>
      <w:r>
        <w:t xml:space="preserve"> </w:t>
      </w:r>
      <w:r>
        <w:t xml:space="preserve">of contribution to the Single Market – with the associated benefits in terms of supporting</w:t>
      </w:r>
      <w:r>
        <w:t xml:space="preserve"> </w:t>
      </w:r>
      <w:r>
        <w:t xml:space="preserve">funding to growth and competitiveness. This corresponds to the views of some stakeholders,</w:t>
      </w:r>
      <w:r>
        <w:t xml:space="preserve"> </w:t>
      </w:r>
      <w:r>
        <w:t xml:space="preserve">who point to the upfront and transitional initial expenses, but the long-term perspective is that</w:t>
      </w:r>
      <w:r>
        <w:t xml:space="preserve"> </w:t>
      </w:r>
      <w:r>
        <w:t xml:space="preserve">harmonisation and reduced fragmentation would bring efficiencies and indirect cost benefits.</w:t>
      </w:r>
      <w:r>
        <w:t xml:space="preserve"> </w:t>
      </w:r>
      <w:r>
        <w:t xml:space="preserve">The targeted scope of Option 2 means that the costs for ESMA are materially lower than under</w:t>
      </w:r>
      <w:r>
        <w:t xml:space="preserve"> </w:t>
      </w:r>
      <w:r>
        <w:t xml:space="preserve">full centralisation, while still covering most of the activity that generates the largest divergence-</w:t>
      </w:r>
      <w:r>
        <w:t xml:space="preserve"> </w:t>
      </w:r>
      <w:r>
        <w:t xml:space="preserve">related costs.</w:t>
      </w:r>
      <w:r>
        <w:t xml:space="preserve"> </w:t>
      </w:r>
      <w:r>
        <w:t xml:space="preserve">The resources necessary for direct supervision could be financed mainly via levying of fees</w:t>
      </w:r>
      <w:r>
        <w:t xml:space="preserve"> </w:t>
      </w:r>
      <w:r>
        <w:t xml:space="preserve">from directly supervised entities. This would follow the current practice of supervision</w:t>
      </w:r>
      <w:r>
        <w:t xml:space="preserve"> </w:t>
      </w:r>
      <w:r>
        <w:t xml:space="preserve">financing in ESMA, the Single Supervisory Mechanism, where ECB supervision is financed</w:t>
      </w:r>
      <w:r>
        <w:t xml:space="preserve"> </w:t>
      </w:r>
      <w:r>
        <w:t xml:space="preserve">via fees from supervised entities, and the most recent example of AMLA supervision which is</w:t>
      </w:r>
      <w:r>
        <w:t xml:space="preserve"> </w:t>
      </w:r>
      <w:r>
        <w:t xml:space="preserve">financed by supervised obliged entities. National supervisors currently supervising entities</w:t>
      </w:r>
      <w:r>
        <w:t xml:space="preserve"> </w:t>
      </w:r>
      <w:r>
        <w:t xml:space="preserve">which would pass to ESMA for direct supervision would experience some cost saving, but it</w:t>
      </w:r>
      <w:r>
        <w:t xml:space="preserve"> </w:t>
      </w:r>
      <w:r>
        <w:t xml:space="preserve">is not anticipated that they will significantly reduce staff but rather reallocate freed staff for</w:t>
      </w:r>
      <w:r>
        <w:t xml:space="preserve"> </w:t>
      </w:r>
      <w:r>
        <w:t xml:space="preserve">more effective supervision of the entities remaining under national supervision.</w:t>
      </w:r>
      <w:r>
        <w:t xml:space="preserve"> </w:t>
      </w:r>
      <w:r>
        <w:t xml:space="preserve">This option will entail significant resources and infrastructure development at ESMA but</w:t>
      </w:r>
      <w:r>
        <w:t xml:space="preserve"> </w:t>
      </w:r>
      <w:r>
        <w:t xml:space="preserve">overall, to a lesser extent than option 3 (though for CASPs it is the same). The estimates for</w:t>
      </w:r>
    </w:p>
    <w:p>
      <w:pPr>
        <w:pStyle w:val="BodyText"/>
      </w:pPr>
      <w:r>
        <w:t xml:space="preserve">402</w:t>
      </w:r>
      <w:r>
        <w:t xml:space="preserve"> </w:t>
      </w:r>
      <w:r>
        <w:t xml:space="preserve">the number of full-time equivalents (‘FTEs’) ESMA requires for direct supervision of</w:t>
      </w:r>
      <w:r>
        <w:t xml:space="preserve"> </w:t>
      </w:r>
      <w:r>
        <w:t xml:space="preserve">significant cross-border financial entities and CASPs, increased role in coordination of</w:t>
      </w:r>
      <w:r>
        <w:t xml:space="preserve"> </w:t>
      </w:r>
      <w:r>
        <w:t xml:space="preserve">supervision of large cross-border asset management groups, as well as enhanced supervisory</w:t>
      </w:r>
      <w:r>
        <w:t xml:space="preserve"> </w:t>
      </w:r>
      <w:r>
        <w:t xml:space="preserve">convergence, are based on ESMA and Commission estimates. The average cost per FTE at</w:t>
      </w:r>
      <w:r>
        <w:t xml:space="preserve"> </w:t>
      </w:r>
      <w:r>
        <w:t xml:space="preserve">ESMA is estimated at around 186 000 EUR622, based on the Commission’s guidelines for</w:t>
      </w:r>
      <w:r>
        <w:t xml:space="preserve"> </w:t>
      </w:r>
      <w:r>
        <w:t xml:space="preserve">average personnel costs (adjusted for Paris).</w:t>
      </w:r>
      <w:r>
        <w:br/>
      </w:r>
      <w:r>
        <w:t xml:space="preserve">In the trading sector, the direct supervision of trading venues belonging to around 8-11 groups</w:t>
      </w:r>
      <w:r>
        <w:t xml:space="preserve"> </w:t>
      </w:r>
      <w:r>
        <w:t xml:space="preserve">would require about 90 to 105 FTEs, corresponding to an estimated annual cost of EUR 17 –</w:t>
      </w:r>
      <w:r>
        <w:t xml:space="preserve"> </w:t>
      </w:r>
      <w:r>
        <w:t xml:space="preserve">19.5 million. In the post-trading sector, supervision of around 5 to 8 CCPs is estimated to</w:t>
      </w:r>
      <w:r>
        <w:t xml:space="preserve"> </w:t>
      </w:r>
      <w:r>
        <w:t xml:space="preserve">require 30–50 FTEs (about EUR 5.5 to 9.5 million), while supervision of approximately 10 to</w:t>
      </w:r>
      <w:r>
        <w:t xml:space="preserve"> </w:t>
      </w:r>
      <w:r>
        <w:t xml:space="preserve">13 CSDs would require 30–40 FTEs (EUR 5.5 to 7.5 million).</w:t>
      </w:r>
      <w:r>
        <w:br/>
      </w:r>
      <w:r>
        <w:t xml:space="preserve">In the asset management sector, ESMA’s increased role in the coordination of supervision of</w:t>
      </w:r>
      <w:r>
        <w:t xml:space="preserve"> </w:t>
      </w:r>
      <w:r>
        <w:t xml:space="preserve">around 10 –15 large cross-border asset management groups would require 10-20 FTEs (about</w:t>
      </w:r>
      <w:r>
        <w:t xml:space="preserve"> </w:t>
      </w:r>
      <w:r>
        <w:t xml:space="preserve">EUR 2 to 4 million), with an additional around 10 - 15 FTEs (EUR 2 to 3 million) required for</w:t>
      </w:r>
      <w:r>
        <w:t xml:space="preserve"> </w:t>
      </w:r>
      <w:r>
        <w:t xml:space="preserve">the oversight of cross-border fund distribution.</w:t>
      </w:r>
      <w:r>
        <w:br/>
      </w:r>
      <w:r>
        <w:t xml:space="preserve">Should ESMA take on the direct supervision of around 410 – 615 CASPs, an additional 65–</w:t>
      </w:r>
      <w:r>
        <w:t xml:space="preserve"> </w:t>
      </w:r>
      <w:r>
        <w:t xml:space="preserve">160 FTEs would be needed, corresponding to an estimated cost of EUR 12 to 30 million per</w:t>
      </w:r>
      <w:r>
        <w:t xml:space="preserve"> </w:t>
      </w:r>
      <w:r>
        <w:t xml:space="preserve">year.</w:t>
      </w:r>
      <w:r>
        <w:br/>
      </w:r>
      <w:r>
        <w:t xml:space="preserve">The ongoing cost for direct supervision would be covered by supervisory fees levied on the</w:t>
      </w:r>
      <w:r>
        <w:t xml:space="preserve"> </w:t>
      </w:r>
      <w:r>
        <w:t xml:space="preserve">entities directly supervised by ESMA. In addition to these recurring costs, ESMA would incur</w:t>
      </w:r>
      <w:r>
        <w:t xml:space="preserve"> </w:t>
      </w:r>
      <w:r>
        <w:t xml:space="preserve">temporary setup costs in preparation for its new responsibilities. These are estimated at around</w:t>
      </w:r>
      <w:r>
        <w:t xml:space="preserve"> </w:t>
      </w:r>
      <w:r>
        <w:t xml:space="preserve">5 - 10 FTEs per sector, amounting to approximately EUR 1–to 2 million per sector, and would</w:t>
      </w:r>
      <w:r>
        <w:t xml:space="preserve"> </w:t>
      </w:r>
      <w:r>
        <w:t xml:space="preserve">be funded through the EU budget. Once the fees are applicable, the costs for these FTEs would</w:t>
      </w:r>
      <w:r>
        <w:t xml:space="preserve"> </w:t>
      </w:r>
      <w:r>
        <w:t xml:space="preserve">be included in the fees.</w:t>
      </w:r>
      <w:r>
        <w:t xml:space="preserve"> </w:t>
      </w:r>
      <w:r>
        <w:t xml:space="preserve">Further staffing would be required to strengthen supervisory convergence across the relevant</w:t>
      </w:r>
      <w:r>
        <w:t xml:space="preserve"> </w:t>
      </w:r>
      <w:r>
        <w:t xml:space="preserve">sectors—this would require an additional 5 - 10 FTEs, corresponding to an estimated cost of</w:t>
      </w:r>
      <w:r>
        <w:t xml:space="preserve"> </w:t>
      </w:r>
      <w:r>
        <w:t xml:space="preserve">around EUR 1 - 2 million.</w:t>
      </w:r>
      <w:r>
        <w:t xml:space="preserve"> </w:t>
      </w:r>
      <w:r>
        <w:t xml:space="preserve">In addition to the necessary staffing enhancements, the strategic integration of IT systems is</w:t>
      </w:r>
      <w:r>
        <w:t xml:space="preserve"> </w:t>
      </w:r>
      <w:r>
        <w:t xml:space="preserve">essential to enable ESMA’s expanded supervisory responsibilities and support consistent</w:t>
      </w:r>
      <w:r>
        <w:t xml:space="preserve"> </w:t>
      </w:r>
      <w:r>
        <w:t xml:space="preserve">implementation across the Union.</w:t>
      </w:r>
      <w:r>
        <w:t xml:space="preserve"> </w:t>
      </w:r>
      <w:r>
        <w:t xml:space="preserve">A supervisory data platform covering CCPs, CSDs and trading venues would support ESMA’s</w:t>
      </w:r>
      <w:r>
        <w:t xml:space="preserve"> </w:t>
      </w:r>
      <w:r>
        <w:t xml:space="preserve">direct supervisory tasks by consolidating data collection, document exchange and supervisory</w:t>
      </w:r>
      <w:r>
        <w:t xml:space="preserve"> </w:t>
      </w:r>
      <w:r>
        <w:t xml:space="preserve">workflows in a single integrated architecture. Building on ESMA’s existing supervisory</w:t>
      </w:r>
      <w:r>
        <w:t xml:space="preserve"> </w:t>
      </w:r>
      <w:r>
        <w:t xml:space="preserve">databases and tools, it would ensure secure and timely access to supervisory information for</w:t>
      </w:r>
      <w:r>
        <w:t xml:space="preserve"> </w:t>
      </w:r>
      <w:r>
        <w:t xml:space="preserve">competent authorities and supervised entities. The estimated cost is EUR 8 million for</w:t>
      </w:r>
      <w:r>
        <w:t xml:space="preserve"> </w:t>
      </w:r>
      <w:r>
        <w:t xml:space="preserve">development and EUR 3.7 million annually for maintenance.</w:t>
      </w:r>
      <w:r>
        <w:t xml:space="preserve"> </w:t>
      </w:r>
      <w:r>
        <w:t xml:space="preserve">A central register for CASPs market surveillance under MiCA would function as a pan-EU hub</w:t>
      </w:r>
      <w:r>
        <w:t xml:space="preserve"> </w:t>
      </w:r>
      <w:r>
        <w:t xml:space="preserve">for the collection, aggregation and analysis of transaction and order data reported by CASPs.</w:t>
      </w:r>
      <w:r>
        <w:t xml:space="preserve"> </w:t>
      </w:r>
      <w:r>
        <w:t xml:space="preserve">Building on ESMA’s work on MIDAS, it would enhance market integrity by detecting</w:t>
      </w:r>
    </w:p>
    <w:p>
      <w:pPr>
        <w:pStyle w:val="BodyText"/>
      </w:pPr>
      <w:r>
        <w:t xml:space="preserve">622 The rate of 186k per FTE is based on the 2025 standard rates of the Commission for staff expenses adjusted</w:t>
      </w:r>
      <w:r>
        <w:t xml:space="preserve"> </w:t>
      </w:r>
      <w:r>
        <w:t xml:space="preserve">for inflation of 2% as at 2028, and builds on the current mix at ESMA between temporary agents, contractual</w:t>
      </w:r>
      <w:r>
        <w:t xml:space="preserve"> </w:t>
      </w:r>
      <w:r>
        <w:t xml:space="preserve">agents, and seconded national experts. The rates cover salaries, employer social contribution, office</w:t>
      </w:r>
      <w:r>
        <w:t xml:space="preserve"> </w:t>
      </w:r>
      <w:r>
        <w:t xml:space="preserve">accommodation, IT basic support, etc.</w:t>
      </w:r>
    </w:p>
    <w:p>
      <w:pPr>
        <w:pStyle w:val="BodyText"/>
      </w:pPr>
      <w:r>
        <w:t xml:space="preserve">403</w:t>
      </w:r>
      <w:r>
        <w:t xml:space="preserve"> </w:t>
      </w:r>
      <w:r>
        <w:t xml:space="preserve">potential market abuse and enable timely cooperation between ESMA and national competent</w:t>
      </w:r>
      <w:r>
        <w:t xml:space="preserve"> </w:t>
      </w:r>
      <w:r>
        <w:t xml:space="preserve">authorities, supporting both direct and indirect supervision of crypto markets. The estimated</w:t>
      </w:r>
      <w:r>
        <w:t xml:space="preserve"> </w:t>
      </w:r>
      <w:r>
        <w:t xml:space="preserve">cost is EUR 4.2 million for development and EUR 2.5 million per year for maintenance.</w:t>
      </w:r>
      <w:r>
        <w:t xml:space="preserve"> </w:t>
      </w:r>
      <w:r>
        <w:t xml:space="preserve">A data platform for cross-border notifications of funds would facilitate home–host supervisory</w:t>
      </w:r>
      <w:r>
        <w:t xml:space="preserve"> </w:t>
      </w:r>
      <w:r>
        <w:t xml:space="preserve">cooperation under the AIFMD and UCITS frameworks. The system would serve as a one-stop-</w:t>
      </w:r>
      <w:r>
        <w:t xml:space="preserve"> </w:t>
      </w:r>
      <w:r>
        <w:t xml:space="preserve">shop for submitting, accessing and exchanging reliable and up-to-date documentation,</w:t>
      </w:r>
      <w:r>
        <w:t xml:space="preserve"> </w:t>
      </w:r>
      <w:r>
        <w:t xml:space="preserve">supported by automated translation services. Ensuring interconnectedness between ESMA and</w:t>
      </w:r>
      <w:r>
        <w:t xml:space="preserve"> </w:t>
      </w:r>
      <w:r>
        <w:t xml:space="preserve">all 27 NCAs, it would provide secure and timely data exchange, user-friendly interfaces and a</w:t>
      </w:r>
      <w:r>
        <w:t xml:space="preserve"> </w:t>
      </w:r>
      <w:r>
        <w:t xml:space="preserve">public portal for transparency. The estimated cost is EUR 1 million for development and EUR</w:t>
      </w:r>
      <w:r>
        <w:t xml:space="preserve"> </w:t>
      </w:r>
      <w:r>
        <w:t xml:space="preserve">0.2 million annually for maintenance.</w:t>
      </w:r>
      <w:r>
        <w:t xml:space="preserve"> </w:t>
      </w:r>
      <w:r>
        <w:t xml:space="preserve">A centralised data and analytics capability would contribute to the Union’s financial data</w:t>
      </w:r>
      <w:r>
        <w:t xml:space="preserve"> </w:t>
      </w:r>
      <w:r>
        <w:t xml:space="preserve">strategy by enhancing ESMA’s central systems and supporting consistent supervisory practices</w:t>
      </w:r>
      <w:r>
        <w:t xml:space="preserve"> </w:t>
      </w:r>
      <w:r>
        <w:t xml:space="preserve">across the EU. It would provide common tools for market analysis and supervision, enable the</w:t>
      </w:r>
      <w:r>
        <w:t xml:space="preserve"> </w:t>
      </w:r>
      <w:r>
        <w:t xml:space="preserve">timely sharing of supervisory insights with competent authorities and facilitate secure,</w:t>
      </w:r>
      <w:r>
        <w:t xml:space="preserve"> </w:t>
      </w:r>
      <w:r>
        <w:t xml:space="preserve">standardised data access and exchange across the EU supervisory framework. The estimated</w:t>
      </w:r>
      <w:r>
        <w:t xml:space="preserve"> </w:t>
      </w:r>
      <w:r>
        <w:t xml:space="preserve">cost is EUR 15 million for development and EUR 4 million annually for maintenance.</w:t>
      </w:r>
      <w:r>
        <w:t xml:space="preserve"> </w:t>
      </w:r>
      <w:r>
        <w:t xml:space="preserve">Taken together, these IT developments would promote more coordinated supervision across</w:t>
      </w:r>
      <w:r>
        <w:t xml:space="preserve"> </w:t>
      </w:r>
      <w:r>
        <w:t xml:space="preserve">the Union and reduce the need for separate systems. They would also make interactions</w:t>
      </w:r>
      <w:r>
        <w:t xml:space="preserve"> </w:t>
      </w:r>
      <w:r>
        <w:t xml:space="preserve">between authorities and supervised entities more efficient, improving the clarity and</w:t>
      </w:r>
      <w:r>
        <w:t xml:space="preserve"> </w:t>
      </w:r>
      <w:r>
        <w:t xml:space="preserve">consistency of supervisory information. The shared data and analytics capability would further</w:t>
      </w:r>
      <w:r>
        <w:t xml:space="preserve"> </w:t>
      </w:r>
      <w:r>
        <w:t xml:space="preserve">increase efficiency and help ensure consistent supervisory practices across the Union.</w:t>
      </w:r>
      <w:r>
        <w:t xml:space="preserve"> </w:t>
      </w:r>
      <w:r>
        <w:t xml:space="preserve">To inform this analysis, the Commission collected data623 from NCAs and from ESMA and ran</w:t>
      </w:r>
      <w:r>
        <w:t xml:space="preserve"> </w:t>
      </w:r>
      <w:r>
        <w:t xml:space="preserve">its own estimates on the cost of supervision in the trading, post-trading, asset management, and</w:t>
      </w:r>
      <w:r>
        <w:t xml:space="preserve"> </w:t>
      </w:r>
      <w:r>
        <w:t xml:space="preserve">crypto-asset sectors, as well as on the average cost per supervisory FTE. These figures vary</w:t>
      </w:r>
      <w:r>
        <w:t xml:space="preserve"> </w:t>
      </w:r>
      <w:r>
        <w:t xml:space="preserve">due to factors such as national labour costs, the size and risk profile of the supervised entities,</w:t>
      </w:r>
      <w:r>
        <w:t xml:space="preserve"> </w:t>
      </w:r>
      <w:r>
        <w:t xml:space="preserve">and the overall size of the financial market. For NCAs in Member States where supervisory</w:t>
      </w:r>
      <w:r>
        <w:t xml:space="preserve"> </w:t>
      </w:r>
      <w:r>
        <w:t xml:space="preserve">tasks could potentially be transferred to the EU level, the average FTE cost ranges from EUR</w:t>
      </w:r>
      <w:r>
        <w:t xml:space="preserve"> </w:t>
      </w:r>
      <w:r>
        <w:t xml:space="preserve">149 000 to EUR 217 000. Per sector, the average FTE cost ranges are as follows: CCPs EUR</w:t>
      </w:r>
      <w:r>
        <w:t xml:space="preserve"> </w:t>
      </w:r>
      <w:r>
        <w:t xml:space="preserve">136 000 – EUR 218 000, CSDs: EUR 141 000 to EUR 178 000, Asset Managers EUR 181 000</w:t>
      </w:r>
      <w:r>
        <w:t xml:space="preserve"> </w:t>
      </w:r>
      <w:r>
        <w:t xml:space="preserve">– EUR 227 000, Trading Venues: EUR 122 000 to EUR 199 000, CASPs: EUR 129 000 to</w:t>
      </w:r>
      <w:r>
        <w:t xml:space="preserve"> </w:t>
      </w:r>
      <w:r>
        <w:t xml:space="preserve">EUR 262 000.</w:t>
      </w:r>
      <w:r>
        <w:t xml:space="preserve"> </w:t>
      </w:r>
      <w:r>
        <w:t xml:space="preserve">Overall, Option 2 captures most of the savings from removing divergence for the targeted</w:t>
      </w:r>
      <w:r>
        <w:t xml:space="preserve"> </w:t>
      </w:r>
      <w:r>
        <w:t xml:space="preserve">entities, at a fraction of the cost of full centralisation, with lower disruption for NCAs and</w:t>
      </w:r>
      <w:r>
        <w:t xml:space="preserve"> </w:t>
      </w:r>
      <w:r>
        <w:t xml:space="preserve">domestic operators.</w:t>
      </w:r>
      <w:r>
        <w:br/>
      </w:r>
      <w:r>
        <w:t xml:space="preserve">4.5. ASSESSMENT OF THE IMPACT OF OPTION 3</w:t>
      </w:r>
      <w:r>
        <w:t xml:space="preserve"> </w:t>
      </w:r>
      <w:r>
        <w:t xml:space="preserve">4.5.1. Effectiveness</w:t>
      </w:r>
      <w:r>
        <w:t xml:space="preserve"> </w:t>
      </w:r>
      <w:r>
        <w:t xml:space="preserve">By centralising supervision in ESMA, this option would ensure EU-wide consistency, remove</w:t>
      </w:r>
      <w:r>
        <w:t xml:space="preserve"> </w:t>
      </w:r>
      <w:r>
        <w:t xml:space="preserve">the risks of divergent supervisory practices, and close loopholes for regulatory arbitrage or</w:t>
      </w:r>
      <w:r>
        <w:t xml:space="preserve"> </w:t>
      </w:r>
      <w:r>
        <w:t xml:space="preserve">forum shopping. For large, cross-border, or systemic entities, a single supervisor would</w:t>
      </w:r>
      <w:r>
        <w:t xml:space="preserve"> </w:t>
      </w:r>
      <w:r>
        <w:t xml:space="preserve">improve oversight and provide a single point of contact, reducing regulatory complexity. It</w:t>
      </w:r>
    </w:p>
    <w:p>
      <w:pPr>
        <w:pStyle w:val="BodyText"/>
      </w:pPr>
      <w:r>
        <w:t xml:space="preserve">623 The data have been provided on a strictly confidential basis.</w:t>
      </w:r>
    </w:p>
    <w:p>
      <w:pPr>
        <w:pStyle w:val="BodyText"/>
      </w:pPr>
      <w:r>
        <w:t xml:space="preserve">404</w:t>
      </w:r>
      <w:r>
        <w:t xml:space="preserve"> </w:t>
      </w:r>
      <w:r>
        <w:t xml:space="preserve">would exploit economies of scale and reduce duplication of tasks across Member States,</w:t>
      </w:r>
      <w:r>
        <w:t xml:space="preserve"> </w:t>
      </w:r>
      <w:r>
        <w:t xml:space="preserve">potentially increasing efficiency in the long term.</w:t>
      </w:r>
      <w:r>
        <w:br/>
      </w:r>
      <w:r>
        <w:t xml:space="preserve">However, this option would require a long multi-annual transitional period for accommodating</w:t>
      </w:r>
      <w:r>
        <w:t xml:space="preserve"> </w:t>
      </w:r>
      <w:r>
        <w:t xml:space="preserve">the transfer and achieving a greater level of effectiveness and efficiency in supervision than</w:t>
      </w:r>
      <w:r>
        <w:t xml:space="preserve"> </w:t>
      </w:r>
      <w:r>
        <w:t xml:space="preserve">currently available at national level. Considering that the supervision of the majority of entities</w:t>
      </w:r>
      <w:r>
        <w:t xml:space="preserve"> </w:t>
      </w:r>
      <w:r>
        <w:t xml:space="preserve">is performed adequately at national level, and most of the risks most entities pose are related</w:t>
      </w:r>
      <w:r>
        <w:t xml:space="preserve"> </w:t>
      </w:r>
      <w:r>
        <w:t xml:space="preserve">to the specific national context unless they are systemic, the option may raise both</w:t>
      </w:r>
      <w:r>
        <w:t xml:space="preserve"> </w:t>
      </w:r>
      <w:r>
        <w:t xml:space="preserve">proportionality and subsidiarity concerns.</w:t>
      </w:r>
      <w:r>
        <w:br/>
      </w:r>
      <w:r>
        <w:t xml:space="preserve">4.5.2. Coherence</w:t>
      </w:r>
      <w:r>
        <w:t xml:space="preserve"> </w:t>
      </w:r>
      <w:r>
        <w:t xml:space="preserve">The model is coherent with the rationale behind the SSM in banking supervision, following the</w:t>
      </w:r>
      <w:r>
        <w:t xml:space="preserve"> </w:t>
      </w:r>
      <w:r>
        <w:t xml:space="preserve">logic of deepening EU integration in financial markets. It aligns with EU objectives of</w:t>
      </w:r>
      <w:r>
        <w:t xml:space="preserve"> </w:t>
      </w:r>
      <w:r>
        <w:t xml:space="preserve">completing the Capital Markets Union and strengthening financial stability through consistent,</w:t>
      </w:r>
      <w:r>
        <w:t xml:space="preserve"> </w:t>
      </w:r>
      <w:r>
        <w:t xml:space="preserve">centralised oversight.</w:t>
      </w:r>
      <w:r>
        <w:t xml:space="preserve"> </w:t>
      </w:r>
      <w:r>
        <w:t xml:space="preserve">Coherence may be limited by incomplete harmonisation of regulatory frameworks across</w:t>
      </w:r>
      <w:r>
        <w:t xml:space="preserve"> </w:t>
      </w:r>
      <w:r>
        <w:t xml:space="preserve">sectors (unlike banking under the SSM) where Member States have transposed EU law</w:t>
      </w:r>
      <w:r>
        <w:t xml:space="preserve"> </w:t>
      </w:r>
      <w:r>
        <w:t xml:space="preserve">different, made use of national options and discretions. This means that ESMA could still face</w:t>
      </w:r>
      <w:r>
        <w:t xml:space="preserve"> </w:t>
      </w:r>
      <w:r>
        <w:t xml:space="preserve">legal and operational fragmentation.</w:t>
      </w:r>
      <w:r>
        <w:t xml:space="preserve"> </w:t>
      </w:r>
      <w:r>
        <w:t xml:space="preserve">4.5.3. Efficiency</w:t>
      </w:r>
      <w:r>
        <w:br/>
      </w:r>
      <w:r>
        <w:t xml:space="preserve">The extent and complexity of the full-scale transfer of responsibilities and powers related to</w:t>
      </w:r>
      <w:r>
        <w:t xml:space="preserve"> </w:t>
      </w:r>
      <w:r>
        <w:t xml:space="preserve">direct supervision from national level to the EU level would be unprecedented. To take the</w:t>
      </w:r>
      <w:r>
        <w:t xml:space="preserve"> </w:t>
      </w:r>
      <w:r>
        <w:t xml:space="preserve">example of asset management area, there are around 1 700 UCITS management companies and</w:t>
      </w:r>
      <w:r>
        <w:t xml:space="preserve"> </w:t>
      </w:r>
      <w:r>
        <w:t xml:space="preserve">4 500 authorised AIFMs. The number of trading venues to be supervised would also be</w:t>
      </w:r>
      <w:r>
        <w:t xml:space="preserve"> </w:t>
      </w:r>
      <w:r>
        <w:t xml:space="preserve">considerably higher with approximately 314 trading venues plus a further 167 SIs. The number</w:t>
      </w:r>
      <w:r>
        <w:t xml:space="preserve"> </w:t>
      </w:r>
      <w:r>
        <w:t xml:space="preserve">of CCPs and CSDs in scope however would be almost the same as under option 2 (14 CCPs</w:t>
      </w:r>
      <w:r>
        <w:t xml:space="preserve"> </w:t>
      </w:r>
      <w:r>
        <w:t xml:space="preserve">and 25 CSDs). Based on these figures it is estimated that ESMA would require the following</w:t>
      </w:r>
      <w:r>
        <w:t xml:space="preserve"> </w:t>
      </w:r>
      <w:r>
        <w:t xml:space="preserve">resources:</w:t>
      </w:r>
    </w:p>
    <w:p>
      <w:pPr>
        <w:pStyle w:val="BodyText"/>
      </w:pPr>
      <w:r>
        <w:t xml:space="preserve">Sector</w:t>
      </w:r>
      <w:r>
        <w:br/>
      </w:r>
      <w:r>
        <w:t xml:space="preserve">FTEs624</w:t>
      </w:r>
      <w:r>
        <w:br/>
      </w:r>
      <w:r>
        <w:t xml:space="preserve">Budget implication</w:t>
      </w:r>
      <w:r>
        <w:t xml:space="preserve"> </w:t>
      </w:r>
      <w:r>
        <w:t xml:space="preserve">Trading Venues</w:t>
      </w:r>
      <w:r>
        <w:t xml:space="preserve"> </w:t>
      </w:r>
      <w:r>
        <w:t xml:space="preserve">340- 580</w:t>
      </w:r>
      <w:r>
        <w:t xml:space="preserve"> </w:t>
      </w:r>
      <w:r>
        <w:t xml:space="preserve">EUR 63 – 108 mil.</w:t>
      </w:r>
      <w:r>
        <w:br/>
      </w:r>
      <w:r>
        <w:t xml:space="preserve">CCPs</w:t>
      </w:r>
      <w:r>
        <w:br/>
      </w:r>
      <w:r>
        <w:t xml:space="preserve">50– 55</w:t>
      </w:r>
      <w:r>
        <w:t xml:space="preserve"> </w:t>
      </w:r>
      <w:r>
        <w:t xml:space="preserve">EUR 9 – 10 mil.</w:t>
      </w:r>
      <w:r>
        <w:t xml:space="preserve"> </w:t>
      </w:r>
      <w:r>
        <w:t xml:space="preserve">CSDs</w:t>
      </w:r>
      <w:r>
        <w:t xml:space="preserve"> </w:t>
      </w:r>
      <w:r>
        <w:t xml:space="preserve">40- 50</w:t>
      </w:r>
      <w:r>
        <w:t xml:space="preserve"> </w:t>
      </w:r>
      <w:r>
        <w:t xml:space="preserve">EUR 7 – 9 mil.</w:t>
      </w:r>
      <w:r>
        <w:t xml:space="preserve"> </w:t>
      </w:r>
      <w:r>
        <w:t xml:space="preserve">Asset Managers</w:t>
      </w:r>
      <w:r>
        <w:t xml:space="preserve"> </w:t>
      </w:r>
      <w:r>
        <w:t xml:space="preserve">200- 360</w:t>
      </w:r>
      <w:r>
        <w:t xml:space="preserve"> </w:t>
      </w:r>
      <w:r>
        <w:t xml:space="preserve">EUR 37 – 67 mil.</w:t>
      </w:r>
    </w:p>
    <w:p>
      <w:pPr>
        <w:pStyle w:val="BodyText"/>
      </w:pPr>
      <w:r>
        <w:t xml:space="preserve">Additionally, transition costs would be significant as ESMA would have to build up human</w:t>
      </w:r>
      <w:r>
        <w:t xml:space="preserve"> </w:t>
      </w:r>
      <w:r>
        <w:t xml:space="preserve">capacities. While, due to synergies, the resources located at EU level would not need to</w:t>
      </w:r>
      <w:r>
        <w:t xml:space="preserve"> </w:t>
      </w:r>
      <w:r>
        <w:t xml:space="preserve">approach the sum of resources currently deployed at national level, the increase would go</w:t>
      </w:r>
      <w:r>
        <w:t xml:space="preserve"> </w:t>
      </w:r>
      <w:r>
        <w:t xml:space="preserve">beyond current EU agencies’ staffing. ESMA would need to develop a comprehensive fee</w:t>
      </w:r>
      <w:r>
        <w:t xml:space="preserve"> </w:t>
      </w:r>
      <w:r>
        <w:t xml:space="preserve">framework that is sufficiently flexible to account for the wide diversity of entities across sectors</w:t>
      </w:r>
    </w:p>
    <w:p>
      <w:pPr>
        <w:pStyle w:val="BodyText"/>
      </w:pPr>
      <w:r>
        <w:t xml:space="preserve">624 Given that the entities captured in addition to the ones covered in option 2 would be considerably smaller and</w:t>
      </w:r>
      <w:r>
        <w:t xml:space="preserve"> </w:t>
      </w:r>
      <w:r>
        <w:t xml:space="preserve">less complex, it is no appropriate to convert them on an entity-proportional basis. Instead, it is assumed that the</w:t>
      </w:r>
      <w:r>
        <w:t xml:space="preserve"> </w:t>
      </w:r>
      <w:r>
        <w:t xml:space="preserve">number of FTEs needed for these smaller entities is only 5-10% (trading venues, asset manager) and 20-40%</w:t>
      </w:r>
      <w:r>
        <w:t xml:space="preserve"> </w:t>
      </w:r>
      <w:r>
        <w:t xml:space="preserve">(CCPs, CSDs) compared to option 2.</w:t>
      </w:r>
    </w:p>
    <w:p>
      <w:pPr>
        <w:pStyle w:val="BodyText"/>
      </w:pPr>
      <w:r>
        <w:t xml:space="preserve">405</w:t>
      </w:r>
      <w:r>
        <w:t xml:space="preserve"> </w:t>
      </w:r>
      <w:r>
        <w:t xml:space="preserve">and Member States in terms of size, complexity, and risk profile. A uniform or overly</w:t>
      </w:r>
      <w:r>
        <w:t xml:space="preserve"> </w:t>
      </w:r>
      <w:r>
        <w:t xml:space="preserve">centralised fee structure could place an undue financial burden on smaller, local actors, which</w:t>
      </w:r>
      <w:r>
        <w:t xml:space="preserve"> </w:t>
      </w:r>
      <w:r>
        <w:t xml:space="preserve">may already be effectively supervised at the national level and might not benefit</w:t>
      </w:r>
      <w:r>
        <w:t xml:space="preserve"> </w:t>
      </w:r>
      <w:r>
        <w:t xml:space="preserve">proportionately from EU-level oversight. Without a nuanced approach, there is a risk that a</w:t>
      </w:r>
      <w:r>
        <w:t xml:space="preserve"> </w:t>
      </w:r>
      <w:r>
        <w:t xml:space="preserve">“one-size-fits-all” fee model would lack fairness and discourage market participation.</w:t>
      </w:r>
      <w:r>
        <w:t xml:space="preserve"> </w:t>
      </w:r>
      <w:r>
        <w:t xml:space="preserve">4.5.4. Conclusion</w:t>
      </w:r>
      <w:r>
        <w:t xml:space="preserve"> </w:t>
      </w:r>
      <w:r>
        <w:t xml:space="preserve">Taking into account the assessment and explanations provided above, the preferred option is</w:t>
      </w:r>
      <w:r>
        <w:t xml:space="preserve"> </w:t>
      </w:r>
      <w:r>
        <w:t xml:space="preserve">Option 2 – a combination of enhancing supervisory convergence via an improved set of tools</w:t>
      </w:r>
      <w:r>
        <w:t xml:space="preserve"> </w:t>
      </w:r>
      <w:r>
        <w:t xml:space="preserve">and direct supervision and oversight of certain financial entities by ESMA. Option 3 is not the</w:t>
      </w:r>
      <w:r>
        <w:t xml:space="preserve"> </w:t>
      </w:r>
      <w:r>
        <w:t xml:space="preserve">preferred approach at this stage. Although it could be considered a long-term goal, immediate</w:t>
      </w:r>
      <w:r>
        <w:t xml:space="preserve"> </w:t>
      </w:r>
      <w:r>
        <w:t xml:space="preserve">efforts should focus on removing national barriers, levelling the playing field, fostering trust</w:t>
      </w:r>
      <w:r>
        <w:t xml:space="preserve"> </w:t>
      </w:r>
      <w:r>
        <w:t xml:space="preserve">and cooperation among Member States, and enhancing ESMA’s expertise—objectives more</w:t>
      </w:r>
      <w:r>
        <w:t xml:space="preserve"> </w:t>
      </w:r>
      <w:r>
        <w:t xml:space="preserve">efficiently pursued through Option 2. In this sense, Option 2 can be seen as an intermediary</w:t>
      </w:r>
      <w:r>
        <w:t xml:space="preserve"> </w:t>
      </w:r>
      <w:r>
        <w:t xml:space="preserve">step that would lay the groundwork for potentially moving toward EU-level supervision under</w:t>
      </w:r>
      <w:r>
        <w:t xml:space="preserve"> </w:t>
      </w:r>
      <w:r>
        <w:t xml:space="preserve">Option 3 in a future review, once the necessary legal, operational, and institutional conditions</w:t>
      </w:r>
      <w:r>
        <w:t xml:space="preserve"> </w:t>
      </w:r>
      <w:r>
        <w:t xml:space="preserve">are in place.</w:t>
      </w:r>
    </w:p>
    <w:p>
      <w:pPr>
        <w:pStyle w:val="BodyText"/>
      </w:pPr>
      <w:r>
        <w:t xml:space="preserve">Effectiveness Efficiency</w:t>
      </w:r>
      <w:r>
        <w:br/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Option 1</w:t>
      </w:r>
      <w:r>
        <w:br/>
      </w:r>
      <w:r>
        <w:t xml:space="preserve">Baseline scenario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Greater supervisory</w:t>
      </w:r>
      <w:r>
        <w:t xml:space="preserve"> </w:t>
      </w:r>
      <w:r>
        <w:t xml:space="preserve">convergence and</w:t>
      </w:r>
      <w:r>
        <w:t xml:space="preserve"> </w:t>
      </w:r>
      <w:r>
        <w:t xml:space="preserve">enhanced role for</w:t>
      </w:r>
      <w:r>
        <w:t xml:space="preserve"> </w:t>
      </w:r>
      <w:r>
        <w:t xml:space="preserve">ESMA in supervision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</w:t>
      </w:r>
      <w:r>
        <w:t xml:space="preserve"> </w:t>
      </w:r>
      <w:r>
        <w:t xml:space="preserve">ESMA supervision for</w:t>
      </w:r>
      <w:r>
        <w:t xml:space="preserve"> </w:t>
      </w:r>
      <w:r>
        <w:t xml:space="preserve">all entities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Legend: +++ = very positive ++ = positive + = slightly positive +/- = mixed effect 0 = no effect</w:t>
      </w:r>
      <w:r>
        <w:t xml:space="preserve"> </w:t>
      </w:r>
      <w:r>
        <w:t xml:space="preserve">- = slightly negative – = negative — = very negative</w:t>
      </w:r>
      <w:r>
        <w:t xml:space="preserve"> </w:t>
      </w:r>
      <w:r>
        <w:t xml:space="preserve">5. MONITORING</w:t>
      </w:r>
      <w:r>
        <w:br/>
      </w:r>
      <w:r>
        <w:t xml:space="preserve">The ESMA Regulation provides for evaluation of ESMA every three years, starting from the</w:t>
      </w:r>
      <w:r>
        <w:t xml:space="preserve"> </w:t>
      </w:r>
      <w:r>
        <w:t xml:space="preserve">effective start of its operation. In 2022, the Commission has issued a report on the functioning</w:t>
      </w:r>
      <w:r>
        <w:t xml:space="preserve"> </w:t>
      </w:r>
      <w:r>
        <w:t xml:space="preserve">of the ESAs.625 Going forward, the Commission will continue to monitor the functioning of</w:t>
      </w:r>
      <w:r>
        <w:t xml:space="preserve"> </w:t>
      </w:r>
      <w:r>
        <w:t xml:space="preserve">ESMA and to report accordingly. The Commission’s systematic evaluation of ESMA will</w:t>
      </w:r>
      <w:r>
        <w:t xml:space="preserve"> </w:t>
      </w:r>
      <w:r>
        <w:t xml:space="preserve">include extensive consultation.</w:t>
      </w:r>
      <w:r>
        <w:t xml:space="preserve"> </w:t>
      </w:r>
      <w:r>
        <w:t xml:space="preserve">The specific indicators identified in the impact assessment accompanying the Commission’s</w:t>
      </w:r>
      <w:r>
        <w:t xml:space="preserve"> </w:t>
      </w:r>
      <w:r>
        <w:t xml:space="preserve">proposal for setting up ESMA match with the specific objectives and remain valid for the</w:t>
      </w:r>
      <w:r>
        <w:t xml:space="preserve"> </w:t>
      </w:r>
      <w:r>
        <w:t xml:space="preserve">current and future evaluations. These indicators serve to assess the performance of ESMA in</w:t>
      </w:r>
    </w:p>
    <w:p>
      <w:pPr>
        <w:pStyle w:val="BodyText"/>
      </w:pPr>
      <w:r>
        <w:t xml:space="preserve">625 Report from the Commission to the European Parliament and the Council - On the operation of the European</w:t>
      </w:r>
      <w:r>
        <w:t xml:space="preserve"> </w:t>
      </w:r>
      <w:r>
        <w:t xml:space="preserve">Supervisory Authorities (ESAs).</w:t>
      </w:r>
    </w:p>
    <w:p>
      <w:pPr>
        <w:pStyle w:val="BodyText"/>
      </w:pPr>
      <w:r>
        <w:t xml:space="preserve">406</w:t>
      </w:r>
      <w:r>
        <w:t xml:space="preserve"> </w:t>
      </w:r>
      <w:r>
        <w:t xml:space="preserve">fulfilling its tasks. The following table presents the main areas of activity of ESMA and</w:t>
      </w:r>
      <w:r>
        <w:t xml:space="preserve"> </w:t>
      </w:r>
      <w:r>
        <w:t xml:space="preserve">matches them with some relevant indicators.</w:t>
      </w:r>
    </w:p>
    <w:p>
      <w:pPr>
        <w:pStyle w:val="BodyText"/>
      </w:pPr>
      <w:r>
        <w:t xml:space="preserve">Objective</w:t>
      </w:r>
      <w:r>
        <w:br/>
      </w:r>
      <w:r>
        <w:t xml:space="preserve">Proposed indicator</w:t>
      </w:r>
      <w:r>
        <w:t xml:space="preserve"> </w:t>
      </w:r>
      <w:r>
        <w:t xml:space="preserve">Source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Common supervisory</w:t>
      </w:r>
      <w:r>
        <w:t xml:space="preserve"> </w:t>
      </w:r>
      <w:r>
        <w:t xml:space="preserve">culture, consistent</w:t>
      </w:r>
      <w:r>
        <w:t xml:space="preserve"> </w:t>
      </w:r>
      <w:r>
        <w:t xml:space="preserve">application of EU</w:t>
      </w:r>
      <w:r>
        <w:t xml:space="preserve"> </w:t>
      </w:r>
      <w:r>
        <w:t xml:space="preserve">rules</w:t>
      </w:r>
      <w:r>
        <w:t xml:space="preserve"> </w:t>
      </w:r>
      <w:r>
        <w:t xml:space="preserve">Number of colleges with ESMA participation</w:t>
      </w:r>
      <w:r>
        <w:t xml:space="preserve"> </w:t>
      </w:r>
      <w:r>
        <w:t xml:space="preserve">Number of peer reviews conducted</w:t>
      </w:r>
      <w:r>
        <w:t xml:space="preserve"> </w:t>
      </w:r>
      <w:r>
        <w:t xml:space="preserve">Number of obstacles to convergence identified</w:t>
      </w:r>
      <w:r>
        <w:t xml:space="preserve"> </w:t>
      </w:r>
      <w:r>
        <w:t xml:space="preserve">and removed</w:t>
      </w:r>
      <w:r>
        <w:t xml:space="preserve"> </w:t>
      </w:r>
      <w:r>
        <w:t xml:space="preserve">Number of of breach of EU law successfully</w:t>
      </w:r>
      <w:r>
        <w:t xml:space="preserve"> </w:t>
      </w:r>
      <w:r>
        <w:t xml:space="preserve">closed</w:t>
      </w:r>
      <w:r>
        <w:t xml:space="preserve"> </w:t>
      </w:r>
      <w:r>
        <w:t xml:space="preserve">Number of warnings on manifest breach of the</w:t>
      </w:r>
      <w:r>
        <w:t xml:space="preserve"> </w:t>
      </w:r>
      <w:r>
        <w:t xml:space="preserve">EU law</w:t>
      </w:r>
      <w:r>
        <w:t xml:space="preserve"> </w:t>
      </w:r>
      <w:r>
        <w:t xml:space="preserve">ESMA</w:t>
      </w:r>
      <w:r>
        <w:t xml:space="preserve"> </w:t>
      </w:r>
      <w:r>
        <w:t xml:space="preserve">Direct supervision of</w:t>
      </w:r>
      <w:r>
        <w:t xml:space="preserve"> </w:t>
      </w:r>
      <w:r>
        <w:t xml:space="preserve">certain financial</w:t>
      </w:r>
      <w:r>
        <w:t xml:space="preserve"> </w:t>
      </w:r>
      <w:r>
        <w:t xml:space="preserve">entities</w:t>
      </w:r>
      <w:r>
        <w:t xml:space="preserve"> </w:t>
      </w:r>
      <w:r>
        <w:t xml:space="preserve">Number of on-site inspections and dedicated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ESMA</w:t>
      </w:r>
    </w:p>
    <w:p>
      <w:pPr>
        <w:pStyle w:val="BodyText"/>
      </w:pPr>
      <w:r>
        <w:t xml:space="preserve">ESMA should collect data on these indicators on an annual basis. In addition, at the beginning</w:t>
      </w:r>
      <w:r>
        <w:t xml:space="preserve"> </w:t>
      </w:r>
      <w:r>
        <w:t xml:space="preserve">of each year ESMA should (where applicable) set targets vis-à-vis indicators. Targets can be</w:t>
      </w:r>
      <w:r>
        <w:t xml:space="preserve"> </w:t>
      </w:r>
      <w:r>
        <w:t xml:space="preserve">of either numeric (e.g. % increase/decrease) or of qualitative nature (e.g. positive/negative</w:t>
      </w:r>
      <w:r>
        <w:t xml:space="preserve"> </w:t>
      </w:r>
      <w:r>
        <w:t xml:space="preserve">trend) compared to the previous year.</w:t>
      </w:r>
      <w:r>
        <w:t xml:space="preserve"> </w:t>
      </w:r>
      <w:r>
        <w:t xml:space="preserve">The evaluation should seek to collect input from all relevant stakeholders, but in particular</w:t>
      </w:r>
      <w:r>
        <w:t xml:space="preserve"> </w:t>
      </w:r>
      <w:r>
        <w:t xml:space="preserve">national CAs, EU institutions and fee-paying sectors and entities under the remit of the ESAs.</w:t>
      </w:r>
      <w:r>
        <w:t xml:space="preserve"> </w:t>
      </w:r>
      <w:r>
        <w:t xml:space="preserve">Input will also be required by ESMA. The evaluation will be repeated every 5 years after the</w:t>
      </w:r>
      <w:r>
        <w:t xml:space="preserve"> </w:t>
      </w:r>
      <w:r>
        <w:t xml:space="preserve">application of these amendments.</w:t>
      </w:r>
    </w:p>
    <w:p>
      <w:pPr>
        <w:pStyle w:val="BodyText"/>
      </w:pPr>
      <w:r>
        <w:t xml:space="preserve">407</w:t>
      </w:r>
      <w:r>
        <w:t xml:space="preserve"> </w:t>
      </w:r>
      <w:r>
        <w:t xml:space="preserve">ANNEX 12: MEMBER-STATE-SPECIFIC EVIDENCE ON MARKET</w:t>
      </w:r>
      <w:r>
        <w:t xml:space="preserve"> </w:t>
      </w:r>
      <w:r>
        <w:t xml:space="preserve">CONTEXT</w:t>
      </w:r>
    </w:p>
    <w:p>
      <w:pPr>
        <w:pStyle w:val="BodyText"/>
      </w:pPr>
      <w:r>
        <w:t xml:space="preserve">408</w:t>
      </w:r>
      <w:r>
        <w:t xml:space="preserve"> </w:t>
      </w:r>
      <w:r>
        <w:t xml:space="preserve">1.1 Savings-Investments Balance in</w:t>
      </w:r>
      <w:r>
        <w:t xml:space="preserve"> </w:t>
      </w:r>
      <w:r>
        <w:t xml:space="preserve">the EU/EA</w:t>
      </w:r>
      <w:r>
        <w:t xml:space="preserve"> </w:t>
      </w:r>
      <w:r>
        <w:t xml:space="preserve">The EA invests in the private sector only a relatively</w:t>
      </w:r>
      <w:r>
        <w:t xml:space="preserve"> </w:t>
      </w:r>
      <w:r>
        <w:t xml:space="preserve">small portion of its otherwise high net savings. In the</w:t>
      </w:r>
      <w:r>
        <w:t xml:space="preserve"> </w:t>
      </w:r>
      <w:r>
        <w:t xml:space="preserve">last decade, the private savings ratio, net of fixed</w:t>
      </w:r>
      <w:r>
        <w:t xml:space="preserve"> </w:t>
      </w:r>
      <w:r>
        <w:t xml:space="preserve">capital consumption, persistently fluctuated around its</w:t>
      </w:r>
      <w:r>
        <w:t xml:space="preserve"> </w:t>
      </w:r>
      <w:r>
        <w:t xml:space="preserve">ten-year average of 8.4% of GDP, reaching a maximum</w:t>
      </w:r>
      <w:r>
        <w:t xml:space="preserve"> </w:t>
      </w:r>
      <w:r>
        <w:t xml:space="preserve">of 11.3% in 2021 (see Graph 2.1.1). The net private</w:t>
      </w:r>
      <w:r>
        <w:t xml:space="preserve"> </w:t>
      </w:r>
      <w:r>
        <w:t xml:space="preserve">investment ratio, which measures the net contribution</w:t>
      </w:r>
      <w:r>
        <w:t xml:space="preserve"> </w:t>
      </w:r>
      <w:r>
        <w:t xml:space="preserve">of the private sector to capital accumulation in the</w:t>
      </w:r>
      <w:r>
        <w:t xml:space="preserve"> </w:t>
      </w:r>
      <w:r>
        <w:t xml:space="preserve">country, was significantly more volatile, exhibited a</w:t>
      </w:r>
      <w:r>
        <w:t xml:space="preserve"> </w:t>
      </w:r>
      <w:r>
        <w:t xml:space="preserve">ten-year average of 2.7% of GDP and reached a</w:t>
      </w:r>
      <w:r>
        <w:t xml:space="preserve"> </w:t>
      </w:r>
      <w:r>
        <w:t xml:space="preserve">maximum of 4.4% in 2019. In the last decade, the</w:t>
      </w:r>
      <w:r>
        <w:t xml:space="preserve"> </w:t>
      </w:r>
      <w:r>
        <w:t xml:space="preserve">aggregate government budget balance in the EA</w:t>
      </w:r>
      <w:r>
        <w:t xml:space="preserve"> </w:t>
      </w:r>
      <w:r>
        <w:t xml:space="preserve">showed a persistent deficit that averaged 3% of GDP.</w:t>
      </w:r>
      <w:r>
        <w:t xml:space="preserve"> </w:t>
      </w:r>
      <w:r>
        <w:t xml:space="preserve">Hence, less than a third of net savings in the EA are</w:t>
      </w:r>
      <w:r>
        <w:t xml:space="preserve"> </w:t>
      </w:r>
      <w:r>
        <w:t xml:space="preserve">invested in the private economy. The EA aggregate</w:t>
      </w:r>
      <w:r>
        <w:t xml:space="preserve"> </w:t>
      </w:r>
      <w:r>
        <w:t xml:space="preserve">hides significant national discrepancies (see Table</w:t>
      </w:r>
      <w:r>
        <w:t xml:space="preserve"> </w:t>
      </w:r>
      <w:r>
        <w:t xml:space="preserve">1.1.2), with the ten-year average net private</w:t>
      </w:r>
      <w:r>
        <w:t xml:space="preserve"> </w:t>
      </w:r>
      <w:r>
        <w:t xml:space="preserve">investment-to-GDP ratios ranging between 9.8% in</w:t>
      </w:r>
      <w:r>
        <w:t xml:space="preserve"> </w:t>
      </w:r>
      <w:r>
        <w:t xml:space="preserve">Ireland to -1.9% in Greece (4.4% in Spain, 3.7% in</w:t>
      </w:r>
      <w:r>
        <w:t xml:space="preserve"> </w:t>
      </w:r>
      <w:r>
        <w:t xml:space="preserve">France, 1.7% in Germany and -0.7% in Italy).</w:t>
      </w:r>
      <w:r>
        <w:t xml:space="preserve"> </w:t>
      </w:r>
      <w:r>
        <w:t xml:space="preserve">1.1.1</w:t>
      </w:r>
      <w:r>
        <w:t xml:space="preserve"> </w:t>
      </w:r>
      <w:r>
        <w:t xml:space="preserve">Net savings-investment balance in the EA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Consistent with its regular position of a net lender</w:t>
      </w:r>
      <w:r>
        <w:t xml:space="preserve"> </w:t>
      </w:r>
      <w:r>
        <w:t xml:space="preserve">to the rest of the world, the EA has been improving</w:t>
      </w:r>
      <w:r>
        <w:t xml:space="preserve"> </w:t>
      </w:r>
      <w:r>
        <w:t xml:space="preserve">its net international investment position. As of end-</w:t>
      </w:r>
      <w:r>
        <w:t xml:space="preserve"> </w:t>
      </w:r>
      <w:r>
        <w:t xml:space="preserve">2024, total foreign assets reached 237% of GDP, while</w:t>
      </w:r>
      <w:r>
        <w:t xml:space="preserve"> </w:t>
      </w:r>
      <w:r>
        <w:t xml:space="preserve">liabilities to foreigners stood at 225% of GDP,</w:t>
      </w:r>
      <w:r>
        <w:t xml:space="preserve"> </w:t>
      </w:r>
      <w:r>
        <w:t xml:space="preserve">resulting in a net international investment position</w:t>
      </w:r>
      <w:r>
        <w:t xml:space="preserve"> </w:t>
      </w:r>
      <w:r>
        <w:t xml:space="preserve">(NIIP) equivalent to 12% of GDP (see Table 1.1.2).</w:t>
      </w:r>
      <w:r>
        <w:t xml:space="preserve"> </w:t>
      </w:r>
      <w:r>
        <w:t xml:space="preserve">The accumulated net foreign direct investment, which</w:t>
      </w:r>
      <w:r>
        <w:t xml:space="preserve"> </w:t>
      </w:r>
      <w:r>
        <w:t xml:space="preserve">reached 18% of GDP as of end-2024, has been the main</w:t>
      </w:r>
      <w:r>
        <w:t xml:space="preserve"> </w:t>
      </w:r>
      <w:r>
        <w:t xml:space="preserve">driver behind the dynamics of the NIIP. In terms of</w:t>
      </w:r>
      <w:r>
        <w:t xml:space="preserve"> </w:t>
      </w:r>
      <w:r>
        <w:t xml:space="preserve">portfolio and other investments, as of end-2024 the EA</w:t>
      </w:r>
      <w:r>
        <w:t xml:space="preserve"> </w:t>
      </w:r>
      <w:r>
        <w:t xml:space="preserve">was a net debtor to the rest of the world respectively for</w:t>
      </w:r>
      <w:r>
        <w:t xml:space="preserve"> </w:t>
      </w:r>
      <w:r>
        <w:t xml:space="preserve">12.1% and 3.6% of its GDP. The stock of official</w:t>
      </w:r>
      <w:r>
        <w:t xml:space="preserve"> </w:t>
      </w:r>
      <w:r>
        <w:t xml:space="preserve">foreign reserves held by the EA countries has been</w:t>
      </w:r>
      <w:r>
        <w:t xml:space="preserve"> </w:t>
      </w:r>
      <w:r>
        <w:t xml:space="preserve">growing and reached the equivalent of 9.2% of GDP.</w:t>
      </w:r>
      <w:r>
        <w:t xml:space="preserve"> </w:t>
      </w:r>
      <w:r>
        <w:t xml:space="preserve">The contraction in the stock of direct and portfolio</w:t>
      </w:r>
      <w:r>
        <w:t xml:space="preserve"> </w:t>
      </w:r>
      <w:r>
        <w:t xml:space="preserve">investment liabilities to the rest of the world suggests</w:t>
      </w:r>
      <w:r>
        <w:t xml:space="preserve"> </w:t>
      </w:r>
      <w:r>
        <w:t xml:space="preserve">that the EA has become less attractive to foreign</w:t>
      </w:r>
      <w:r>
        <w:t xml:space="preserve"> </w:t>
      </w:r>
      <w:r>
        <w:t xml:space="preserve">capital.</w:t>
      </w:r>
      <w:r>
        <w:t xml:space="preserve"> </w:t>
      </w:r>
      <w:r>
        <w:t xml:space="preserve">1.1.2</w:t>
      </w:r>
      <w:r>
        <w:t xml:space="preserve"> </w:t>
      </w:r>
      <w:r>
        <w:t xml:space="preserve">National savings-investments balances in the EU</w:t>
      </w:r>
      <w:r>
        <w:t xml:space="preserve"> </w:t>
      </w:r>
      <w:r>
        <w:t xml:space="preserve">(1) S stands for savings, I for private investments, LtG for lending</w:t>
      </w:r>
      <w:r>
        <w:t xml:space="preserve"> </w:t>
      </w:r>
      <w:r>
        <w:t xml:space="preserve">to the government, B for borrowing, and RoW for rest of the</w:t>
      </w:r>
      <w:r>
        <w:t xml:space="preserve"> </w:t>
      </w:r>
      <w:r>
        <w:t xml:space="preserve">world. 10-year averages covering 2015-2024, except for France</w:t>
      </w:r>
      <w:r>
        <w:t xml:space="preserve"> </w:t>
      </w:r>
      <w:r>
        <w:t xml:space="preserve">(2014-2023). Countries are ordered by height of net private</w:t>
      </w:r>
      <w:r>
        <w:t xml:space="preserve"> </w:t>
      </w:r>
      <w:r>
        <w:t xml:space="preserve">investments.</w:t>
      </w:r>
      <w:r>
        <w:t xml:space="preserve"> </w:t>
      </w:r>
      <w:r>
        <w:t xml:space="preserve">Source: AMECO.</w:t>
      </w:r>
    </w:p>
    <w:p>
      <w:pPr>
        <w:pStyle w:val="BodyText"/>
      </w:pPr>
      <w:r>
        <w:t xml:space="preserve">1.1.3</w:t>
      </w:r>
      <w:r>
        <w:t xml:space="preserve"> </w:t>
      </w:r>
      <w:r>
        <w:t xml:space="preserve">International investment position of the EA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and size of the financial sector in the EU</w:t>
      </w:r>
      <w:r>
        <w:t xml:space="preserve"> </w:t>
      </w:r>
      <w:r>
        <w:t xml:space="preserve">Capital markets in the EA are driven by debt</w:t>
      </w:r>
      <w:r>
        <w:t xml:space="preserve"> </w:t>
      </w:r>
      <w:r>
        <w:t xml:space="preserve">securities and finance primarily governments and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% of GDP S, net I, net LtG</w:t>
      </w:r>
      <w:r>
        <w:t xml:space="preserve"> </w:t>
      </w:r>
      <w:r>
        <w:t xml:space="preserve">B from RoW S, gross</w:t>
      </w:r>
      <w:r>
        <w:t xml:space="preserve"> </w:t>
      </w:r>
      <w:r>
        <w:t xml:space="preserve">IE</w:t>
      </w:r>
      <w:r>
        <w:t xml:space="preserve"> </w:t>
      </w:r>
      <w:r>
        <w:t xml:space="preserve">8.4</w:t>
      </w:r>
      <w:r>
        <w:t xml:space="preserve"> </w:t>
      </w:r>
      <w:r>
        <w:t xml:space="preserve">9.8</w:t>
      </w:r>
      <w:r>
        <w:t xml:space="preserve"> </w:t>
      </w:r>
      <w:r>
        <w:t xml:space="preserve">0.1</w:t>
      </w:r>
      <w:r>
        <w:t xml:space="preserve"> </w:t>
      </w:r>
      <w:r>
        <w:t xml:space="preserve">1.5</w:t>
      </w:r>
      <w:r>
        <w:t xml:space="preserve"> </w:t>
      </w:r>
      <w:r>
        <w:t xml:space="preserve">32.0</w:t>
      </w:r>
      <w:r>
        <w:t xml:space="preserve"> </w:t>
      </w:r>
      <w:r>
        <w:t xml:space="preserve">MT</w:t>
      </w:r>
      <w:r>
        <w:t xml:space="preserve"> </w:t>
      </w:r>
      <w:r>
        <w:t xml:space="preserve">15.7</w:t>
      </w:r>
      <w:r>
        <w:t xml:space="preserve"> </w:t>
      </w:r>
      <w:r>
        <w:t xml:space="preserve">7.1</w:t>
      </w:r>
      <w:r>
        <w:t xml:space="preserve"> </w:t>
      </w:r>
      <w:r>
        <w:t xml:space="preserve">2.3</w:t>
      </w:r>
      <w:r>
        <w:t xml:space="preserve"> </w:t>
      </w:r>
      <w:r>
        <w:t xml:space="preserve">-6.3</w:t>
      </w:r>
      <w:r>
        <w:t xml:space="preserve"> </w:t>
      </w:r>
      <w:r>
        <w:t xml:space="preserve">25.4</w:t>
      </w:r>
      <w:r>
        <w:t xml:space="preserve"> </w:t>
      </w:r>
      <w:r>
        <w:t xml:space="preserve">EE</w:t>
      </w:r>
      <w:r>
        <w:t xml:space="preserve"> </w:t>
      </w:r>
      <w:r>
        <w:t xml:space="preserve">9.7</w:t>
      </w:r>
      <w:r>
        <w:t xml:space="preserve"> </w:t>
      </w:r>
      <w:r>
        <w:t xml:space="preserve">6.8</w:t>
      </w:r>
      <w:r>
        <w:t xml:space="preserve"> </w:t>
      </w:r>
      <w:r>
        <w:t xml:space="preserve">1.5</w:t>
      </w:r>
      <w:r>
        <w:t xml:space="preserve"> </w:t>
      </w:r>
      <w:r>
        <w:t xml:space="preserve">-1.4</w:t>
      </w:r>
      <w:r>
        <w:t xml:space="preserve"> </w:t>
      </w:r>
      <w:r>
        <w:t xml:space="preserve">22.7</w:t>
      </w:r>
      <w:r>
        <w:t xml:space="preserve"> </w:t>
      </w:r>
      <w:r>
        <w:t xml:space="preserve">SE</w:t>
      </w:r>
      <w:r>
        <w:t xml:space="preserve"> </w:t>
      </w:r>
      <w:r>
        <w:t xml:space="preserve">10.8</w:t>
      </w:r>
      <w:r>
        <w:t xml:space="preserve"> </w:t>
      </w:r>
      <w:r>
        <w:t xml:space="preserve">6.4</w:t>
      </w:r>
      <w:r>
        <w:t xml:space="preserve"> </w:t>
      </w:r>
      <w:r>
        <w:t xml:space="preserve">0.2</w:t>
      </w:r>
      <w:r>
        <w:t xml:space="preserve"> </w:t>
      </w:r>
      <w:r>
        <w:t xml:space="preserve">-4.3</w:t>
      </w:r>
      <w:r>
        <w:t xml:space="preserve"> </w:t>
      </w:r>
      <w:r>
        <w:t xml:space="preserve">24.3</w:t>
      </w:r>
      <w:r>
        <w:t xml:space="preserve"> </w:t>
      </w:r>
      <w:r>
        <w:t xml:space="preserve">LT</w:t>
      </w:r>
      <w:r>
        <w:t xml:space="preserve"> </w:t>
      </w:r>
      <w:r>
        <w:t xml:space="preserve">9.5</w:t>
      </w:r>
      <w:r>
        <w:t xml:space="preserve"> </w:t>
      </w:r>
      <w:r>
        <w:t xml:space="preserve">6.1</w:t>
      </w:r>
      <w:r>
        <w:t xml:space="preserve"> </w:t>
      </w:r>
      <w:r>
        <w:t xml:space="preserve">1.0</w:t>
      </w:r>
      <w:r>
        <w:t xml:space="preserve"> </w:t>
      </w:r>
      <w:r>
        <w:t xml:space="preserve">-2.4</w:t>
      </w:r>
      <w:r>
        <w:t xml:space="preserve"> </w:t>
      </w:r>
      <w:r>
        <w:t xml:space="preserve">19.6</w:t>
      </w:r>
      <w:r>
        <w:t xml:space="preserve"> </w:t>
      </w:r>
      <w:r>
        <w:t xml:space="preserve">PL</w:t>
      </w:r>
      <w:r>
        <w:t xml:space="preserve"> </w:t>
      </w:r>
      <w:r>
        <w:t xml:space="preserve">9.4</w:t>
      </w:r>
      <w:r>
        <w:t xml:space="preserve"> </w:t>
      </w:r>
      <w:r>
        <w:t xml:space="preserve">5.8</w:t>
      </w:r>
      <w:r>
        <w:t xml:space="preserve"> </w:t>
      </w:r>
      <w:r>
        <w:t xml:space="preserve">3.1</w:t>
      </w:r>
      <w:r>
        <w:t xml:space="preserve"> </w:t>
      </w:r>
      <w:r>
        <w:t xml:space="preserve">-0.5</w:t>
      </w:r>
      <w:r>
        <w:t xml:space="preserve"> </w:t>
      </w:r>
      <w:r>
        <w:t xml:space="preserve">18.4</w:t>
      </w:r>
      <w:r>
        <w:t xml:space="preserve"> </w:t>
      </w:r>
      <w:r>
        <w:t xml:space="preserve">HU</w:t>
      </w:r>
      <w:r>
        <w:t xml:space="preserve"> </w:t>
      </w:r>
      <w:r>
        <w:t xml:space="preserve">10.8</w:t>
      </w:r>
      <w:r>
        <w:t xml:space="preserve"> </w:t>
      </w:r>
      <w:r>
        <w:t xml:space="preserve">5.2</w:t>
      </w:r>
      <w:r>
        <w:t xml:space="preserve"> </w:t>
      </w:r>
      <w:r>
        <w:t xml:space="preserve">4.3</w:t>
      </w:r>
      <w:r>
        <w:t xml:space="preserve"> </w:t>
      </w:r>
      <w:r>
        <w:t xml:space="preserve">-1.3</w:t>
      </w:r>
      <w:r>
        <w:t xml:space="preserve"> </w:t>
      </w:r>
      <w:r>
        <w:t xml:space="preserve">24.2</w:t>
      </w:r>
      <w:r>
        <w:t xml:space="preserve"> </w:t>
      </w:r>
      <w:r>
        <w:t xml:space="preserve">CY</w:t>
      </w:r>
      <w:r>
        <w:t xml:space="preserve"> </w:t>
      </w:r>
      <w:r>
        <w:t xml:space="preserve">-0.3</w:t>
      </w:r>
      <w:r>
        <w:t xml:space="preserve"> </w:t>
      </w:r>
      <w:r>
        <w:t xml:space="preserve">5.2</w:t>
      </w:r>
      <w:r>
        <w:t xml:space="preserve"> </w:t>
      </w:r>
      <w:r>
        <w:t xml:space="preserve">-0.1</w:t>
      </w:r>
      <w:r>
        <w:t xml:space="preserve"> </w:t>
      </w:r>
      <w:r>
        <w:t xml:space="preserve">5.4</w:t>
      </w:r>
      <w:r>
        <w:t xml:space="preserve"> </w:t>
      </w:r>
      <w:r>
        <w:t xml:space="preserve">9.6</w:t>
      </w:r>
      <w:r>
        <w:t xml:space="preserve"> </w:t>
      </w:r>
      <w:r>
        <w:t xml:space="preserve">BG</w:t>
      </w:r>
      <w:r>
        <w:t xml:space="preserve"> </w:t>
      </w:r>
      <w:r>
        <w:t xml:space="preserve">8.8</w:t>
      </w:r>
      <w:r>
        <w:t xml:space="preserve"> </w:t>
      </w:r>
      <w:r>
        <w:t xml:space="preserve">5.1</w:t>
      </w:r>
      <w:r>
        <w:t xml:space="preserve"> </w:t>
      </w:r>
      <w:r>
        <w:t xml:space="preserve">1.4</w:t>
      </w:r>
      <w:r>
        <w:t xml:space="preserve"> </w:t>
      </w:r>
      <w:r>
        <w:t xml:space="preserve">-2.2</w:t>
      </w:r>
      <w:r>
        <w:t xml:space="preserve"> </w:t>
      </w:r>
      <w:r>
        <w:t xml:space="preserve">19.6</w:t>
      </w:r>
      <w:r>
        <w:t xml:space="preserve"> </w:t>
      </w:r>
      <w:r>
        <w:t xml:space="preserve">BE</w:t>
      </w:r>
      <w:r>
        <w:t xml:space="preserve"> </w:t>
      </w:r>
      <w:r>
        <w:t xml:space="preserve">8.6</w:t>
      </w:r>
      <w:r>
        <w:t xml:space="preserve"> </w:t>
      </w:r>
      <w:r>
        <w:t xml:space="preserve">5.0</w:t>
      </w:r>
      <w:r>
        <w:t xml:space="preserve"> </w:t>
      </w:r>
      <w:r>
        <w:t xml:space="preserve">3.5</w:t>
      </w:r>
      <w:r>
        <w:t xml:space="preserve"> </w:t>
      </w:r>
      <w:r>
        <w:t xml:space="preserve">0.0</w:t>
      </w:r>
      <w:r>
        <w:t xml:space="preserve"> </w:t>
      </w:r>
      <w:r>
        <w:t xml:space="preserve">25.3</w:t>
      </w:r>
      <w:r>
        <w:t xml:space="preserve"> </w:t>
      </w:r>
      <w:r>
        <w:t xml:space="preserve">RO</w:t>
      </w:r>
      <w:r>
        <w:t xml:space="preserve"> </w:t>
      </w:r>
      <w:r>
        <w:t xml:space="preserve">6.6</w:t>
      </w:r>
      <w:r>
        <w:t xml:space="preserve"> </w:t>
      </w:r>
      <w:r>
        <w:t xml:space="preserve">5.0</w:t>
      </w:r>
      <w:r>
        <w:t xml:space="preserve"> </w:t>
      </w:r>
      <w:r>
        <w:t xml:space="preserve">5.1</w:t>
      </w:r>
      <w:r>
        <w:t xml:space="preserve"> </w:t>
      </w:r>
      <w:r>
        <w:t xml:space="preserve">3.5</w:t>
      </w:r>
      <w:r>
        <w:t xml:space="preserve"> </w:t>
      </w:r>
      <w:r>
        <w:t xml:space="preserve">20.7</w:t>
      </w:r>
      <w:r>
        <w:t xml:space="preserve"> </w:t>
      </w:r>
      <w:r>
        <w:t xml:space="preserve">ES</w:t>
      </w:r>
      <w:r>
        <w:t xml:space="preserve"> </w:t>
      </w:r>
      <w:r>
        <w:t xml:space="preserve">11.6</w:t>
      </w:r>
      <w:r>
        <w:t xml:space="preserve"> </w:t>
      </w:r>
      <w:r>
        <w:t xml:space="preserve">4.4</w:t>
      </w:r>
      <w:r>
        <w:t xml:space="preserve"> </w:t>
      </w:r>
      <w:r>
        <w:t xml:space="preserve">4.6</w:t>
      </w:r>
      <w:r>
        <w:t xml:space="preserve"> </w:t>
      </w:r>
      <w:r>
        <w:t xml:space="preserve">-2.6</w:t>
      </w:r>
      <w:r>
        <w:t xml:space="preserve"> </w:t>
      </w:r>
      <w:r>
        <w:t xml:space="preserve">24.7</w:t>
      </w:r>
      <w:r>
        <w:t xml:space="preserve"> </w:t>
      </w:r>
      <w:r>
        <w:t xml:space="preserve">AT</w:t>
      </w:r>
      <w:r>
        <w:t xml:space="preserve"> </w:t>
      </w:r>
      <w:r>
        <w:t xml:space="preserve">8.6</w:t>
      </w:r>
      <w:r>
        <w:t xml:space="preserve"> </w:t>
      </w:r>
      <w:r>
        <w:t xml:space="preserve">4.2</w:t>
      </w:r>
      <w:r>
        <w:t xml:space="preserve"> </w:t>
      </w:r>
      <w:r>
        <w:t xml:space="preserve">2.7</w:t>
      </w:r>
      <w:r>
        <w:t xml:space="preserve"> </w:t>
      </w:r>
      <w:r>
        <w:t xml:space="preserve">-1.7</w:t>
      </w:r>
      <w:r>
        <w:t xml:space="preserve"> </w:t>
      </w:r>
      <w:r>
        <w:t xml:space="preserve">25.8</w:t>
      </w:r>
      <w:r>
        <w:t xml:space="preserve"> </w:t>
      </w:r>
      <w:r>
        <w:t xml:space="preserve">DK</w:t>
      </w:r>
      <w:r>
        <w:t xml:space="preserve"> </w:t>
      </w:r>
      <w:r>
        <w:t xml:space="preserve">10.6</w:t>
      </w:r>
      <w:r>
        <w:t xml:space="preserve"> </w:t>
      </w:r>
      <w:r>
        <w:t xml:space="preserve">4.2</w:t>
      </w:r>
      <w:r>
        <w:t xml:space="preserve"> </w:t>
      </w:r>
      <w:r>
        <w:t xml:space="preserve">-2.2</w:t>
      </w:r>
      <w:r>
        <w:t xml:space="preserve"> </w:t>
      </w:r>
      <w:r>
        <w:t xml:space="preserve">-8.6</w:t>
      </w:r>
      <w:r>
        <w:t xml:space="preserve"> </w:t>
      </w:r>
      <w:r>
        <w:t xml:space="preserve">25.1</w:t>
      </w:r>
      <w:r>
        <w:t xml:space="preserve"> </w:t>
      </w:r>
      <w:r>
        <w:t xml:space="preserve">FI</w:t>
      </w:r>
      <w:r>
        <w:t xml:space="preserve"> </w:t>
      </w:r>
      <w:r>
        <w:t xml:space="preserve">5.6</w:t>
      </w:r>
      <w:r>
        <w:t xml:space="preserve"> </w:t>
      </w:r>
      <w:r>
        <w:t xml:space="preserve">4.2</w:t>
      </w:r>
      <w:r>
        <w:t xml:space="preserve"> </w:t>
      </w:r>
      <w:r>
        <w:t xml:space="preserve">2.2</w:t>
      </w:r>
      <w:r>
        <w:t xml:space="preserve"> </w:t>
      </w:r>
      <w:r>
        <w:t xml:space="preserve">0.8</w:t>
      </w:r>
      <w:r>
        <w:t xml:space="preserve"> </w:t>
      </w:r>
      <w:r>
        <w:t xml:space="preserve">21.4</w:t>
      </w:r>
      <w:r>
        <w:t xml:space="preserve"> </w:t>
      </w:r>
      <w:r>
        <w:t xml:space="preserve">NL</w:t>
      </w:r>
      <w:r>
        <w:t xml:space="preserve"> </w:t>
      </w:r>
      <w:r>
        <w:t xml:space="preserve">12.8</w:t>
      </w:r>
      <w:r>
        <w:t xml:space="preserve"> </w:t>
      </w:r>
      <w:r>
        <w:t xml:space="preserve">4.0</w:t>
      </w:r>
      <w:r>
        <w:t xml:space="preserve"> </w:t>
      </w:r>
      <w:r>
        <w:t xml:space="preserve">0.4</w:t>
      </w:r>
      <w:r>
        <w:t xml:space="preserve"> </w:t>
      </w:r>
      <w:r>
        <w:t xml:space="preserve">-8.4</w:t>
      </w:r>
      <w:r>
        <w:t xml:space="preserve"> </w:t>
      </w:r>
      <w:r>
        <w:t xml:space="preserve">25.8</w:t>
      </w:r>
      <w:r>
        <w:t xml:space="preserve"> </w:t>
      </w:r>
      <w:r>
        <w:t xml:space="preserve">CZ</w:t>
      </w:r>
      <w:r>
        <w:t xml:space="preserve"> </w:t>
      </w:r>
      <w:r>
        <w:t xml:space="preserve">6.4</w:t>
      </w:r>
      <w:r>
        <w:t xml:space="preserve"> </w:t>
      </w:r>
      <w:r>
        <w:t xml:space="preserve">4.0</w:t>
      </w:r>
      <w:r>
        <w:t xml:space="preserve"> </w:t>
      </w:r>
      <w:r>
        <w:t xml:space="preserve">1.7</w:t>
      </w:r>
      <w:r>
        <w:t xml:space="preserve"> </w:t>
      </w:r>
      <w:r>
        <w:t xml:space="preserve">-0.7</w:t>
      </w:r>
      <w:r>
        <w:t xml:space="preserve"> </w:t>
      </w:r>
      <w:r>
        <w:t xml:space="preserve">23.8</w:t>
      </w:r>
      <w:r>
        <w:t xml:space="preserve"> </w:t>
      </w:r>
      <w:r>
        <w:t xml:space="preserve">LU</w:t>
      </w:r>
      <w:r>
        <w:t xml:space="preserve"> </w:t>
      </w:r>
      <w:r>
        <w:t xml:space="preserve">2.7</w:t>
      </w:r>
      <w:r>
        <w:t xml:space="preserve"> </w:t>
      </w:r>
      <w:r>
        <w:t xml:space="preserve">4.0</w:t>
      </w:r>
      <w:r>
        <w:t xml:space="preserve"> </w:t>
      </w:r>
      <w:r>
        <w:t xml:space="preserve">-0.9</w:t>
      </w:r>
      <w:r>
        <w:t xml:space="preserve"> </w:t>
      </w:r>
      <w:r>
        <w:t xml:space="preserve">0.4</w:t>
      </w:r>
      <w:r>
        <w:t xml:space="preserve"> </w:t>
      </w:r>
      <w:r>
        <w:t xml:space="preserve">12.6</w:t>
      </w:r>
      <w:r>
        <w:t xml:space="preserve"> </w:t>
      </w:r>
      <w:r>
        <w:t xml:space="preserve">SK</w:t>
      </w:r>
      <w:r>
        <w:t xml:space="preserve"> </w:t>
      </w:r>
      <w:r>
        <w:t xml:space="preserve">4.3</w:t>
      </w:r>
      <w:r>
        <w:t xml:space="preserve"> </w:t>
      </w:r>
      <w:r>
        <w:t xml:space="preserve">3.9</w:t>
      </w:r>
      <w:r>
        <w:t xml:space="preserve"> </w:t>
      </w:r>
      <w:r>
        <w:t xml:space="preserve">3.1</w:t>
      </w:r>
      <w:r>
        <w:t xml:space="preserve"> </w:t>
      </w:r>
      <w:r>
        <w:t xml:space="preserve">2.7</w:t>
      </w:r>
      <w:r>
        <w:t xml:space="preserve"> </w:t>
      </w:r>
      <w:r>
        <w:t xml:space="preserve">19.6</w:t>
      </w:r>
      <w:r>
        <w:t xml:space="preserve"> </w:t>
      </w:r>
      <w:r>
        <w:t xml:space="preserve">FR</w:t>
      </w:r>
      <w:r>
        <w:t xml:space="preserve"> </w:t>
      </w:r>
      <w:r>
        <w:t xml:space="preserve">7.6</w:t>
      </w:r>
      <w:r>
        <w:t xml:space="preserve"> </w:t>
      </w:r>
      <w:r>
        <w:t xml:space="preserve">3.7</w:t>
      </w:r>
      <w:r>
        <w:t xml:space="preserve"> </w:t>
      </w:r>
      <w:r>
        <w:t xml:space="preserve">4.6</w:t>
      </w:r>
      <w:r>
        <w:t xml:space="preserve"> </w:t>
      </w:r>
      <w:r>
        <w:t xml:space="preserve">0.7</w:t>
      </w:r>
      <w:r>
        <w:t xml:space="preserve"> </w:t>
      </w:r>
      <w:r>
        <w:t xml:space="preserve">21.5</w:t>
      </w:r>
      <w:r>
        <w:t xml:space="preserve"> </w:t>
      </w:r>
      <w:r>
        <w:t xml:space="preserve">HR</w:t>
      </w:r>
      <w:r>
        <w:t xml:space="preserve"> </w:t>
      </w:r>
      <w:r>
        <w:t xml:space="preserve">6.8</w:t>
      </w:r>
      <w:r>
        <w:t xml:space="preserve"> </w:t>
      </w:r>
      <w:r>
        <w:t xml:space="preserve">2.9</w:t>
      </w:r>
      <w:r>
        <w:t xml:space="preserve"> </w:t>
      </w:r>
      <w:r>
        <w:t xml:space="preserve">1.7</w:t>
      </w:r>
      <w:r>
        <w:t xml:space="preserve"> </w:t>
      </w:r>
      <w:r>
        <w:t xml:space="preserve">-2.3</w:t>
      </w:r>
      <w:r>
        <w:t xml:space="preserve"> </w:t>
      </w:r>
      <w:r>
        <w:t xml:space="preserve">19.9</w:t>
      </w:r>
      <w:r>
        <w:t xml:space="preserve"> </w:t>
      </w:r>
      <w:r>
        <w:t xml:space="preserve">LV</w:t>
      </w:r>
      <w:r>
        <w:t xml:space="preserve"> </w:t>
      </w:r>
      <w:r>
        <w:t xml:space="preserve">5.5</w:t>
      </w:r>
      <w:r>
        <w:t xml:space="preserve"> </w:t>
      </w:r>
      <w:r>
        <w:t xml:space="preserve">2.7</w:t>
      </w:r>
      <w:r>
        <w:t xml:space="preserve"> </w:t>
      </w:r>
      <w:r>
        <w:t xml:space="preserve">2.4</w:t>
      </w:r>
      <w:r>
        <w:t xml:space="preserve"> </w:t>
      </w:r>
      <w:r>
        <w:t xml:space="preserve">-0.5</w:t>
      </w:r>
      <w:r>
        <w:t xml:space="preserve"> </w:t>
      </w:r>
      <w:r>
        <w:t xml:space="preserve">19.8</w:t>
      </w:r>
      <w:r>
        <w:t xml:space="preserve"> </w:t>
      </w:r>
      <w:r>
        <w:t xml:space="preserve">DE</w:t>
      </w:r>
      <w:r>
        <w:t xml:space="preserve"> </w:t>
      </w:r>
      <w:r>
        <w:t xml:space="preserve">9.2</w:t>
      </w:r>
      <w:r>
        <w:t xml:space="preserve"> </w:t>
      </w:r>
      <w:r>
        <w:t xml:space="preserve">1.7</w:t>
      </w:r>
      <w:r>
        <w:t xml:space="preserve"> </w:t>
      </w:r>
      <w:r>
        <w:t xml:space="preserve">1.0</w:t>
      </w:r>
      <w:r>
        <w:t xml:space="preserve"> </w:t>
      </w:r>
      <w:r>
        <w:t xml:space="preserve">-6.5</w:t>
      </w:r>
      <w:r>
        <w:t xml:space="preserve"> </w:t>
      </w:r>
      <w:r>
        <w:t xml:space="preserve">25.7</w:t>
      </w:r>
      <w:r>
        <w:t xml:space="preserve"> </w:t>
      </w:r>
      <w:r>
        <w:t xml:space="preserve">SI</w:t>
      </w:r>
      <w:r>
        <w:t xml:space="preserve"> </w:t>
      </w:r>
      <w:r>
        <w:t xml:space="preserve">8.2</w:t>
      </w:r>
      <w:r>
        <w:t xml:space="preserve"> </w:t>
      </w:r>
      <w:r>
        <w:t xml:space="preserve">1.3</w:t>
      </w:r>
      <w:r>
        <w:t xml:space="preserve"> </w:t>
      </w:r>
      <w:r>
        <w:t xml:space="preserve">2.2</w:t>
      </w:r>
      <w:r>
        <w:t xml:space="preserve"> </w:t>
      </w:r>
      <w:r>
        <w:t xml:space="preserve">-4.6</w:t>
      </w:r>
      <w:r>
        <w:t xml:space="preserve"> </w:t>
      </w:r>
      <w:r>
        <w:t xml:space="preserve">23.9</w:t>
      </w:r>
      <w:r>
        <w:t xml:space="preserve"> </w:t>
      </w:r>
      <w:r>
        <w:t xml:space="preserve">PT</w:t>
      </w:r>
      <w:r>
        <w:t xml:space="preserve"> </w:t>
      </w:r>
      <w:r>
        <w:t xml:space="preserve">2.6</w:t>
      </w:r>
      <w:r>
        <w:t xml:space="preserve"> </w:t>
      </w:r>
      <w:r>
        <w:t xml:space="preserve">-0.3</w:t>
      </w:r>
      <w:r>
        <w:t xml:space="preserve"> </w:t>
      </w:r>
      <w:r>
        <w:t xml:space="preserve">1.7</w:t>
      </w:r>
      <w:r>
        <w:t xml:space="preserve"> </w:t>
      </w:r>
      <w:r>
        <w:t xml:space="preserve">-1.2</w:t>
      </w:r>
      <w:r>
        <w:t xml:space="preserve"> </w:t>
      </w:r>
      <w:r>
        <w:t xml:space="preserve">17.8</w:t>
      </w:r>
      <w:r>
        <w:t xml:space="preserve"> </w:t>
      </w:r>
      <w:r>
        <w:t xml:space="preserve">IT</w:t>
      </w:r>
      <w:r>
        <w:t xml:space="preserve"> </w:t>
      </w:r>
      <w:r>
        <w:t xml:space="preserve">6.0</w:t>
      </w:r>
      <w:r>
        <w:t xml:space="preserve"> </w:t>
      </w:r>
      <w:r>
        <w:t xml:space="preserve">-0.7</w:t>
      </w:r>
      <w:r>
        <w:t xml:space="preserve"> </w:t>
      </w:r>
      <w:r>
        <w:t xml:space="preserve">4.8</w:t>
      </w:r>
      <w:r>
        <w:t xml:space="preserve"> </w:t>
      </w:r>
      <w:r>
        <w:t xml:space="preserve">-1.9</w:t>
      </w:r>
      <w:r>
        <w:t xml:space="preserve"> </w:t>
      </w:r>
      <w:r>
        <w:t xml:space="preserve">21.7</w:t>
      </w:r>
      <w:r>
        <w:t xml:space="preserve"> </w:t>
      </w:r>
      <w:r>
        <w:t xml:space="preserve">GR</w:t>
      </w:r>
      <w:r>
        <w:t xml:space="preserve"> </w:t>
      </w:r>
      <w:r>
        <w:t xml:space="preserve">-3.6</w:t>
      </w:r>
      <w:r>
        <w:t xml:space="preserve"> </w:t>
      </w:r>
      <w:r>
        <w:t xml:space="preserve">-1.9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7.6</w:t>
      </w:r>
      <w:r>
        <w:t xml:space="preserve"> </w:t>
      </w:r>
      <w:r>
        <w:t xml:space="preserve">-20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409</w:t>
      </w:r>
      <w:r>
        <w:t xml:space="preserve"> </w:t>
      </w:r>
      <w:r>
        <w:t xml:space="preserve">banks. As of end-2024, debt securities issued by EA</w:t>
      </w:r>
      <w:r>
        <w:t xml:space="preserve"> </w:t>
      </w:r>
      <w:r>
        <w:t xml:space="preserve">entities represented 146% of GDP, while listed equity</w:t>
      </w:r>
      <w:r>
        <w:t xml:space="preserve"> </w:t>
      </w:r>
      <w:r>
        <w:t xml:space="preserve">issued by EA companies626 accounted only for 67% of</w:t>
      </w:r>
      <w:r>
        <w:t xml:space="preserve"> </w:t>
      </w:r>
      <w:r>
        <w:t xml:space="preserve">GDP (see Graph 1.2.1). Government securities</w:t>
      </w:r>
      <w:r>
        <w:t xml:space="preserve"> </w:t>
      </w:r>
      <w:r>
        <w:t xml:space="preserve">represented 51% of the bonds market, with banks</w:t>
      </w:r>
      <w:r>
        <w:t xml:space="preserve"> </w:t>
      </w:r>
      <w:r>
        <w:t xml:space="preserve">(24.2%) and other financial companies (16.2%) being</w:t>
      </w:r>
      <w:r>
        <w:t xml:space="preserve"> </w:t>
      </w:r>
      <w:r>
        <w:t xml:space="preserve">the other two main issuers. Marketable debt issued by</w:t>
      </w:r>
      <w:r>
        <w:t xml:space="preserve"> </w:t>
      </w:r>
      <w:r>
        <w:t xml:space="preserve">non-financial corporations represented only 11.4% of</w:t>
      </w:r>
      <w:r>
        <w:t xml:space="preserve"> </w:t>
      </w:r>
      <w:r>
        <w:t xml:space="preserve">GDP. Luxembourg (27.8%), France (22.9%), the</w:t>
      </w:r>
      <w:r>
        <w:t xml:space="preserve"> </w:t>
      </w:r>
      <w:r>
        <w:t xml:space="preserve">Netherlands (18.4%), Portugal (14.1%) and Finland</w:t>
      </w:r>
      <w:r>
        <w:t xml:space="preserve"> </w:t>
      </w:r>
      <w:r>
        <w:t xml:space="preserve">(12.3%) stand out as the five EA countries where</w:t>
      </w:r>
      <w:r>
        <w:t xml:space="preserve"> </w:t>
      </w:r>
      <w:r>
        <w:t xml:space="preserve">companies’ market funding exceeds the EA average.627</w:t>
      </w:r>
      <w:r>
        <w:t xml:space="preserve"> </w:t>
      </w:r>
      <w:r>
        <w:t xml:space="preserve">Reflecting the size of their public debts, Italy (116.9%</w:t>
      </w:r>
      <w:r>
        <w:t xml:space="preserve"> </w:t>
      </w:r>
      <w:r>
        <w:t xml:space="preserve">of GDP), France (95.1%), Spain (91.2%) and Belgium</w:t>
      </w:r>
      <w:r>
        <w:t xml:space="preserve"> </w:t>
      </w:r>
      <w:r>
        <w:t xml:space="preserve">(87.7%) are the four jurisdictions where the volume of</w:t>
      </w:r>
      <w:r>
        <w:t xml:space="preserve"> </w:t>
      </w:r>
      <w:r>
        <w:t xml:space="preserve">general government bonds exceeds the EA average.628</w:t>
      </w:r>
      <w:r>
        <w:t xml:space="preserve"> </w:t>
      </w:r>
      <w:r>
        <w:t xml:space="preserve">As regards listed equity issued by non-financial</w:t>
      </w:r>
      <w:r>
        <w:t xml:space="preserve"> </w:t>
      </w:r>
      <w:r>
        <w:t xml:space="preserve">corporations, Ireland (226.2% of GDP), France (84%),</w:t>
      </w:r>
      <w:r>
        <w:t xml:space="preserve"> </w:t>
      </w:r>
      <w:r>
        <w:t xml:space="preserve">Finland (66%) and the Netherlands (59%) are the EA</w:t>
      </w:r>
      <w:r>
        <w:t xml:space="preserve"> </w:t>
      </w:r>
      <w:r>
        <w:t xml:space="preserve">countries above the EA average.629</w:t>
      </w:r>
      <w:r>
        <w:t xml:space="preserve"> </w:t>
      </w:r>
      <w:r>
        <w:t xml:space="preserve">1.1.4</w:t>
      </w:r>
      <w:r>
        <w:t xml:space="preserve"> </w:t>
      </w:r>
      <w:r>
        <w:t xml:space="preserve">Capital markets and financial intermediaries in the EA</w:t>
      </w:r>
      <w:r>
        <w:t xml:space="preserve"> </w:t>
      </w:r>
      <w:r>
        <w:t xml:space="preserve">Source: ECB, EIOPA, AMECO.</w:t>
      </w:r>
      <w:r>
        <w:t xml:space="preserve"> </w:t>
      </w:r>
      <w:r>
        <w:t xml:space="preserve">The financial sector in the EA is dominated by</w:t>
      </w:r>
      <w:r>
        <w:t xml:space="preserve"> </w:t>
      </w:r>
      <w:r>
        <w:t xml:space="preserve">banks. As of end-2024, the total assets of banks</w:t>
      </w:r>
      <w:r>
        <w:t xml:space="preserve"> </w:t>
      </w:r>
      <w:r>
        <w:t xml:space="preserve">reached 268% of GDP, well ahead those of investment</w:t>
      </w:r>
      <w:r>
        <w:t xml:space="preserve"> </w:t>
      </w:r>
      <w:r>
        <w:t xml:space="preserve">funds (130%), insurance companies (58%) and pension</w:t>
      </w:r>
      <w:r>
        <w:t xml:space="preserve"> </w:t>
      </w:r>
      <w:r>
        <w:t xml:space="preserve">funds (24%).630 National discrepancies within the EA,</w:t>
      </w:r>
      <w:r>
        <w:t xml:space="preserve"> </w:t>
      </w:r>
      <w:r>
        <w:t xml:space="preserve">and more broadly in the EU, are significant. The</w:t>
      </w:r>
      <w:r>
        <w:t xml:space="preserve"> </w:t>
      </w:r>
      <w:r>
        <w:t xml:space="preserve">banking sectors in the new member states are</w:t>
      </w:r>
      <w:r>
        <w:t xml:space="preserve"> </w:t>
      </w:r>
      <w:r>
        <w:t xml:space="preserve">significantly smaller, with only Estonia (116% of</w:t>
      </w:r>
      <w:r>
        <w:t xml:space="preserve"> </w:t>
      </w:r>
      <w:r>
        <w:t xml:space="preserve">GDP) and Hungary (102%) above the 100 percent</w:t>
      </w:r>
    </w:p>
    <w:p>
      <w:pPr>
        <w:pStyle w:val="BodyText"/>
      </w:pPr>
      <w:r>
        <w:t xml:space="preserve">626 This figure is a proxy for the degree of development of the stock</w:t>
      </w:r>
      <w:r>
        <w:t xml:space="preserve"> </w:t>
      </w:r>
      <w:r>
        <w:t xml:space="preserve">market in the EA, given that i) EA companies could be listed</w:t>
      </w:r>
      <w:r>
        <w:t xml:space="preserve"> </w:t>
      </w:r>
      <w:r>
        <w:t xml:space="preserve">abroad and ii) foreign companies could be EA listed.</w:t>
      </w:r>
      <w:r>
        <w:t xml:space="preserve"> </w:t>
      </w:r>
      <w:r>
        <w:t xml:space="preserve">627 Sweden (23.8%) is a notable non-EA champion.</w:t>
      </w:r>
      <w:r>
        <w:t xml:space="preserve"> </w:t>
      </w:r>
      <w:r>
        <w:t xml:space="preserve">628 Estonia (13.3%), Denmark (19.7%), Bulgaria (20.7%) and</w:t>
      </w:r>
      <w:r>
        <w:t xml:space="preserve"> </w:t>
      </w:r>
      <w:r>
        <w:t xml:space="preserve">Sweden (21.1%) and the four countries with the lowest volumes</w:t>
      </w:r>
      <w:r>
        <w:t xml:space="preserve"> </w:t>
      </w:r>
      <w:r>
        <w:t xml:space="preserve">of government debt securities.</w:t>
      </w:r>
      <w:r>
        <w:t xml:space="preserve"> </w:t>
      </w:r>
      <w:r>
        <w:t xml:space="preserve">629 Denmark (138.4%) and Sweden (123% of GDP) are two notable</w:t>
      </w:r>
      <w:r>
        <w:t xml:space="preserve"> </w:t>
      </w:r>
      <w:r>
        <w:t xml:space="preserve">non-EA champions.</w:t>
      </w:r>
      <w:r>
        <w:t xml:space="preserve"> </w:t>
      </w:r>
      <w:r>
        <w:t xml:space="preserve">mark. On the other hand, Luxembourg (1822%),</w:t>
      </w:r>
      <w:r>
        <w:t xml:space="preserve"> </w:t>
      </w:r>
      <w:r>
        <w:t xml:space="preserve">France (416%) and Ireland (340.2%) stand out above</w:t>
      </w:r>
      <w:r>
        <w:t xml:space="preserve"> </w:t>
      </w:r>
      <w:r>
        <w:t xml:space="preserve">the EA average.631 In terms of the combined relative</w:t>
      </w:r>
      <w:r>
        <w:t xml:space="preserve"> </w:t>
      </w:r>
      <w:r>
        <w:t xml:space="preserve">size of pension funds and insurance companies,</w:t>
      </w:r>
      <w:r>
        <w:t xml:space="preserve"> </w:t>
      </w:r>
      <w:r>
        <w:t xml:space="preserve">Luxembourg (384% of GDP), the Netherlands (209%),</w:t>
      </w:r>
      <w:r>
        <w:t xml:space="preserve"> </w:t>
      </w:r>
      <w:r>
        <w:t xml:space="preserve">Denmark (160%), Ireland (124%), Sweden (123%)</w:t>
      </w:r>
      <w:r>
        <w:t xml:space="preserve"> </w:t>
      </w:r>
      <w:r>
        <w:t xml:space="preserve">France (106%) and Malta (103%) stand out above the</w:t>
      </w:r>
      <w:r>
        <w:t xml:space="preserve"> </w:t>
      </w:r>
      <w:r>
        <w:t xml:space="preserve">EA average of 82%. When it comes to investment</w:t>
      </w:r>
      <w:r>
        <w:t xml:space="preserve"> </w:t>
      </w:r>
      <w:r>
        <w:t xml:space="preserve">funds, Luxembourg (8538% of GDP), Ireland (872%)</w:t>
      </w:r>
      <w:r>
        <w:t xml:space="preserve"> </w:t>
      </w:r>
      <w:r>
        <w:t xml:space="preserve">and Malta (133%) stand out as the three EA</w:t>
      </w:r>
      <w:r>
        <w:t xml:space="preserve"> </w:t>
      </w:r>
      <w:r>
        <w:t xml:space="preserve">jurisdictions specialised in the domiciliation of funds.</w:t>
      </w:r>
      <w:r>
        <w:t xml:space="preserve"> </w:t>
      </w:r>
      <w:r>
        <w:t xml:space="preserve">Denmark (91%), the Netherlands (82%), Finland</w:t>
      </w:r>
      <w:r>
        <w:t xml:space="preserve"> </w:t>
      </w:r>
      <w:r>
        <w:t xml:space="preserve">(77%), Germany (71%) and France (65%) are the only</w:t>
      </w:r>
      <w:r>
        <w:t xml:space="preserve"> </w:t>
      </w:r>
      <w:r>
        <w:t xml:space="preserve">other countries where the investment funds’ sector is</w:t>
      </w:r>
      <w:r>
        <w:t xml:space="preserve"> </w:t>
      </w:r>
      <w:r>
        <w:t xml:space="preserve">above 50% of GDP.</w:t>
      </w:r>
    </w:p>
    <w:p>
      <w:pPr>
        <w:pStyle w:val="BodyText"/>
      </w:pPr>
      <w:r>
        <w:t xml:space="preserve">630 ECB official statistics presents banks’ aggregate assets on a non-</w:t>
      </w:r>
      <w:r>
        <w:t xml:space="preserve"> </w:t>
      </w:r>
      <w:r>
        <w:t xml:space="preserve">consolidated basis. After correcting for inter-bank loans (43.4%</w:t>
      </w:r>
      <w:r>
        <w:t xml:space="preserve"> </w:t>
      </w:r>
      <w:r>
        <w:t xml:space="preserve">of GDP) and debt securities issued and held by banks (9.3% of</w:t>
      </w:r>
      <w:r>
        <w:t xml:space="preserve"> </w:t>
      </w:r>
      <w:r>
        <w:t xml:space="preserve">GDP), banks’ total assets are estimated at 214.9% of GDP as of</w:t>
      </w:r>
      <w:r>
        <w:t xml:space="preserve"> </w:t>
      </w:r>
      <w:r>
        <w:t xml:space="preserve">end-2024.</w:t>
      </w:r>
      <w:r>
        <w:br/>
      </w:r>
      <w:r>
        <w:t xml:space="preserve">631 Denmark (322.4%) and Sweden (271.2%) are two non-EA</w:t>
      </w:r>
      <w:r>
        <w:t xml:space="preserve"> </w:t>
      </w:r>
      <w:r>
        <w:t xml:space="preserve">examples worthy of mentioning.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410</w:t>
      </w:r>
      <w:r>
        <w:t xml:space="preserve"> </w:t>
      </w:r>
      <w:r>
        <w:t xml:space="preserve">1.2 Member state specific evidence</w:t>
      </w:r>
      <w:r>
        <w:t xml:space="preserve"> </w:t>
      </w:r>
      <w:r>
        <w:t xml:space="preserve">on capital markets</w:t>
      </w:r>
    </w:p>
    <w:p>
      <w:pPr>
        <w:pStyle w:val="BodyText"/>
      </w:pPr>
      <w:r>
        <w:t xml:space="preserve">1.3 Austria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Austrian economy invests the largest part of its</w:t>
      </w:r>
      <w:r>
        <w:t xml:space="preserve"> </w:t>
      </w:r>
      <w:r>
        <w:t xml:space="preserve">net savings domestically. From 2015 until 2024, the</w:t>
      </w:r>
      <w:r>
        <w:t xml:space="preserve"> </w:t>
      </w:r>
      <w:r>
        <w:t xml:space="preserve">private savings ratio, net of fixed capital consumption,</w:t>
      </w:r>
      <w:r>
        <w:t xml:space="preserve"> </w:t>
      </w:r>
      <w:r>
        <w:t xml:space="preserve">stood on average at 8.6% of GDP, reaching a maximum</w:t>
      </w:r>
      <w:r>
        <w:t xml:space="preserve"> </w:t>
      </w:r>
      <w:r>
        <w:t xml:space="preserve">of 15.4% in 2020 (see Graph 2.1.1). The net private</w:t>
      </w:r>
      <w:r>
        <w:t xml:space="preserve"> </w:t>
      </w:r>
      <w:r>
        <w:t xml:space="preserve">investment ratio, which measures the net contribution</w:t>
      </w:r>
      <w:r>
        <w:t xml:space="preserve"> </w:t>
      </w:r>
      <w:r>
        <w:t xml:space="preserve">of the private sector to capital accumulation in the</w:t>
      </w:r>
      <w:r>
        <w:t xml:space="preserve"> </w:t>
      </w:r>
      <w:r>
        <w:t xml:space="preserve">country, was significantly more volatile, exhibited a</w:t>
      </w:r>
      <w:r>
        <w:t xml:space="preserve"> </w:t>
      </w:r>
      <w:r>
        <w:t xml:space="preserve">ten-year average of 4.2% of GDP and reached a</w:t>
      </w:r>
      <w:r>
        <w:t xml:space="preserve"> </w:t>
      </w:r>
      <w:r>
        <w:t xml:space="preserve">maximum of 6.7% in 2018. At the same time, during</w:t>
      </w:r>
      <w:r>
        <w:t xml:space="preserve"> </w:t>
      </w:r>
      <w:r>
        <w:t xml:space="preserve">the same period the government has been running</w:t>
      </w:r>
      <w:r>
        <w:t xml:space="preserve"> </w:t>
      </w:r>
      <w:r>
        <w:t xml:space="preserve">budgetary deficits and a few relatively small surpluses,</w:t>
      </w:r>
      <w:r>
        <w:t xml:space="preserve"> </w:t>
      </w:r>
      <w:r>
        <w:t xml:space="preserve">which during 2015-2024 on average amounted to a</w:t>
      </w:r>
      <w:r>
        <w:t xml:space="preserve"> </w:t>
      </w:r>
      <w:r>
        <w:t xml:space="preserve">budgetary deficit of 2.7%. Regardless of the recurrent</w:t>
      </w:r>
      <w:r>
        <w:t xml:space="preserve"> </w:t>
      </w:r>
      <w:r>
        <w:t xml:space="preserve">general government budgetary deficits, the sustained</w:t>
      </w:r>
      <w:r>
        <w:t xml:space="preserve"> </w:t>
      </w:r>
      <w:r>
        <w:t xml:space="preserve">and high positive difference between net domestic</w:t>
      </w:r>
      <w:r>
        <w:t xml:space="preserve"> </w:t>
      </w:r>
      <w:r>
        <w:t xml:space="preserve">savings and net investment, resulted in structural net</w:t>
      </w:r>
      <w:r>
        <w:t xml:space="preserve"> </w:t>
      </w:r>
      <w:r>
        <w:t xml:space="preserve">lending by Austria to foreign economies that averaged</w:t>
      </w:r>
      <w:r>
        <w:t xml:space="preserve"> </w:t>
      </w:r>
      <w:r>
        <w:t xml:space="preserve">1.7% of GDP, with a peak of 3.4% in 2020. Thus, most</w:t>
      </w:r>
      <w:r>
        <w:t xml:space="preserve"> </w:t>
      </w:r>
      <w:r>
        <w:t xml:space="preserve">of the net savings in Austria have been invested</w:t>
      </w:r>
      <w:r>
        <w:t xml:space="preserve"> </w:t>
      </w:r>
      <w:r>
        <w:t xml:space="preserve">domestically (to finance private investment or</w:t>
      </w:r>
      <w:r>
        <w:t xml:space="preserve"> </w:t>
      </w:r>
      <w:r>
        <w:t xml:space="preserve">borrowing by the government), while a comparatively</w:t>
      </w:r>
      <w:r>
        <w:t xml:space="preserve"> </w:t>
      </w:r>
      <w:r>
        <w:t xml:space="preserve">smaller share was used to finance projects abroad.</w:t>
      </w:r>
      <w:r>
        <w:t xml:space="preserve"> </w:t>
      </w:r>
      <w:r>
        <w:t xml:space="preserve">1.3.1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Source: AMECO.</w:t>
      </w:r>
      <w:r>
        <w:t xml:space="preserve"> </w:t>
      </w:r>
      <w:r>
        <w:t xml:space="preserve">As a result of its regular position of a net creditor to the</w:t>
      </w:r>
      <w:r>
        <w:t xml:space="preserve"> </w:t>
      </w:r>
      <w:r>
        <w:t xml:space="preserve">rest of the world, the Austrian economy has</w:t>
      </w:r>
      <w:r>
        <w:t xml:space="preserve"> </w:t>
      </w:r>
      <w:r>
        <w:t xml:space="preserve">accumulated significant foreign assets and has been</w:t>
      </w:r>
      <w:r>
        <w:t xml:space="preserve"> </w:t>
      </w:r>
      <w:r>
        <w:t xml:space="preserve">recording a positive net international investment</w:t>
      </w:r>
      <w:r>
        <w:t xml:space="preserve"> </w:t>
      </w:r>
      <w:r>
        <w:t xml:space="preserve">position. As of Q4 2024, total assets on foreigners</w:t>
      </w:r>
      <w:r>
        <w:t xml:space="preserve"> </w:t>
      </w:r>
      <w:r>
        <w:t xml:space="preserve">reached just above 242% of GDP, while liabilities to</w:t>
      </w:r>
      <w:r>
        <w:t xml:space="preserve"> </w:t>
      </w:r>
      <w:r>
        <w:t xml:space="preserve">foreigners stood at 218% of GDP, resulting in a net</w:t>
      </w:r>
      <w:r>
        <w:t xml:space="preserve"> </w:t>
      </w:r>
      <w:r>
        <w:t xml:space="preserve">international investment position (NIIP) equivalent to</w:t>
      </w:r>
      <w:r>
        <w:t xml:space="preserve"> </w:t>
      </w:r>
      <w:r>
        <w:t xml:space="preserve">24.4% of GDP (see Graph 2.1.2). The accumulated net</w:t>
      </w:r>
      <w:r>
        <w:t xml:space="preserve"> </w:t>
      </w:r>
      <w:r>
        <w:t xml:space="preserve">foreign direct investment (15.6% of GDP as of Q4</w:t>
      </w:r>
      <w:r>
        <w:t xml:space="preserve"> </w:t>
      </w:r>
      <w:r>
        <w:t xml:space="preserve">2024) accounted for most of the NIIP. The stock of</w:t>
      </w:r>
      <w:r>
        <w:t xml:space="preserve"> </w:t>
      </w:r>
      <w:r>
        <w:t xml:space="preserve">official foreign reserve assets, which amounted to 7.1%</w:t>
      </w:r>
      <w:r>
        <w:t xml:space="preserve"> </w:t>
      </w:r>
      <w:r>
        <w:t xml:space="preserve">of GDP, also contributed positively to the NIIP. The</w:t>
      </w:r>
      <w:r>
        <w:t xml:space="preserve"> </w:t>
      </w:r>
      <w:r>
        <w:t xml:space="preserve">net portfolio investments, which are directly affected</w:t>
      </w:r>
      <w:r>
        <w:t xml:space="preserve"> </w:t>
      </w:r>
      <w:r>
        <w:t xml:space="preserve">by the price volatility of equity valuations, have been</w:t>
      </w:r>
      <w:r>
        <w:t xml:space="preserve"> </w:t>
      </w:r>
      <w:r>
        <w:t xml:space="preserve">negative, at almost -8% of GDP as of Q4 2024.</w:t>
      </w:r>
      <w:r>
        <w:t xml:space="preserve"> </w:t>
      </w:r>
      <w:r>
        <w:t xml:space="preserve">However, they were more than offset by the net stock</w:t>
      </w:r>
      <w:r>
        <w:t xml:space="preserve"> </w:t>
      </w:r>
      <w:r>
        <w:t xml:space="preserve">of other investments, which amounted to just below</w:t>
      </w:r>
      <w:r>
        <w:t xml:space="preserve"> </w:t>
      </w:r>
      <w:r>
        <w:t xml:space="preserve">10% of GDP at the same time. Thus, while the Austrian</w:t>
      </w:r>
      <w:r>
        <w:t xml:space="preserve"> </w:t>
      </w:r>
      <w:r>
        <w:t xml:space="preserve">economy seems well integrated in international capital</w:t>
      </w:r>
      <w:r>
        <w:t xml:space="preserve"> </w:t>
      </w:r>
      <w:r>
        <w:t xml:space="preserve">flows as a recipient of foreign capital, it remains a net</w:t>
      </w:r>
      <w:r>
        <w:t xml:space="preserve"> </w:t>
      </w:r>
      <w:r>
        <w:t xml:space="preserve">capital exporter, notably in terms of direct investments</w:t>
      </w:r>
      <w:r>
        <w:t xml:space="preserve"> </w:t>
      </w:r>
      <w:r>
        <w:t xml:space="preserve">abroad.</w:t>
      </w:r>
      <w:r>
        <w:t xml:space="preserve"> </w:t>
      </w:r>
      <w:r>
        <w:t xml:space="preserve">1.3.2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Source: ECB.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The Austrian economy stands out with one of the</w:t>
      </w:r>
      <w:r>
        <w:t xml:space="preserve"> </w:t>
      </w:r>
      <w:r>
        <w:t xml:space="preserve">comparatively smaller domestic capital markets in</w:t>
      </w:r>
      <w:r>
        <w:t xml:space="preserve"> </w:t>
      </w:r>
      <w:r>
        <w:t xml:space="preserve">Europe. The market capitalisation of listed equity</w:t>
      </w:r>
      <w:r>
        <w:t xml:space="preserve"> </w:t>
      </w:r>
      <w:r>
        <w:t xml:space="preserve">stood at 29% of GDP at the end of 2024 (see Graph</w:t>
      </w:r>
      <w:r>
        <w:t xml:space="preserve"> </w:t>
      </w:r>
      <w:r>
        <w:t xml:space="preserve">2.1.3), which is well below the EU average of 66.8%</w:t>
      </w:r>
      <w:r>
        <w:t xml:space="preserve"> </w:t>
      </w:r>
      <w:r>
        <w:t xml:space="preserve">of GDP. At the same time, non-financial corporations</w:t>
      </w:r>
      <w:r>
        <w:t xml:space="preserve"> </w:t>
      </w:r>
      <w:r>
        <w:t xml:space="preserve">accounted for around 63% of that capitalisation, which</w:t>
      </w:r>
      <w:r>
        <w:t xml:space="preserve"> </w:t>
      </w:r>
      <w:r>
        <w:t xml:space="preserve">implies that the stock market in Austria is to a large</w:t>
      </w:r>
      <w:r>
        <w:t xml:space="preserve"> </w:t>
      </w:r>
      <w:r>
        <w:t xml:space="preserve">extent geared towards funding the non-financial</w:t>
      </w:r>
      <w:r>
        <w:t xml:space="preserve"> </w:t>
      </w:r>
      <w:r>
        <w:t xml:space="preserve">segment of the real economy. The outstanding volume</w:t>
      </w:r>
      <w:r>
        <w:t xml:space="preserve"> </w:t>
      </w:r>
      <w:r>
        <w:t xml:space="preserve">of debt securities reached 127.7% of GDP at end-2024,</w:t>
      </w:r>
      <w:r>
        <w:t xml:space="preserve"> </w:t>
      </w:r>
      <w:r>
        <w:t xml:space="preserve">which is slightly below the EU average (at just below</w:t>
      </w:r>
      <w:r>
        <w:t xml:space="preserve"> </w:t>
      </w:r>
      <w:r>
        <w:t xml:space="preserve">140% of GDP). Bonds issued by the government and</w:t>
      </w:r>
      <w:r>
        <w:t xml:space="preserve"> </w:t>
      </w:r>
      <w:r>
        <w:t xml:space="preserve">monetary financial institutions (MFIs) accounted for</w:t>
      </w:r>
      <w:r>
        <w:t xml:space="preserve"> </w:t>
      </w:r>
      <w:r>
        <w:t xml:space="preserve">56% and 35% of the total, respectively. Since 2008,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stock</w:t>
      </w:r>
      <w:r>
        <w:t xml:space="preserve"> </w:t>
      </w:r>
      <w:r>
        <w:t xml:space="preserve">market</w:t>
      </w:r>
      <w:r>
        <w:t xml:space="preserve"> </w:t>
      </w:r>
      <w:r>
        <w:t xml:space="preserve">in</w:t>
      </w:r>
      <w:r>
        <w:t xml:space="preserve"> </w:t>
      </w:r>
      <w:r>
        <w:t xml:space="preserve">Austria</w:t>
      </w:r>
      <w:r>
        <w:t xml:space="preserve"> </w:t>
      </w:r>
      <w:r>
        <w:t xml:space="preserve">has</w:t>
      </w:r>
      <w:r>
        <w:t xml:space="preserve"> </w:t>
      </w:r>
      <w:r>
        <w:t xml:space="preserve">underperformed as compared to the EU average, while</w:t>
      </w:r>
      <w:r>
        <w:t xml:space="preserve"> </w:t>
      </w:r>
      <w:r>
        <w:t xml:space="preserve">the index of Austrian banks has developed more</w:t>
      </w:r>
      <w:r>
        <w:t xml:space="preserve"> </w:t>
      </w:r>
      <w:r>
        <w:t xml:space="preserve">favourably (see Graph 2.1.4).</w:t>
      </w:r>
      <w:r>
        <w:br/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411</w:t>
      </w:r>
      <w:r>
        <w:t xml:space="preserve"> </w:t>
      </w:r>
      <w:r>
        <w:t xml:space="preserve">1.3.3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Source: ECB, EIOPA, AMECO. End-2024.</w:t>
      </w:r>
      <w:r>
        <w:t xml:space="preserve"> </w:t>
      </w:r>
      <w:r>
        <w:t xml:space="preserve">While the financial sector in Austria remains</w:t>
      </w:r>
      <w:r>
        <w:t xml:space="preserve"> </w:t>
      </w:r>
      <w:r>
        <w:t xml:space="preserve">dominated</w:t>
      </w:r>
      <w:r>
        <w:t xml:space="preserve"> </w:t>
      </w:r>
      <w:r>
        <w:t xml:space="preserve">by</w:t>
      </w:r>
      <w:r>
        <w:t xml:space="preserve"> </w:t>
      </w:r>
      <w:r>
        <w:t xml:space="preserve">banks,</w:t>
      </w:r>
      <w:r>
        <w:t xml:space="preserve"> </w:t>
      </w:r>
      <w:r>
        <w:t xml:space="preserve">non-bank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 also play an important role. Starting</w:t>
      </w:r>
      <w:r>
        <w:t xml:space="preserve"> </w:t>
      </w:r>
      <w:r>
        <w:t xml:space="preserve">from 253% of GDP in 2020, the size of the banking</w:t>
      </w:r>
      <w:r>
        <w:t xml:space="preserve"> </w:t>
      </w:r>
      <w:r>
        <w:t xml:space="preserve">sector gradually declined to just above 214% of GDP</w:t>
      </w:r>
      <w:r>
        <w:t xml:space="preserve"> </w:t>
      </w:r>
      <w:r>
        <w:t xml:space="preserve">in 2024, which remains somewhat below the EU</w:t>
      </w:r>
      <w:r>
        <w:t xml:space="preserve"> </w:t>
      </w:r>
      <w:r>
        <w:t xml:space="preserve">average. Austria has several large credit institutions,</w:t>
      </w:r>
      <w:r>
        <w:t xml:space="preserve"> </w:t>
      </w:r>
      <w:r>
        <w:t xml:space="preserve">and the two largest banking groups (Erste Group Bank</w:t>
      </w:r>
      <w:r>
        <w:t xml:space="preserve"> </w:t>
      </w:r>
      <w:r>
        <w:t xml:space="preserve">and Raiffeisen Bank International) have extensive</w:t>
      </w:r>
      <w:r>
        <w:t xml:space="preserve"> </w:t>
      </w:r>
      <w:r>
        <w:t xml:space="preserve">activities in central, eastern and south-eastern Europe.</w:t>
      </w:r>
      <w:r>
        <w:t xml:space="preserve"> </w:t>
      </w:r>
      <w:r>
        <w:t xml:space="preserve">In particular, the exposure of the Austrian banking</w:t>
      </w:r>
      <w:r>
        <w:t xml:space="preserve"> </w:t>
      </w:r>
      <w:r>
        <w:t xml:space="preserve">sector to Russia (manageable from a bank-capital</w:t>
      </w:r>
      <w:r>
        <w:t xml:space="preserve"> </w:t>
      </w:r>
      <w:r>
        <w:t xml:space="preserve">perspective and concentrated in one credit institution)</w:t>
      </w:r>
      <w:r>
        <w:t xml:space="preserve"> </w:t>
      </w:r>
      <w:r>
        <w:t xml:space="preserve">warrants close oversight.632 In 2024, Austrian banking</w:t>
      </w:r>
      <w:r>
        <w:t xml:space="preserve"> </w:t>
      </w:r>
      <w:r>
        <w:t xml:space="preserve">subsidiaries in Russia amounted to less than 10% of</w:t>
      </w:r>
      <w:r>
        <w:t xml:space="preserve"> </w:t>
      </w:r>
      <w:r>
        <w:t xml:space="preserve">their total assets in central, eastern and south-eastern</w:t>
      </w:r>
      <w:r>
        <w:t xml:space="preserve"> </w:t>
      </w:r>
      <w:r>
        <w:t xml:space="preserve">Europe. Banking concentration appears to be lower</w:t>
      </w:r>
      <w:r>
        <w:t xml:space="preserve"> </w:t>
      </w:r>
      <w:r>
        <w:t xml:space="preserve">than on average in the EU, with the top five MFIs</w:t>
      </w:r>
      <w:r>
        <w:t xml:space="preserve"> </w:t>
      </w:r>
      <w:r>
        <w:t xml:space="preserve">representing less than 38% the sector. The insurance</w:t>
      </w:r>
      <w:r>
        <w:t xml:space="preserve"> </w:t>
      </w:r>
      <w:r>
        <w:t xml:space="preserve">and pension funds sectors, with total assets of around</w:t>
      </w:r>
      <w:r>
        <w:t xml:space="preserve"> </w:t>
      </w:r>
      <w:r>
        <w:t xml:space="preserve">28% of GDP and 6% of GDP at end-2024, play a lesser</w:t>
      </w:r>
      <w:r>
        <w:t xml:space="preserve"> </w:t>
      </w:r>
      <w:r>
        <w:t xml:space="preserve">role in the non-bank intermediation. By contrast,</w:t>
      </w:r>
      <w:r>
        <w:t xml:space="preserve"> </w:t>
      </w:r>
      <w:r>
        <w:t xml:space="preserve">investment funds, though their total assets dropped by</w:t>
      </w:r>
    </w:p>
    <w:p>
      <w:pPr>
        <w:pStyle w:val="BodyText"/>
      </w:pPr>
      <w:r>
        <w:t xml:space="preserve">632 Raiffeisen Bank International (RBI) has highlighted efforts to</w:t>
      </w:r>
      <w:r>
        <w:t xml:space="preserve"> </w:t>
      </w:r>
      <w:r>
        <w:t xml:space="preserve">sell the subsidiary in Russia, while continuing to reduce its</w:t>
      </w:r>
      <w:r>
        <w:t xml:space="preserve"> </w:t>
      </w:r>
      <w:r>
        <w:t xml:space="preserve">business operations in Russia, ahead of the schedule agreed with</w:t>
      </w:r>
      <w:r>
        <w:t xml:space="preserve"> </w:t>
      </w:r>
      <w:r>
        <w:t xml:space="preserve">the ECB. According to media reports, the ECB has required RBI</w:t>
      </w:r>
      <w:r>
        <w:t xml:space="preserve"> </w:t>
      </w:r>
      <w:r>
        <w:t xml:space="preserve">to cut its balance sheet in Russia by 65% by 2026, compared to</w:t>
      </w:r>
      <w:r>
        <w:t xml:space="preserve"> </w:t>
      </w:r>
      <w:r>
        <w:t xml:space="preserve">its level at the end of Q3 2024. RBI’s exit approach includes both</w:t>
      </w:r>
      <w:r>
        <w:t xml:space="preserve"> </w:t>
      </w:r>
      <w:r>
        <w:t xml:space="preserve">loan portfolio and deposit reductions in Russia. The bank has</w:t>
      </w:r>
      <w:r>
        <w:t xml:space="preserve"> </w:t>
      </w:r>
      <w:r>
        <w:t xml:space="preserve">implemented a zero-interest policy on customer deposits to</w:t>
      </w:r>
      <w:r>
        <w:t xml:space="preserve"> </w:t>
      </w:r>
      <w:r>
        <w:t xml:space="preserve">encourage their withdrawal, while placing excess liquidity with</w:t>
      </w:r>
      <w:r>
        <w:t xml:space="preserve"> </w:t>
      </w:r>
      <w:r>
        <w:t xml:space="preserve">the Russian Central Bank at 21% interest as required by the ECB</w:t>
      </w:r>
      <w:r>
        <w:t xml:space="preserve"> </w:t>
      </w:r>
      <w:r>
        <w:t xml:space="preserve">during the exit process. RBI’s exit plans have been further</w:t>
      </w:r>
      <w:r>
        <w:t xml:space="preserve"> </w:t>
      </w:r>
      <w:r>
        <w:t xml:space="preserve">complicated by legal challenges, including a recent case</w:t>
      </w:r>
      <w:r>
        <w:t xml:space="preserve"> </w:t>
      </w:r>
      <w:r>
        <w:t xml:space="preserve">involving Russia’s Rasperia Trading Limited. A Russian appeals</w:t>
      </w:r>
      <w:r>
        <w:t xml:space="preserve"> </w:t>
      </w:r>
      <w:r>
        <w:t xml:space="preserve">court confirmed a first-instance judgment on 25 April 2025,</w:t>
      </w:r>
      <w:r>
        <w:t xml:space="preserve"> </w:t>
      </w:r>
      <w:r>
        <w:t xml:space="preserve">resulting in approximately EUR 1.87 bn being transferred from</w:t>
      </w:r>
      <w:r>
        <w:t xml:space="preserve"> </w:t>
      </w:r>
      <w:r>
        <w:t xml:space="preserve">9 percentage points to almost 49% of GDP between</w:t>
      </w:r>
      <w:r>
        <w:t xml:space="preserve"> </w:t>
      </w:r>
      <w:r>
        <w:t xml:space="preserve">2021 and 2024, remain significant.</w:t>
      </w:r>
      <w:r>
        <w:t xml:space="preserve"> </w:t>
      </w:r>
      <w:r>
        <w:t xml:space="preserve">1.3.4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Source: London Stock Exchange Group633.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corporate funding</w:t>
      </w:r>
      <w:r>
        <w:t xml:space="preserve"> </w:t>
      </w:r>
      <w:r>
        <w:t xml:space="preserve">Overall, firms in Austria rely more on funding by</w:t>
      </w:r>
      <w:r>
        <w:t xml:space="preserve"> </w:t>
      </w:r>
      <w:r>
        <w:t xml:space="preserve">banks and less on the capital markets, as compared</w:t>
      </w:r>
      <w:r>
        <w:t xml:space="preserve"> </w:t>
      </w:r>
      <w:r>
        <w:t xml:space="preserve">with their European peers. More specifically, at the</w:t>
      </w:r>
      <w:r>
        <w:t xml:space="preserve"> </w:t>
      </w:r>
      <w:r>
        <w:t xml:space="preserve">end of 2024, bank finance through loans constituted</w:t>
      </w:r>
      <w:r>
        <w:t xml:space="preserve"> </w:t>
      </w:r>
      <w:r>
        <w:t xml:space="preserve">38.2% of all funding sources for Austrian non-financial</w:t>
      </w:r>
      <w:r>
        <w:t xml:space="preserve"> </w:t>
      </w:r>
      <w:r>
        <w:t xml:space="preserve">corporations (NFCs), while listed shares and bonds</w:t>
      </w:r>
      <w:r>
        <w:t xml:space="preserve"> </w:t>
      </w:r>
      <w:r>
        <w:t xml:space="preserve">accounted for only 13% of funding sources. This</w:t>
      </w:r>
      <w:r>
        <w:t xml:space="preserve"> </w:t>
      </w:r>
      <w:r>
        <w:t xml:space="preserve">compares with 27% and 23.8% on average in the EU.</w:t>
      </w:r>
      <w:r>
        <w:t xml:space="preserve"> </w:t>
      </w:r>
      <w:r>
        <w:t xml:space="preserve">Expressed as a percentage of GDP, the overall level of</w:t>
      </w:r>
      <w:r>
        <w:t xml:space="preserve"> </w:t>
      </w:r>
      <w:r>
        <w:t xml:space="preserve">NFC funding was 167.5% in Austria and, on average,</w:t>
      </w:r>
      <w:r>
        <w:t xml:space="preserve"> </w:t>
      </w:r>
      <w:r>
        <w:t xml:space="preserve">225.6% in the EU (see Graph 2.1.5).</w:t>
      </w:r>
      <w:r>
        <w:br/>
      </w:r>
      <w:r>
        <w:t xml:space="preserve">Austrian companies rely mostly on internal</w:t>
      </w:r>
      <w:r>
        <w:t xml:space="preserve"> </w:t>
      </w:r>
      <w:r>
        <w:t xml:space="preserve">financing, as do their European peers. According to</w:t>
      </w:r>
      <w:r>
        <w:t xml:space="preserve"> </w:t>
      </w:r>
      <w:r>
        <w:t xml:space="preserve">the 2024 EIB Investment Survey634, 68% of</w:t>
      </w:r>
      <w:r>
        <w:t xml:space="preserve"> </w:t>
      </w:r>
      <w:r>
        <w:t xml:space="preserve">investments needs of Austrian firms are covered by</w:t>
      </w:r>
      <w:r>
        <w:t xml:space="preserve"> </w:t>
      </w:r>
      <w:r>
        <w:t xml:space="preserve">internal funding, just above the EU average of 66%. At</w:t>
      </w:r>
      <w:r>
        <w:t xml:space="preserve"> </w:t>
      </w:r>
      <w:r>
        <w:t xml:space="preserve">the same time, only 12% of Austrian firms believed</w:t>
      </w:r>
      <w:r>
        <w:t xml:space="preserve"> </w:t>
      </w:r>
      <w:r>
        <w:t xml:space="preserve">that their investment activities over the last three years</w:t>
      </w:r>
      <w:r>
        <w:t xml:space="preserve"> </w:t>
      </w:r>
      <w:r>
        <w:t xml:space="preserve">were less than needed, better than the EU average for</w:t>
      </w:r>
      <w:r>
        <w:t xml:space="preserve"> </w:t>
      </w:r>
      <w:r>
        <w:t xml:space="preserve">perceived underinvestment (14%), suggesting that</w:t>
      </w:r>
      <w:r>
        <w:t xml:space="preserve"> </w:t>
      </w:r>
      <w:r>
        <w:t xml:space="preserve">Raiffeisenbank Russia to Rasperia. The bank has filed an appeal</w:t>
      </w:r>
      <w:r>
        <w:t xml:space="preserve"> </w:t>
      </w:r>
      <w:r>
        <w:t xml:space="preserve">and is pursuing legal action against Rasperia in Austria.</w:t>
      </w:r>
      <w:r>
        <w:t xml:space="preserve"> </w:t>
      </w:r>
      <w:r>
        <w:t xml:space="preserve">633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634 See EIB Investment Survey 2024.</w:t>
      </w:r>
      <w:r>
        <w:br/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AT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AUSTRIAN TRADED INDEX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412</w:t>
      </w:r>
      <w:r>
        <w:t xml:space="preserve"> </w:t>
      </w:r>
      <w:r>
        <w:t xml:space="preserve">there is only a small financing gap relative to</w:t>
      </w:r>
      <w:r>
        <w:t xml:space="preserve"> </w:t>
      </w:r>
      <w:r>
        <w:t xml:space="preserve">investment demand. However, this may not be the case</w:t>
      </w:r>
      <w:r>
        <w:t xml:space="preserve"> </w:t>
      </w:r>
      <w:r>
        <w:t xml:space="preserve">for firms with no or limited capacity for internal</w:t>
      </w:r>
      <w:r>
        <w:t xml:space="preserve"> </w:t>
      </w:r>
      <w:r>
        <w:t xml:space="preserve">funding, such as small and medium-sized enterprises</w:t>
      </w:r>
      <w:r>
        <w:t xml:space="preserve"> </w:t>
      </w:r>
      <w:r>
        <w:t xml:space="preserve">(SMEs) or innovative start-ups.</w:t>
      </w:r>
      <w:r>
        <w:t xml:space="preserve"> </w:t>
      </w:r>
      <w:r>
        <w:t xml:space="preserve">1.3.5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Source: Eurostat. End-2024.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Austria’s capital markets remain comparatively</w:t>
      </w:r>
      <w:r>
        <w:t xml:space="preserve"> </w:t>
      </w:r>
      <w:r>
        <w:t xml:space="preserve">small. The main stock exchange in Austria is the</w:t>
      </w:r>
      <w:r>
        <w:t xml:space="preserve"> </w:t>
      </w:r>
      <w:r>
        <w:t xml:space="preserve">Vienna Stock Exchange. The equity market is</w:t>
      </w:r>
      <w:r>
        <w:t xml:space="preserve"> </w:t>
      </w:r>
      <w:r>
        <w:t xml:space="preserve">relatively small in terms of capitalisation and volumes</w:t>
      </w:r>
      <w:r>
        <w:t xml:space="preserve"> </w:t>
      </w:r>
      <w:r>
        <w:t xml:space="preserve">traded. The low market capitalisation could be due to</w:t>
      </w:r>
      <w:r>
        <w:t xml:space="preserve"> </w:t>
      </w:r>
      <w:r>
        <w:t xml:space="preserve">the characteristics of the Austrian corporate sector, in</w:t>
      </w:r>
      <w:r>
        <w:t xml:space="preserve"> </w:t>
      </w:r>
      <w:r>
        <w:t xml:space="preserve">particular the small number of large globally operating</w:t>
      </w:r>
      <w:r>
        <w:t xml:space="preserve"> </w:t>
      </w:r>
      <w:r>
        <w:t xml:space="preserve">multinational companies (with annual revenues above</w:t>
      </w:r>
      <w:r>
        <w:t xml:space="preserve"> </w:t>
      </w:r>
      <w:r>
        <w:t xml:space="preserve">EUR 1 billion). So far capital markets have weathered</w:t>
      </w:r>
      <w:r>
        <w:t xml:space="preserve"> </w:t>
      </w:r>
      <w:r>
        <w:t xml:space="preserve">well the global geopolitical turmoil generated by the</w:t>
      </w:r>
      <w:r>
        <w:t xml:space="preserve"> </w:t>
      </w:r>
      <w:r>
        <w:t xml:space="preserve">war in Ukraine, Gaza conflict, the energy crisis and</w:t>
      </w:r>
      <w:r>
        <w:t xml:space="preserve"> </w:t>
      </w:r>
      <w:r>
        <w:t xml:space="preserve">trade policy tensions. Between August 2022 and</w:t>
      </w:r>
      <w:r>
        <w:t xml:space="preserve"> </w:t>
      </w:r>
      <w:r>
        <w:t xml:space="preserve">August 2025, the Austrian Traded Index (ATX)</w:t>
      </w:r>
      <w:r>
        <w:t xml:space="preserve"> </w:t>
      </w:r>
      <w:r>
        <w:t xml:space="preserve">increased by 49.6%. Initial public offerings (IPOs)</w:t>
      </w:r>
      <w:r>
        <w:t xml:space="preserve"> </w:t>
      </w:r>
      <w:r>
        <w:t xml:space="preserve">remain rather limited and small, given the size of the</w:t>
      </w:r>
      <w:r>
        <w:t xml:space="preserve"> </w:t>
      </w:r>
      <w:r>
        <w:t xml:space="preserve">economy. While there are relatively fewer large</w:t>
      </w:r>
      <w:r>
        <w:t xml:space="preserve"> </w:t>
      </w:r>
      <w:r>
        <w:t xml:space="preserve">companies in Austria compared to the EU average, the</w:t>
      </w:r>
      <w:r>
        <w:t xml:space="preserve"> </w:t>
      </w:r>
      <w:r>
        <w:t xml:space="preserve">corporate sector tends to be rather capital intensive and</w:t>
      </w:r>
      <w:r>
        <w:t xml:space="preserve"> </w:t>
      </w:r>
      <w:r>
        <w:t xml:space="preserve">would benefit from a deeper and well-functioning</w:t>
      </w:r>
      <w:r>
        <w:t xml:space="preserve"> </w:t>
      </w:r>
      <w:r>
        <w:t xml:space="preserve">CMU.</w:t>
      </w:r>
      <w:r>
        <w:t xml:space="preserve"> </w:t>
      </w:r>
      <w:r>
        <w:t xml:space="preserve">The domestic bond market is dominated by</w:t>
      </w:r>
      <w:r>
        <w:t xml:space="preserve"> </w:t>
      </w:r>
      <w:r>
        <w:t xml:space="preserve">Austrian government bonds and debt issuances by</w:t>
      </w:r>
      <w:r>
        <w:t xml:space="preserve"> </w:t>
      </w:r>
      <w:r>
        <w:t xml:space="preserve">financial companies. In the first quarter of 2025, the</w:t>
      </w:r>
      <w:r>
        <w:t xml:space="preserve"> </w:t>
      </w:r>
      <w:r>
        <w:t xml:space="preserve">Austrian government issued EUR 17.7 bn of debt</w:t>
      </w:r>
      <w:r>
        <w:t xml:space="preserve"> </w:t>
      </w:r>
      <w:r>
        <w:t xml:space="preserve">securities, only slightly above the issuance for the</w:t>
      </w:r>
      <w:r>
        <w:t xml:space="preserve"> </w:t>
      </w:r>
      <w:r>
        <w:t xml:space="preserve">entire 2024 (EUR 23.6 bn). Banks issued EUR 3.7 bn</w:t>
      </w:r>
      <w:r>
        <w:t xml:space="preserve"> </w:t>
      </w:r>
      <w:r>
        <w:t xml:space="preserve">of debt securities, which compares favourably to only</w:t>
      </w:r>
      <w:r>
        <w:t xml:space="preserve"> </w:t>
      </w:r>
      <w:r>
        <w:t xml:space="preserve">EUR 7.9 bn for the whole of 2024 (see Graph 2.1.6).</w:t>
      </w:r>
      <w:r>
        <w:t xml:space="preserve"> </w:t>
      </w:r>
      <w:r>
        <w:t xml:space="preserve">The other financial companies issued EUR 3 bn in Q1</w:t>
      </w:r>
    </w:p>
    <w:p>
      <w:pPr>
        <w:pStyle w:val="Compact"/>
        <w:numPr>
          <w:ilvl w:val="0"/>
          <w:numId w:val="1040"/>
        </w:numPr>
      </w:pPr>
      <w:r>
        <w:t xml:space="preserve">See Data and surveys - SAFE - European Commission, 2024,</w:t>
      </w:r>
      <w:r>
        <w:t xml:space="preserve"> </w:t>
      </w:r>
      <w:r>
        <w:t xml:space="preserve">Results by country.</w:t>
      </w:r>
      <w:r>
        <w:t xml:space="preserve"> </w:t>
      </w:r>
      <w:r>
        <w:t xml:space="preserve">2025, well above the 2024 total of EUR 1.6 bn. The net</w:t>
      </w:r>
      <w:r>
        <w:t xml:space="preserve"> </w:t>
      </w:r>
      <w:r>
        <w:t xml:space="preserve">issuance by non-financial corporations turned out</w:t>
      </w:r>
      <w:r>
        <w:t xml:space="preserve"> </w:t>
      </w:r>
      <w:r>
        <w:t xml:space="preserve">negative, at – EUR 0.1 bn in Q1 2025, consistent with</w:t>
      </w:r>
      <w:r>
        <w:t xml:space="preserve"> </w:t>
      </w:r>
      <w:r>
        <w:t xml:space="preserve">the negative totals in 2021-2023. The use of bonds by</w:t>
      </w:r>
      <w:r>
        <w:t xml:space="preserve"> </w:t>
      </w:r>
      <w:r>
        <w:t xml:space="preserve">SMEs is also relatively moderate, as 2% of SMEs</w:t>
      </w:r>
      <w:r>
        <w:t xml:space="preserve"> </w:t>
      </w:r>
      <w:r>
        <w:t xml:space="preserve">indicated in the 2024 SAFE survey that debt securities</w:t>
      </w:r>
      <w:r>
        <w:t xml:space="preserve"> </w:t>
      </w:r>
      <w:r>
        <w:t xml:space="preserve">issuance was relevant for them, compared to an EU</w:t>
      </w:r>
      <w:r>
        <w:t xml:space="preserve"> </w:t>
      </w:r>
      <w:r>
        <w:t xml:space="preserve">average of 3%.635 Hence, debt market finance appears</w:t>
      </w:r>
      <w:r>
        <w:t xml:space="preserve"> </w:t>
      </w:r>
      <w:r>
        <w:t xml:space="preserve">as a minor source of funding for Austrian non-financial</w:t>
      </w:r>
      <w:r>
        <w:t xml:space="preserve"> </w:t>
      </w:r>
      <w:r>
        <w:t xml:space="preserve">corporations.</w:t>
      </w:r>
      <w:r>
        <w:t xml:space="preserve"> </w:t>
      </w:r>
      <w:r>
        <w:t xml:space="preserve">1.3.6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•</w:t>
      </w:r>
    </w:p>
    <w:p>
      <w:pPr>
        <w:pStyle w:val="FirstParagraph"/>
      </w:pPr>
      <w:r>
        <w:t xml:space="preserve">Source: ECB.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Austrian</w:t>
      </w:r>
      <w:r>
        <w:t xml:space="preserve"> </w:t>
      </w:r>
      <w:r>
        <w:t xml:space="preserve">households’</w:t>
      </w:r>
      <w:r>
        <w:t xml:space="preserve"> </w:t>
      </w:r>
      <w:r>
        <w:t xml:space="preserve">savings</w:t>
      </w:r>
      <w:r>
        <w:t xml:space="preserve"> </w:t>
      </w:r>
      <w:r>
        <w:t xml:space="preserve">are</w:t>
      </w:r>
      <w:r>
        <w:t xml:space="preserve"> </w:t>
      </w:r>
      <w:r>
        <w:t xml:space="preserve">invested</w:t>
      </w:r>
      <w:r>
        <w:t xml:space="preserve"> </w:t>
      </w:r>
      <w:r>
        <w:t xml:space="preserve">conservatively, as financial instruments form only a</w:t>
      </w:r>
      <w:r>
        <w:t xml:space="preserve"> </w:t>
      </w:r>
      <w:r>
        <w:t xml:space="preserve">small part of their wealth. Main residence ownership</w:t>
      </w:r>
      <w:r>
        <w:t xml:space="preserve"> </w:t>
      </w:r>
      <w:r>
        <w:t xml:space="preserve">represents the most important asset in terms of volume</w:t>
      </w:r>
      <w:r>
        <w:t xml:space="preserve"> </w:t>
      </w:r>
      <w:r>
        <w:t xml:space="preserve">for homeowners. On average, Austrian households</w:t>
      </w:r>
      <w:r>
        <w:t xml:space="preserve"> </w:t>
      </w:r>
      <w:r>
        <w:t xml:space="preserve">have financial portfolio profiles with very low risk.</w:t>
      </w:r>
      <w:r>
        <w:t xml:space="preserve"> </w:t>
      </w:r>
      <w:r>
        <w:t xml:space="preserve">Few households hold assets that are typically classified</w:t>
      </w:r>
      <w:r>
        <w:t xml:space="preserve"> </w:t>
      </w:r>
      <w:r>
        <w:t xml:space="preserve">as higher yield. According to the latest Eurosystem</w:t>
      </w:r>
      <w:r>
        <w:t xml:space="preserve"> </w:t>
      </w:r>
      <w:r>
        <w:t xml:space="preserve">Household Finance and Consumption Survey636, only</w:t>
      </w:r>
      <w:r>
        <w:t xml:space="preserve"> </w:t>
      </w:r>
      <w:r>
        <w:t xml:space="preserve">12.3% of households in Austria hold mutual funds,</w:t>
      </w:r>
      <w:r>
        <w:t xml:space="preserve"> </w:t>
      </w:r>
      <w:r>
        <w:t xml:space="preserve">only 6.1% hold stocks and only 2.5% hold bonds.</w:t>
      </w:r>
      <w:r>
        <w:t xml:space="preserve"> </w:t>
      </w:r>
      <w:r>
        <w:t xml:space="preserve">Among the households that held higher-yield assets,</w:t>
      </w:r>
      <w:r>
        <w:t xml:space="preserve"> </w:t>
      </w:r>
      <w:r>
        <w:t xml:space="preserve">these assets accounted for about 40% of the financial</w:t>
      </w:r>
      <w:r>
        <w:t xml:space="preserve"> </w:t>
      </w:r>
      <w:r>
        <w:t xml:space="preserve">portfolio, with this share rather stable across the net</w:t>
      </w:r>
      <w:r>
        <w:t xml:space="preserve"> </w:t>
      </w:r>
      <w:r>
        <w:t xml:space="preserve">wealth distribution.</w:t>
      </w:r>
      <w:r>
        <w:t xml:space="preserve"> </w:t>
      </w:r>
      <w:r>
        <w:t xml:space="preserve">The degree of direct retail investment in Austria’s</w:t>
      </w:r>
      <w:r>
        <w:t xml:space="preserve"> </w:t>
      </w:r>
      <w:r>
        <w:t xml:space="preserve">capital markets is low. As of end-2024, households’</w:t>
      </w:r>
      <w:r>
        <w:t xml:space="preserve"> </w:t>
      </w:r>
      <w:r>
        <w:t xml:space="preserve">aggregate financial assets equated to 182% of GDP,</w:t>
      </w:r>
      <w:r>
        <w:t xml:space="preserve"> </w:t>
      </w:r>
      <w:r>
        <w:t xml:space="preserve">which is below the EU average of 212%. Austrian</w:t>
      </w:r>
      <w:r>
        <w:t xml:space="preserve"> </w:t>
      </w:r>
      <w:r>
        <w:t xml:space="preserve">households’ investments in insurance and pension</w:t>
      </w:r>
      <w:r>
        <w:t xml:space="preserve"> </w:t>
      </w:r>
      <w:r>
        <w:t xml:space="preserve">funds, relative to GDP, were only half as large as the</w:t>
      </w:r>
      <w:r>
        <w:t xml:space="preserve"> </w:t>
      </w:r>
      <w:r>
        <w:t xml:space="preserve">EU average in 2024 (see Graph 2.1.7). In addition,</w:t>
      </w:r>
      <w:r>
        <w:t xml:space="preserve"> </w:t>
      </w:r>
      <w:r>
        <w:t xml:space="preserve">listed and unlisted share holdings were three times</w:t>
      </w:r>
      <w:r>
        <w:t xml:space="preserve"> </w:t>
      </w:r>
      <w:r>
        <w:t xml:space="preserve">lower than the EU average (10.8% of GDP in Austria</w:t>
      </w:r>
      <w:r>
        <w:t xml:space="preserve"> </w:t>
      </w:r>
      <w:r>
        <w:t xml:space="preserve">(636) OeNB Report 2023/2: Eurosystem Household Finance and</w:t>
      </w:r>
      <w:r>
        <w:t xml:space="preserve"> </w:t>
      </w:r>
      <w:r>
        <w:t xml:space="preserve">Consumption Survey 2021: first results for Austria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AT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-10.0</w:t>
      </w:r>
      <w:r>
        <w:t xml:space="preserve"> </w:t>
      </w:r>
      <w:r>
        <w:t xml:space="preserve">0.0</w:t>
      </w:r>
      <w:r>
        <w:t xml:space="preserve"> </w:t>
      </w:r>
      <w:r>
        <w:t xml:space="preserve">10.0</w:t>
      </w:r>
      <w:r>
        <w:t xml:space="preserve"> </w:t>
      </w:r>
      <w:r>
        <w:t xml:space="preserve">20.0</w:t>
      </w:r>
      <w:r>
        <w:t xml:space="preserve"> </w:t>
      </w:r>
      <w:r>
        <w:t xml:space="preserve">30.0</w:t>
      </w:r>
      <w:r>
        <w:t xml:space="preserve"> </w:t>
      </w:r>
      <w:r>
        <w:t xml:space="preserve">40.0</w:t>
      </w:r>
      <w:r>
        <w:t xml:space="preserve"> </w:t>
      </w:r>
      <w:r>
        <w:t xml:space="preserve">50.0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413</w:t>
      </w:r>
      <w:r>
        <w:t xml:space="preserve"> </w:t>
      </w:r>
      <w:r>
        <w:t xml:space="preserve">as compared with 32.6% of GDP in the EU). At the</w:t>
      </w:r>
      <w:r>
        <w:t xml:space="preserve"> </w:t>
      </w:r>
      <w:r>
        <w:t xml:space="preserve">same time, in 2024 Austrian households’ cash and</w:t>
      </w:r>
      <w:r>
        <w:t xml:space="preserve"> </w:t>
      </w:r>
      <w:r>
        <w:t xml:space="preserve">deposits (72.7% of GDP), other equity (40.5% of GDP)</w:t>
      </w:r>
      <w:r>
        <w:t xml:space="preserve"> </w:t>
      </w:r>
      <w:r>
        <w:t xml:space="preserve">and bonds (7.5% of GDP) were above the EU averages</w:t>
      </w:r>
      <w:r>
        <w:t xml:space="preserve"> </w:t>
      </w:r>
      <w:r>
        <w:t xml:space="preserve">of, respectively, 67.3%, 23.7% and 5.9% of GDP.</w:t>
      </w:r>
      <w:r>
        <w:t xml:space="preserve"> </w:t>
      </w:r>
      <w:r>
        <w:t xml:space="preserve">1.3.7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Source: Eurostat. End-2024.</w:t>
      </w:r>
      <w:r>
        <w:t xml:space="preserve"> </w:t>
      </w:r>
      <w:r>
        <w:t xml:space="preserve">The comparatively strong saving rate of Austrian</w:t>
      </w:r>
      <w:r>
        <w:t xml:space="preserve"> </w:t>
      </w:r>
      <w:r>
        <w:t xml:space="preserve">households in recent years and the high share of</w:t>
      </w:r>
      <w:r>
        <w:t xml:space="preserve"> </w:t>
      </w:r>
      <w:r>
        <w:t xml:space="preserve">cash and deposits in households’ assets suggest</w:t>
      </w:r>
      <w:r>
        <w:t xml:space="preserve"> </w:t>
      </w:r>
      <w:r>
        <w:t xml:space="preserve">there is some room to increase the level of direct or</w:t>
      </w:r>
      <w:r>
        <w:t xml:space="preserve"> </w:t>
      </w:r>
      <w:r>
        <w:t xml:space="preserve">indirect retail investments. Encouraging the build-up</w:t>
      </w:r>
      <w:r>
        <w:t xml:space="preserve"> </w:t>
      </w:r>
      <w:r>
        <w:t xml:space="preserve">of universal funded supplementary pension schemes</w:t>
      </w:r>
      <w:r>
        <w:t xml:space="preserve"> </w:t>
      </w:r>
      <w:r>
        <w:t xml:space="preserve">would positively contribute to (i) the sustainability and</w:t>
      </w:r>
      <w:r>
        <w:t xml:space="preserve"> </w:t>
      </w:r>
      <w:r>
        <w:t xml:space="preserve">adequacy of pension benefits; (ii) investment in equity;</w:t>
      </w:r>
      <w:r>
        <w:t xml:space="preserve"> </w:t>
      </w:r>
      <w:r>
        <w:t xml:space="preserve">(iii) access to finance; (iv) growth; and (v) innovation.</w:t>
      </w:r>
      <w:r>
        <w:t xml:space="preserve"> </w:t>
      </w:r>
      <w:r>
        <w:t xml:space="preserve">Moreover, an in-depth assessment of the incentives in</w:t>
      </w:r>
      <w:r>
        <w:t xml:space="preserve"> </w:t>
      </w:r>
      <w:r>
        <w:t xml:space="preserve">place to promote retail participation in financial</w:t>
      </w:r>
      <w:r>
        <w:t xml:space="preserve"> </w:t>
      </w:r>
      <w:r>
        <w:t xml:space="preserve">markets may also be considered, as well as possible</w:t>
      </w:r>
      <w:r>
        <w:t xml:space="preserve"> </w:t>
      </w:r>
      <w:r>
        <w:t xml:space="preserve">steps to increase the availability of low-cost, well-</w:t>
      </w:r>
      <w:r>
        <w:t xml:space="preserve"> </w:t>
      </w:r>
      <w:r>
        <w:t xml:space="preserve">diversified investment products suited to retail</w:t>
      </w:r>
      <w:r>
        <w:t xml:space="preserve"> </w:t>
      </w:r>
      <w:r>
        <w:t xml:space="preserve">investors.</w:t>
      </w:r>
      <w:r>
        <w:t xml:space="preserve"> </w:t>
      </w:r>
      <w:r>
        <w:t xml:space="preserve">1.4 Belgium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Belgian economy borrows as much from as it</w:t>
      </w:r>
      <w:r>
        <w:t xml:space="preserve"> </w:t>
      </w:r>
      <w:r>
        <w:t xml:space="preserve">lends to the rest of the world. In the last decade, the</w:t>
      </w:r>
      <w:r>
        <w:t xml:space="preserve"> </w:t>
      </w:r>
      <w:r>
        <w:t xml:space="preserve">private savings ratio, net of fixed capital consumption,</w:t>
      </w:r>
      <w:r>
        <w:t xml:space="preserve"> </w:t>
      </w:r>
      <w:r>
        <w:t xml:space="preserve">exhibited some volatility around its ten-year average of</w:t>
      </w:r>
      <w:r>
        <w:t xml:space="preserve"> </w:t>
      </w:r>
      <w:r>
        <w:t xml:space="preserve">8.6% of GDP. It steeply increased to 13.4% of GDP in</w:t>
      </w:r>
      <w:r>
        <w:t xml:space="preserve"> </w:t>
      </w:r>
      <w:r>
        <w:t xml:space="preserve">2020 before progressively receding to 8.0% in 2024</w:t>
      </w:r>
      <w:r>
        <w:t xml:space="preserve"> </w:t>
      </w:r>
      <w:r>
        <w:t xml:space="preserve">(see Graph 2.2.1). The net private investment ratio,</w:t>
      </w:r>
      <w:r>
        <w:t xml:space="preserve"> </w:t>
      </w:r>
      <w:r>
        <w:t xml:space="preserve">which measures the net contribution of the private</w:t>
      </w:r>
      <w:r>
        <w:t xml:space="preserve"> </w:t>
      </w:r>
      <w:r>
        <w:t xml:space="preserve">sector to capital accumulation in the country, evolved</w:t>
      </w:r>
      <w:r>
        <w:t xml:space="preserve"> </w:t>
      </w:r>
      <w:r>
        <w:t xml:space="preserve">quite differently. It fluctuated around its ten-year</w:t>
      </w:r>
      <w:r>
        <w:t xml:space="preserve"> </w:t>
      </w:r>
      <w:r>
        <w:t xml:space="preserve">average of 5.0% of GDP and reached in 2024 its lowest</w:t>
      </w:r>
      <w:r>
        <w:t xml:space="preserve"> </w:t>
      </w:r>
      <w:r>
        <w:t xml:space="preserve">level (3.5%) since 2013. At the same time, during the</w:t>
      </w:r>
      <w:r>
        <w:t xml:space="preserve"> </w:t>
      </w:r>
      <w:r>
        <w:t xml:space="preserve">same period the government budget was in regular</w:t>
      </w:r>
      <w:r>
        <w:t xml:space="preserve"> </w:t>
      </w:r>
      <w:r>
        <w:t xml:space="preserve">deficit that averaged 3.5% of GDP with a peak at 9.0%</w:t>
      </w:r>
      <w:r>
        <w:t xml:space="preserve"> </w:t>
      </w:r>
      <w:r>
        <w:t xml:space="preserve">of GDP in 2020. Thus, the high positive balance</w:t>
      </w:r>
      <w:r>
        <w:t xml:space="preserve"> </w:t>
      </w:r>
      <w:r>
        <w:t xml:space="preserve">between net domestic savings and net investment was</w:t>
      </w:r>
      <w:r>
        <w:t xml:space="preserve"> </w:t>
      </w:r>
      <w:r>
        <w:t xml:space="preserve">fully offset by government deficits, which resulted in</w:t>
      </w:r>
      <w:r>
        <w:t xml:space="preserve"> </w:t>
      </w:r>
      <w:r>
        <w:t xml:space="preserve">borrowing by Belgium from the rest of the world that</w:t>
      </w:r>
      <w:r>
        <w:t xml:space="preserve"> </w:t>
      </w:r>
      <w:r>
        <w:t xml:space="preserve">averaged 0.0% of GDP, with a peak of 1.5% in 2018</w:t>
      </w:r>
      <w:r>
        <w:t xml:space="preserve"> </w:t>
      </w:r>
      <w:r>
        <w:t xml:space="preserve">and a trough of -2.1% in 2021.</w:t>
      </w:r>
      <w:r>
        <w:t xml:space="preserve"> </w:t>
      </w:r>
      <w:r>
        <w:t xml:space="preserve">1.4.1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</w:p>
    <w:p>
      <w:pPr>
        <w:pStyle w:val="BodyText"/>
      </w:pPr>
      <w:r>
        <w:t xml:space="preserve">1.4.2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Consistent with its past regular position of a net</w:t>
      </w:r>
      <w:r>
        <w:t xml:space="preserve"> </w:t>
      </w:r>
      <w:r>
        <w:t xml:space="preserve">creditor to the rest of the world, the Belgian</w:t>
      </w:r>
      <w:r>
        <w:t xml:space="preserve"> </w:t>
      </w:r>
      <w:r>
        <w:t xml:space="preserve">economy has accumulated significant foreign assets</w:t>
      </w:r>
      <w:r>
        <w:t xml:space="preserve"> </w:t>
      </w:r>
      <w:r>
        <w:t xml:space="preserve">and exhibits a positive net international investment</w:t>
      </w:r>
      <w:r>
        <w:t xml:space="preserve"> </w:t>
      </w:r>
      <w:r>
        <w:t xml:space="preserve">position. As of Q4-2024, total assets on foreigners</w:t>
      </w:r>
      <w:r>
        <w:t xml:space="preserve"> </w:t>
      </w:r>
      <w:r>
        <w:t xml:space="preserve">reached 411% of GDP, while liabilities to foreigners</w:t>
      </w:r>
      <w:r>
        <w:t xml:space="preserve"> </w:t>
      </w:r>
      <w:r>
        <w:t xml:space="preserve">stood at 351% of GDP, resulting in a net international</w:t>
      </w:r>
      <w:r>
        <w:t xml:space="preserve"> </w:t>
      </w:r>
      <w:r>
        <w:t xml:space="preserve">investment position (NIIP) equivalent to 60% of GDP</w:t>
      </w:r>
      <w:r>
        <w:t xml:space="preserve"> </w:t>
      </w:r>
      <w:r>
        <w:t xml:space="preserve">(see Graph 2.2.2). The net accumulated portfolio</w:t>
      </w:r>
      <w:r>
        <w:t xml:space="preserve"> </w:t>
      </w:r>
      <w:r>
        <w:t xml:space="preserve">investments, which reached 38% of GDP as of Q4-</w:t>
      </w:r>
      <w:r>
        <w:t xml:space="preserve"> </w:t>
      </w:r>
      <w:r>
        <w:t xml:space="preserve">2024, accounted for most of the NIIP. Net foreign</w:t>
      </w:r>
      <w:r>
        <w:t xml:space="preserve"> </w:t>
      </w:r>
      <w:r>
        <w:t xml:space="preserve">direct investment came second with 22% of GDP,</w:t>
      </w:r>
      <w:r>
        <w:t xml:space="preserve"> </w:t>
      </w:r>
      <w:r>
        <w:t xml:space="preserve">while the magnitude of other investments was</w:t>
      </w:r>
      <w:r>
        <w:t xml:space="preserve"> </w:t>
      </w:r>
      <w:r>
        <w:t xml:space="preserve">negligible. As a result, the Belgian economy appears to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-600</w:t>
      </w:r>
      <w:r>
        <w:t xml:space="preserve"> </w:t>
      </w:r>
      <w:r>
        <w:t xml:space="preserve">-400</w:t>
      </w:r>
      <w:r>
        <w:t xml:space="preserve"> </w:t>
      </w:r>
      <w:r>
        <w:t xml:space="preserve">-200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AT</w:t>
      </w:r>
      <w:r>
        <w:t xml:space="preserve"> </w:t>
      </w:r>
      <w:r>
        <w:t xml:space="preserve">EU</w:t>
      </w:r>
      <w:r>
        <w:t xml:space="preserve"> </w:t>
      </w:r>
      <w:r>
        <w:t xml:space="preserve">AT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414</w:t>
      </w:r>
      <w:r>
        <w:t xml:space="preserve"> </w:t>
      </w:r>
      <w:r>
        <w:t xml:space="preserve">be a net capital exporter, notably by means of portfolio</w:t>
      </w:r>
      <w:r>
        <w:t xml:space="preserve"> </w:t>
      </w:r>
      <w:r>
        <w:t xml:space="preserve">investments and direct investments abroad.</w:t>
      </w:r>
      <w:r>
        <w:br/>
      </w:r>
      <w:r>
        <w:t xml:space="preserve">Structure of financial sector</w:t>
      </w:r>
      <w:r>
        <w:t xml:space="preserve"> </w:t>
      </w:r>
      <w:r>
        <w:t xml:space="preserve">The Belgian financial sector is well developed. The</w:t>
      </w:r>
      <w:r>
        <w:t xml:space="preserve"> </w:t>
      </w:r>
      <w:r>
        <w:t xml:space="preserve">market capitalisation of listed equity reached 50% of</w:t>
      </w:r>
      <w:r>
        <w:t xml:space="preserve"> </w:t>
      </w:r>
      <w:r>
        <w:t xml:space="preserve">GDP at end-2024 (vs 67% in the EU) (see Graph 2.2.3).</w:t>
      </w:r>
      <w:r>
        <w:t xml:space="preserve"> </w:t>
      </w:r>
      <w:r>
        <w:t xml:space="preserve">Characteristically, financial corporations accounted for</w:t>
      </w:r>
      <w:r>
        <w:t xml:space="preserve"> </w:t>
      </w:r>
      <w:r>
        <w:t xml:space="preserve">32% of that capitalisation, which reflects the extent to</w:t>
      </w:r>
      <w:r>
        <w:t xml:space="preserve"> </w:t>
      </w:r>
      <w:r>
        <w:t xml:space="preserve">which the stock market in Belgium is geared towards</w:t>
      </w:r>
      <w:r>
        <w:t xml:space="preserve"> </w:t>
      </w:r>
      <w:r>
        <w:t xml:space="preserve">funding the financial segment of the real economy.</w:t>
      </w:r>
      <w:r>
        <w:t xml:space="preserve"> </w:t>
      </w:r>
      <w:r>
        <w:t xml:space="preserve">Like elsewhere in the EU, the index of Belgian banks</w:t>
      </w:r>
      <w:r>
        <w:t xml:space="preserve"> </w:t>
      </w:r>
      <w:r>
        <w:t xml:space="preserve">has significantly underperformed the general stock</w:t>
      </w:r>
      <w:r>
        <w:t xml:space="preserve"> </w:t>
      </w:r>
      <w:r>
        <w:t xml:space="preserve">market index since the Great Financial Crisis. It has</w:t>
      </w:r>
      <w:r>
        <w:t xml:space="preserve"> </w:t>
      </w:r>
      <w:r>
        <w:t xml:space="preserve">also underperformed vis-à-vis the EU average (see</w:t>
      </w:r>
      <w:r>
        <w:t xml:space="preserve"> </w:t>
      </w:r>
      <w:r>
        <w:t xml:space="preserve">Graph 2.2.4). The outstanding volume of debt</w:t>
      </w:r>
      <w:r>
        <w:t xml:space="preserve"> </w:t>
      </w:r>
      <w:r>
        <w:t xml:space="preserve">securities reached 140% of GDP at end-2023. Bonds</w:t>
      </w:r>
      <w:r>
        <w:t xml:space="preserve"> </w:t>
      </w:r>
      <w:r>
        <w:t xml:space="preserve">issued by the government accounted for 67% of the</w:t>
      </w:r>
      <w:r>
        <w:t xml:space="preserve"> </w:t>
      </w:r>
      <w:r>
        <w:t xml:space="preserve">total. This reflects the high weight of the gross public</w:t>
      </w:r>
      <w:r>
        <w:t xml:space="preserve"> </w:t>
      </w:r>
      <w:r>
        <w:t xml:space="preserve">debt in the bond market.</w:t>
      </w:r>
      <w:r>
        <w:br/>
      </w:r>
      <w:r>
        <w:t xml:space="preserve">1.4.3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Even though the financial sector in Belgium</w:t>
      </w:r>
      <w:r>
        <w:t xml:space="preserve"> </w:t>
      </w:r>
      <w:r>
        <w:t xml:space="preserve">remains dominated by banks, insurers and</w:t>
      </w:r>
      <w:r>
        <w:t xml:space="preserve"> </w:t>
      </w:r>
      <w:r>
        <w:t xml:space="preserve">investment funds are sizable. Banks’ assets</w:t>
      </w:r>
      <w:r>
        <w:t xml:space="preserve"> </w:t>
      </w:r>
      <w:r>
        <w:t xml:space="preserve">represented 228% of GDP in Q4-2024 (vs. 251% in the</w:t>
      </w:r>
      <w:r>
        <w:t xml:space="preserve"> </w:t>
      </w:r>
      <w:r>
        <w:t xml:space="preserve">EU). The insurance sector, with total assets of 55% of</w:t>
      </w:r>
      <w:r>
        <w:t xml:space="preserve"> </w:t>
      </w:r>
      <w:r>
        <w:t xml:space="preserve">GDP at Q4-2024 (see Graph 2.2.3), dominates non-</w:t>
      </w:r>
      <w:r>
        <w:t xml:space="preserve"> </w:t>
      </w:r>
      <w:r>
        <w:t xml:space="preserve">bank intermediation and is in line with the EU average</w:t>
      </w:r>
      <w:r>
        <w:t xml:space="preserve"> </w:t>
      </w:r>
      <w:r>
        <w:t xml:space="preserve">(55% of GDP). The pension funds’ assets are much</w:t>
      </w:r>
      <w:r>
        <w:t xml:space="preserve"> </w:t>
      </w:r>
      <w:r>
        <w:t xml:space="preserve">smaller: they only represent 8% of GDP (vs 23% in the</w:t>
      </w:r>
    </w:p>
    <w:p>
      <w:pPr>
        <w:pStyle w:val="BodyText"/>
      </w:pPr>
      <w:r>
        <w:t xml:space="preserve">637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EU). Investment funds represent a bigger share of 43%</w:t>
      </w:r>
      <w:r>
        <w:t xml:space="preserve"> </w:t>
      </w:r>
      <w:r>
        <w:t xml:space="preserve">of GDP, above the EU median.</w:t>
      </w:r>
      <w:r>
        <w:br/>
      </w:r>
      <w:r>
        <w:t xml:space="preserve">1.4.4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Group637.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1.4.5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Firms in Belgium rely more than the EU average on</w:t>
      </w:r>
      <w:r>
        <w:t xml:space="preserve"> </w:t>
      </w:r>
      <w:r>
        <w:t xml:space="preserve">funding from banks and less than the EU average</w:t>
      </w:r>
      <w:r>
        <w:t xml:space="preserve"> </w:t>
      </w:r>
      <w:r>
        <w:t xml:space="preserve">on funding from capital markets. More specifically,</w:t>
      </w:r>
      <w:r>
        <w:t xml:space="preserve"> </w:t>
      </w:r>
      <w:r>
        <w:t xml:space="preserve">at the end of 2024 bank finance through loans</w:t>
      </w:r>
      <w:r>
        <w:t xml:space="preserve"> </w:t>
      </w:r>
      <w:r>
        <w:t xml:space="preserve">constituted 35% (vs 27% in the EU) of all funding</w:t>
      </w:r>
      <w:r>
        <w:t xml:space="preserve"> </w:t>
      </w:r>
      <w:r>
        <w:t xml:space="preserve">sources for Belgian non-financial corporations (NFCs),</w:t>
      </w:r>
      <w:r>
        <w:t xml:space="preserve"> </w:t>
      </w:r>
      <w:r>
        <w:t xml:space="preserve">while listed shares and bonds represented only 17% (vs</w:t>
      </w:r>
      <w:r>
        <w:t xml:space="preserve"> </w:t>
      </w:r>
      <w:r>
        <w:t xml:space="preserve">24% in the EU) of all funding sources. When expressed</w:t>
      </w:r>
      <w:r>
        <w:t xml:space="preserve"> </w:t>
      </w:r>
      <w:r>
        <w:t xml:space="preserve">in terms of GDP, the overall level of NFC funding was</w:t>
      </w:r>
      <w:r>
        <w:t xml:space="preserve"> </w:t>
      </w:r>
      <w:r>
        <w:t xml:space="preserve">higher in Belgium (241% of GDP) than in the EU</w:t>
      </w:r>
      <w:r>
        <w:t xml:space="preserve"> </w:t>
      </w:r>
      <w:r>
        <w:t xml:space="preserve">(226%), see Graph 2.2.5.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BE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BEL 20 -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BE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415</w:t>
      </w:r>
      <w:r>
        <w:t xml:space="preserve"> </w:t>
      </w:r>
      <w:r>
        <w:t xml:space="preserve">Belgian businesses depend as much on internal</w:t>
      </w:r>
      <w:r>
        <w:t xml:space="preserve"> </w:t>
      </w:r>
      <w:r>
        <w:t xml:space="preserve">financing as their European peers. According to the</w:t>
      </w:r>
      <w:r>
        <w:t xml:space="preserve"> </w:t>
      </w:r>
      <w:r>
        <w:t xml:space="preserve">2024 EIB Investment Survey, 65% of Belgian firms’</w:t>
      </w:r>
      <w:r>
        <w:t xml:space="preserve"> </w:t>
      </w:r>
      <w:r>
        <w:t xml:space="preserve">investment needs are covered by internal funding,</w:t>
      </w:r>
      <w:r>
        <w:t xml:space="preserve"> </w:t>
      </w:r>
      <w:r>
        <w:t xml:space="preserve">compared with an EU average of 66%. At the same</w:t>
      </w:r>
      <w:r>
        <w:t xml:space="preserve"> </w:t>
      </w:r>
      <w:r>
        <w:t xml:space="preserve">time, 88% of Belgian firms believe that their</w:t>
      </w:r>
      <w:r>
        <w:t xml:space="preserve"> </w:t>
      </w:r>
      <w:r>
        <w:t xml:space="preserve">investment activities over the last three years were</w:t>
      </w:r>
      <w:r>
        <w:t xml:space="preserve"> </w:t>
      </w:r>
      <w:r>
        <w:t xml:space="preserve">about the right amount, better than the EU average</w:t>
      </w:r>
      <w:r>
        <w:t xml:space="preserve"> </w:t>
      </w:r>
      <w:r>
        <w:t xml:space="preserve">(80%), suggesting that there is no material financing</w:t>
      </w:r>
      <w:r>
        <w:t xml:space="preserve"> </w:t>
      </w:r>
      <w:r>
        <w:t xml:space="preserve">gap relative to investment demand in the country.</w:t>
      </w:r>
      <w:r>
        <w:t xml:space="preserve"> </w:t>
      </w:r>
      <w:r>
        <w:t xml:space="preserve">However, this is probably not the case for firms with</w:t>
      </w:r>
      <w:r>
        <w:t xml:space="preserve"> </w:t>
      </w:r>
      <w:r>
        <w:t xml:space="preserve">no or limited capacity for internal funding, such as</w:t>
      </w:r>
      <w:r>
        <w:t xml:space="preserve"> </w:t>
      </w:r>
      <w:r>
        <w:t xml:space="preserve">innovative start-up firms (see further below).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Belgian capital markets are relatively small.</w:t>
      </w:r>
      <w:r>
        <w:t xml:space="preserve"> </w:t>
      </w:r>
      <w:r>
        <w:t xml:space="preserve">The main stock exchange in Belgium is Euronext</w:t>
      </w:r>
      <w:r>
        <w:t xml:space="preserve"> </w:t>
      </w:r>
      <w:r>
        <w:t xml:space="preserve">Brussels. The equity market is relatively modest in</w:t>
      </w:r>
      <w:r>
        <w:t xml:space="preserve"> </w:t>
      </w:r>
      <w:r>
        <w:t xml:space="preserve">terms of capitalisation (equivalent to 51% of GDP vs</w:t>
      </w:r>
      <w:r>
        <w:t xml:space="preserve"> </w:t>
      </w:r>
      <w:r>
        <w:t xml:space="preserve">an EU average of 67% as of end-2024) and volumes</w:t>
      </w:r>
      <w:r>
        <w:t xml:space="preserve"> </w:t>
      </w:r>
      <w:r>
        <w:t xml:space="preserve">traded, even more so when compared with the US (US</w:t>
      </w:r>
      <w:r>
        <w:t xml:space="preserve"> </w:t>
      </w:r>
      <w:r>
        <w:t xml:space="preserve">equity market capitalisation was equivalent to 213% of</w:t>
      </w:r>
      <w:r>
        <w:t xml:space="preserve"> </w:t>
      </w:r>
      <w:r>
        <w:t xml:space="preserve">US GDP in 2024). The market breadth638 of Belgian</w:t>
      </w:r>
      <w:r>
        <w:t xml:space="preserve"> </w:t>
      </w:r>
      <w:r>
        <w:t xml:space="preserve">bond markets has steadily decreased since 2018 and is</w:t>
      </w:r>
      <w:r>
        <w:t xml:space="preserve"> </w:t>
      </w:r>
      <w:r>
        <w:t xml:space="preserve">now below the EU average (1.2 vs 1.5). The bid-ask</w:t>
      </w:r>
      <w:r>
        <w:t xml:space="preserve"> </w:t>
      </w:r>
      <w:r>
        <w:t xml:space="preserve">spread639 on Belgian equity markets is lower than the</w:t>
      </w:r>
      <w:r>
        <w:t xml:space="preserve"> </w:t>
      </w:r>
      <w:r>
        <w:t xml:space="preserve">EU average (1.3% vs 1.6%). The use of equity by</w:t>
      </w:r>
      <w:r>
        <w:t xml:space="preserve"> </w:t>
      </w:r>
      <w:r>
        <w:t xml:space="preserve">SMEs in the country is relatively average, as 14% of</w:t>
      </w:r>
      <w:r>
        <w:t xml:space="preserve"> </w:t>
      </w:r>
      <w:r>
        <w:t xml:space="preserve">SMEs indicated in the 2024 SAFE survey that equity</w:t>
      </w:r>
      <w:r>
        <w:t xml:space="preserve"> </w:t>
      </w:r>
      <w:r>
        <w:t xml:space="preserve">was a relevant source of financing for them, compared</w:t>
      </w:r>
      <w:r>
        <w:t xml:space="preserve"> </w:t>
      </w:r>
      <w:r>
        <w:t xml:space="preserve">with an EU average of 12%.640 There has been no initial</w:t>
      </w:r>
      <w:r>
        <w:t xml:space="preserve"> </w:t>
      </w:r>
      <w:r>
        <w:t xml:space="preserve">public offering (IPO) in Belgium since 2021, while</w:t>
      </w:r>
      <w:r>
        <w:t xml:space="preserve"> </w:t>
      </w:r>
      <w:r>
        <w:t xml:space="preserve">IPOs reached on average 0.08% of GDP in the EU in</w:t>
      </w:r>
      <w:r>
        <w:t xml:space="preserve"> </w:t>
      </w:r>
      <w:r>
        <w:t xml:space="preserve">2024. The next IPO (by Energyvision) is scheduled on</w:t>
      </w:r>
      <w:r>
        <w:t xml:space="preserve"> </w:t>
      </w:r>
      <w:r>
        <w:t xml:space="preserve">9 July 2025.</w:t>
      </w:r>
    </w:p>
    <w:p>
      <w:pPr>
        <w:pStyle w:val="BodyText"/>
      </w:pPr>
      <w:r>
        <w:t xml:space="preserve">Debt finance continues to be a significant source of</w:t>
      </w:r>
      <w:r>
        <w:t xml:space="preserve"> </w:t>
      </w:r>
      <w:r>
        <w:t xml:space="preserve">market funding for financial companies in Belgium.</w:t>
      </w:r>
      <w:r>
        <w:t xml:space="preserve"> </w:t>
      </w:r>
      <w:r>
        <w:t xml:space="preserve">In 2024, banks issued EUR 23 bn of debt securities,</w:t>
      </w:r>
      <w:r>
        <w:t xml:space="preserve"> </w:t>
      </w:r>
      <w:r>
        <w:t xml:space="preserve">down from EUR 38 bn in 2023 (see Graph 2.2.6), and</w:t>
      </w:r>
      <w:r>
        <w:t xml:space="preserve"> </w:t>
      </w:r>
      <w:r>
        <w:t xml:space="preserve">the issuance observed in Q1-2025 (EUR 4 bn) seems to</w:t>
      </w:r>
      <w:r>
        <w:t xml:space="preserve"> </w:t>
      </w:r>
      <w:r>
        <w:t xml:space="preserve">confirm this declining trend. The other financial</w:t>
      </w:r>
      <w:r>
        <w:t xml:space="preserve"> </w:t>
      </w:r>
      <w:r>
        <w:t xml:space="preserve">companies issued EUR 5 bn in 2024, up from EU 3 bn</w:t>
      </w:r>
      <w:r>
        <w:t xml:space="preserve"> </w:t>
      </w:r>
      <w:r>
        <w:t xml:space="preserve">in 2023, and the strong issuance (EUR 9 bn) in Q1-</w:t>
      </w:r>
      <w:r>
        <w:t xml:space="preserve"> </w:t>
      </w:r>
      <w:r>
        <w:t xml:space="preserve">2025 confirms this rising trend. The net issuance by</w:t>
      </w:r>
      <w:r>
        <w:t xml:space="preserve"> </w:t>
      </w:r>
      <w:r>
        <w:t xml:space="preserve">non-financial corporations steeply increased from</w:t>
      </w:r>
      <w:r>
        <w:t xml:space="preserve"> </w:t>
      </w:r>
      <w:r>
        <w:t xml:space="preserve">EUR 1 bn in 2023 to EUR 5 bn in 2024, with an</w:t>
      </w:r>
      <w:r>
        <w:t xml:space="preserve"> </w:t>
      </w:r>
      <w:r>
        <w:t xml:space="preserve">equally solid issuance of EUR 2 bn in Q1-2025. Hence,</w:t>
      </w:r>
      <w:r>
        <w:t xml:space="preserve"> </w:t>
      </w:r>
      <w:r>
        <w:t xml:space="preserve">debt market finance appears as a minor but increasing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funding</w:t>
      </w:r>
      <w:r>
        <w:t xml:space="preserve"> </w:t>
      </w:r>
      <w:r>
        <w:t xml:space="preserve">for</w:t>
      </w:r>
      <w:r>
        <w:t xml:space="preserve"> </w:t>
      </w:r>
      <w:r>
        <w:t xml:space="preserve">Belgian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corporations.</w:t>
      </w:r>
    </w:p>
    <w:p>
      <w:pPr>
        <w:pStyle w:val="BodyText"/>
      </w:pPr>
      <w:r>
        <w:t xml:space="preserve">638 The ratio of bonds outstanding to GDP.</w:t>
      </w:r>
      <w:r>
        <w:t xml:space="preserve"> </w:t>
      </w:r>
      <w:r>
        <w:t xml:space="preserve">639 Median of bid-ask spread as a % of the mid-price.</w:t>
      </w:r>
      <w:r>
        <w:t xml:space="preserve"> </w:t>
      </w:r>
      <w:r>
        <w:t xml:space="preserve">1.4.6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Like in most Member States, households in Belgium</w:t>
      </w:r>
      <w:r>
        <w:t xml:space="preserve"> </w:t>
      </w:r>
      <w:r>
        <w:t xml:space="preserve">invest relatively little in financial assets and equity.</w:t>
      </w:r>
      <w:r>
        <w:t xml:space="preserve"> </w:t>
      </w:r>
      <w:r>
        <w:t xml:space="preserve">Belgian households’ financial assets were equivalent to</w:t>
      </w:r>
      <w:r>
        <w:t xml:space="preserve"> </w:t>
      </w:r>
      <w:r>
        <w:t xml:space="preserve">only 263% of GDP in 2024, more than the EU average</w:t>
      </w:r>
      <w:r>
        <w:t xml:space="preserve"> </w:t>
      </w:r>
      <w:r>
        <w:t xml:space="preserve">(212%), but much less than the US (446%). Assets</w:t>
      </w:r>
      <w:r>
        <w:t xml:space="preserve"> </w:t>
      </w:r>
      <w:r>
        <w:t xml:space="preserve">invested in equity, directly or indirectly through</w:t>
      </w:r>
      <w:r>
        <w:t xml:space="preserve"> </w:t>
      </w:r>
      <w:r>
        <w:t xml:space="preserve">intermediaries like insurers and pension funds, were</w:t>
      </w:r>
      <w:r>
        <w:t xml:space="preserve"> </w:t>
      </w:r>
      <w:r>
        <w:t xml:space="preserve">estimated to be equivalent to only 148% of GDP, above</w:t>
      </w:r>
      <w:r>
        <w:t xml:space="preserve"> </w:t>
      </w:r>
      <w:r>
        <w:t xml:space="preserve">the EU average (91%) but much below the US (291%).</w:t>
      </w:r>
      <w:r>
        <w:t xml:space="preserve"> </w:t>
      </w:r>
      <w:r>
        <w:t xml:space="preserve">Belgian households’ asset allocation is broadly similar</w:t>
      </w:r>
      <w:r>
        <w:t xml:space="preserve"> </w:t>
      </w:r>
      <w:r>
        <w:t xml:space="preserve">to that of the average EU household, except that</w:t>
      </w:r>
      <w:r>
        <w:t xml:space="preserve"> </w:t>
      </w:r>
      <w:r>
        <w:t xml:space="preserve">Belgian households invest less in insurance and</w:t>
      </w:r>
      <w:r>
        <w:t xml:space="preserve"> </w:t>
      </w:r>
      <w:r>
        <w:t xml:space="preserve">pension funds, and more in investment funds.</w:t>
      </w:r>
      <w:r>
        <w:t xml:space="preserve"> </w:t>
      </w:r>
      <w:r>
        <w:t xml:space="preserve">1.4.7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The design of the overall pension system is not</w:t>
      </w:r>
      <w:r>
        <w:t xml:space="preserve"> </w:t>
      </w:r>
      <w:r>
        <w:t xml:space="preserve">geared</w:t>
      </w:r>
      <w:r>
        <w:t xml:space="preserve"> </w:t>
      </w:r>
      <w:r>
        <w:t xml:space="preserve">towards</w:t>
      </w:r>
      <w:r>
        <w:t xml:space="preserve"> </w:t>
      </w:r>
      <w:r>
        <w:t xml:space="preserve">equity investment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capital markets. The pay-as-you-go</w:t>
      </w:r>
      <w:r>
        <w:t xml:space="preserve"> </w:t>
      </w:r>
      <w:r>
        <w:t xml:space="preserve">nature of the public pension system means that only the</w:t>
      </w:r>
      <w:r>
        <w:t xml:space="preserve"> </w:t>
      </w:r>
      <w:r>
        <w:t xml:space="preserve">supplementary private schemes invest in high-return</w:t>
      </w:r>
      <w:r>
        <w:t xml:space="preserve"> </w:t>
      </w:r>
      <w:r>
        <w:t xml:space="preserve">640 Data and surveys - SAFE - European Commission, 2024,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-10.0</w:t>
      </w:r>
      <w:r>
        <w:t xml:space="preserve"> </w:t>
      </w:r>
      <w:r>
        <w:t xml:space="preserve">0.0</w:t>
      </w:r>
      <w:r>
        <w:t xml:space="preserve"> </w:t>
      </w:r>
      <w:r>
        <w:t xml:space="preserve">10.0</w:t>
      </w:r>
      <w:r>
        <w:t xml:space="preserve"> </w:t>
      </w:r>
      <w:r>
        <w:t xml:space="preserve">20.0</w:t>
      </w:r>
      <w:r>
        <w:t xml:space="preserve"> </w:t>
      </w:r>
      <w:r>
        <w:t xml:space="preserve">30.0</w:t>
      </w:r>
      <w:r>
        <w:t xml:space="preserve"> </w:t>
      </w:r>
      <w:r>
        <w:t xml:space="preserve">40.0</w:t>
      </w:r>
      <w:r>
        <w:t xml:space="preserve"> </w:t>
      </w:r>
      <w:r>
        <w:t xml:space="preserve">50.0</w:t>
      </w:r>
      <w:r>
        <w:t xml:space="preserve"> </w:t>
      </w:r>
      <w:r>
        <w:t xml:space="preserve">60.0</w:t>
      </w:r>
      <w:r>
        <w:t xml:space="preserve"> </w:t>
      </w:r>
      <w:r>
        <w:t xml:space="preserve">70.0</w:t>
      </w:r>
      <w:r>
        <w:t xml:space="preserve"> </w:t>
      </w:r>
      <w:r>
        <w:t xml:space="preserve">80.0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BE</w:t>
      </w:r>
      <w:r>
        <w:t xml:space="preserve"> </w:t>
      </w:r>
      <w:r>
        <w:t xml:space="preserve">EU</w:t>
      </w:r>
      <w:r>
        <w:t xml:space="preserve"> </w:t>
      </w:r>
      <w:r>
        <w:t xml:space="preserve">BE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416</w:t>
      </w:r>
      <w:r>
        <w:t xml:space="preserve"> </w:t>
      </w:r>
      <w:r>
        <w:t xml:space="preserve">assets like equity. However, the supplementary private</w:t>
      </w:r>
      <w:r>
        <w:t xml:space="preserve"> </w:t>
      </w:r>
      <w:r>
        <w:t xml:space="preserve">schemes are not universal and accumulated rights often</w:t>
      </w:r>
      <w:r>
        <w:t xml:space="preserve"> </w:t>
      </w:r>
      <w:r>
        <w:t xml:space="preserve">remain limited for those covered. As a result, they only</w:t>
      </w:r>
      <w:r>
        <w:t xml:space="preserve"> </w:t>
      </w:r>
      <w:r>
        <w:t xml:space="preserve">contribute to a moderate extent to the total pension</w:t>
      </w:r>
      <w:r>
        <w:t xml:space="preserve"> </w:t>
      </w:r>
      <w:r>
        <w:t xml:space="preserve">income and do not fully foster the development of</w:t>
      </w:r>
      <w:r>
        <w:t xml:space="preserve"> </w:t>
      </w:r>
      <w:r>
        <w:t xml:space="preserve">capital markets. Encouraging the build-up of universal</w:t>
      </w:r>
      <w:r>
        <w:t xml:space="preserve"> </w:t>
      </w:r>
      <w:r>
        <w:t xml:space="preserve">funded</w:t>
      </w:r>
      <w:r>
        <w:t xml:space="preserve"> </w:t>
      </w:r>
      <w:r>
        <w:t xml:space="preserve">supplementary pension</w:t>
      </w:r>
      <w:r>
        <w:t xml:space="preserve"> </w:t>
      </w:r>
      <w:r>
        <w:t xml:space="preserve">schemes</w:t>
      </w:r>
      <w:r>
        <w:t xml:space="preserve"> </w:t>
      </w:r>
      <w:r>
        <w:t xml:space="preserve">would</w:t>
      </w:r>
      <w:r>
        <w:t xml:space="preserve"> </w:t>
      </w:r>
      <w:r>
        <w:t xml:space="preserve">positively contribute to (i) the sustainability and</w:t>
      </w:r>
      <w:r>
        <w:t xml:space="preserve"> </w:t>
      </w:r>
      <w:r>
        <w:t xml:space="preserve">adequacy of pensions benefits; (ii) investment in</w:t>
      </w:r>
      <w:r>
        <w:t xml:space="preserve"> </w:t>
      </w:r>
      <w:r>
        <w:t xml:space="preserve">equity; (iii) access to finance; (iv) growth; and (v)</w:t>
      </w:r>
      <w:r>
        <w:t xml:space="preserve"> </w:t>
      </w:r>
      <w:r>
        <w:t xml:space="preserve">innovation.</w:t>
      </w:r>
    </w:p>
    <w:p>
      <w:pPr>
        <w:pStyle w:val="BodyText"/>
      </w:pPr>
      <w:r>
        <w:t xml:space="preserve">1.5 Bulgaria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1.5.1</w:t>
      </w:r>
      <w:r>
        <w:t xml:space="preserve"> </w:t>
      </w:r>
      <w:r>
        <w:t xml:space="preserve">Net savings-investment balance</w:t>
      </w:r>
    </w:p>
    <w:p>
      <w:pPr>
        <w:pStyle w:val="BodyText"/>
      </w:pPr>
      <w:r>
        <w:t xml:space="preserve">Source: AMECO.</w:t>
      </w:r>
      <w:r>
        <w:t xml:space="preserve"> </w:t>
      </w:r>
      <w:r>
        <w:t xml:space="preserve">On average, domestic net private savings in</w:t>
      </w:r>
      <w:r>
        <w:t xml:space="preserve"> </w:t>
      </w:r>
      <w:r>
        <w:t xml:space="preserve">Bulgaria have been exceeding the sum of net private</w:t>
      </w:r>
      <w:r>
        <w:t xml:space="preserve"> </w:t>
      </w:r>
      <w:r>
        <w:t xml:space="preserve">investment and the amount lent to the government</w:t>
      </w:r>
      <w:r>
        <w:t xml:space="preserve"> </w:t>
      </w:r>
      <w:r>
        <w:t xml:space="preserve">over the past ten years, making Bulgaria a lender of</w:t>
      </w:r>
      <w:r>
        <w:t xml:space="preserve"> </w:t>
      </w:r>
      <w:r>
        <w:t xml:space="preserve">capital to the international community. Over the last</w:t>
      </w:r>
      <w:r>
        <w:t xml:space="preserve"> </w:t>
      </w:r>
      <w:r>
        <w:t xml:space="preserve">decade, the gross savings rate of the private sector in</w:t>
      </w:r>
      <w:r>
        <w:t xml:space="preserve"> </w:t>
      </w:r>
      <w:r>
        <w:t xml:space="preserve">Bulgaria has hovered around 20% of its gross domestic</w:t>
      </w:r>
      <w:r>
        <w:t xml:space="preserve"> </w:t>
      </w:r>
      <w:r>
        <w:t xml:space="preserve">product (GDP), which stands below the euro area</w:t>
      </w:r>
      <w:r>
        <w:t xml:space="preserve"> </w:t>
      </w:r>
      <w:r>
        <w:t xml:space="preserve">average of 23.8%. Approximately half of that amount</w:t>
      </w:r>
      <w:r>
        <w:t xml:space="preserve"> </w:t>
      </w:r>
      <w:r>
        <w:t xml:space="preserve">was used in order to finance fixed capital consumption,</w:t>
      </w:r>
      <w:r>
        <w:t xml:space="preserve"> </w:t>
      </w:r>
      <w:r>
        <w:t xml:space="preserve">hence the country’s net private savings ratio, on</w:t>
      </w:r>
      <w:r>
        <w:t xml:space="preserve"> </w:t>
      </w:r>
      <w:r>
        <w:t xml:space="preserve">average, was around 10%. The net private investment</w:t>
      </w:r>
      <w:r>
        <w:t xml:space="preserve"> </w:t>
      </w:r>
      <w:r>
        <w:t xml:space="preserve">position has averaged around 6% over the past five</w:t>
      </w:r>
      <w:r>
        <w:t xml:space="preserve"> </w:t>
      </w:r>
      <w:r>
        <w:t xml:space="preserve">years as shown in Graph 2.3.1. This level allows part</w:t>
      </w:r>
      <w:r>
        <w:t xml:space="preserve"> </w:t>
      </w:r>
      <w:r>
        <w:t xml:space="preserve">of the savings either be lent to the government in</w:t>
      </w:r>
      <w:r>
        <w:t xml:space="preserve"> </w:t>
      </w:r>
      <w:r>
        <w:t xml:space="preserve">Bulgaria or the rest of the world. Lending to the</w:t>
      </w:r>
      <w:r>
        <w:t xml:space="preserve"> </w:t>
      </w:r>
      <w:r>
        <w:t xml:space="preserve">government has shown variability, fluctuating between</w:t>
      </w:r>
      <w:r>
        <w:t xml:space="preserve"> </w:t>
      </w:r>
      <w:r>
        <w:t xml:space="preserve">negative and positive values. Domestic capital markets</w:t>
      </w:r>
      <w:r>
        <w:t xml:space="preserve"> </w:t>
      </w:r>
      <w:r>
        <w:t xml:space="preserve">are underdeveloped and not very appealing to locals.</w:t>
      </w:r>
      <w:r>
        <w:t xml:space="preserve"> </w:t>
      </w:r>
      <w:r>
        <w:t xml:space="preserve">As a result, Bulgaria has been a net lender to the</w:t>
      </w:r>
      <w:r>
        <w:t xml:space="preserve"> </w:t>
      </w:r>
      <w:r>
        <w:t xml:space="preserve">international community over this 10-year period,</w:t>
      </w:r>
      <w:r>
        <w:t xml:space="preserve"> </w:t>
      </w:r>
      <w:r>
        <w:t xml:space="preserve">lending every year, on average, around 3% of its GDP</w:t>
      </w:r>
      <w:r>
        <w:t xml:space="preserve"> </w:t>
      </w:r>
      <w:r>
        <w:t xml:space="preserve">to the rest of the world. Only in 2022 and 2024 Bulgaria</w:t>
      </w:r>
      <w:r>
        <w:t xml:space="preserve"> </w:t>
      </w:r>
      <w:r>
        <w:t xml:space="preserve">has been a net borrower from foreign sources.</w:t>
      </w:r>
      <w:r>
        <w:t xml:space="preserve"> </w:t>
      </w:r>
      <w:r>
        <w:t xml:space="preserve">1.5.2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Bulgaria’s net international investment position</w:t>
      </w:r>
      <w:r>
        <w:t xml:space="preserve"> </w:t>
      </w:r>
      <w:r>
        <w:t xml:space="preserve">(NIIP) has steadily improved over the past few</w:t>
      </w:r>
      <w:r>
        <w:t xml:space="preserve"> </w:t>
      </w:r>
      <w:r>
        <w:t xml:space="preserve">years. In the past, Bulgaria accumulated significant</w:t>
      </w:r>
      <w:r>
        <w:t xml:space="preserve"> </w:t>
      </w:r>
      <w:r>
        <w:t xml:space="preserve">foreign debt and thus exhibited a material negative</w:t>
      </w:r>
      <w:r>
        <w:t xml:space="preserve"> </w:t>
      </w:r>
      <w:r>
        <w:t xml:space="preserve">NIIP that stood at -43.5% of GDP in 2017. A rather</w:t>
      </w:r>
      <w:r>
        <w:t xml:space="preserve"> </w:t>
      </w:r>
      <w:r>
        <w:t xml:space="preserve">gradual divestment of foreign direct investments (FDI)</w:t>
      </w:r>
      <w:r>
        <w:t xml:space="preserve"> </w:t>
      </w:r>
      <w:r>
        <w:t xml:space="preserve">and other investments in Bulgaria combined with</w:t>
      </w:r>
      <w:r>
        <w:t xml:space="preserve"> </w:t>
      </w:r>
      <w:r>
        <w:t xml:space="preserve">relatively stable Bulgarian assets abroad has led to a</w:t>
      </w:r>
      <w:r>
        <w:t xml:space="preserve"> </w:t>
      </w:r>
      <w:r>
        <w:t xml:space="preserve">more balanced NIIP position, which by December</w:t>
      </w:r>
      <w:r>
        <w:t xml:space="preserve"> </w:t>
      </w:r>
      <w:r>
        <w:t xml:space="preserve">2024 stood at 3.6% of GDP (see Graph 2.3.2). Overall,</w:t>
      </w:r>
      <w:r>
        <w:t xml:space="preserve"> </w:t>
      </w:r>
      <w:r>
        <w:t xml:space="preserve">the Bulgarian economy is well integrated in</w:t>
      </w:r>
      <w:r>
        <w:t xml:space="preserve"> </w:t>
      </w:r>
      <w:r>
        <w:t xml:space="preserve">international capital flows. Despite being a net lender</w:t>
      </w:r>
      <w:r>
        <w:t xml:space="preserve"> </w:t>
      </w:r>
      <w:r>
        <w:t xml:space="preserve">in recent years, for the moment, Bulgaria’s NIIP</w:t>
      </w:r>
      <w:r>
        <w:t xml:space="preserve"> </w:t>
      </w:r>
      <w:r>
        <w:t xml:space="preserve">remains negative, reflecting past reliance on foreign</w:t>
      </w:r>
      <w:r>
        <w:t xml:space="preserve"> </w:t>
      </w:r>
      <w:r>
        <w:t xml:space="preserve">capital, mostly via non-market channels like FDIs.</w:t>
      </w:r>
      <w:r>
        <w:t xml:space="preserve"> </w:t>
      </w:r>
      <w:r>
        <w:t xml:space="preserve">Going forward, the introduction of the euro should</w:t>
      </w:r>
      <w:r>
        <w:t xml:space="preserve"> </w:t>
      </w:r>
      <w:r>
        <w:t xml:space="preserve">facilitate cross border investments and may ceteris</w:t>
      </w:r>
      <w:r>
        <w:t xml:space="preserve"> </w:t>
      </w:r>
      <w:r>
        <w:t xml:space="preserve">paribus lead to an increase of both the asset and liability</w:t>
      </w:r>
      <w:r>
        <w:t xml:space="preserve"> </w:t>
      </w:r>
      <w:r>
        <w:t xml:space="preserve">side of the capital account.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Bulgaria’s capital markets are underdeveloped,</w:t>
      </w:r>
      <w:r>
        <w:t xml:space="preserve"> </w:t>
      </w:r>
      <w:r>
        <w:t xml:space="preserve">characterised by low equity market capitalization</w:t>
      </w:r>
      <w:r>
        <w:t xml:space="preserve"> </w:t>
      </w:r>
      <w:r>
        <w:t xml:space="preserve">and a limited domestic bond market relative to</w:t>
      </w:r>
      <w:r>
        <w:t xml:space="preserve"> </w:t>
      </w:r>
      <w:r>
        <w:t xml:space="preserve">GDP. This structural feature has a significant impact</w:t>
      </w:r>
      <w:r>
        <w:t xml:space="preserve"> </w:t>
      </w:r>
      <w:r>
        <w:t xml:space="preserve">on how banks and other financial intermediaries in</w:t>
      </w:r>
      <w:r>
        <w:t xml:space="preserve"> </w:t>
      </w:r>
      <w:r>
        <w:t xml:space="preserve">Bulgaria function. The financial system is heavily</w:t>
      </w:r>
      <w:r>
        <w:t xml:space="preserve"> </w:t>
      </w:r>
      <w:r>
        <w:t xml:space="preserve">reliant on a well-established banking sector, which</w:t>
      </w:r>
      <w:r>
        <w:t xml:space="preserve"> </w:t>
      </w:r>
      <w:r>
        <w:t xml:space="preserve">serves as the primary conduit between savers and</w:t>
      </w:r>
      <w:r>
        <w:t xml:space="preserve"> </w:t>
      </w:r>
      <w:r>
        <w:t xml:space="preserve">borrowers. With few alternatives for raising capital,</w:t>
      </w:r>
      <w:r>
        <w:t xml:space="preserve"> </w:t>
      </w:r>
      <w:r>
        <w:t xml:space="preserve">both firms and households depend predominantly on</w:t>
      </w:r>
      <w:r>
        <w:t xml:space="preserve"> </w:t>
      </w:r>
      <w:r>
        <w:t xml:space="preserve">bank financing. The absence of deep and liquid capital</w:t>
      </w:r>
      <w:r>
        <w:t xml:space="preserve"> </w:t>
      </w:r>
      <w:r>
        <w:t xml:space="preserve">markets constrains financial diversification, and</w:t>
      </w:r>
      <w:r>
        <w:t xml:space="preserve"> </w:t>
      </w:r>
      <w:r>
        <w:t xml:space="preserve">businesses are largely restricted to traditional credit</w:t>
      </w:r>
      <w:r>
        <w:t xml:space="preserve"> </w:t>
      </w:r>
      <w:r>
        <w:t xml:space="preserve">channels. Non-bank financial institutions (NBFIs) are</w:t>
      </w:r>
      <w:r>
        <w:t xml:space="preserve"> </w:t>
      </w:r>
      <w:r>
        <w:t xml:space="preserve">also negatively affected, with limited scope to invest in</w:t>
      </w:r>
      <w:r>
        <w:t xml:space="preserve"> </w:t>
      </w:r>
      <w:r>
        <w:t xml:space="preserve">a narrow range of domestic securities. This restricts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-50</w:t>
      </w:r>
      <w:r>
        <w:t xml:space="preserve"> </w:t>
      </w:r>
      <w:r>
        <w:t xml:space="preserve">-40</w:t>
      </w:r>
      <w:r>
        <w:t xml:space="preserve"> </w:t>
      </w:r>
      <w:r>
        <w:t xml:space="preserve">-30</w:t>
      </w:r>
      <w:r>
        <w:t xml:space="preserve"> </w:t>
      </w:r>
      <w:r>
        <w:t xml:space="preserve">-20</w:t>
      </w:r>
      <w:r>
        <w:t xml:space="preserve"> </w:t>
      </w:r>
      <w:r>
        <w:t xml:space="preserve">-10</w:t>
      </w:r>
      <w:r>
        <w:t xml:space="preserve"> </w:t>
      </w:r>
      <w:r>
        <w:t xml:space="preserve">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417</w:t>
      </w:r>
      <w:r>
        <w:t xml:space="preserve"> </w:t>
      </w:r>
      <w:r>
        <w:t xml:space="preserve">their contribution to economic development and</w:t>
      </w:r>
      <w:r>
        <w:t xml:space="preserve"> </w:t>
      </w:r>
      <w:r>
        <w:t xml:space="preserve">reinforces the dominant role of banks. As a result, the</w:t>
      </w:r>
      <w:r>
        <w:t xml:space="preserve"> </w:t>
      </w:r>
      <w:r>
        <w:t xml:space="preserve">high concentration of financial intermediation within</w:t>
      </w:r>
      <w:r>
        <w:t xml:space="preserve"> </w:t>
      </w:r>
      <w:r>
        <w:t xml:space="preserve">the banking sector amplifies systemic risk. Any shock</w:t>
      </w:r>
      <w:r>
        <w:t xml:space="preserve"> </w:t>
      </w:r>
      <w:r>
        <w:t xml:space="preserve">to banks’ balance sheets or lending activity could</w:t>
      </w:r>
      <w:r>
        <w:t xml:space="preserve"> </w:t>
      </w:r>
      <w:r>
        <w:t xml:space="preserve">quickly reduce credit availability and threaten overall</w:t>
      </w:r>
      <w:r>
        <w:t xml:space="preserve"> </w:t>
      </w:r>
      <w:r>
        <w:t xml:space="preserve">financial stability.</w:t>
      </w:r>
      <w:r>
        <w:t xml:space="preserve"> </w:t>
      </w:r>
      <w:r>
        <w:t xml:space="preserve">1.5.3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Despite modest growth in the pension and</w:t>
      </w:r>
      <w:r>
        <w:t xml:space="preserve"> </w:t>
      </w:r>
      <w:r>
        <w:t xml:space="preserve">investment funds sectors, Bulgaria’s financial</w:t>
      </w:r>
      <w:r>
        <w:t xml:space="preserve"> </w:t>
      </w:r>
      <w:r>
        <w:t xml:space="preserve">intermediation remains heavily skewed toward</w:t>
      </w:r>
      <w:r>
        <w:t xml:space="preserve"> </w:t>
      </w:r>
      <w:r>
        <w:t xml:space="preserve">banking. Bulgaria’s banking sector remains the</w:t>
      </w:r>
      <w:r>
        <w:t xml:space="preserve"> </w:t>
      </w:r>
      <w:r>
        <w:t xml:space="preserve">dominant force in the financial system, holding assets</w:t>
      </w:r>
      <w:r>
        <w:t xml:space="preserve"> </w:t>
      </w:r>
      <w:r>
        <w:t xml:space="preserve">equivalent to 92.1% of GDP in December 2024. This</w:t>
      </w:r>
      <w:r>
        <w:t xml:space="preserve"> </w:t>
      </w:r>
      <w:r>
        <w:t xml:space="preserve">level is far surpassing the combined asset base of all</w:t>
      </w:r>
      <w:r>
        <w:t xml:space="preserve"> </w:t>
      </w:r>
      <w:r>
        <w:t xml:space="preserve">non‑bank financial institutions (NBFIs) i.e. insurance,</w:t>
      </w:r>
      <w:r>
        <w:t xml:space="preserve"> </w:t>
      </w:r>
      <w:r>
        <w:t xml:space="preserve">pension and investment funds. While NBFIs are</w:t>
      </w:r>
      <w:r>
        <w:t xml:space="preserve"> </w:t>
      </w:r>
      <w:r>
        <w:t xml:space="preserve">actively working to increase their economic influence,</w:t>
      </w:r>
      <w:r>
        <w:t xml:space="preserve"> </w:t>
      </w:r>
      <w:r>
        <w:t xml:space="preserve">they are tied to the underdeveloped domestic capital</w:t>
      </w:r>
      <w:r>
        <w:t xml:space="preserve"> </w:t>
      </w:r>
      <w:r>
        <w:t xml:space="preserve">market. In end-2024, total insurer assets stood at just</w:t>
      </w:r>
      <w:r>
        <w:t xml:space="preserve"> </w:t>
      </w:r>
      <w:r>
        <w:t xml:space="preserve">6.2% of GDP, a level below the 6.6% recorded in 2018.</w:t>
      </w:r>
      <w:r>
        <w:t xml:space="preserve"> </w:t>
      </w:r>
      <w:r>
        <w:t xml:space="preserve">This level is well below the EU average of 54.8%, a</w:t>
      </w:r>
      <w:r>
        <w:t xml:space="preserve"> </w:t>
      </w:r>
      <w:r>
        <w:t xml:space="preserve">fact that highlights the sector stalled growth and limited</w:t>
      </w:r>
      <w:r>
        <w:t xml:space="preserve"> </w:t>
      </w:r>
      <w:r>
        <w:t xml:space="preserve">role as an economic pillar. At the same time, the total</w:t>
      </w:r>
      <w:r>
        <w:t xml:space="preserve"> </w:t>
      </w:r>
      <w:r>
        <w:t xml:space="preserve">assets managed by all (resident and non-resident)</w:t>
      </w:r>
      <w:r>
        <w:t xml:space="preserve"> </w:t>
      </w:r>
      <w:r>
        <w:t xml:space="preserve">investment funds operating in Bulgaria totalled</w:t>
      </w:r>
      <w:r>
        <w:t xml:space="preserve"> </w:t>
      </w:r>
      <w:r>
        <w:t xml:space="preserve">EUR 6.54 bn, increased by 20.9%, or EUR 1 bn, year-</w:t>
      </w:r>
      <w:r>
        <w:t xml:space="preserve"> </w:t>
      </w:r>
      <w:r>
        <w:t xml:space="preserve">on-year.641 This amount is equal to 5.9% of Bulgaria’s</w:t>
      </w:r>
      <w:r>
        <w:t xml:space="preserve"> </w:t>
      </w:r>
      <w:r>
        <w:t xml:space="preserve">GDP at the end of December 2024. Lastly, pension</w:t>
      </w:r>
      <w:r>
        <w:t xml:space="preserve"> </w:t>
      </w:r>
      <w:r>
        <w:t xml:space="preserve">funds’ total assets amounted to EUR 13.55 bn642 in</w:t>
      </w:r>
      <w:r>
        <w:t xml:space="preserve"> </w:t>
      </w:r>
      <w:r>
        <w:t xml:space="preserve">December 2024 (6.7% of the GDP). A year earlier, the</w:t>
      </w:r>
      <w:r>
        <w:t xml:space="preserve"> </w:t>
      </w:r>
      <w:r>
        <w:t xml:space="preserve">net assets under management by the pension funds</w:t>
      </w:r>
      <w:r>
        <w:t xml:space="preserve"> </w:t>
      </w:r>
      <w:r>
        <w:t xml:space="preserve">amounted to EUR 11.7 bn (and to EUR 9.8 bn in end-</w:t>
      </w:r>
      <w:r>
        <w:t xml:space="preserve"> </w:t>
      </w:r>
      <w:r>
        <w:t xml:space="preserve">2022), clear evidence that the sector is growing.</w:t>
      </w:r>
    </w:p>
    <w:p>
      <w:pPr>
        <w:pStyle w:val="BodyText"/>
      </w:pPr>
      <w:r>
        <w:t xml:space="preserve">641 See Bulgarian National Bank’s Investment Funds Statistics</w:t>
      </w:r>
      <w:r>
        <w:br/>
      </w:r>
      <w:r>
        <w:t xml:space="preserve">642 See</w:t>
      </w:r>
      <w:r>
        <w:t xml:space="preserve"> </w:t>
      </w:r>
      <w:r>
        <w:t xml:space="preserve">Bulgaria’s</w:t>
      </w:r>
      <w:r>
        <w:t xml:space="preserve"> </w:t>
      </w:r>
      <w:r>
        <w:t xml:space="preserve">Financial</w:t>
      </w:r>
      <w:r>
        <w:t xml:space="preserve"> </w:t>
      </w:r>
      <w:r>
        <w:t xml:space="preserve">Supervision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Preliminary results of the supplementary pension insurance</w:t>
      </w:r>
      <w:r>
        <w:t xml:space="preserve"> </w:t>
      </w:r>
      <w:r>
        <w:t xml:space="preserve">activity for 2024.</w:t>
      </w:r>
      <w:r>
        <w:t xml:space="preserve"> </w:t>
      </w:r>
      <w:r>
        <w:t xml:space="preserve">Nevertheless, strict legal restrictions on investment</w:t>
      </w:r>
      <w:r>
        <w:t xml:space="preserve"> </w:t>
      </w:r>
      <w:r>
        <w:t xml:space="preserve">strategies continue to limit their broader impact in</w:t>
      </w:r>
      <w:r>
        <w:t xml:space="preserve"> </w:t>
      </w:r>
      <w:r>
        <w:t xml:space="preserve">capital markets.643</w:t>
      </w:r>
      <w:r>
        <w:t xml:space="preserve"> </w:t>
      </w:r>
      <w:r>
        <w:t xml:space="preserve">The domestic equities and bonds market in</w:t>
      </w:r>
      <w:r>
        <w:t xml:space="preserve"> </w:t>
      </w:r>
      <w:r>
        <w:t xml:space="preserve">Bulgaria are relatively small and shallow. In</w:t>
      </w:r>
      <w:r>
        <w:t xml:space="preserve"> </w:t>
      </w:r>
      <w:r>
        <w:t xml:space="preserve">December 2024, the Bulgarian Stock Exchange (BSE)</w:t>
      </w:r>
      <w:r>
        <w:t xml:space="preserve"> </w:t>
      </w:r>
      <w:r>
        <w:t xml:space="preserve">total equity market capitalization was approximately</w:t>
      </w:r>
      <w:r>
        <w:t xml:space="preserve"> </w:t>
      </w:r>
      <w:r>
        <w:t xml:space="preserve">8.6% of GDP644, an increase by 12% compared to the</w:t>
      </w:r>
      <w:r>
        <w:t xml:space="preserve"> </w:t>
      </w:r>
      <w:r>
        <w:t xml:space="preserve">end of 2023. The bond market’s total capitalisation was</w:t>
      </w:r>
      <w:r>
        <w:t xml:space="preserve"> </w:t>
      </w:r>
      <w:r>
        <w:t xml:space="preserve">24.5%, made up of 20.7% government debt, and 3.8%</w:t>
      </w:r>
      <w:r>
        <w:t xml:space="preserve"> </w:t>
      </w:r>
      <w:r>
        <w:t xml:space="preserve">by other institutions’ issuances. However, the</w:t>
      </w:r>
      <w:r>
        <w:t xml:space="preserve"> </w:t>
      </w:r>
      <w:r>
        <w:t xml:space="preserve">Bulgarian government primarily conducts issuances on</w:t>
      </w:r>
      <w:r>
        <w:t xml:space="preserve"> </w:t>
      </w:r>
      <w:r>
        <w:t xml:space="preserve">international markets, with approximately 77% of the</w:t>
      </w:r>
      <w:r>
        <w:t xml:space="preserve"> </w:t>
      </w:r>
      <w:r>
        <w:t xml:space="preserve">outstanding amount issued internationally.645 This has</w:t>
      </w:r>
      <w:r>
        <w:t xml:space="preserve"> </w:t>
      </w:r>
      <w:r>
        <w:t xml:space="preserve">a ripple effect on corporate bond issuance, as investors</w:t>
      </w:r>
      <w:r>
        <w:t xml:space="preserve"> </w:t>
      </w:r>
      <w:r>
        <w:t xml:space="preserve">struggle to establish reliable benchmarks to price</w:t>
      </w:r>
      <w:r>
        <w:t xml:space="preserve"> </w:t>
      </w:r>
      <w:r>
        <w:t xml:space="preserve">corporate bonds, hence the market remains -overall-</w:t>
      </w:r>
      <w:r>
        <w:t xml:space="preserve"> </w:t>
      </w:r>
      <w:r>
        <w:t xml:space="preserve">untapped.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finance</w:t>
      </w:r>
      <w:r>
        <w:t xml:space="preserve"> </w:t>
      </w:r>
      <w:r>
        <w:t xml:space="preserve">1.5.4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Bulgarian corporates continue to rely primarily on</w:t>
      </w:r>
      <w:r>
        <w:t xml:space="preserve"> </w:t>
      </w:r>
      <w:r>
        <w:t xml:space="preserve">bank lending and internal resources to meet their</w:t>
      </w:r>
      <w:r>
        <w:t xml:space="preserve"> </w:t>
      </w:r>
      <w:r>
        <w:t xml:space="preserve">funding needs, while largely avoiding capital</w:t>
      </w:r>
      <w:r>
        <w:t xml:space="preserve"> </w:t>
      </w:r>
      <w:r>
        <w:t xml:space="preserve">market instruments. The financial structure of NFCs</w:t>
      </w:r>
      <w:r>
        <w:t xml:space="preserve"> </w:t>
      </w:r>
      <w:r>
        <w:t xml:space="preserve">in Bulgaria differs significantly from the EU average,</w:t>
      </w:r>
      <w:r>
        <w:t xml:space="preserve"> </w:t>
      </w:r>
      <w:r>
        <w:t xml:space="preserve">both in terms of composition and overall size. In 2023,</w:t>
      </w:r>
      <w:r>
        <w:t xml:space="preserve"> </w:t>
      </w:r>
      <w:r>
        <w:t xml:space="preserve">total NFC financing in Bulgaria stood at 165.5% of</w:t>
      </w:r>
      <w:r>
        <w:t xml:space="preserve"> </w:t>
      </w:r>
      <w:r>
        <w:t xml:space="preserve">GDP. This level is well below the EU average of</w:t>
      </w:r>
      <w:r>
        <w:t xml:space="preserve"> </w:t>
      </w:r>
      <w:r>
        <w:t xml:space="preserve">225.6%, reflecting the comparatively smaller size and</w:t>
      </w:r>
      <w:r>
        <w:t xml:space="preserve"> </w:t>
      </w:r>
      <w:r>
        <w:t xml:space="preserve">depth of Bulgaria’s financial sector. Bank loans</w:t>
      </w:r>
      <w:r>
        <w:t xml:space="preserve"> </w:t>
      </w:r>
      <w:r>
        <w:t xml:space="preserve">account for approximately 27% of Bulgarian NFCs’</w:t>
      </w:r>
      <w:r>
        <w:t xml:space="preserve"> </w:t>
      </w:r>
      <w:r>
        <w:t xml:space="preserve">total financing, aligning with the EU average in</w:t>
      </w:r>
      <w:r>
        <w:t xml:space="preserve"> </w:t>
      </w:r>
      <w:r>
        <w:t xml:space="preserve">proportional terms. However, in absolute terms, bank</w:t>
      </w:r>
      <w:r>
        <w:t xml:space="preserve"> </w:t>
      </w:r>
      <w:r>
        <w:t xml:space="preserve">643 See OECD’s 2024 Survey of Investment Regulation of Pension</w:t>
      </w:r>
      <w:r>
        <w:t xml:space="preserve"> </w:t>
      </w:r>
      <w:r>
        <w:t xml:space="preserve">Providers.</w:t>
      </w:r>
      <w:r>
        <w:br/>
      </w:r>
      <w:r>
        <w:t xml:space="preserve">644 See the Bulgarian Stock Exchange’s annual report 2024</w:t>
      </w:r>
      <w:r>
        <w:t xml:space="preserve"> </w:t>
      </w:r>
      <w:r>
        <w:t xml:space="preserve">645 See Central Government Debt and Guarantees Monthly Bulletin</w:t>
      </w:r>
      <w:r>
        <w:t xml:space="preserve"> </w:t>
      </w:r>
      <w:r>
        <w:t xml:space="preserve">for December 2024.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BG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418</w:t>
      </w:r>
      <w:r>
        <w:t xml:space="preserve"> </w:t>
      </w:r>
      <w:r>
        <w:t xml:space="preserve">lending remains more limited (44.7% of GDP in</w:t>
      </w:r>
      <w:r>
        <w:t xml:space="preserve"> </w:t>
      </w:r>
      <w:r>
        <w:t xml:space="preserve">Bulgaria vs. 60.9% in the EU), indicating that relative</w:t>
      </w:r>
      <w:r>
        <w:t xml:space="preserve"> </w:t>
      </w:r>
      <w:r>
        <w:t xml:space="preserve">to GDP, bank-based financing remains modest in</w:t>
      </w:r>
      <w:r>
        <w:t xml:space="preserve"> </w:t>
      </w:r>
      <w:r>
        <w:t xml:space="preserve">Bulgaria.</w:t>
      </w:r>
      <w:r>
        <w:t xml:space="preserve"> </w:t>
      </w:r>
      <w:r>
        <w:t xml:space="preserve">Alternative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financing,</w:t>
      </w:r>
      <w:r>
        <w:t xml:space="preserve"> </w:t>
      </w:r>
      <w:r>
        <w:t xml:space="preserve">in</w:t>
      </w:r>
      <w:r>
        <w:t xml:space="preserve"> </w:t>
      </w:r>
      <w:r>
        <w:t xml:space="preserve">particularly unlisted shares, retained earnings, and</w:t>
      </w:r>
      <w:r>
        <w:t xml:space="preserve"> </w:t>
      </w:r>
      <w:r>
        <w:t xml:space="preserve">other equity instruments, play a much larger role in</w:t>
      </w:r>
      <w:r>
        <w:t xml:space="preserve"> </w:t>
      </w:r>
      <w:r>
        <w:t xml:space="preserve">Bulgaria, comprising 65.7% of total corporate</w:t>
      </w:r>
      <w:r>
        <w:t xml:space="preserve"> </w:t>
      </w:r>
      <w:r>
        <w:t xml:space="preserve">financing, compared to 45.2% in the EU. This heavy</w:t>
      </w:r>
      <w:r>
        <w:t xml:space="preserve"> </w:t>
      </w:r>
      <w:r>
        <w:t xml:space="preserve">reliance on internal or relationship-based funding</w:t>
      </w:r>
      <w:r>
        <w:t xml:space="preserve"> </w:t>
      </w:r>
      <w:r>
        <w:t xml:space="preserve">partly compensates for the underdevelopment of</w:t>
      </w:r>
      <w:r>
        <w:t xml:space="preserve"> </w:t>
      </w:r>
      <w:r>
        <w:t xml:space="preserve">capital markets. Consequently, market-based financing</w:t>
      </w:r>
      <w:r>
        <w:t xml:space="preserve"> </w:t>
      </w:r>
      <w:r>
        <w:t xml:space="preserve">instruments remain marginal in Bulgaria. Bond</w:t>
      </w:r>
      <w:r>
        <w:t xml:space="preserve"> </w:t>
      </w:r>
      <w:r>
        <w:t xml:space="preserve">issuance accounts for just 1.0% of total corporate</w:t>
      </w:r>
      <w:r>
        <w:t xml:space="preserve"> </w:t>
      </w:r>
      <w:r>
        <w:t xml:space="preserve">finance (or 1.7% of GDP), compared to 4.7% (or 10.7%</w:t>
      </w:r>
      <w:r>
        <w:t xml:space="preserve"> </w:t>
      </w:r>
      <w:r>
        <w:t xml:space="preserve">of GDP) at the EU level. The disparity is even more</w:t>
      </w:r>
      <w:r>
        <w:t xml:space="preserve"> </w:t>
      </w:r>
      <w:r>
        <w:t xml:space="preserve">pronounced for listed equity, which represent just 1.6%</w:t>
      </w:r>
      <w:r>
        <w:t xml:space="preserve"> </w:t>
      </w:r>
      <w:r>
        <w:t xml:space="preserve">of NFC financing in Bulgaria (or 2.6% of GDP) when</w:t>
      </w:r>
      <w:r>
        <w:t xml:space="preserve"> </w:t>
      </w:r>
      <w:r>
        <w:t xml:space="preserve">in the EU they constitute 19.1% of the financing</w:t>
      </w:r>
      <w:r>
        <w:t xml:space="preserve"> </w:t>
      </w:r>
      <w:r>
        <w:t xml:space="preserve">structure, equal to 43.1% of GDP. These figures</w:t>
      </w:r>
      <w:r>
        <w:t xml:space="preserve"> </w:t>
      </w:r>
      <w:r>
        <w:t xml:space="preserve">highlight the limited role of the BSE in providing</w:t>
      </w:r>
      <w:r>
        <w:t xml:space="preserve"> </w:t>
      </w:r>
      <w:r>
        <w:t xml:space="preserve">funding for domestic companies. Overall, the data</w:t>
      </w:r>
      <w:r>
        <w:t xml:space="preserve"> </w:t>
      </w:r>
      <w:r>
        <w:t xml:space="preserve">corroborate that Bulgarian NFCs are dependent on</w:t>
      </w:r>
      <w:r>
        <w:t xml:space="preserve"> </w:t>
      </w:r>
      <w:r>
        <w:t xml:space="preserve">non-market financing sources for covering their</w:t>
      </w:r>
      <w:r>
        <w:t xml:space="preserve"> </w:t>
      </w:r>
      <w:r>
        <w:t xml:space="preserve">financing needs. This limited use of capital markets,</w:t>
      </w:r>
      <w:r>
        <w:t xml:space="preserve"> </w:t>
      </w:r>
      <w:r>
        <w:t xml:space="preserve">constrains their ability to diversify funding sources,</w:t>
      </w:r>
      <w:r>
        <w:t xml:space="preserve"> </w:t>
      </w:r>
      <w:r>
        <w:t xml:space="preserve">scale up investment, and improve resilience to financial</w:t>
      </w:r>
      <w:r>
        <w:t xml:space="preserve"> </w:t>
      </w:r>
      <w:r>
        <w:t xml:space="preserve">shocks.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Bulgarian capital markets remain small and</w:t>
      </w:r>
      <w:r>
        <w:t xml:space="preserve"> </w:t>
      </w:r>
      <w:r>
        <w:t xml:space="preserve">play a limited role in financing domestic firms. The</w:t>
      </w:r>
      <w:r>
        <w:t xml:space="preserve"> </w:t>
      </w:r>
      <w:r>
        <w:t xml:space="preserve">market-funding ratio, which encompasses funds raised</w:t>
      </w:r>
      <w:r>
        <w:t xml:space="preserve"> </w:t>
      </w:r>
      <w:r>
        <w:t xml:space="preserve">through equity markets (stocks), debt markets (bonds)</w:t>
      </w:r>
      <w:r>
        <w:t xml:space="preserve"> </w:t>
      </w:r>
      <w:r>
        <w:t xml:space="preserve">and other market instruments has been steadily</w:t>
      </w:r>
      <w:r>
        <w:t xml:space="preserve"> </w:t>
      </w:r>
      <w:r>
        <w:t xml:space="preserve">declining in recent years. In December 2024, this ratio</w:t>
      </w:r>
      <w:r>
        <w:t xml:space="preserve"> </w:t>
      </w:r>
      <w:r>
        <w:t xml:space="preserve">stood at 10.7% of GDP, down from 10.7% in 2023,</w:t>
      </w:r>
      <w:r>
        <w:t xml:space="preserve"> </w:t>
      </w:r>
      <w:r>
        <w:t xml:space="preserve">11.3% in 2022 and 12.3% in 2021 and so on. It is one</w:t>
      </w:r>
      <w:r>
        <w:t xml:space="preserve"> </w:t>
      </w:r>
      <w:r>
        <w:t xml:space="preserve">of the three lowest in the EU, significantly behind the</w:t>
      </w:r>
      <w:r>
        <w:t xml:space="preserve"> </w:t>
      </w:r>
      <w:r>
        <w:t xml:space="preserve">EU average of 49.5% (as shown in Table 6).</w:t>
      </w:r>
      <w:r>
        <w:br/>
      </w:r>
      <w:r>
        <w:t xml:space="preserve">Bulgaria’s equity market is inefficient and</w:t>
      </w:r>
      <w:r>
        <w:t xml:space="preserve"> </w:t>
      </w:r>
      <w:r>
        <w:t xml:space="preserve">underutilised,</w:t>
      </w:r>
      <w:r>
        <w:t xml:space="preserve"> </w:t>
      </w:r>
      <w:r>
        <w:t xml:space="preserve">despite</w:t>
      </w:r>
      <w:r>
        <w:t xml:space="preserve"> </w:t>
      </w:r>
      <w:r>
        <w:t xml:space="preserve">having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infrastructure in place. The Bulgarian Stock</w:t>
      </w:r>
      <w:r>
        <w:t xml:space="preserve"> </w:t>
      </w:r>
      <w:r>
        <w:t xml:space="preserve">Exchange (BSE) plays a critical role in facilitating</w:t>
      </w:r>
      <w:r>
        <w:t xml:space="preserve"> </w:t>
      </w:r>
      <w:r>
        <w:t xml:space="preserve">market transactions through its structured main and</w:t>
      </w:r>
      <w:r>
        <w:t xml:space="preserve"> </w:t>
      </w:r>
      <w:r>
        <w:t xml:space="preserve">alternative markets646 and has all the necessary</w:t>
      </w:r>
      <w:r>
        <w:t xml:space="preserve"> </w:t>
      </w:r>
      <w:r>
        <w:t xml:space="preserve">infrastructure in place. Nevertheless, the BSE is rarely</w:t>
      </w:r>
      <w:r>
        <w:t xml:space="preserve"> </w:t>
      </w:r>
      <w:r>
        <w:t xml:space="preserve">used by corporates for raising equity capital. Since</w:t>
      </w:r>
    </w:p>
    <w:p>
      <w:pPr>
        <w:pStyle w:val="BodyText"/>
      </w:pPr>
      <w:r>
        <w:t xml:space="preserve">646 See BSE Sofia market segmentation</w:t>
      </w:r>
      <w:r>
        <w:t xml:space="preserve"> </w:t>
      </w:r>
      <w:r>
        <w:t xml:space="preserve">647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January 2020, the amount of the capital raised via</w:t>
      </w:r>
      <w:r>
        <w:t xml:space="preserve"> </w:t>
      </w:r>
      <w:r>
        <w:t xml:space="preserve">capital increases amounted to EUR 578 mn (644),</w:t>
      </w:r>
      <w:r>
        <w:t xml:space="preserve"> </w:t>
      </w:r>
      <w:r>
        <w:t xml:space="preserve">whereas the amount of the capital raised via initial</w:t>
      </w:r>
      <w:r>
        <w:t xml:space="preserve"> </w:t>
      </w:r>
      <w:r>
        <w:t xml:space="preserve">public offerings (IPOs) was just EUR 38 mn, of which</w:t>
      </w:r>
      <w:r>
        <w:t xml:space="preserve"> </w:t>
      </w:r>
      <w:r>
        <w:t xml:space="preserve">only EUR 2 mn in 2024 and EUR 6 mn in 2023.</w:t>
      </w:r>
      <w:r>
        <w:br/>
      </w:r>
      <w:r>
        <w:t xml:space="preserve">1.5.5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Group647.</w:t>
      </w:r>
      <w:r>
        <w:t xml:space="preserve"> </w:t>
      </w:r>
      <w:r>
        <w:t xml:space="preserve">Bulgaria’s equity market was disproportionately</w:t>
      </w:r>
      <w:r>
        <w:t xml:space="preserve"> </w:t>
      </w:r>
      <w:r>
        <w:t xml:space="preserve">affected by the global financial crisis compared to</w:t>
      </w:r>
      <w:r>
        <w:t xml:space="preserve"> </w:t>
      </w:r>
      <w:r>
        <w:t xml:space="preserve">broader European indices. This sharp impact likely</w:t>
      </w:r>
      <w:r>
        <w:t xml:space="preserve"> </w:t>
      </w:r>
      <w:r>
        <w:t xml:space="preserve">stemmed from Bulgaria’s emerging market status,</w:t>
      </w:r>
      <w:r>
        <w:t xml:space="preserve"> </w:t>
      </w:r>
      <w:r>
        <w:t xml:space="preserve">limited resilience of its financial institutions, and a</w:t>
      </w:r>
      <w:r>
        <w:t xml:space="preserve"> </w:t>
      </w:r>
      <w:r>
        <w:t xml:space="preserve">significant investor exit. At the onset of the global</w:t>
      </w:r>
      <w:r>
        <w:t xml:space="preserve"> </w:t>
      </w:r>
      <w:r>
        <w:t xml:space="preserve">financial crisis, the BG Bank Index plummeted from</w:t>
      </w:r>
      <w:r>
        <w:t xml:space="preserve"> </w:t>
      </w:r>
      <w:r>
        <w:t xml:space="preserve">100% (base) in January 2008 to approximately 11% by</w:t>
      </w:r>
      <w:r>
        <w:t xml:space="preserve"> </w:t>
      </w:r>
      <w:r>
        <w:t xml:space="preserve">early 2009. Similarly, the SOFIX (general market</w:t>
      </w:r>
      <w:r>
        <w:t xml:space="preserve"> </w:t>
      </w:r>
      <w:r>
        <w:t xml:space="preserve">index) dropped from 100% to around 15%, reflecting a</w:t>
      </w:r>
      <w:r>
        <w:t xml:space="preserve"> </w:t>
      </w:r>
      <w:r>
        <w:t xml:space="preserve">severe devaluation of equity prices across sectors.</w:t>
      </w:r>
      <w:r>
        <w:t xml:space="preserve"> </w:t>
      </w:r>
      <w:r>
        <w:t xml:space="preserve">Between 2010 and 2016, a prolonged period of</w:t>
      </w:r>
      <w:r>
        <w:t xml:space="preserve"> </w:t>
      </w:r>
      <w:r>
        <w:t xml:space="preserve">stagnation followed, during which the BG Bank Index</w:t>
      </w:r>
      <w:r>
        <w:t xml:space="preserve"> </w:t>
      </w:r>
      <w:r>
        <w:t xml:space="preserve">remained within a narrow band between 6% and 11%,</w:t>
      </w:r>
      <w:r>
        <w:t xml:space="preserve"> </w:t>
      </w:r>
      <w:r>
        <w:t xml:space="preserve">while the SOFIX fluctuated between 20% and 30%,</w:t>
      </w:r>
      <w:r>
        <w:t xml:space="preserve"> </w:t>
      </w:r>
      <w:r>
        <w:t xml:space="preserve">due to persistently low valuations, limited market</w:t>
      </w:r>
      <w:r>
        <w:t xml:space="preserve"> </w:t>
      </w:r>
      <w:r>
        <w:t xml:space="preserve">activity, and weak investor confidence. In contrast,</w:t>
      </w:r>
      <w:r>
        <w:t xml:space="preserve"> </w:t>
      </w:r>
      <w:r>
        <w:t xml:space="preserve">STOXX Europe 600 rebounded and had fully</w:t>
      </w:r>
      <w:r>
        <w:t xml:space="preserve"> </w:t>
      </w:r>
      <w:r>
        <w:t xml:space="preserve">recovered to pre-crisis levels by 2015. Between 2017</w:t>
      </w:r>
      <w:r>
        <w:t xml:space="preserve"> </w:t>
      </w:r>
      <w:r>
        <w:t xml:space="preserve">and 2021, the SOFIX rose modestly, but remained at</w:t>
      </w:r>
      <w:r>
        <w:t xml:space="preserve"> </w:t>
      </w:r>
      <w:r>
        <w:t xml:space="preserve">just 35% of its pre-crisis value, while the BG Bank</w:t>
      </w:r>
      <w:r>
        <w:t xml:space="preserve"> </w:t>
      </w:r>
      <w:r>
        <w:t xml:space="preserve">Index hovered at historical lows around 6%. From</w:t>
      </w:r>
      <w:r>
        <w:t xml:space="preserve"> </w:t>
      </w:r>
      <w:r>
        <w:t xml:space="preserve">2022 onwards, the market gained stronger momentum</w:t>
      </w:r>
      <w:r>
        <w:t xml:space="preserve"> </w:t>
      </w:r>
      <w:r>
        <w:t xml:space="preserve">and by mid-2025, the SOFIX had reached around 57%,</w:t>
      </w:r>
      <w:r>
        <w:t xml:space="preserve"> </w:t>
      </w:r>
      <w:r>
        <w:t xml:space="preserve">and the BG Bank Index nearly doubled to 12%,</w:t>
      </w:r>
      <w:r>
        <w:t xml:space="preserve"> </w:t>
      </w:r>
      <w:r>
        <w:t xml:space="preserve">reflecting improved investor sentiment and stronger</w:t>
      </w:r>
      <w:r>
        <w:t xml:space="preserve"> </w:t>
      </w:r>
      <w:r>
        <w:t xml:space="preserve">performance in the banking sector. Nevertheless, these</w:t>
      </w:r>
      <w:r>
        <w:t xml:space="preserve"> </w:t>
      </w:r>
      <w:r>
        <w:t xml:space="preserve">gains remained modest when compared to the STOXX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BG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BULGARIA SE SOFIX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419</w:t>
      </w:r>
      <w:r>
        <w:t xml:space="preserve"> </w:t>
      </w:r>
      <w:r>
        <w:t xml:space="preserve">benchmarks. By mid-2025, the STOXX Europe 600</w:t>
      </w:r>
      <w:r>
        <w:t xml:space="preserve"> </w:t>
      </w:r>
      <w:r>
        <w:t xml:space="preserve">Banks reached approximately 65% of its 2008 levels,</w:t>
      </w:r>
      <w:r>
        <w:t xml:space="preserve"> </w:t>
      </w:r>
      <w:r>
        <w:t xml:space="preserve">while STOXX Europe 600 surpassed its 2008 levels</w:t>
      </w:r>
      <w:r>
        <w:t xml:space="preserve"> </w:t>
      </w:r>
      <w:r>
        <w:t xml:space="preserve">and stood at 150%. In contrast, Bulgarian indices</w:t>
      </w:r>
      <w:r>
        <w:t xml:space="preserve"> </w:t>
      </w:r>
      <w:r>
        <w:t xml:space="preserve">remain well below their pre-crisis peaks, underscoring</w:t>
      </w:r>
      <w:r>
        <w:t xml:space="preserve"> </w:t>
      </w:r>
      <w:r>
        <w:t xml:space="preserve">the structural weaknesses of the Bulgarian capital</w:t>
      </w:r>
      <w:r>
        <w:t xml:space="preserve"> </w:t>
      </w:r>
      <w:r>
        <w:t xml:space="preserve">market, including low liquidity, a limited number of</w:t>
      </w:r>
      <w:r>
        <w:t xml:space="preserve"> </w:t>
      </w:r>
      <w:r>
        <w:t xml:space="preserve">listed companies, and an underdeveloped investor base.</w:t>
      </w:r>
      <w:r>
        <w:t xml:space="preserve"> </w:t>
      </w:r>
      <w:r>
        <w:t xml:space="preserve">1.5.6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Bulgarian corporates face challenges in accessing</w:t>
      </w:r>
      <w:r>
        <w:t xml:space="preserve"> </w:t>
      </w:r>
      <w:r>
        <w:t xml:space="preserve">financing through the domestic debt capital market.</w:t>
      </w:r>
      <w:r>
        <w:t xml:space="preserve"> </w:t>
      </w:r>
      <w:r>
        <w:t xml:space="preserve">Government debt issuance in Bulgaria is primarily</w:t>
      </w:r>
      <w:r>
        <w:t xml:space="preserve"> </w:t>
      </w:r>
      <w:r>
        <w:t xml:space="preserve">conducted on international markets, with only a quarter</w:t>
      </w:r>
      <w:r>
        <w:t xml:space="preserve"> </w:t>
      </w:r>
      <w:r>
        <w:t xml:space="preserve">of the outstanding amount issued domestically.648 This</w:t>
      </w:r>
      <w:r>
        <w:t xml:space="preserve"> </w:t>
      </w:r>
      <w:r>
        <w:t xml:space="preserve">has a ripple effect on corporate bond issuance in</w:t>
      </w:r>
      <w:r>
        <w:t xml:space="preserve"> </w:t>
      </w:r>
      <w:r>
        <w:t xml:space="preserve">Bulgaria, as investors struggle to establish reliable</w:t>
      </w:r>
      <w:r>
        <w:t xml:space="preserve"> </w:t>
      </w:r>
      <w:r>
        <w:t xml:space="preserve">benchmarks to price corporate bonds. Worldwide, the</w:t>
      </w:r>
      <w:r>
        <w:t xml:space="preserve"> </w:t>
      </w:r>
      <w:r>
        <w:t xml:space="preserve">Bulgarian government and corporates (MFIs, non-</w:t>
      </w:r>
      <w:r>
        <w:t xml:space="preserve"> </w:t>
      </w:r>
      <w:r>
        <w:t xml:space="preserve">MFIs and NFCs) issued EUR 11.7 bn between 2021</w:t>
      </w:r>
      <w:r>
        <w:t xml:space="preserve"> </w:t>
      </w:r>
      <w:r>
        <w:t xml:space="preserve">and 2024, but only EUR 0.6 bn was raised on the BSE</w:t>
      </w:r>
      <w:r>
        <w:t xml:space="preserve"> </w:t>
      </w:r>
      <w:r>
        <w:t xml:space="preserve">(644).</w:t>
      </w:r>
      <w:r>
        <w:t xml:space="preserve"> </w:t>
      </w:r>
      <w:r>
        <w:t xml:space="preserve">Other</w:t>
      </w:r>
      <w:r>
        <w:t xml:space="preserve"> </w:t>
      </w:r>
      <w:r>
        <w:t xml:space="preserve">reasons</w:t>
      </w:r>
      <w:r>
        <w:t xml:space="preserve"> </w:t>
      </w:r>
      <w:r>
        <w:t xml:space="preserve">the</w:t>
      </w:r>
      <w:r>
        <w:t xml:space="preserve"> </w:t>
      </w:r>
      <w:r>
        <w:t xml:space="preserve">Bulgarian</w:t>
      </w:r>
      <w:r>
        <w:t xml:space="preserve"> </w:t>
      </w:r>
      <w:r>
        <w:t xml:space="preserve">companies</w:t>
      </w:r>
      <w:r>
        <w:t xml:space="preserve"> </w:t>
      </w:r>
      <w:r>
        <w:t xml:space="preserve">underutilise corporate bonds include the ease of bank</w:t>
      </w:r>
      <w:r>
        <w:t xml:space="preserve"> </w:t>
      </w:r>
      <w:r>
        <w:t xml:space="preserve">financing, limited knowledge of the bond-issuance</w:t>
      </w:r>
      <w:r>
        <w:t xml:space="preserve"> </w:t>
      </w:r>
      <w:r>
        <w:t xml:space="preserve">process, and relatively high associated costs of bond</w:t>
      </w:r>
      <w:r>
        <w:t xml:space="preserve"> </w:t>
      </w:r>
      <w:r>
        <w:t xml:space="preserve">issuance. Nonetheless, bond issuances have nearly</w:t>
      </w:r>
      <w:r>
        <w:t xml:space="preserve"> </w:t>
      </w:r>
      <w:r>
        <w:t xml:space="preserve">doubled</w:t>
      </w:r>
      <w:r>
        <w:t xml:space="preserve"> </w:t>
      </w:r>
      <w:r>
        <w:t xml:space="preserve">in</w:t>
      </w:r>
      <w:r>
        <w:t xml:space="preserve"> </w:t>
      </w:r>
      <w:r>
        <w:t xml:space="preserve">recent</w:t>
      </w:r>
      <w:r>
        <w:t xml:space="preserve"> </w:t>
      </w:r>
      <w:r>
        <w:t xml:space="preserve">years,</w:t>
      </w:r>
      <w:r>
        <w:t xml:space="preserve"> </w:t>
      </w:r>
      <w:r>
        <w:t xml:space="preserve">suggesting</w:t>
      </w:r>
      <w:r>
        <w:t xml:space="preserve"> </w:t>
      </w:r>
      <w:r>
        <w:t xml:space="preserve">growing</w:t>
      </w:r>
      <w:r>
        <w:t xml:space="preserve"> </w:t>
      </w:r>
      <w:r>
        <w:t xml:space="preserve">momentum for corporate bond financing, albeit from a</w:t>
      </w:r>
      <w:r>
        <w:t xml:space="preserve"> </w:t>
      </w:r>
      <w:r>
        <w:t xml:space="preserve">very low base.</w:t>
      </w:r>
    </w:p>
    <w:p>
      <w:pPr>
        <w:pStyle w:val="BodyText"/>
      </w:pPr>
      <w:r>
        <w:t xml:space="preserve">648 See Central Government Debt and Guarantees Monthly Bulletin</w:t>
      </w:r>
      <w:r>
        <w:t xml:space="preserve"> </w:t>
      </w:r>
      <w:r>
        <w:t xml:space="preserve">for November 2024.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1.5.7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Bulgarians take a conservative approach to</w:t>
      </w:r>
      <w:r>
        <w:t xml:space="preserve"> </w:t>
      </w:r>
      <w:r>
        <w:t xml:space="preserve">managing their financial assets, with a strong</w:t>
      </w:r>
      <w:r>
        <w:t xml:space="preserve"> </w:t>
      </w:r>
      <w:r>
        <w:t xml:space="preserve">preference for deposits. Lower income levels in the</w:t>
      </w:r>
      <w:r>
        <w:t xml:space="preserve"> </w:t>
      </w:r>
      <w:r>
        <w:t xml:space="preserve">country hamper the ability of poorer households to save</w:t>
      </w:r>
      <w:r>
        <w:t xml:space="preserve"> </w:t>
      </w:r>
      <w:r>
        <w:t xml:space="preserve">and invest. The amount of financial assets per capita in</w:t>
      </w:r>
      <w:r>
        <w:t xml:space="preserve"> </w:t>
      </w:r>
      <w:r>
        <w:t xml:space="preserve">Bulgaria is EUR 21 000, which is 25% of the average</w:t>
      </w:r>
      <w:r>
        <w:t xml:space="preserve"> </w:t>
      </w:r>
      <w:r>
        <w:t xml:space="preserve">in the EU-27. As a result, households tend to prioritise</w:t>
      </w:r>
      <w:r>
        <w:t xml:space="preserve"> </w:t>
      </w:r>
      <w:r>
        <w:t xml:space="preserve">liquidity over more complex financial investments.</w:t>
      </w:r>
      <w:r>
        <w:t xml:space="preserve"> </w:t>
      </w:r>
      <w:r>
        <w:t xml:space="preserve">Bulgarian households hold around a third of their</w:t>
      </w:r>
      <w:r>
        <w:t xml:space="preserve"> </w:t>
      </w:r>
      <w:r>
        <w:t xml:space="preserve">financial assets in currency and deposits, similar to the</w:t>
      </w:r>
      <w:r>
        <w:t xml:space="preserve"> </w:t>
      </w:r>
      <w:r>
        <w:t xml:space="preserve">EU average. In contrast, Bulgarians allocate a</w:t>
      </w:r>
      <w:r>
        <w:t xml:space="preserve"> </w:t>
      </w:r>
      <w:r>
        <w:t xml:space="preserve">significantly lower proportion of their financial assets</w:t>
      </w:r>
      <w:r>
        <w:t xml:space="preserve"> </w:t>
      </w:r>
      <w:r>
        <w:t xml:space="preserve">to insurance and pension funds than the EU average</w:t>
      </w:r>
      <w:r>
        <w:t xml:space="preserve"> </w:t>
      </w:r>
      <w:r>
        <w:t xml:space="preserve">(Bulgarians allocate 10% against an EU average of</w:t>
      </w:r>
      <w:r>
        <w:t xml:space="preserve"> </w:t>
      </w:r>
      <w:r>
        <w:t xml:space="preserve">28%). Furthermore, they have minimal exposure to</w:t>
      </w:r>
      <w:r>
        <w:t xml:space="preserve"> </w:t>
      </w:r>
      <w:r>
        <w:t xml:space="preserve">investment funds, bonds, and listed shares, with a</w:t>
      </w:r>
      <w:r>
        <w:t xml:space="preserve"> </w:t>
      </w:r>
      <w:r>
        <w:t xml:space="preserve">cumulative exposure of just over 3%, compared to 18%</w:t>
      </w:r>
      <w:r>
        <w:t xml:space="preserve"> </w:t>
      </w:r>
      <w:r>
        <w:t xml:space="preserve">in the EU (as shown in Graph 2.3.7). Other factors,</w:t>
      </w:r>
      <w:r>
        <w:t xml:space="preserve"> </w:t>
      </w:r>
      <w:r>
        <w:t xml:space="preserve">such as scarce market offerings, limited financial</w:t>
      </w:r>
      <w:r>
        <w:t xml:space="preserve"> </w:t>
      </w:r>
      <w:r>
        <w:t xml:space="preserve">literacy and lack of trust in the capital markets due to</w:t>
      </w:r>
      <w:r>
        <w:t xml:space="preserve"> </w:t>
      </w:r>
      <w:r>
        <w:t xml:space="preserve">legacy issue with the BSE may also contribute to this</w:t>
      </w:r>
      <w:r>
        <w:t xml:space="preserve"> </w:t>
      </w:r>
      <w:r>
        <w:t xml:space="preserve">investing behaviour.</w:t>
      </w:r>
      <w:r>
        <w:t xml:space="preserve"> </w:t>
      </w:r>
      <w:r>
        <w:t xml:space="preserve">1.6 Croatia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Croatian economy invests a significant part of</w:t>
      </w:r>
      <w:r>
        <w:t xml:space="preserve"> </w:t>
      </w:r>
      <w:r>
        <w:t xml:space="preserve">its net savings abroad. In the last decade, the private</w:t>
      </w:r>
      <w:r>
        <w:t xml:space="preserve"> </w:t>
      </w:r>
      <w:r>
        <w:t xml:space="preserve">savings ratio, net of fixed capital consumption,</w:t>
      </w:r>
      <w:r>
        <w:t xml:space="preserve"> </w:t>
      </w:r>
      <w:r>
        <w:t xml:space="preserve">fluctuated around its ten-year average of 6.8% of GDP,</w:t>
      </w:r>
      <w:r>
        <w:t xml:space="preserve"> </w:t>
      </w:r>
      <w:r>
        <w:t xml:space="preserve">reaching a maximum of 8.9% in 2020. The net private</w:t>
      </w:r>
      <w:r>
        <w:t xml:space="preserve"> </w:t>
      </w:r>
      <w:r>
        <w:t xml:space="preserve">investment ratio, which measures the net contribution</w:t>
      </w:r>
      <w:r>
        <w:t xml:space="preserve"> </w:t>
      </w:r>
      <w:r>
        <w:t xml:space="preserve">of the private sector to capital accumulation in the</w:t>
      </w:r>
      <w:r>
        <w:t xml:space="preserve"> </w:t>
      </w:r>
      <w:r>
        <w:t xml:space="preserve">country, exhibited a ten-year average of 2.9% of GDP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3.0</w:t>
      </w:r>
      <w:r>
        <w:t xml:space="preserve"> </w:t>
      </w:r>
      <w:r>
        <w:t xml:space="preserve">3.5</w:t>
      </w:r>
      <w:r>
        <w:t xml:space="preserve"> </w:t>
      </w:r>
      <w:r>
        <w:t xml:space="preserve">4.0</w:t>
      </w:r>
      <w:r>
        <w:t xml:space="preserve"> </w:t>
      </w:r>
      <w:r>
        <w:t xml:space="preserve">4.5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BG</w:t>
      </w:r>
      <w:r>
        <w:t xml:space="preserve"> </w:t>
      </w:r>
      <w:r>
        <w:t xml:space="preserve">EU</w:t>
      </w:r>
      <w:r>
        <w:t xml:space="preserve"> </w:t>
      </w:r>
      <w:r>
        <w:t xml:space="preserve">BG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420</w:t>
      </w:r>
      <w:r>
        <w:t xml:space="preserve"> </w:t>
      </w:r>
      <w:r>
        <w:t xml:space="preserve">and reached a maximum of 5.7% in 2022. During the</w:t>
      </w:r>
      <w:r>
        <w:t xml:space="preserve"> </w:t>
      </w:r>
      <w:r>
        <w:t xml:space="preserve">same period the government budget, whose balance</w:t>
      </w:r>
      <w:r>
        <w:t xml:space="preserve"> </w:t>
      </w:r>
      <w:r>
        <w:t xml:space="preserve">was somewhat volatile, showed an average deficit</w:t>
      </w:r>
      <w:r>
        <w:t xml:space="preserve"> </w:t>
      </w:r>
      <w:r>
        <w:t xml:space="preserve">equivalent to 1.7% of GDP. Thus, the moderate</w:t>
      </w:r>
      <w:r>
        <w:t xml:space="preserve"> </w:t>
      </w:r>
      <w:r>
        <w:t xml:space="preserve">positive balance between net domestic savings and net</w:t>
      </w:r>
      <w:r>
        <w:t xml:space="preserve"> </w:t>
      </w:r>
      <w:r>
        <w:t xml:space="preserve">investment,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rather</w:t>
      </w:r>
      <w:r>
        <w:t xml:space="preserve"> </w:t>
      </w:r>
      <w:r>
        <w:t xml:space="preserve">limited</w:t>
      </w:r>
      <w:r>
        <w:t xml:space="preserve"> </w:t>
      </w:r>
      <w:r>
        <w:t xml:space="preserve">government deficit, resulted in structurally positive net</w:t>
      </w:r>
      <w:r>
        <w:t xml:space="preserve"> </w:t>
      </w:r>
      <w:r>
        <w:t xml:space="preserve">lending by Croatia to foreigners that averaged 2.3% of</w:t>
      </w:r>
      <w:r>
        <w:t xml:space="preserve"> </w:t>
      </w:r>
      <w:r>
        <w:t xml:space="preserve">GDP, with a peak of 3.9% in 2019. Hence, a significant</w:t>
      </w:r>
      <w:r>
        <w:t xml:space="preserve"> </w:t>
      </w:r>
      <w:r>
        <w:t xml:space="preserve">portion of Croatian net savings, i.e. after accounting for</w:t>
      </w:r>
      <w:r>
        <w:t xml:space="preserve"> </w:t>
      </w:r>
      <w:r>
        <w:t xml:space="preserve">the investments that are necessary to merely maintain</w:t>
      </w:r>
      <w:r>
        <w:t xml:space="preserve"> </w:t>
      </w:r>
      <w:r>
        <w:t xml:space="preserve">the existing capital structure of the economy, is used to</w:t>
      </w:r>
      <w:r>
        <w:t xml:space="preserve"> </w:t>
      </w:r>
      <w:r>
        <w:t xml:space="preserve">finance projects abroad (see Graph 2.4.1).</w:t>
      </w:r>
      <w:r>
        <w:t xml:space="preserve"> </w:t>
      </w:r>
      <w:r>
        <w:t xml:space="preserve">1.6.1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Consistent with its annual net lending to the rest of</w:t>
      </w:r>
      <w:r>
        <w:t xml:space="preserve"> </w:t>
      </w:r>
      <w:r>
        <w:t xml:space="preserve">the world, the net international investment position</w:t>
      </w:r>
      <w:r>
        <w:t xml:space="preserve"> </w:t>
      </w:r>
      <w:r>
        <w:t xml:space="preserve">(NIIP) of Croatia has been increasing. As of Q4</w:t>
      </w:r>
      <w:r>
        <w:t xml:space="preserve"> </w:t>
      </w:r>
      <w:r>
        <w:t xml:space="preserve">2024, total assets on foreigners reached 95% of GDP,</w:t>
      </w:r>
      <w:r>
        <w:t xml:space="preserve"> </w:t>
      </w:r>
      <w:r>
        <w:t xml:space="preserve">up from 68% at end-2017, while liabilities to foreigners</w:t>
      </w:r>
      <w:r>
        <w:t xml:space="preserve"> </w:t>
      </w:r>
      <w:r>
        <w:t xml:space="preserve">stood at 122% of GDP, resulting in a negative net</w:t>
      </w:r>
      <w:r>
        <w:t xml:space="preserve"> </w:t>
      </w:r>
      <w:r>
        <w:t xml:space="preserve">international investment position (NIIP) equivalent to -</w:t>
      </w:r>
      <w:r>
        <w:t xml:space="preserve"> </w:t>
      </w:r>
      <w:r>
        <w:t xml:space="preserve">27% of GDP (see Graph 2.4.2). The net stock of foreign</w:t>
      </w:r>
      <w:r>
        <w:t xml:space="preserve"> </w:t>
      </w:r>
      <w:r>
        <w:t xml:space="preserve">direct investment, which has been broadly stable, stood</w:t>
      </w:r>
      <w:r>
        <w:t xml:space="preserve"> </w:t>
      </w:r>
      <w:r>
        <w:t xml:space="preserve">at -53% of GDP as of Q4 2024. This stability confirms</w:t>
      </w:r>
      <w:r>
        <w:t xml:space="preserve"> </w:t>
      </w:r>
      <w:r>
        <w:t xml:space="preserve">the status of Croatia as a destination country for long-</w:t>
      </w:r>
      <w:r>
        <w:t xml:space="preserve"> </w:t>
      </w:r>
      <w:r>
        <w:t xml:space="preserve">term capital investments. Hence, the increase in the</w:t>
      </w:r>
      <w:r>
        <w:t xml:space="preserve"> </w:t>
      </w:r>
      <w:r>
        <w:t xml:space="preserve">NIIP has been driven by the growing net stocks of</w:t>
      </w:r>
      <w:r>
        <w:t xml:space="preserve"> </w:t>
      </w:r>
      <w:r>
        <w:t xml:space="preserve">portfolio investment, which reached 20% of GDP as of</w:t>
      </w:r>
      <w:r>
        <w:t xml:space="preserve"> </w:t>
      </w:r>
      <w:r>
        <w:t xml:space="preserve">Q4 2024, and of other investments, which stood at 2%</w:t>
      </w:r>
      <w:r>
        <w:t xml:space="preserve"> </w:t>
      </w:r>
      <w:r>
        <w:t xml:space="preserve">of GDP. Part of the latter’s increase is due to the</w:t>
      </w:r>
      <w:r>
        <w:t xml:space="preserve"> </w:t>
      </w:r>
      <w:r>
        <w:t xml:space="preserve">structural change in the stock of official foreign</w:t>
      </w:r>
      <w:r>
        <w:t xml:space="preserve"> </w:t>
      </w:r>
      <w:r>
        <w:t xml:space="preserve">exchanges reserves, which declined from above 40%</w:t>
      </w:r>
      <w:r>
        <w:t xml:space="preserve"> </w:t>
      </w:r>
      <w:r>
        <w:t xml:space="preserve">of GDP prior to euro adoption to 4% as of Q4 2024.</w:t>
      </w:r>
      <w:r>
        <w:t xml:space="preserve"> </w:t>
      </w:r>
      <w:r>
        <w:t xml:space="preserve">Thus, the Croatian economy appears to be well</w:t>
      </w:r>
      <w:r>
        <w:t xml:space="preserve"> </w:t>
      </w:r>
      <w:r>
        <w:t xml:space="preserve">integrated in international capital flows, notably as a</w:t>
      </w:r>
      <w:r>
        <w:t xml:space="preserve"> </w:t>
      </w:r>
      <w:r>
        <w:t xml:space="preserve">stable recipient of foreign direct investments.</w:t>
      </w:r>
      <w:r>
        <w:t xml:space="preserve"> </w:t>
      </w:r>
      <w:r>
        <w:t xml:space="preserve">1.6.2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Banks dominate the financial sector in Croatia</w:t>
      </w:r>
      <w:r>
        <w:t xml:space="preserve"> </w:t>
      </w:r>
      <w:r>
        <w:t xml:space="preserve">while there is scope for the future development of</w:t>
      </w:r>
      <w:r>
        <w:t xml:space="preserve"> </w:t>
      </w:r>
      <w:r>
        <w:t xml:space="preserve">all non-bank intermediaries. The banking sector is</w:t>
      </w:r>
      <w:r>
        <w:t xml:space="preserve"> </w:t>
      </w:r>
      <w:r>
        <w:t xml:space="preserve">the largest segment of the financial services,</w:t>
      </w:r>
      <w:r>
        <w:t xml:space="preserve"> </w:t>
      </w:r>
      <w:r>
        <w:t xml:space="preserve">accounting for 101.5% of GDP in 2024, which remains</w:t>
      </w:r>
      <w:r>
        <w:t xml:space="preserve"> </w:t>
      </w:r>
      <w:r>
        <w:t xml:space="preserve">significantly below the EU average of 251.1%. The</w:t>
      </w:r>
      <w:r>
        <w:t xml:space="preserve"> </w:t>
      </w:r>
      <w:r>
        <w:t xml:space="preserve">pension fund assets accounted for 29.5% of GDP in</w:t>
      </w:r>
      <w:r>
        <w:t xml:space="preserve"> </w:t>
      </w:r>
      <w:r>
        <w:t xml:space="preserve">2024, which makes pension funds the second largest</w:t>
      </w:r>
      <w:r>
        <w:t xml:space="preserve"> </w:t>
      </w:r>
      <w:r>
        <w:t xml:space="preserve">segment of the financial system after the banking</w:t>
      </w:r>
      <w:r>
        <w:t xml:space="preserve"> </w:t>
      </w:r>
      <w:r>
        <w:t xml:space="preserve">sector. The insurance sector assets accounted for only</w:t>
      </w:r>
      <w:r>
        <w:t xml:space="preserve"> </w:t>
      </w:r>
      <w:r>
        <w:t xml:space="preserve">7.2% of GDP in 2024 (EU average: 54.8%). The total</w:t>
      </w:r>
      <w:r>
        <w:t xml:space="preserve"> </w:t>
      </w:r>
      <w:r>
        <w:t xml:space="preserve">assets of investment funds accounted for 4.7% of GDP</w:t>
      </w:r>
      <w:r>
        <w:t xml:space="preserve"> </w:t>
      </w:r>
      <w:r>
        <w:t xml:space="preserve">in 2024.</w:t>
      </w:r>
      <w:r>
        <w:t xml:space="preserve"> </w:t>
      </w:r>
      <w:r>
        <w:t xml:space="preserve">1.6.3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Capital markets in Croatia are evolving but require</w:t>
      </w:r>
      <w:r>
        <w:t xml:space="preserve"> </w:t>
      </w:r>
      <w:r>
        <w:t xml:space="preserve">further development to broaden access to finance.</w:t>
      </w:r>
      <w:r>
        <w:t xml:space="preserve"> </w:t>
      </w:r>
      <w:r>
        <w:t xml:space="preserve">The market capitalisation of listed equity reached 34%</w:t>
      </w:r>
      <w:r>
        <w:t xml:space="preserve"> </w:t>
      </w:r>
      <w:r>
        <w:t xml:space="preserve">of GDP in 2024 (EU average: 66.8%) (see Graph</w:t>
      </w:r>
      <w:r>
        <w:t xml:space="preserve"> </w:t>
      </w:r>
      <w:r>
        <w:t xml:space="preserve">2.4.3). Non-financial corporations (NFCs) accounted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421</w:t>
      </w:r>
      <w:r>
        <w:t xml:space="preserve"> </w:t>
      </w:r>
      <w:r>
        <w:t xml:space="preserve">for 65% of that capitalisation at end of 2024. The</w:t>
      </w:r>
      <w:r>
        <w:t xml:space="preserve"> </w:t>
      </w:r>
      <w:r>
        <w:t xml:space="preserve">outstanding volume of debt securities reached 45% of</w:t>
      </w:r>
      <w:r>
        <w:t xml:space="preserve"> </w:t>
      </w:r>
      <w:r>
        <w:t xml:space="preserve">GDP at end 2024. However, marketable debt securities</w:t>
      </w:r>
      <w:r>
        <w:t xml:space="preserve"> </w:t>
      </w:r>
      <w:r>
        <w:t xml:space="preserve">issued by NFCs accounted for only 2.7% of the total.</w:t>
      </w:r>
      <w:r>
        <w:t xml:space="preserve"> </w:t>
      </w:r>
      <w:r>
        <w:t xml:space="preserve">Indeed, the domestic bond market in Croatia is</w:t>
      </w:r>
      <w:r>
        <w:t xml:space="preserve"> </w:t>
      </w:r>
      <w:r>
        <w:t xml:space="preserve">dominated by the government securities, which</w:t>
      </w:r>
      <w:r>
        <w:t xml:space="preserve"> </w:t>
      </w:r>
      <w:r>
        <w:t xml:space="preserve">accounted for 91.3% of the total bonds as of end-2024.</w:t>
      </w:r>
      <w:r>
        <w:t xml:space="preserve"> </w:t>
      </w:r>
      <w:r>
        <w:t xml:space="preserve">Financial institutions, whether banks or not, accounted</w:t>
      </w:r>
      <w:r>
        <w:t xml:space="preserve"> </w:t>
      </w:r>
      <w:r>
        <w:t xml:space="preserve">for the remaining 5.8% of the total debt securities.</w:t>
      </w:r>
      <w:r>
        <w:br/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Croatian companies rely more on funding from</w:t>
      </w:r>
      <w:r>
        <w:t xml:space="preserve"> </w:t>
      </w:r>
      <w:r>
        <w:t xml:space="preserve">banks and much less on funding from capital</w:t>
      </w:r>
      <w:r>
        <w:t xml:space="preserve"> </w:t>
      </w:r>
      <w:r>
        <w:t xml:space="preserve">markets. As a source of finance for Croatian NFCs,</w:t>
      </w:r>
      <w:r>
        <w:t xml:space="preserve"> </w:t>
      </w:r>
      <w:r>
        <w:t xml:space="preserve">loans were equivalent to 40.3% of GDP as of end-2024,</w:t>
      </w:r>
      <w:r>
        <w:t xml:space="preserve"> </w:t>
      </w:r>
      <w:r>
        <w:t xml:space="preserve">below the EU average of 60.9%. When expressed as a</w:t>
      </w:r>
      <w:r>
        <w:t xml:space="preserve"> </w:t>
      </w:r>
      <w:r>
        <w:t xml:space="preserve">percentage of overall NFCs financing, loans accounted</w:t>
      </w:r>
      <w:r>
        <w:t xml:space="preserve"> </w:t>
      </w:r>
      <w:r>
        <w:t xml:space="preserve">for a large share of all financing, which was above EU</w:t>
      </w:r>
      <w:r>
        <w:t xml:space="preserve"> </w:t>
      </w:r>
      <w:r>
        <w:t xml:space="preserve">average (31.5% versus 27% in the EU at end-2024). On</w:t>
      </w:r>
      <w:r>
        <w:t xml:space="preserve"> </w:t>
      </w:r>
      <w:r>
        <w:t xml:space="preserve">the other hand, Croatian NFCs’ use of listed shares and</w:t>
      </w:r>
      <w:r>
        <w:t xml:space="preserve"> </w:t>
      </w:r>
      <w:r>
        <w:t xml:space="preserve">bonds was lower than the EU average, both expressed</w:t>
      </w:r>
      <w:r>
        <w:t xml:space="preserve"> </w:t>
      </w:r>
      <w:r>
        <w:t xml:space="preserve">as a percentage of GDP (21.6% vs 53.8%) and as a</w:t>
      </w:r>
      <w:r>
        <w:t xml:space="preserve"> </w:t>
      </w:r>
      <w:r>
        <w:t xml:space="preserve">percentage of overall NFC financing (17% vs 23.8% in</w:t>
      </w:r>
      <w:r>
        <w:t xml:space="preserve"> </w:t>
      </w:r>
      <w:r>
        <w:t xml:space="preserve">2024) (see Graph 2.4.4). The overall level of NFC</w:t>
      </w:r>
      <w:r>
        <w:t xml:space="preserve"> </w:t>
      </w:r>
      <w:r>
        <w:t xml:space="preserve">funding in Croatia was equivalent to 125.9% of GDP</w:t>
      </w:r>
      <w:r>
        <w:t xml:space="preserve"> </w:t>
      </w:r>
      <w:r>
        <w:t xml:space="preserve">in 2024, which is substantially lower than the EU</w:t>
      </w:r>
      <w:r>
        <w:t xml:space="preserve"> </w:t>
      </w:r>
      <w:r>
        <w:t xml:space="preserve">average of 225.6% of GDP at end-2024.</w:t>
      </w:r>
      <w:r>
        <w:t xml:space="preserve"> </w:t>
      </w:r>
      <w:r>
        <w:t xml:space="preserve">1.6.4</w:t>
      </w:r>
      <w:r>
        <w:t xml:space="preserve"> </w:t>
      </w:r>
      <w:r>
        <w:t xml:space="preserve">Composition of NFCs’ funding</w:t>
      </w:r>
    </w:p>
    <w:p>
      <w:pPr>
        <w:pStyle w:val="BodyText"/>
      </w:pPr>
      <w:r>
        <w:t xml:space="preserve">Source: Eurostat. End-2024.</w:t>
      </w:r>
      <w:r>
        <w:t xml:space="preserve"> </w:t>
      </w:r>
      <w:r>
        <w:t xml:space="preserve">Croatian businesses depend more on internal</w:t>
      </w:r>
      <w:r>
        <w:t xml:space="preserve"> </w:t>
      </w:r>
      <w:r>
        <w:t xml:space="preserve">financing than their European peers. According to</w:t>
      </w:r>
      <w:r>
        <w:t xml:space="preserve"> </w:t>
      </w:r>
      <w:r>
        <w:t xml:space="preserve">the 2024 EIB Investment Survey, the investment needs</w:t>
      </w:r>
      <w:r>
        <w:t xml:space="preserve"> </w:t>
      </w:r>
      <w:r>
        <w:t xml:space="preserve">of 70% of Croatian firms re-covered by internal</w:t>
      </w:r>
      <w:r>
        <w:t xml:space="preserve"> </w:t>
      </w:r>
      <w:r>
        <w:t xml:space="preserve">funding, compared to an EU average of 66%.649 At the</w:t>
      </w:r>
      <w:r>
        <w:t xml:space="preserve"> </w:t>
      </w:r>
      <w:r>
        <w:t xml:space="preserve">same time, 78% of Croatian firms believe that their</w:t>
      </w:r>
    </w:p>
    <w:p>
      <w:pPr>
        <w:pStyle w:val="BodyText"/>
      </w:pPr>
      <w:r>
        <w:t xml:space="preserve">649 EIB, 2024, 2024 EIB Investment Survey, p. 29.</w:t>
      </w:r>
      <w:r>
        <w:t xml:space="preserve"> </w:t>
      </w:r>
      <w:r>
        <w:t xml:space="preserve">650 Ibid. p. 7.</w:t>
      </w:r>
      <w:r>
        <w:t xml:space="preserve"> </w:t>
      </w:r>
      <w:r>
        <w:t xml:space="preserve">651 ZSE, 2025. Market Capitalisation.</w:t>
      </w:r>
      <w:r>
        <w:t xml:space="preserve"> </w:t>
      </w:r>
      <w:r>
        <w:t xml:space="preserve">investment activities over the last three years were</w:t>
      </w:r>
      <w:r>
        <w:t xml:space="preserve"> </w:t>
      </w:r>
      <w:r>
        <w:t xml:space="preserve">about the right amount (close to the EU average of</w:t>
      </w:r>
      <w:r>
        <w:t xml:space="preserve"> </w:t>
      </w:r>
      <w:r>
        <w:t xml:space="preserve">80%), while 18% of Croatian firms believe that their</w:t>
      </w:r>
      <w:r>
        <w:t xml:space="preserve"> </w:t>
      </w:r>
      <w:r>
        <w:t xml:space="preserve">investment activities were too little (above the EU</w:t>
      </w:r>
      <w:r>
        <w:t xml:space="preserve"> </w:t>
      </w:r>
      <w:r>
        <w:t xml:space="preserve">average of 14%). This suggests that there is no material</w:t>
      </w:r>
      <w:r>
        <w:t xml:space="preserve"> </w:t>
      </w:r>
      <w:r>
        <w:t xml:space="preserve">financing gap relative to investment demand.650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Croatia’s stock market is small but evolving. As</w:t>
      </w:r>
      <w:r>
        <w:t xml:space="preserve"> </w:t>
      </w:r>
      <w:r>
        <w:t xml:space="preserve">mentioned before, the market capitalisation of listed</w:t>
      </w:r>
      <w:r>
        <w:t xml:space="preserve"> </w:t>
      </w:r>
      <w:r>
        <w:t xml:space="preserve">equity reached 34% of GDP in 2024 (EU average:</w:t>
      </w:r>
      <w:r>
        <w:t xml:space="preserve"> </w:t>
      </w:r>
      <w:r>
        <w:t xml:space="preserve">66.8%). Its total market capitalisation stood at</w:t>
      </w:r>
      <w:r>
        <w:t xml:space="preserve"> </w:t>
      </w:r>
      <w:r>
        <w:t xml:space="preserve">EUR 52.5 billion as of May 2025, of which stocks</w:t>
      </w:r>
      <w:r>
        <w:t xml:space="preserve"> </w:t>
      </w:r>
      <w:r>
        <w:t xml:space="preserve">accounted for 56.5%, bonds 43.4%, and exchange-</w:t>
      </w:r>
      <w:r>
        <w:t xml:space="preserve"> </w:t>
      </w:r>
      <w:r>
        <w:t xml:space="preserve">traded funds (ETFs) 0.2%.651 The use of equity by</w:t>
      </w:r>
      <w:r>
        <w:t xml:space="preserve"> </w:t>
      </w:r>
      <w:r>
        <w:t xml:space="preserve">SMEs is quite high as 32% of SMEs indicated in the</w:t>
      </w:r>
      <w:r>
        <w:t xml:space="preserve"> </w:t>
      </w:r>
      <w:r>
        <w:t xml:space="preserve">2024 SAFE survey that equity was relevant for them,</w:t>
      </w:r>
      <w:r>
        <w:t xml:space="preserve"> </w:t>
      </w:r>
      <w:r>
        <w:t xml:space="preserve">compared to an EU average of 12%.652</w:t>
      </w:r>
      <w:r>
        <w:t xml:space="preserve"> </w:t>
      </w:r>
      <w:r>
        <w:t xml:space="preserve">The Croatian stock exchange is trying to become a</w:t>
      </w:r>
      <w:r>
        <w:t xml:space="preserve"> </w:t>
      </w:r>
      <w:r>
        <w:t xml:space="preserve">regional player. The main stock exchange in Croatia</w:t>
      </w:r>
      <w:r>
        <w:t xml:space="preserve"> </w:t>
      </w:r>
      <w:r>
        <w:t xml:space="preserve">is the Zagreb Stock Exchange (ZSE) which was</w:t>
      </w:r>
      <w:r>
        <w:t xml:space="preserve"> </w:t>
      </w:r>
      <w:r>
        <w:t xml:space="preserve">established in 1991. The official stock index for ZSE is</w:t>
      </w:r>
      <w:r>
        <w:t xml:space="preserve"> </w:t>
      </w:r>
      <w:r>
        <w:t xml:space="preserve">CROBEX (includes stocks from 15 companies) that</w:t>
      </w:r>
      <w:r>
        <w:t xml:space="preserve"> </w:t>
      </w:r>
      <w:r>
        <w:t xml:space="preserve">recorded a 25.94% growth in 2024 compared to</w:t>
      </w:r>
      <w:r>
        <w:t xml:space="preserve"> </w:t>
      </w:r>
      <w:r>
        <w:t xml:space="preserve">2023.653 In terms of stock market performance, the</w:t>
      </w:r>
      <w:r>
        <w:t xml:space="preserve"> </w:t>
      </w:r>
      <w:r>
        <w:t xml:space="preserve">index of the general stock market in Croatia has been</w:t>
      </w:r>
      <w:r>
        <w:t xml:space="preserve"> </w:t>
      </w:r>
      <w:r>
        <w:t xml:space="preserve">way below the EU average since 2008, while the index</w:t>
      </w:r>
      <w:r>
        <w:t xml:space="preserve"> </w:t>
      </w:r>
      <w:r>
        <w:t xml:space="preserve">of Croatian banks was well above the EU average (see</w:t>
      </w:r>
      <w:r>
        <w:t xml:space="preserve"> </w:t>
      </w:r>
      <w:r>
        <w:t xml:space="preserve">Graph 2.4.5). In 2019, the ZSE launched the Progress</w:t>
      </w:r>
      <w:r>
        <w:t xml:space="preserve"> </w:t>
      </w:r>
      <w:r>
        <w:t xml:space="preserve">Market multilateral trading platform, which aimed to</w:t>
      </w:r>
      <w:r>
        <w:t xml:space="preserve"> </w:t>
      </w:r>
      <w:r>
        <w:t xml:space="preserve">encourage SMEs to issue securities with less restrictive</w:t>
      </w:r>
      <w:r>
        <w:t xml:space="preserve"> </w:t>
      </w:r>
      <w:r>
        <w:t xml:space="preserve">listing and reporting requirements. Although this</w:t>
      </w:r>
      <w:r>
        <w:t xml:space="preserve"> </w:t>
      </w:r>
      <w:r>
        <w:t xml:space="preserve">Progress</w:t>
      </w:r>
      <w:r>
        <w:t xml:space="preserve"> </w:t>
      </w:r>
      <w:r>
        <w:t xml:space="preserve">Market</w:t>
      </w:r>
      <w:r>
        <w:t xml:space="preserve"> </w:t>
      </w:r>
      <w:r>
        <w:t xml:space="preserve">MTP</w:t>
      </w:r>
      <w:r>
        <w:t xml:space="preserve"> </w:t>
      </w:r>
      <w:r>
        <w:t xml:space="preserve">started</w:t>
      </w:r>
      <w:r>
        <w:t xml:space="preserve"> </w:t>
      </w:r>
      <w:r>
        <w:t xml:space="preserve">with</w:t>
      </w:r>
      <w:r>
        <w:t xml:space="preserve"> </w:t>
      </w:r>
      <w:r>
        <w:t xml:space="preserve">market</w:t>
      </w:r>
      <w:r>
        <w:t xml:space="preserve"> </w:t>
      </w:r>
      <w:r>
        <w:t xml:space="preserve">capitalisation of EUR 145.3 million in 2019, this figure</w:t>
      </w:r>
      <w:r>
        <w:t xml:space="preserve"> </w:t>
      </w:r>
      <w:r>
        <w:t xml:space="preserve">had dropped to EUR 65.3 million by 2024.654</w:t>
      </w:r>
      <w:r>
        <w:t xml:space="preserve"> </w:t>
      </w:r>
      <w:r>
        <w:t xml:space="preserve">Recognising the importance of cross-border trading,</w:t>
      </w:r>
      <w:r>
        <w:t xml:space="preserve"> </w:t>
      </w:r>
      <w:r>
        <w:t xml:space="preserve">the ZSE fully acquired the Ljubljana Stock Exchange</w:t>
      </w:r>
      <w:r>
        <w:t xml:space="preserve"> </w:t>
      </w:r>
      <w:r>
        <w:t xml:space="preserve">in 2015, and partially acquired the North Macedonian</w:t>
      </w:r>
      <w:r>
        <w:t xml:space="preserve"> </w:t>
      </w:r>
      <w:r>
        <w:t xml:space="preserve">Stock Exchange (in 2019 and in 2022). In 2022, the</w:t>
      </w:r>
      <w:r>
        <w:t xml:space="preserve"> </w:t>
      </w:r>
      <w:r>
        <w:t xml:space="preserve">SKDD (the Croatian central securities depository)</w:t>
      </w:r>
      <w:r>
        <w:t xml:space="preserve"> </w:t>
      </w:r>
      <w:r>
        <w:t xml:space="preserve">launched a central counterparty clearing service in the</w:t>
      </w:r>
      <w:r>
        <w:t xml:space="preserve"> </w:t>
      </w:r>
      <w:r>
        <w:t xml:space="preserve">Croatian market (SKDD-CCP) making it the fourteenth</w:t>
      </w:r>
      <w:r>
        <w:t xml:space="preserve"> </w:t>
      </w:r>
      <w:r>
        <w:t xml:space="preserve">clearing entity licenced to provide CCP services in the</w:t>
      </w:r>
      <w:r>
        <w:t xml:space="preserve"> </w:t>
      </w:r>
      <w:r>
        <w:t xml:space="preserve">EU.</w:t>
      </w:r>
      <w:r>
        <w:t xml:space="preserve"> </w:t>
      </w:r>
      <w:r>
        <w:t xml:space="preserve">652 European Commission, 2024, Data and Surveys-SAFE,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653 ZSE, 2024. ZSE Annual Report, 2024. p. 22.</w:t>
      </w:r>
      <w:r>
        <w:t xml:space="preserve"> </w:t>
      </w:r>
      <w:r>
        <w:t xml:space="preserve">654 Progress Market, 2024, Market Capitalisation.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HR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422</w:t>
      </w:r>
      <w:r>
        <w:t xml:space="preserve"> </w:t>
      </w:r>
      <w:r>
        <w:t xml:space="preserve">1.6.5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Group655.</w:t>
      </w:r>
      <w:r>
        <w:t xml:space="preserve"> </w:t>
      </w:r>
      <w:r>
        <w:t xml:space="preserve">Debt finance continues to be a significant source of</w:t>
      </w:r>
      <w:r>
        <w:t xml:space="preserve"> </w:t>
      </w:r>
      <w:r>
        <w:t xml:space="preserve">market funding for the government as well as MFIs</w:t>
      </w:r>
      <w:r>
        <w:t xml:space="preserve"> </w:t>
      </w:r>
      <w:r>
        <w:t xml:space="preserve">in Croatia. In Q1 2025, the government issued EUR</w:t>
      </w:r>
      <w:r>
        <w:t xml:space="preserve"> </w:t>
      </w:r>
      <w:r>
        <w:t xml:space="preserve">1.3 billion of debt securities, compared to EUR 0.7</w:t>
      </w:r>
      <w:r>
        <w:t xml:space="preserve"> </w:t>
      </w:r>
      <w:r>
        <w:t xml:space="preserve">billion for the whole of 2024 (43.1% of total issued</w:t>
      </w:r>
      <w:r>
        <w:t xml:space="preserve"> </w:t>
      </w:r>
      <w:r>
        <w:t xml:space="preserve">bonds in 2024). In Q1 2025, MFIs issued EUR 0.3 bn</w:t>
      </w:r>
      <w:r>
        <w:t xml:space="preserve"> </w:t>
      </w:r>
      <w:r>
        <w:t xml:space="preserve">of debt securities, compared to EUR 0.8 billion for the</w:t>
      </w:r>
      <w:r>
        <w:t xml:space="preserve"> </w:t>
      </w:r>
      <w:r>
        <w:t xml:space="preserve">whole of 2024 (53.5% of total issued in 2024) (see</w:t>
      </w:r>
      <w:r>
        <w:t xml:space="preserve"> </w:t>
      </w:r>
      <w:r>
        <w:t xml:space="preserve">Graph 2.4.6). Debt market finance does not appear to</w:t>
      </w:r>
      <w:r>
        <w:t xml:space="preserve"> </w:t>
      </w:r>
      <w:r>
        <w:t xml:space="preserve">be a major source of funding for Croatian non-financial</w:t>
      </w:r>
      <w:r>
        <w:t xml:space="preserve"> </w:t>
      </w:r>
      <w:r>
        <w:t xml:space="preserve">corporations (NFCs) (2.9% of total issued bonds in</w:t>
      </w:r>
      <w:r>
        <w:t xml:space="preserve"> </w:t>
      </w:r>
      <w:r>
        <w:t xml:space="preserve">2024).</w:t>
      </w:r>
      <w:r>
        <w:t xml:space="preserve"> </w:t>
      </w:r>
      <w:r>
        <w:t xml:space="preserve">1.6.6</w:t>
      </w:r>
      <w:r>
        <w:t xml:space="preserve"> </w:t>
      </w:r>
      <w:r>
        <w:t xml:space="preserve">Net issuance of bonds</w:t>
      </w:r>
    </w:p>
    <w:p>
      <w:pPr>
        <w:pStyle w:val="BodyText"/>
      </w:pPr>
      <w:r>
        <w:t xml:space="preserve">Source: ECB.</w:t>
      </w:r>
      <w:r>
        <w:t xml:space="preserve"> </w:t>
      </w:r>
      <w:r>
        <w:t xml:space="preserve">The Croatian government has taken measures to</w:t>
      </w:r>
      <w:r>
        <w:t xml:space="preserve"> </w:t>
      </w:r>
      <w:r>
        <w:t xml:space="preserve">further foster the development of the Croatian</w:t>
      </w:r>
      <w:r>
        <w:t xml:space="preserve"> </w:t>
      </w:r>
      <w:r>
        <w:t xml:space="preserve">capital markets. Already in 2023, the CFA Society</w:t>
      </w:r>
      <w:r>
        <w:t xml:space="preserve"> </w:t>
      </w:r>
      <w:r>
        <w:t xml:space="preserve">Croatia, in partnership with the Ministry of Finance,</w:t>
      </w:r>
    </w:p>
    <w:p>
      <w:pPr>
        <w:pStyle w:val="BodyText"/>
      </w:pPr>
      <w:r>
        <w:t xml:space="preserve">655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and relevant parties implemented a project aimed at</w:t>
      </w:r>
      <w:r>
        <w:t xml:space="preserve"> </w:t>
      </w:r>
      <w:r>
        <w:t xml:space="preserve">preparing the basis for the Croatian capital market</w:t>
      </w:r>
      <w:r>
        <w:t xml:space="preserve"> </w:t>
      </w:r>
      <w:r>
        <w:t xml:space="preserve">development strategy (published in January 2024).656</w:t>
      </w:r>
      <w:r>
        <w:t xml:space="preserve"> </w:t>
      </w:r>
      <w:r>
        <w:t xml:space="preserve">Based on this report, the Croatian Ministry of Finance</w:t>
      </w:r>
      <w:r>
        <w:t xml:space="preserve"> </w:t>
      </w:r>
      <w:r>
        <w:t xml:space="preserve">prepared the Strategic framework for the development</w:t>
      </w:r>
      <w:r>
        <w:t xml:space="preserve"> </w:t>
      </w:r>
      <w:r>
        <w:t xml:space="preserve">of capital market in the Republic of Croatia (2025-</w:t>
      </w:r>
      <w:r>
        <w:t xml:space="preserve"> </w:t>
      </w:r>
      <w:r>
        <w:t xml:space="preserve">2030), and the first action plan (2025-2026), in the</w:t>
      </w:r>
      <w:r>
        <w:t xml:space="preserve"> </w:t>
      </w:r>
      <w:r>
        <w:t xml:space="preserve">cooperation with the Croatian Financial Services</w:t>
      </w:r>
      <w:r>
        <w:t xml:space="preserve"> </w:t>
      </w:r>
      <w:r>
        <w:t xml:space="preserve">Supervisory Agency and other relevant stakeholders</w:t>
      </w:r>
      <w:r>
        <w:t xml:space="preserve"> </w:t>
      </w:r>
      <w:r>
        <w:t xml:space="preserve">(including pension and investment funds, investment</w:t>
      </w:r>
      <w:r>
        <w:t xml:space="preserve"> </w:t>
      </w:r>
      <w:r>
        <w:t xml:space="preserve">firms, banks, ZSE, the SKDD-CCP, CFA Society</w:t>
      </w:r>
      <w:r>
        <w:t xml:space="preserve"> </w:t>
      </w:r>
      <w:r>
        <w:t xml:space="preserve">Croatia and others) with the technical support from the</w:t>
      </w:r>
      <w:r>
        <w:t xml:space="preserve"> </w:t>
      </w:r>
      <w:r>
        <w:t xml:space="preserve">European Bank for Reconstruction and Development.</w:t>
      </w:r>
      <w:r>
        <w:t xml:space="preserve"> </w:t>
      </w:r>
      <w:r>
        <w:t xml:space="preserve">Additionally, the second Action plan is envisaged for</w:t>
      </w:r>
      <w:r>
        <w:t xml:space="preserve"> </w:t>
      </w:r>
      <w:r>
        <w:t xml:space="preserve">2026 and will cover the period until the end of 2030.</w:t>
      </w:r>
      <w:r>
        <w:br/>
      </w:r>
      <w:r>
        <w:t xml:space="preserve">The framework sets out five key strategic directions: (i)</w:t>
      </w:r>
      <w:r>
        <w:t xml:space="preserve"> </w:t>
      </w:r>
      <w:r>
        <w:t xml:space="preserve">regional integration and positioning Croatia as a</w:t>
      </w:r>
      <w:r>
        <w:t xml:space="preserve"> </w:t>
      </w:r>
      <w:r>
        <w:t xml:space="preserve">financial hub; (ii) digitalisation of capital markets; (iii)</w:t>
      </w:r>
      <w:r>
        <w:t xml:space="preserve"> </w:t>
      </w:r>
      <w:r>
        <w:t xml:space="preserve">strengthening corporate governance; (iv) boosting</w:t>
      </w:r>
      <w:r>
        <w:t xml:space="preserve"> </w:t>
      </w:r>
      <w:r>
        <w:t xml:space="preserve">market liquidity; and (v) creating new investment</w:t>
      </w:r>
      <w:r>
        <w:t xml:space="preserve"> </w:t>
      </w:r>
      <w:r>
        <w:t xml:space="preserve">products and financing options. In addition to the</w:t>
      </w:r>
      <w:r>
        <w:t xml:space="preserve"> </w:t>
      </w:r>
      <w:r>
        <w:t xml:space="preserve">aforementioned five key strategic directions, a</w:t>
      </w:r>
      <w:r>
        <w:t xml:space="preserve"> </w:t>
      </w:r>
      <w:r>
        <w:t xml:space="preserve">horizontal initiative has also been launched, aimed to</w:t>
      </w:r>
      <w:r>
        <w:t xml:space="preserve"> </w:t>
      </w:r>
      <w:r>
        <w:t xml:space="preserve">reduce excessive regulation (gold-plating) and to</w:t>
      </w:r>
      <w:r>
        <w:t xml:space="preserve"> </w:t>
      </w:r>
      <w:r>
        <w:t xml:space="preserve">ensure that the legal framework of Croatia remains</w:t>
      </w:r>
      <w:r>
        <w:t xml:space="preserve"> </w:t>
      </w:r>
      <w:r>
        <w:t xml:space="preserve">competitive, simple, and aligned with the European</w:t>
      </w:r>
      <w:r>
        <w:t xml:space="preserve"> </w:t>
      </w:r>
      <w:r>
        <w:t xml:space="preserve">Union acquis and relevant EU standards.</w:t>
      </w:r>
      <w:r>
        <w:br/>
      </w:r>
      <w:r>
        <w:t xml:space="preserve">Croatia has increasingly supported efforts to</w:t>
      </w:r>
      <w:r>
        <w:t xml:space="preserve"> </w:t>
      </w:r>
      <w:r>
        <w:t xml:space="preserve">develop the Capital Markets Union (CMU) in the</w:t>
      </w:r>
      <w:r>
        <w:t xml:space="preserve"> </w:t>
      </w:r>
      <w:r>
        <w:t xml:space="preserve">EU. At a meeting in May 2024, the finance ministers</w:t>
      </w:r>
      <w:r>
        <w:t xml:space="preserve"> </w:t>
      </w:r>
      <w:r>
        <w:t xml:space="preserve">of Austria, Croatia and Slovenia issued a joint</w:t>
      </w:r>
      <w:r>
        <w:t xml:space="preserve"> </w:t>
      </w:r>
      <w:r>
        <w:t xml:space="preserve">statement calling for further progress on CMU.657 The</w:t>
      </w:r>
      <w:r>
        <w:t xml:space="preserve"> </w:t>
      </w:r>
      <w:r>
        <w:t xml:space="preserve">statement identified a number of common CMU</w:t>
      </w:r>
      <w:r>
        <w:t xml:space="preserve"> </w:t>
      </w:r>
      <w:r>
        <w:t xml:space="preserve">priorities, including: (i) the need to consider the</w:t>
      </w:r>
      <w:r>
        <w:t xml:space="preserve"> </w:t>
      </w:r>
      <w:r>
        <w:t xml:space="preserve">priorities of all Member States; (ii) debating centralised</w:t>
      </w:r>
      <w:r>
        <w:t xml:space="preserve"> </w:t>
      </w:r>
      <w:r>
        <w:t xml:space="preserve">supervision at a later stage; (iii) a pragmatic approach</w:t>
      </w:r>
      <w:r>
        <w:t xml:space="preserve"> </w:t>
      </w:r>
      <w:r>
        <w:t xml:space="preserve">to the securitisation framework; (iv) harmonising the</w:t>
      </w:r>
      <w:r>
        <w:t xml:space="preserve"> </w:t>
      </w:r>
      <w:r>
        <w:t xml:space="preserve">requirements for companies to be listed on exchanges;</w:t>
      </w:r>
      <w:r>
        <w:t xml:space="preserve"> </w:t>
      </w:r>
      <w:r>
        <w:t xml:space="preserve">(v) eliminating national barriers for institutional</w:t>
      </w:r>
      <w:r>
        <w:t xml:space="preserve"> </w:t>
      </w:r>
      <w:r>
        <w:t xml:space="preserve">investors; (vi) making tax systems more supportive of</w:t>
      </w:r>
      <w:r>
        <w:t xml:space="preserve"> </w:t>
      </w:r>
      <w:r>
        <w:t xml:space="preserve">investments in capital markets; and (vii) expanding</w:t>
      </w:r>
      <w:r>
        <w:t xml:space="preserve"> </w:t>
      </w:r>
      <w:r>
        <w:t xml:space="preserve">financial literacy and market participation among the</w:t>
      </w:r>
      <w:r>
        <w:t xml:space="preserve"> </w:t>
      </w:r>
      <w:r>
        <w:t xml:space="preserve">EU population.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656 CFA Society Croatia, 2024, Basis for the capital markets</w:t>
      </w:r>
      <w:r>
        <w:t xml:space="preserve"> </w:t>
      </w:r>
      <w:r>
        <w:t xml:space="preserve">development strategy in Croatia.</w:t>
      </w:r>
      <w:r>
        <w:t xml:space="preserve"> </w:t>
      </w:r>
      <w:r>
        <w:t xml:space="preserve">657 Common Statement by the Finance Ministers, 28 May 2024.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janv-yy=100</w:t>
      </w:r>
      <w:r>
        <w:t xml:space="preserve"> </w:t>
      </w:r>
      <w:r>
        <w:t xml:space="preserve">HR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CROATIA CROBEX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-1.0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423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Croatian households have a high share of cash and</w:t>
      </w:r>
      <w:r>
        <w:t xml:space="preserve"> </w:t>
      </w:r>
      <w:r>
        <w:t xml:space="preserve">deposits in households’ assets, which implies that</w:t>
      </w:r>
      <w:r>
        <w:t xml:space="preserve"> </w:t>
      </w:r>
      <w:r>
        <w:t xml:space="preserve">there is scope to further increase the level of direct</w:t>
      </w:r>
      <w:r>
        <w:t xml:space="preserve"> </w:t>
      </w:r>
      <w:r>
        <w:t xml:space="preserve">or indirect retail investments. The Croatian savings</w:t>
      </w:r>
      <w:r>
        <w:t xml:space="preserve"> </w:t>
      </w:r>
      <w:r>
        <w:t xml:space="preserve">rate was 11.2% at end-2023 (EU average: 13.3%). At</w:t>
      </w:r>
      <w:r>
        <w:t xml:space="preserve"> </w:t>
      </w:r>
      <w:r>
        <w:t xml:space="preserve">end-2024, Croatian households had a higher-than-</w:t>
      </w:r>
      <w:r>
        <w:t xml:space="preserve"> </w:t>
      </w:r>
      <w:r>
        <w:t xml:space="preserve">average holding of cash and deposits, which represent</w:t>
      </w:r>
      <w:r>
        <w:t xml:space="preserve"> </w:t>
      </w:r>
      <w:r>
        <w:t xml:space="preserve">nearly half (45.4%) of household assets (EU average:</w:t>
      </w:r>
      <w:r>
        <w:t xml:space="preserve"> </w:t>
      </w:r>
      <w:r>
        <w:t xml:space="preserve">31.7%). Moreover, at end-2024, 39% of households’</w:t>
      </w:r>
      <w:r>
        <w:t xml:space="preserve"> </w:t>
      </w:r>
      <w:r>
        <w:t xml:space="preserve">financial assets were held in pension and investment</w:t>
      </w:r>
      <w:r>
        <w:t xml:space="preserve"> </w:t>
      </w:r>
      <w:r>
        <w:t xml:space="preserve">funds or held directly in financial investment</w:t>
      </w:r>
      <w:r>
        <w:t xml:space="preserve"> </w:t>
      </w:r>
      <w:r>
        <w:t xml:space="preserve">instruments, but this still falls short of the EU average</w:t>
      </w:r>
      <w:r>
        <w:t xml:space="preserve"> </w:t>
      </w:r>
      <w:r>
        <w:t xml:space="preserve">of 46.6%. More specifically, at end-2024, households’</w:t>
      </w:r>
      <w:r>
        <w:t xml:space="preserve"> </w:t>
      </w:r>
      <w:r>
        <w:t xml:space="preserve">direct holdings of investment insurance and pension</w:t>
      </w:r>
      <w:r>
        <w:t xml:space="preserve"> </w:t>
      </w:r>
      <w:r>
        <w:t xml:space="preserve">funds was at 27% (EU average: 27.9%), investment</w:t>
      </w:r>
      <w:r>
        <w:t xml:space="preserve"> </w:t>
      </w:r>
      <w:r>
        <w:t xml:space="preserve">funds at 3.4% (EU average: 11.1%), bonds at 4.8% (EU</w:t>
      </w:r>
      <w:r>
        <w:t xml:space="preserve"> </w:t>
      </w:r>
      <w:r>
        <w:t xml:space="preserve">average: 2.8%), and listed shares at 3.8% (EU average:</w:t>
      </w:r>
      <w:r>
        <w:t xml:space="preserve"> </w:t>
      </w:r>
      <w:r>
        <w:t xml:space="preserve">4.9%) (see Graph 2.4.7). In Croatia, direct and</w:t>
      </w:r>
      <w:r>
        <w:t xml:space="preserve"> </w:t>
      </w:r>
      <w:r>
        <w:t xml:space="preserve">intermediated retail investment by households was</w:t>
      </w:r>
      <w:r>
        <w:t xml:space="preserve"> </w:t>
      </w:r>
      <w:r>
        <w:t xml:space="preserve">44% in 2023 (EU average: 56.2%).</w:t>
      </w:r>
      <w:r>
        <w:br/>
      </w:r>
      <w:r>
        <w:t xml:space="preserve">1.6.7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Recent policy initiatives are aimed at boosting the</w:t>
      </w:r>
      <w:r>
        <w:t xml:space="preserve"> </w:t>
      </w:r>
      <w:r>
        <w:t xml:space="preserve">level of retail participation. In 2023, the Croatian</w:t>
      </w:r>
      <w:r>
        <w:t xml:space="preserve"> </w:t>
      </w:r>
      <w:r>
        <w:t xml:space="preserve">government issued its first national bonds and treasury</w:t>
      </w:r>
      <w:r>
        <w:t xml:space="preserve"> </w:t>
      </w:r>
      <w:r>
        <w:t xml:space="preserve">bills aimed primarily at retail investors, in which</w:t>
      </w:r>
      <w:r>
        <w:t xml:space="preserve"> </w:t>
      </w:r>
      <w:r>
        <w:t xml:space="preserve">Croatians invested a total of EUR 2.3 billion.658 In</w:t>
      </w:r>
      <w:r>
        <w:t xml:space="preserve"> </w:t>
      </w:r>
      <w:r>
        <w:t xml:space="preserve">2024, the Ministry of Finance continued to turn to</w:t>
      </w:r>
      <w:r>
        <w:t xml:space="preserve"> </w:t>
      </w:r>
      <w:r>
        <w:t xml:space="preserve">households for government financing by issuing</w:t>
      </w:r>
      <w:r>
        <w:t xml:space="preserve"> </w:t>
      </w:r>
      <w:r>
        <w:t xml:space="preserve">national treasury bills.659 A wider review of the</w:t>
      </w:r>
      <w:r>
        <w:t xml:space="preserve"> </w:t>
      </w:r>
      <w:r>
        <w:t xml:space="preserve">incentives in place to promote retail participation in</w:t>
      </w:r>
      <w:r>
        <w:t xml:space="preserve"> </w:t>
      </w:r>
      <w:r>
        <w:t xml:space="preserve">financial markets may also be warranted. In March</w:t>
      </w:r>
      <w:r>
        <w:t xml:space="preserve"> </w:t>
      </w:r>
      <w:r>
        <w:t xml:space="preserve">2025, Croatia adopted the Strategic framework for the</w:t>
      </w:r>
      <w:r>
        <w:t xml:space="preserve"> </w:t>
      </w:r>
      <w:r>
        <w:t xml:space="preserve">development of capital market in the Republic of</w:t>
      </w:r>
      <w:r>
        <w:t xml:space="preserve"> </w:t>
      </w:r>
      <w:r>
        <w:t xml:space="preserve">Croatia 2025-2030, marking an important step towards</w:t>
      </w:r>
    </w:p>
    <w:p>
      <w:pPr>
        <w:pStyle w:val="BodyText"/>
      </w:pPr>
      <w:r>
        <w:t xml:space="preserve">658 HANFA, 2024, Annual Report 2023, p. 2</w:t>
      </w:r>
      <w:r>
        <w:t xml:space="preserve"> </w:t>
      </w:r>
      <w:r>
        <w:t xml:space="preserve">strengthening market infrastructure and broadening</w:t>
      </w:r>
      <w:r>
        <w:t xml:space="preserve"> </w:t>
      </w:r>
      <w:r>
        <w:t xml:space="preserve">access to finance.</w:t>
      </w:r>
    </w:p>
    <w:p>
      <w:pPr>
        <w:pStyle w:val="BodyText"/>
      </w:pPr>
      <w:r>
        <w:t xml:space="preserve">1.7 Cyprus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1.7.1</w:t>
      </w:r>
      <w:r>
        <w:t xml:space="preserve"> </w:t>
      </w:r>
      <w:r>
        <w:t xml:space="preserve">Net savings-investment balance</w:t>
      </w:r>
    </w:p>
    <w:p>
      <w:pPr>
        <w:pStyle w:val="BodyText"/>
      </w:pPr>
      <w:r>
        <w:t xml:space="preserve">Source: AMECO.</w:t>
      </w:r>
      <w:r>
        <w:t xml:space="preserve"> </w:t>
      </w:r>
      <w:r>
        <w:t xml:space="preserve">The Cypriot economy relies on external funding to</w:t>
      </w:r>
      <w:r>
        <w:t xml:space="preserve"> </w:t>
      </w:r>
      <w:r>
        <w:t xml:space="preserve">meet its investment needs, as domestic net private</w:t>
      </w:r>
      <w:r>
        <w:t xml:space="preserve"> </w:t>
      </w:r>
      <w:r>
        <w:t xml:space="preserve">savings are insufficient to finance all investment</w:t>
      </w:r>
      <w:r>
        <w:t xml:space="preserve"> </w:t>
      </w:r>
      <w:r>
        <w:t xml:space="preserve">requirements. In the past decade, Cyprus’s private</w:t>
      </w:r>
      <w:r>
        <w:t xml:space="preserve"> </w:t>
      </w:r>
      <w:r>
        <w:t xml:space="preserve">sector gross savings rate has averaged around 10% of</w:t>
      </w:r>
      <w:r>
        <w:t xml:space="preserve"> </w:t>
      </w:r>
      <w:r>
        <w:t xml:space="preserve">GDP, significantly lower than the euro area average of</w:t>
      </w:r>
      <w:r>
        <w:t xml:space="preserve"> </w:t>
      </w:r>
      <w:r>
        <w:t xml:space="preserve">23.8%. The net private savings ratio has fluctuated</w:t>
      </w:r>
      <w:r>
        <w:t xml:space="preserve"> </w:t>
      </w:r>
      <w:r>
        <w:t xml:space="preserve">significantly, shifting from a net borrowing position in</w:t>
      </w:r>
      <w:r>
        <w:t xml:space="preserve"> </w:t>
      </w:r>
      <w:r>
        <w:t xml:space="preserve">2014 to a net savings position of 4.4% in 2021, before</w:t>
      </w:r>
      <w:r>
        <w:t xml:space="preserve"> </w:t>
      </w:r>
      <w:r>
        <w:t xml:space="preserve">reverting to a net borrowing position of -4.2% in 2023.</w:t>
      </w:r>
      <w:r>
        <w:t xml:space="preserve"> </w:t>
      </w:r>
      <w:r>
        <w:t xml:space="preserve">On average, the net private savings ratio stands at zero,</w:t>
      </w:r>
      <w:r>
        <w:t xml:space="preserve"> </w:t>
      </w:r>
      <w:r>
        <w:t xml:space="preserve">indicating that private savings are just sufficient to</w:t>
      </w:r>
      <w:r>
        <w:t xml:space="preserve"> </w:t>
      </w:r>
      <w:r>
        <w:t xml:space="preserve">meet the depreciation of existing capital assets without</w:t>
      </w:r>
      <w:r>
        <w:t xml:space="preserve"> </w:t>
      </w:r>
      <w:r>
        <w:t xml:space="preserve">external borrowing. However, private savings are</w:t>
      </w:r>
      <w:r>
        <w:t xml:space="preserve"> </w:t>
      </w:r>
      <w:r>
        <w:t xml:space="preserve">insufficient to finance additional investment through</w:t>
      </w:r>
      <w:r>
        <w:t xml:space="preserve"> </w:t>
      </w:r>
      <w:r>
        <w:t xml:space="preserve">capital markets, either domestically or internationally.</w:t>
      </w:r>
      <w:r>
        <w:t xml:space="preserve"> </w:t>
      </w:r>
      <w:r>
        <w:t xml:space="preserve">The net private investment position has averaged</w:t>
      </w:r>
      <w:r>
        <w:t xml:space="preserve"> </w:t>
      </w:r>
      <w:r>
        <w:t xml:space="preserve">around 7.5% over the past five years, in contrast to the</w:t>
      </w:r>
      <w:r>
        <w:t xml:space="preserve"> </w:t>
      </w:r>
      <w:r>
        <w:t xml:space="preserve">financial crisis years (2012-2014) when the net</w:t>
      </w:r>
      <w:r>
        <w:t xml:space="preserve"> </w:t>
      </w:r>
      <w:r>
        <w:t xml:space="preserve">investment position was negative. The government’s</w:t>
      </w:r>
      <w:r>
        <w:t xml:space="preserve"> </w:t>
      </w:r>
      <w:r>
        <w:t xml:space="preserve">borrowing from the private sector has also varied over</w:t>
      </w:r>
      <w:r>
        <w:t xml:space="preserve"> </w:t>
      </w:r>
      <w:r>
        <w:t xml:space="preserve">the past few years, reflecting the interplay between the</w:t>
      </w:r>
      <w:r>
        <w:t xml:space="preserve"> </w:t>
      </w:r>
      <w:r>
        <w:t xml:space="preserve">government’s funding needs and the private sector’s</w:t>
      </w:r>
      <w:r>
        <w:t xml:space="preserve"> </w:t>
      </w:r>
      <w:r>
        <w:t xml:space="preserve">savings behaviour. Domestic savings have often been</w:t>
      </w:r>
      <w:r>
        <w:t xml:space="preserve"> </w:t>
      </w:r>
      <w:r>
        <w:t xml:space="preserve">insufficient to meet investment needs and sustain</w:t>
      </w:r>
      <w:r>
        <w:t xml:space="preserve"> </w:t>
      </w:r>
      <w:r>
        <w:t xml:space="preserve">capital infrastructure. As a result of the government’s</w:t>
      </w:r>
      <w:r>
        <w:t xml:space="preserve"> </w:t>
      </w:r>
      <w:r>
        <w:t xml:space="preserve">irregular net savings position and the private sector’s</w:t>
      </w:r>
      <w:r>
        <w:t xml:space="preserve"> </w:t>
      </w:r>
      <w:r>
        <w:t xml:space="preserve">insufficient savings, Cyprus has remained a net</w:t>
      </w:r>
      <w:r>
        <w:t xml:space="preserve"> </w:t>
      </w:r>
      <w:r>
        <w:t xml:space="preserve">borrower from the international community, with an</w:t>
      </w:r>
      <w:r>
        <w:t xml:space="preserve"> </w:t>
      </w:r>
      <w:r>
        <w:t xml:space="preserve">659 HANFA, 2024, Macroprudential Risk Scanner, p. 10.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HR</w:t>
      </w:r>
      <w:r>
        <w:t xml:space="preserve"> </w:t>
      </w:r>
      <w:r>
        <w:t xml:space="preserve">EU</w:t>
      </w:r>
      <w:r>
        <w:t xml:space="preserve"> </w:t>
      </w:r>
      <w:r>
        <w:t xml:space="preserve">HR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424</w:t>
      </w:r>
      <w:r>
        <w:t xml:space="preserve"> </w:t>
      </w:r>
      <w:r>
        <w:t xml:space="preserve">average borrowing of around 4.9% of GDP over the</w:t>
      </w:r>
      <w:r>
        <w:t xml:space="preserve"> </w:t>
      </w:r>
      <w:r>
        <w:t xml:space="preserve">past 15 years.</w:t>
      </w:r>
      <w:r>
        <w:t xml:space="preserve"> </w:t>
      </w:r>
      <w:r>
        <w:t xml:space="preserve">1.7.2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The Cypriot economy has a significant amount of</w:t>
      </w:r>
      <w:r>
        <w:t xml:space="preserve"> </w:t>
      </w:r>
      <w:r>
        <w:t xml:space="preserve">external debt, resulting in a negative net</w:t>
      </w:r>
      <w:r>
        <w:t xml:space="preserve"> </w:t>
      </w:r>
      <w:r>
        <w:t xml:space="preserve">international investment position (NIIP) that is,</w:t>
      </w:r>
      <w:r>
        <w:t xml:space="preserve"> </w:t>
      </w:r>
      <w:r>
        <w:t xml:space="preserve">however, showing signs of improvement. In</w:t>
      </w:r>
      <w:r>
        <w:t xml:space="preserve"> </w:t>
      </w:r>
      <w:r>
        <w:t xml:space="preserve">December 2024, Cyprus’s NIIP stood at -80% of</w:t>
      </w:r>
      <w:r>
        <w:t xml:space="preserve"> </w:t>
      </w:r>
      <w:r>
        <w:t xml:space="preserve">GDP.660 Despite the disproportionate high level of</w:t>
      </w:r>
      <w:r>
        <w:t xml:space="preserve"> </w:t>
      </w:r>
      <w:r>
        <w:t xml:space="preserve">accumulated foreign direct investment (FDI) in the</w:t>
      </w:r>
      <w:r>
        <w:t xml:space="preserve"> </w:t>
      </w:r>
      <w:r>
        <w:t xml:space="preserve">economy, both on the assets and the liabilities side661,</w:t>
      </w:r>
      <w:r>
        <w:t xml:space="preserve"> </w:t>
      </w:r>
      <w:r>
        <w:t xml:space="preserve">the net FDI is a negative position of 5% of GDP in</w:t>
      </w:r>
      <w:r>
        <w:t xml:space="preserve"> </w:t>
      </w:r>
      <w:r>
        <w:t xml:space="preserve">December 2024, thus making only a small negative</w:t>
      </w:r>
      <w:r>
        <w:t xml:space="preserve"> </w:t>
      </w:r>
      <w:r>
        <w:t xml:space="preserve">contribution to the NIIP. Foreign reserve assets, which</w:t>
      </w:r>
      <w:r>
        <w:t xml:space="preserve"> </w:t>
      </w:r>
      <w:r>
        <w:t xml:space="preserve">accounted for less than 6% of GDP, made a positive</w:t>
      </w:r>
      <w:r>
        <w:t xml:space="preserve"> </w:t>
      </w:r>
      <w:r>
        <w:t xml:space="preserve">contribution to the NIIP. The difference between</w:t>
      </w:r>
      <w:r>
        <w:t xml:space="preserve"> </w:t>
      </w:r>
      <w:r>
        <w:t xml:space="preserve">portfolio assets and liabilities, which is affected by the</w:t>
      </w:r>
      <w:r>
        <w:t xml:space="preserve"> </w:t>
      </w:r>
      <w:r>
        <w:t xml:space="preserve">price volatility of equity valuations abroad and in</w:t>
      </w:r>
      <w:r>
        <w:t xml:space="preserve"> </w:t>
      </w:r>
      <w:r>
        <w:t xml:space="preserve">Cyprus, was also a positive contributor in 2024,</w:t>
      </w:r>
      <w:r>
        <w:t xml:space="preserve"> </w:t>
      </w:r>
      <w:r>
        <w:t xml:space="preserve">accounting for around 49% of GDP. However, these</w:t>
      </w:r>
      <w:r>
        <w:t xml:space="preserve"> </w:t>
      </w:r>
      <w:r>
        <w:t xml:space="preserve">positive contributions were more than offset by the net</w:t>
      </w:r>
      <w:r>
        <w:t xml:space="preserve"> </w:t>
      </w:r>
      <w:r>
        <w:t xml:space="preserve">stock of other investments, which stood at -130% of</w:t>
      </w:r>
      <w:r>
        <w:t xml:space="preserve"> </w:t>
      </w:r>
      <w:r>
        <w:t xml:space="preserve">GDP at the same time.662 Cyprus’s NIIP has improved</w:t>
      </w:r>
      <w:r>
        <w:t xml:space="preserve"> </w:t>
      </w:r>
      <w:r>
        <w:t xml:space="preserve">over the years, from -139% in 2017 to -80% in 2024,</w:t>
      </w:r>
      <w:r>
        <w:t xml:space="preserve"> </w:t>
      </w:r>
      <w:r>
        <w:t xml:space="preserve">but remains highly negative. Excluding SPEs663, the</w:t>
      </w:r>
      <w:r>
        <w:t xml:space="preserve"> </w:t>
      </w:r>
      <w:r>
        <w:t xml:space="preserve">NIIP is less negative, at around -30% of GDP. Overall,</w:t>
      </w:r>
      <w:r>
        <w:t xml:space="preserve"> </w:t>
      </w:r>
      <w:r>
        <w:t xml:space="preserve">while the Cypriot economy is highly connected to</w:t>
      </w:r>
      <w:r>
        <w:t xml:space="preserve"> </w:t>
      </w:r>
      <w:r>
        <w:t xml:space="preserve">global capital markets and is a source of foreign capital,</w:t>
      </w:r>
    </w:p>
    <w:p>
      <w:pPr>
        <w:pStyle w:val="BodyText"/>
      </w:pPr>
      <w:r>
        <w:t xml:space="preserve">660 For more detailed analysis, see also In-depth reviews - European</w:t>
      </w:r>
      <w:r>
        <w:t xml:space="preserve"> </w:t>
      </w:r>
      <w:r>
        <w:t xml:space="preserve">Commission, May 2025.</w:t>
      </w:r>
    </w:p>
    <w:p>
      <w:pPr>
        <w:pStyle w:val="BodyText"/>
      </w:pPr>
      <w:r>
        <w:t xml:space="preserve">661 The disproportionate high level of accumulated FDIs, which</w:t>
      </w:r>
      <w:r>
        <w:t xml:space="preserve"> </w:t>
      </w:r>
      <w:r>
        <w:t xml:space="preserve">reached 1 459% of GDP in December 2024, and the equivalent</w:t>
      </w:r>
      <w:r>
        <w:t xml:space="preserve"> </w:t>
      </w:r>
      <w:r>
        <w:t xml:space="preserve">liability of 1 464% of GDP, is attributed to the favourable tax</w:t>
      </w:r>
      <w:r>
        <w:t xml:space="preserve"> </w:t>
      </w:r>
      <w:r>
        <w:t xml:space="preserve">system and the country’s role as financial hub, where Cyprus is</w:t>
      </w:r>
      <w:r>
        <w:t xml:space="preserve"> </w:t>
      </w:r>
      <w:r>
        <w:t xml:space="preserve">often selected as an intermediary for routing investments to third</w:t>
      </w:r>
      <w:r>
        <w:t xml:space="preserve"> </w:t>
      </w:r>
      <w:r>
        <w:t xml:space="preserve">countries.</w:t>
      </w:r>
      <w:r>
        <w:br/>
      </w:r>
      <w:r>
        <w:t xml:space="preserve">it remains a net capital importer from the rest of the</w:t>
      </w:r>
      <w:r>
        <w:t xml:space="preserve"> </w:t>
      </w:r>
      <w:r>
        <w:t xml:space="preserve">world.</w:t>
      </w:r>
      <w:r>
        <w:t xml:space="preserve"> </w:t>
      </w:r>
      <w:r>
        <w:t xml:space="preserve">Size of the financial sector and structure of the</w:t>
      </w:r>
      <w:r>
        <w:t xml:space="preserve"> </w:t>
      </w:r>
      <w:r>
        <w:t xml:space="preserve">capital markets</w:t>
      </w:r>
      <w:r>
        <w:t xml:space="preserve"> </w:t>
      </w:r>
      <w:r>
        <w:t xml:space="preserve">The underdeveloped capital markets in Cyprus,</w:t>
      </w:r>
      <w:r>
        <w:t xml:space="preserve"> </w:t>
      </w:r>
      <w:r>
        <w:t xml:space="preserve">characterized by small market capitalization and a</w:t>
      </w:r>
      <w:r>
        <w:t xml:space="preserve"> </w:t>
      </w:r>
      <w:r>
        <w:t xml:space="preserve">limited bond market fundamentally shape the way</w:t>
      </w:r>
      <w:r>
        <w:t xml:space="preserve"> </w:t>
      </w:r>
      <w:r>
        <w:t xml:space="preserve">banks and other financial intermediaries operate.</w:t>
      </w:r>
      <w:r>
        <w:t xml:space="preserve"> </w:t>
      </w:r>
      <w:r>
        <w:t xml:space="preserve">The Cypriot economy has a well-developed banking</w:t>
      </w:r>
      <w:r>
        <w:t xml:space="preserve"> </w:t>
      </w:r>
      <w:r>
        <w:t xml:space="preserve">sector, which plays a significant role in the country’s</w:t>
      </w:r>
      <w:r>
        <w:t xml:space="preserve"> </w:t>
      </w:r>
      <w:r>
        <w:t xml:space="preserve">financial system. Banks serve as the main channel</w:t>
      </w:r>
      <w:r>
        <w:t xml:space="preserve"> </w:t>
      </w:r>
      <w:r>
        <w:t xml:space="preserve">between savers and borrowers, as firms and households</w:t>
      </w:r>
      <w:r>
        <w:t xml:space="preserve"> </w:t>
      </w:r>
      <w:r>
        <w:t xml:space="preserve">have few alternatives for raising or investing funds.</w:t>
      </w:r>
      <w:r>
        <w:t xml:space="preserve"> </w:t>
      </w:r>
      <w:r>
        <w:t xml:space="preserve">The lack of well-developed capital markets constrains</w:t>
      </w:r>
      <w:r>
        <w:t xml:space="preserve"> </w:t>
      </w:r>
      <w:r>
        <w:t xml:space="preserve">financial diversification and stifles innovation by</w:t>
      </w:r>
      <w:r>
        <w:t xml:space="preserve"> </w:t>
      </w:r>
      <w:r>
        <w:t xml:space="preserve">forcing businesses to rely almost exclusively on bank</w:t>
      </w:r>
      <w:r>
        <w:t xml:space="preserve"> </w:t>
      </w:r>
      <w:r>
        <w:t xml:space="preserve">credit. Additionally, the shallow capital markets limit</w:t>
      </w:r>
      <w:r>
        <w:t xml:space="preserve"> </w:t>
      </w:r>
      <w:r>
        <w:t xml:space="preserve">the ability of non-bank financial institutions (NBFIs) to</w:t>
      </w:r>
      <w:r>
        <w:t xml:space="preserve"> </w:t>
      </w:r>
      <w:r>
        <w:t xml:space="preserve">invest in a diverse range of domestic securities, thereby</w:t>
      </w:r>
      <w:r>
        <w:t xml:space="preserve"> </w:t>
      </w:r>
      <w:r>
        <w:t xml:space="preserve">constraining their role in supporting the economy. This</w:t>
      </w:r>
      <w:r>
        <w:t xml:space="preserve"> </w:t>
      </w:r>
      <w:r>
        <w:t xml:space="preserve">concentration of financial flows within the banking</w:t>
      </w:r>
      <w:r>
        <w:t xml:space="preserve"> </w:t>
      </w:r>
      <w:r>
        <w:t xml:space="preserve">sector increases the risk of a systemic crisis, as any</w:t>
      </w:r>
      <w:r>
        <w:t xml:space="preserve"> </w:t>
      </w:r>
      <w:r>
        <w:t xml:space="preserve">disruption in banks’ balance sheets or lending capacity</w:t>
      </w:r>
      <w:r>
        <w:t xml:space="preserve"> </w:t>
      </w:r>
      <w:r>
        <w:t xml:space="preserve">can rapidly translate into reduced credit availability</w:t>
      </w:r>
      <w:r>
        <w:t xml:space="preserve"> </w:t>
      </w:r>
      <w:r>
        <w:t xml:space="preserve">and threaten economic stability.</w:t>
      </w:r>
      <w:r>
        <w:t xml:space="preserve"> </w:t>
      </w:r>
      <w:r>
        <w:t xml:space="preserve">1.7.3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The importance of the banking sector for the</w:t>
      </w:r>
      <w:r>
        <w:t xml:space="preserve"> </w:t>
      </w:r>
      <w:r>
        <w:t xml:space="preserve">country’s economy is evident by its relative size</w:t>
      </w:r>
      <w:r>
        <w:t xml:space="preserve"> </w:t>
      </w:r>
      <w:r>
        <w:t xml:space="preserve">compared to all other sectors. In December 2024, its</w:t>
      </w:r>
      <w:r>
        <w:t xml:space="preserve"> </w:t>
      </w:r>
      <w:r>
        <w:t xml:space="preserve">662 The stock of liabilities in other investments includes the</w:t>
      </w:r>
      <w:r>
        <w:t xml:space="preserve"> </w:t>
      </w:r>
      <w:r>
        <w:t xml:space="preserve">portfolios of non-performing loans that have been transferred</w:t>
      </w:r>
      <w:r>
        <w:t xml:space="preserve"> </w:t>
      </w:r>
      <w:r>
        <w:t xml:space="preserve">from the banks to foreign CACs and amount to approximately</w:t>
      </w:r>
      <w:r>
        <w:t xml:space="preserve"> </w:t>
      </w:r>
      <w:r>
        <w:t xml:space="preserve">33% of the GDP.</w:t>
      </w:r>
      <w:r>
        <w:br/>
      </w:r>
      <w:r>
        <w:t xml:space="preserve">663 Special purpose Entities (SPEs), mostly ship-owning, contribute</w:t>
      </w:r>
      <w:r>
        <w:t xml:space="preserve"> </w:t>
      </w:r>
      <w:r>
        <w:t xml:space="preserve">significantly to the negative headline NIIP. Ship-owning SPEs</w:t>
      </w:r>
      <w:r>
        <w:t xml:space="preserve"> </w:t>
      </w:r>
      <w:r>
        <w:t xml:space="preserve">are mostly funded by foreign financial institutions or other</w:t>
      </w:r>
      <w:r>
        <w:t xml:space="preserve"> </w:t>
      </w:r>
      <w:r>
        <w:t xml:space="preserve">related non-resident entities and own assets located outside</w:t>
      </w:r>
      <w:r>
        <w:t xml:space="preserve"> </w:t>
      </w:r>
      <w:r>
        <w:t xml:space="preserve">Cyprus and thus NIIP appears inflated because of these SPEs.</w:t>
      </w:r>
      <w:r>
        <w:t xml:space="preserve"> </w:t>
      </w:r>
      <w:r>
        <w:t xml:space="preserve">-160</w:t>
      </w:r>
      <w:r>
        <w:t xml:space="preserve"> </w:t>
      </w:r>
      <w:r>
        <w:t xml:space="preserve">-140</w:t>
      </w:r>
      <w:r>
        <w:t xml:space="preserve"> </w:t>
      </w:r>
      <w:r>
        <w:t xml:space="preserve">-120</w:t>
      </w:r>
      <w:r>
        <w:t xml:space="preserve"> </w:t>
      </w:r>
      <w:r>
        <w:t xml:space="preserve">-100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-4000</w:t>
      </w:r>
      <w:r>
        <w:t xml:space="preserve"> </w:t>
      </w:r>
      <w:r>
        <w:t xml:space="preserve">-3000</w:t>
      </w:r>
      <w:r>
        <w:t xml:space="preserve"> </w:t>
      </w:r>
      <w:r>
        <w:t xml:space="preserve">-2000</w:t>
      </w:r>
      <w:r>
        <w:t xml:space="preserve"> </w:t>
      </w:r>
      <w:r>
        <w:t xml:space="preserve">-1000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425</w:t>
      </w:r>
      <w:r>
        <w:t xml:space="preserve"> </w:t>
      </w:r>
      <w:r>
        <w:t xml:space="preserve">total assets stood at 206.6% of GDP, four times bigger</w:t>
      </w:r>
      <w:r>
        <w:t xml:space="preserve"> </w:t>
      </w:r>
      <w:r>
        <w:t xml:space="preserve">than the combined size of all insurance, pension and</w:t>
      </w:r>
      <w:r>
        <w:t xml:space="preserve"> </w:t>
      </w:r>
      <w:r>
        <w:t xml:space="preserve">investments funds in Cyprus, whose totals assets</w:t>
      </w:r>
      <w:r>
        <w:t xml:space="preserve"> </w:t>
      </w:r>
      <w:r>
        <w:t xml:space="preserve">amounted to 48.9% of GDP. The insurance sector, with</w:t>
      </w:r>
      <w:r>
        <w:t xml:space="preserve"> </w:t>
      </w:r>
      <w:r>
        <w:t xml:space="preserve">total assets amounting to 16.3% of GDP in December</w:t>
      </w:r>
      <w:r>
        <w:t xml:space="preserve"> </w:t>
      </w:r>
      <w:r>
        <w:t xml:space="preserve">2024, and the investment funds sector, with total assets</w:t>
      </w:r>
      <w:r>
        <w:t xml:space="preserve"> </w:t>
      </w:r>
      <w:r>
        <w:t xml:space="preserve">under management at 21.9% of GDP at the end the</w:t>
      </w:r>
      <w:r>
        <w:t xml:space="preserve"> </w:t>
      </w:r>
      <w:r>
        <w:t xml:space="preserve">year, appear to gain momentum and aim to become</w:t>
      </w:r>
      <w:r>
        <w:t xml:space="preserve"> </w:t>
      </w:r>
      <w:r>
        <w:t xml:space="preserve">important players in the economy. In contrast, the</w:t>
      </w:r>
      <w:r>
        <w:t xml:space="preserve"> </w:t>
      </w:r>
      <w:r>
        <w:t xml:space="preserve">pension funds sector, with total assets of 10.6% of</w:t>
      </w:r>
      <w:r>
        <w:t xml:space="preserve"> </w:t>
      </w:r>
      <w:r>
        <w:t xml:space="preserve">GDP,</w:t>
      </w:r>
      <w:r>
        <w:t xml:space="preserve"> </w:t>
      </w:r>
      <w:r>
        <w:t xml:space="preserve">is</w:t>
      </w:r>
      <w:r>
        <w:t xml:space="preserve"> </w:t>
      </w:r>
      <w:r>
        <w:t xml:space="preserve">considered</w:t>
      </w:r>
      <w:r>
        <w:t xml:space="preserve"> </w:t>
      </w:r>
      <w:r>
        <w:t xml:space="preserve">fragmented</w:t>
      </w:r>
      <w:r>
        <w:t xml:space="preserve"> </w:t>
      </w:r>
      <w:r>
        <w:t xml:space="preserve">and</w:t>
      </w:r>
      <w:r>
        <w:t xml:space="preserve"> </w:t>
      </w:r>
      <w:r>
        <w:t xml:space="preserve">faces</w:t>
      </w:r>
      <w:r>
        <w:t xml:space="preserve"> </w:t>
      </w:r>
      <w:r>
        <w:t xml:space="preserve">administrative challenges. The NBFIs are trying to</w:t>
      </w:r>
      <w:r>
        <w:t xml:space="preserve"> </w:t>
      </w:r>
      <w:r>
        <w:t xml:space="preserve">position themselves as important players in the</w:t>
      </w:r>
      <w:r>
        <w:t xml:space="preserve"> </w:t>
      </w:r>
      <w:r>
        <w:t xml:space="preserve">economy, but their small size relatively to the country’s</w:t>
      </w:r>
      <w:r>
        <w:t xml:space="preserve"> </w:t>
      </w:r>
      <w:r>
        <w:t xml:space="preserve">GDP, limits their ability to play a major role in the</w:t>
      </w:r>
      <w:r>
        <w:t xml:space="preserve"> </w:t>
      </w:r>
      <w:r>
        <w:t xml:space="preserve">country’s</w:t>
      </w:r>
      <w:r>
        <w:t xml:space="preserve"> </w:t>
      </w:r>
      <w:r>
        <w:t xml:space="preserve">capital</w:t>
      </w:r>
      <w:r>
        <w:t xml:space="preserve"> </w:t>
      </w:r>
      <w:r>
        <w:t xml:space="preserve">markets.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underdeveloped domestic capital market makes this</w:t>
      </w:r>
      <w:r>
        <w:t xml:space="preserve"> </w:t>
      </w:r>
      <w:r>
        <w:t xml:space="preserve">even more challenging.</w:t>
      </w:r>
      <w:r>
        <w:br/>
      </w:r>
      <w:r>
        <w:t xml:space="preserve">The domestic capital market (equities and bonds</w:t>
      </w:r>
      <w:r>
        <w:t xml:space="preserve"> </w:t>
      </w:r>
      <w:r>
        <w:t xml:space="preserve">markets) in Cyprus is small, with a lack of liquidity</w:t>
      </w:r>
      <w:r>
        <w:t xml:space="preserve"> </w:t>
      </w:r>
      <w:r>
        <w:t xml:space="preserve">and a limited number of listed companies or traded</w:t>
      </w:r>
      <w:r>
        <w:t xml:space="preserve"> </w:t>
      </w:r>
      <w:r>
        <w:t xml:space="preserve">bonds. The domestic capital market is primarily</w:t>
      </w:r>
      <w:r>
        <w:t xml:space="preserve"> </w:t>
      </w:r>
      <w:r>
        <w:t xml:space="preserve">composed of the equities market and the bonds market.</w:t>
      </w:r>
      <w:r>
        <w:t xml:space="preserve"> </w:t>
      </w:r>
      <w:r>
        <w:t xml:space="preserve">Although the Cypriot capital markets are open to</w:t>
      </w:r>
      <w:r>
        <w:t xml:space="preserve"> </w:t>
      </w:r>
      <w:r>
        <w:t xml:space="preserve">foreign investors, foreign participation is modest. The</w:t>
      </w:r>
      <w:r>
        <w:t xml:space="preserve"> </w:t>
      </w:r>
      <w:r>
        <w:t xml:space="preserve">limited foreign participation and preference for foreign</w:t>
      </w:r>
      <w:r>
        <w:t xml:space="preserve"> </w:t>
      </w:r>
      <w:r>
        <w:t xml:space="preserve">markets have contributed to the small size of the</w:t>
      </w:r>
      <w:r>
        <w:t xml:space="preserve"> </w:t>
      </w:r>
      <w:r>
        <w:t xml:space="preserve">domestic capital market. Meanwhile, many Cypriot</w:t>
      </w:r>
      <w:r>
        <w:t xml:space="preserve"> </w:t>
      </w:r>
      <w:r>
        <w:t xml:space="preserve">companies opt to list and raise funds on foreign</w:t>
      </w:r>
      <w:r>
        <w:t xml:space="preserve"> </w:t>
      </w:r>
      <w:r>
        <w:t xml:space="preserve">markets. In December 2024, the Cyprus Stock</w:t>
      </w:r>
      <w:r>
        <w:t xml:space="preserve"> </w:t>
      </w:r>
      <w:r>
        <w:t xml:space="preserve">Exchange’s (CSE) total equity market capitalization</w:t>
      </w:r>
      <w:r>
        <w:t xml:space="preserve"> </w:t>
      </w:r>
      <w:r>
        <w:t xml:space="preserve">was approximately 16.5% of GDP664, compared to the</w:t>
      </w:r>
      <w:r>
        <w:t xml:space="preserve"> </w:t>
      </w:r>
      <w:r>
        <w:t xml:space="preserve">outstanding value of Cypriot companies listed in</w:t>
      </w:r>
      <w:r>
        <w:t xml:space="preserve"> </w:t>
      </w:r>
      <w:r>
        <w:t xml:space="preserve">Cyprus and abroad, which amounted to 44.2% of the</w:t>
      </w:r>
      <w:r>
        <w:t xml:space="preserve"> </w:t>
      </w:r>
      <w:r>
        <w:t xml:space="preserve">country’s GDP (as shown in Table 6). The bonds</w:t>
      </w:r>
      <w:r>
        <w:t xml:space="preserve"> </w:t>
      </w:r>
      <w:r>
        <w:t xml:space="preserve">market is the primary driver of the domestic stock</w:t>
      </w:r>
      <w:r>
        <w:t xml:space="preserve"> </w:t>
      </w:r>
      <w:r>
        <w:t xml:space="preserve">exchange’s market capitalization, with the Cypriot</w:t>
      </w:r>
      <w:r>
        <w:t xml:space="preserve"> </w:t>
      </w:r>
      <w:r>
        <w:t xml:space="preserve">government being the main issuer of sovereign debt,</w:t>
      </w:r>
      <w:r>
        <w:t xml:space="preserve"> </w:t>
      </w:r>
      <w:r>
        <w:t xml:space="preserve">primarily targeting institutional investors, while the</w:t>
      </w:r>
      <w:r>
        <w:t xml:space="preserve"> </w:t>
      </w:r>
      <w:r>
        <w:t xml:space="preserve">corporate bond market remains underdeveloped.</w:t>
      </w:r>
    </w:p>
    <w:p>
      <w:pPr>
        <w:pStyle w:val="BodyText"/>
      </w:pPr>
      <w:r>
        <w:t xml:space="preserve">664 See Cyprus Stock Exchange Annual report and Fact book 2023.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1.7.4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Bank loans are the primary source of financing for</w:t>
      </w:r>
      <w:r>
        <w:t xml:space="preserve"> </w:t>
      </w:r>
      <w:r>
        <w:t xml:space="preserve">NFCs in Cyprus, with corporate bonds and listed</w:t>
      </w:r>
      <w:r>
        <w:t xml:space="preserve"> </w:t>
      </w:r>
      <w:r>
        <w:t xml:space="preserve">shares being underutilised. Specifically, bank loans</w:t>
      </w:r>
      <w:r>
        <w:t xml:space="preserve"> </w:t>
      </w:r>
      <w:r>
        <w:t xml:space="preserve">account for 45% of NFCs’ total financing needs, a level</w:t>
      </w:r>
      <w:r>
        <w:t xml:space="preserve"> </w:t>
      </w:r>
      <w:r>
        <w:t xml:space="preserve">significantly higher than the EU average of 27%. In</w:t>
      </w:r>
      <w:r>
        <w:t xml:space="preserve"> </w:t>
      </w:r>
      <w:r>
        <w:t xml:space="preserve">contrast, other forms of financing, such as unlisted</w:t>
      </w:r>
      <w:r>
        <w:t xml:space="preserve"> </w:t>
      </w:r>
      <w:r>
        <w:t xml:space="preserve">equity and participation in quasi-corporations (e.g. </w:t>
      </w:r>
      <w:r>
        <w:t xml:space="preserve"> </w:t>
      </w:r>
      <w:r>
        <w:t xml:space="preserve">partnerships), account for 52% of total financing,</w:t>
      </w:r>
      <w:r>
        <w:t xml:space="preserve"> </w:t>
      </w:r>
      <w:r>
        <w:t xml:space="preserve">exceeding the EU average of 45%. Consequently, the</w:t>
      </w:r>
      <w:r>
        <w:t xml:space="preserve"> </w:t>
      </w:r>
      <w:r>
        <w:t xml:space="preserve">level of financing through capital markets in Cyprus is</w:t>
      </w:r>
      <w:r>
        <w:t xml:space="preserve"> </w:t>
      </w:r>
      <w:r>
        <w:t xml:space="preserve">substantially lower than the EU average. In particular,</w:t>
      </w:r>
      <w:r>
        <w:t xml:space="preserve"> </w:t>
      </w:r>
      <w:r>
        <w:t xml:space="preserve">listed shares account for just over 1% of total financing</w:t>
      </w:r>
      <w:r>
        <w:t xml:space="preserve"> </w:t>
      </w:r>
      <w:r>
        <w:t xml:space="preserve">needs, while NFC bond issuance is virtually non-</w:t>
      </w:r>
      <w:r>
        <w:t xml:space="preserve"> </w:t>
      </w:r>
      <w:r>
        <w:t xml:space="preserve">existent (0.07%), compared to the respective EU</w:t>
      </w:r>
      <w:r>
        <w:t xml:space="preserve"> </w:t>
      </w:r>
      <w:r>
        <w:t xml:space="preserve">averages of 19.1% and 4.7%.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Cyprus’s capital markets are insufficiently deep</w:t>
      </w:r>
      <w:r>
        <w:t xml:space="preserve"> </w:t>
      </w:r>
      <w:r>
        <w:t xml:space="preserve">and play a limited role in financing domestic firms.</w:t>
      </w:r>
      <w:r>
        <w:t xml:space="preserve"> </w:t>
      </w:r>
      <w:r>
        <w:t xml:space="preserve">Albeit the market-funding has more than doubled over</w:t>
      </w:r>
      <w:r>
        <w:t xml:space="preserve"> </w:t>
      </w:r>
      <w:r>
        <w:t xml:space="preserve">the past decade, however, at 10.9% of GDP, Cyprus’s</w:t>
      </w:r>
      <w:r>
        <w:t xml:space="preserve"> </w:t>
      </w:r>
      <w:r>
        <w:t xml:space="preserve">market-funding ratio is one of the lowest in the EU,</w:t>
      </w:r>
      <w:r>
        <w:t xml:space="preserve"> </w:t>
      </w:r>
      <w:r>
        <w:t xml:space="preserve">where the average is close to 50% (see Table 6).</w:t>
      </w:r>
      <w:r>
        <w:t xml:space="preserve"> </w:t>
      </w:r>
      <w:r>
        <w:t xml:space="preserve">Cyprus’s equity market remains inefficient and</w:t>
      </w:r>
      <w:r>
        <w:t xml:space="preserve"> </w:t>
      </w:r>
      <w:r>
        <w:t xml:space="preserve">underutilised as Cypriot firms prefer to access</w:t>
      </w:r>
      <w:r>
        <w:t xml:space="preserve"> </w:t>
      </w:r>
      <w:r>
        <w:t xml:space="preserve">deeper capital pools abroad. The Cyprus Stock</w:t>
      </w:r>
      <w:r>
        <w:t xml:space="preserve"> </w:t>
      </w:r>
      <w:r>
        <w:t xml:space="preserve">Exchange (CSE) is the country’s only regulated</w:t>
      </w:r>
      <w:r>
        <w:t xml:space="preserve"> </w:t>
      </w:r>
      <w:r>
        <w:t xml:space="preserve">exchange and facilitates equity and bond transactions</w:t>
      </w:r>
      <w:r>
        <w:t xml:space="preserve"> </w:t>
      </w:r>
      <w:r>
        <w:t xml:space="preserve">through its main and alternative equity markets, the</w:t>
      </w:r>
      <w:r>
        <w:t xml:space="preserve"> </w:t>
      </w:r>
      <w:r>
        <w:t xml:space="preserve">emerging companies’ market, and its bonds markets.</w:t>
      </w:r>
      <w:r>
        <w:t xml:space="preserve"> </w:t>
      </w:r>
      <w:r>
        <w:t xml:space="preserve">The CSE operates its own trading, clearing, and</w:t>
      </w:r>
      <w:r>
        <w:t xml:space="preserve"> </w:t>
      </w:r>
      <w:r>
        <w:t xml:space="preserve">settlement systems.665 Despite having the necessary</w:t>
      </w:r>
      <w:r>
        <w:t xml:space="preserve"> </w:t>
      </w:r>
      <w:r>
        <w:t xml:space="preserve">665 See Cyprus Stock Exchange #4 Annual report and Fact book</w:t>
      </w:r>
      <w:r>
        <w:t xml:space="preserve"> </w:t>
      </w:r>
      <w:r>
        <w:t xml:space="preserve">2023.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CY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426</w:t>
      </w:r>
      <w:r>
        <w:t xml:space="preserve"> </w:t>
      </w:r>
      <w:r>
        <w:t xml:space="preserve">infrastructure in place, the equity market is</w:t>
      </w:r>
      <w:r>
        <w:t xml:space="preserve"> </w:t>
      </w:r>
      <w:r>
        <w:t xml:space="preserve">underdeveloped. Nevertheless, in December 2024, the</w:t>
      </w:r>
      <w:r>
        <w:t xml:space="preserve"> </w:t>
      </w:r>
      <w:r>
        <w:t xml:space="preserve">Cyprus Stock Exchange’s (CSE) total equity market</w:t>
      </w:r>
      <w:r>
        <w:t xml:space="preserve"> </w:t>
      </w:r>
      <w:r>
        <w:t xml:space="preserve">capitalization was approximately 16.5% of GDP. As at</w:t>
      </w:r>
      <w:r>
        <w:t xml:space="preserve"> </w:t>
      </w:r>
      <w:r>
        <w:t xml:space="preserve">that date, the total outstanding value of all shares issued</w:t>
      </w:r>
      <w:r>
        <w:t xml:space="preserve"> </w:t>
      </w:r>
      <w:r>
        <w:t xml:space="preserve">worldwide by Cypriot resident companies stood at</w:t>
      </w:r>
      <w:r>
        <w:t xml:space="preserve"> </w:t>
      </w:r>
      <w:r>
        <w:t xml:space="preserve">44.2%. This difference indicates that Cypriot firms</w:t>
      </w:r>
      <w:r>
        <w:t xml:space="preserve"> </w:t>
      </w:r>
      <w:r>
        <w:t xml:space="preserve">prefer to seek access to larger, more liquid international</w:t>
      </w:r>
      <w:r>
        <w:t xml:space="preserve"> </w:t>
      </w:r>
      <w:r>
        <w:t xml:space="preserve">markets. Specifically, Cypriot financial entities listed</w:t>
      </w:r>
      <w:r>
        <w:t xml:space="preserve"> </w:t>
      </w:r>
      <w:r>
        <w:t xml:space="preserve">on the CSE were valued at 46% of the total outstanding</w:t>
      </w:r>
      <w:r>
        <w:t xml:space="preserve"> </w:t>
      </w:r>
      <w:r>
        <w:t xml:space="preserve">value of Cypriot firms listed worldwide (EUR 4.5 bn</w:t>
      </w:r>
      <w:r>
        <w:t xml:space="preserve"> </w:t>
      </w:r>
      <w:r>
        <w:t xml:space="preserve">as compared to the EUR 9.5 bn). For non-financial</w:t>
      </w:r>
      <w:r>
        <w:t xml:space="preserve"> </w:t>
      </w:r>
      <w:r>
        <w:t xml:space="preserve">entities the ratio was even lower at 22% (EUR 1.2 bn</w:t>
      </w:r>
      <w:r>
        <w:t xml:space="preserve"> </w:t>
      </w:r>
      <w:r>
        <w:t xml:space="preserve">over EUR 5.3 bn) These relatively low ratios suggest</w:t>
      </w:r>
      <w:r>
        <w:t xml:space="preserve"> </w:t>
      </w:r>
      <w:r>
        <w:t xml:space="preserve">that Cypriot companies, particularly non-financial</w:t>
      </w:r>
      <w:r>
        <w:t xml:space="preserve"> </w:t>
      </w:r>
      <w:r>
        <w:t xml:space="preserve">ones, tend to list abroad rather than on the domestic</w:t>
      </w:r>
      <w:r>
        <w:t xml:space="preserve"> </w:t>
      </w:r>
      <w:r>
        <w:t xml:space="preserve">exchange. This likely reflects structural limitations of</w:t>
      </w:r>
      <w:r>
        <w:t xml:space="preserve"> </w:t>
      </w:r>
      <w:r>
        <w:t xml:space="preserve">the CSE, including shallow liquidity, a limited investor</w:t>
      </w:r>
      <w:r>
        <w:t xml:space="preserve"> </w:t>
      </w:r>
      <w:r>
        <w:t xml:space="preserve">base, and potentially regulatory or reputational</w:t>
      </w:r>
      <w:r>
        <w:t xml:space="preserve"> </w:t>
      </w:r>
      <w:r>
        <w:t xml:space="preserve">constraints. In this context, the CSE appears to be a less</w:t>
      </w:r>
      <w:r>
        <w:t xml:space="preserve"> </w:t>
      </w:r>
      <w:r>
        <w:t xml:space="preserve">attractive</w:t>
      </w:r>
      <w:r>
        <w:t xml:space="preserve"> </w:t>
      </w:r>
      <w:r>
        <w:t xml:space="preserve">venue,</w:t>
      </w:r>
      <w:r>
        <w:t xml:space="preserve"> </w:t>
      </w:r>
      <w:r>
        <w:t xml:space="preserve">especially</w:t>
      </w:r>
      <w:r>
        <w:t xml:space="preserve"> </w:t>
      </w:r>
      <w:r>
        <w:t xml:space="preserve">for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corporates seeking capital.</w:t>
      </w:r>
      <w:r>
        <w:br/>
      </w:r>
      <w:r>
        <w:t xml:space="preserve">1.7.5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Group666.</w:t>
      </w:r>
      <w:r>
        <w:t xml:space="preserve"> </w:t>
      </w:r>
      <w:r>
        <w:t xml:space="preserve">The CSE’s performance has experienced a dramatic</w:t>
      </w:r>
      <w:r>
        <w:t xml:space="preserve"> </w:t>
      </w:r>
      <w:r>
        <w:t xml:space="preserve">decline since the 2008 crisis, particularly after the 2013</w:t>
      </w:r>
      <w:r>
        <w:t xml:space="preserve"> </w:t>
      </w:r>
      <w:r>
        <w:t xml:space="preserve">bail-in of ex-Laiki Bank. The bank index went from its</w:t>
      </w:r>
      <w:r>
        <w:t xml:space="preserve"> </w:t>
      </w:r>
      <w:r>
        <w:t xml:space="preserve">base value of 100% in January 2008 to virtually zero in</w:t>
      </w:r>
      <w:r>
        <w:t xml:space="preserve"> </w:t>
      </w:r>
      <w:r>
        <w:t xml:space="preserve">2013, reflecting the severity of the Cypriot banking</w:t>
      </w:r>
      <w:r>
        <w:t xml:space="preserve"> </w:t>
      </w:r>
      <w:r>
        <w:t xml:space="preserve">crisis. The CSE General Price Index followed a very</w:t>
      </w:r>
      <w:r>
        <w:t xml:space="preserve"> </w:t>
      </w:r>
      <w:r>
        <w:t xml:space="preserve">similar pattern, also falling to bottom, mirroring the</w:t>
      </w:r>
      <w:r>
        <w:t xml:space="preserve"> </w:t>
      </w:r>
      <w:r>
        <w:t xml:space="preserve">collapse of the broader market. In contrast, European</w:t>
      </w:r>
      <w:r>
        <w:t xml:space="preserve"> </w:t>
      </w:r>
      <w:r>
        <w:t xml:space="preserve">banks, as measured by the STOXX Europe 600 Banks</w:t>
      </w:r>
    </w:p>
    <w:p>
      <w:pPr>
        <w:pStyle w:val="BodyText"/>
      </w:pPr>
      <w:r>
        <w:t xml:space="preserve">666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index, also declined sharply during 2008-2009, but not</w:t>
      </w:r>
      <w:r>
        <w:t xml:space="preserve"> </w:t>
      </w:r>
      <w:r>
        <w:t xml:space="preserve">to the same extent as in the CSE. The European banks’</w:t>
      </w:r>
      <w:r>
        <w:t xml:space="preserve"> </w:t>
      </w:r>
      <w:r>
        <w:t xml:space="preserve">index bottomed out at around 20% of its 2008 base</w:t>
      </w:r>
      <w:r>
        <w:t xml:space="preserve"> </w:t>
      </w:r>
      <w:r>
        <w:t xml:space="preserve">value before recovering to its current value of 65% in</w:t>
      </w:r>
      <w:r>
        <w:t xml:space="preserve"> </w:t>
      </w:r>
      <w:r>
        <w:t xml:space="preserve">June 2025. Starting in 2021, both the CSE Bank index</w:t>
      </w:r>
      <w:r>
        <w:t xml:space="preserve"> </w:t>
      </w:r>
      <w:r>
        <w:t xml:space="preserve">and the CSE General Index began to show signs of</w:t>
      </w:r>
      <w:r>
        <w:t xml:space="preserve"> </w:t>
      </w:r>
      <w:r>
        <w:t xml:space="preserve">recovery, though from extremely depressed levels. The</w:t>
      </w:r>
      <w:r>
        <w:t xml:space="preserve"> </w:t>
      </w:r>
      <w:r>
        <w:t xml:space="preserve">equities market is not a popular means of raising</w:t>
      </w:r>
      <w:r>
        <w:t xml:space="preserve"> </w:t>
      </w:r>
      <w:r>
        <w:t xml:space="preserve">finance and there have been no material Initial Public</w:t>
      </w:r>
      <w:r>
        <w:t xml:space="preserve"> </w:t>
      </w:r>
      <w:r>
        <w:t xml:space="preserve">Offerings (IPOs) in the main market since 2018.</w:t>
      </w:r>
      <w:r>
        <w:t xml:space="preserve"> </w:t>
      </w:r>
      <w:r>
        <w:t xml:space="preserve">Cypriot equity market inefficiency is also evidenced by</w:t>
      </w:r>
      <w:r>
        <w:t xml:space="preserve"> </w:t>
      </w:r>
      <w:r>
        <w:t xml:space="preserve">high bid-ask spreads, which -albeit – have decreased</w:t>
      </w:r>
      <w:r>
        <w:t xml:space="preserve"> </w:t>
      </w:r>
      <w:r>
        <w:t xml:space="preserve">from 7.6% in 2015 to 3.7% in 2023, still remain</w:t>
      </w:r>
      <w:r>
        <w:t xml:space="preserve"> </w:t>
      </w:r>
      <w:r>
        <w:t xml:space="preserve">significantly above the EU average of 1.6%. A lack of</w:t>
      </w:r>
      <w:r>
        <w:t xml:space="preserve"> </w:t>
      </w:r>
      <w:r>
        <w:t xml:space="preserve">investable assets, shallow market depth, and higher</w:t>
      </w:r>
      <w:r>
        <w:t xml:space="preserve"> </w:t>
      </w:r>
      <w:r>
        <w:t xml:space="preserve">perceived risks associated with traded stocks -partly</w:t>
      </w:r>
      <w:r>
        <w:t xml:space="preserve"> </w:t>
      </w:r>
      <w:r>
        <w:t xml:space="preserve">rooted in legacy issues667- are key factors contributing</w:t>
      </w:r>
      <w:r>
        <w:t xml:space="preserve"> </w:t>
      </w:r>
      <w:r>
        <w:t xml:space="preserve">to the inefficiency and underutilisation of the CSE.</w:t>
      </w:r>
      <w:r>
        <w:t xml:space="preserve"> </w:t>
      </w:r>
      <w:r>
        <w:t xml:space="preserve">With its announced privatisation668, the CSE aims to</w:t>
      </w:r>
      <w:r>
        <w:t xml:space="preserve"> </w:t>
      </w:r>
      <w:r>
        <w:t xml:space="preserve">reposition itself as a significant player in the country’s</w:t>
      </w:r>
      <w:r>
        <w:t xml:space="preserve"> </w:t>
      </w:r>
      <w:r>
        <w:t xml:space="preserve">financial landscape.</w:t>
      </w:r>
      <w:r>
        <w:br/>
      </w:r>
      <w:r>
        <w:t xml:space="preserve">1.7.6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The bond market remains virtually untapped by</w:t>
      </w:r>
      <w:r>
        <w:t xml:space="preserve"> </w:t>
      </w:r>
      <w:r>
        <w:t xml:space="preserve">local NFCs. Corporate bond issuance is rare, with most</w:t>
      </w:r>
      <w:r>
        <w:t xml:space="preserve"> </w:t>
      </w:r>
      <w:r>
        <w:t xml:space="preserve">companies, including large corporates, relying heavily</w:t>
      </w:r>
      <w:r>
        <w:t xml:space="preserve"> </w:t>
      </w:r>
      <w:r>
        <w:t xml:space="preserve">on bank lending. Only banks accounted positive net</w:t>
      </w:r>
      <w:r>
        <w:t xml:space="preserve"> </w:t>
      </w:r>
      <w:r>
        <w:t xml:space="preserve">bond issuances in 2022, 2023 and 2024, mostly to</w:t>
      </w:r>
      <w:r>
        <w:t xml:space="preserve"> </w:t>
      </w:r>
      <w:r>
        <w:t xml:space="preserve">comply with their MREL requirement. All other</w:t>
      </w:r>
      <w:r>
        <w:t xml:space="preserve"> </w:t>
      </w:r>
      <w:r>
        <w:t xml:space="preserve">participants, including the government have net</w:t>
      </w:r>
      <w:r>
        <w:t xml:space="preserve"> </w:t>
      </w:r>
      <w:r>
        <w:t xml:space="preserve">redemptions the past 3 years. While for the</w:t>
      </w:r>
      <w:r>
        <w:t xml:space="preserve"> </w:t>
      </w:r>
      <w:r>
        <w:t xml:space="preserve">government,</w:t>
      </w:r>
      <w:r>
        <w:t xml:space="preserve"> </w:t>
      </w:r>
      <w:r>
        <w:t xml:space="preserve">this</w:t>
      </w:r>
      <w:r>
        <w:t xml:space="preserve"> </w:t>
      </w:r>
      <w:r>
        <w:t xml:space="preserve">behaviour</w:t>
      </w:r>
      <w:r>
        <w:t xml:space="preserve"> </w:t>
      </w:r>
      <w:r>
        <w:t xml:space="preserve">reflects</w:t>
      </w:r>
      <w:r>
        <w:t xml:space="preserve"> </w:t>
      </w:r>
      <w:r>
        <w:t xml:space="preserve">fiscal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667 The CSE stock market bubble and crash of 1999–2000, just three</w:t>
      </w:r>
      <w:r>
        <w:t xml:space="preserve"> </w:t>
      </w:r>
      <w:r>
        <w:t xml:space="preserve">years after trading began, severely undermined investors’ trust</w:t>
      </w:r>
      <w:r>
        <w:t xml:space="preserve"> </w:t>
      </w:r>
      <w:r>
        <w:t xml:space="preserve">in the exchange, whereas 15 years later, the bail-in of ex-Laiki</w:t>
      </w:r>
      <w:r>
        <w:t xml:space="preserve"> </w:t>
      </w:r>
      <w:r>
        <w:t xml:space="preserve">bank and the near collapse of Bank of Cyprus wiped out all</w:t>
      </w:r>
      <w:r>
        <w:t xml:space="preserve"> </w:t>
      </w:r>
      <w:r>
        <w:t xml:space="preserve">shareholders at the time.</w:t>
      </w:r>
      <w:r>
        <w:t xml:space="preserve"> </w:t>
      </w:r>
      <w:r>
        <w:t xml:space="preserve">668 See C3.3R5 of the Cypriot recovery and resilience plan; the</w:t>
      </w:r>
      <w:r>
        <w:t xml:space="preserve"> </w:t>
      </w:r>
      <w:r>
        <w:t xml:space="preserve">reform has already been approved by the Council of Ministers.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CY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CYPRUS GENERAL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-4.0</w:t>
      </w:r>
      <w:r>
        <w:t xml:space="preserve"> </w:t>
      </w:r>
      <w:r>
        <w:t xml:space="preserve">-3.0</w:t>
      </w:r>
      <w:r>
        <w:t xml:space="preserve"> </w:t>
      </w:r>
      <w:r>
        <w:t xml:space="preserve">-2.0</w:t>
      </w:r>
      <w:r>
        <w:t xml:space="preserve"> </w:t>
      </w:r>
      <w:r>
        <w:t xml:space="preserve">-1.0</w:t>
      </w:r>
      <w:r>
        <w:t xml:space="preserve"> </w:t>
      </w:r>
      <w:r>
        <w:t xml:space="preserve">0.0</w:t>
      </w:r>
      <w:r>
        <w:t xml:space="preserve"> </w:t>
      </w:r>
      <w:r>
        <w:t xml:space="preserve">1.0</w:t>
      </w:r>
      <w:r>
        <w:t xml:space="preserve"> </w:t>
      </w:r>
      <w:r>
        <w:t xml:space="preserve">2.0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427</w:t>
      </w:r>
      <w:r>
        <w:t xml:space="preserve"> </w:t>
      </w:r>
      <w:r>
        <w:t xml:space="preserve">consolidation efforts, for the NFCs it is clear evidence</w:t>
      </w:r>
      <w:r>
        <w:t xml:space="preserve"> </w:t>
      </w:r>
      <w:r>
        <w:t xml:space="preserve">that bond market as a means of raising finance is non-</w:t>
      </w:r>
      <w:r>
        <w:t xml:space="preserve"> </w:t>
      </w:r>
      <w:r>
        <w:t xml:space="preserve">existent. This is partly attributed to the economy’s</w:t>
      </w:r>
      <w:r>
        <w:t xml:space="preserve"> </w:t>
      </w:r>
      <w:r>
        <w:t xml:space="preserve">structure. Cyprus is a service-oriented economy that</w:t>
      </w:r>
      <w:r>
        <w:t xml:space="preserve"> </w:t>
      </w:r>
      <w:r>
        <w:t xml:space="preserve">requires less capital investment. In addition, large</w:t>
      </w:r>
      <w:r>
        <w:t xml:space="preserve"> </w:t>
      </w:r>
      <w:r>
        <w:t xml:space="preserve">NFCs, are scarce as the backbone of the economy is</w:t>
      </w:r>
      <w:r>
        <w:t xml:space="preserve"> </w:t>
      </w:r>
      <w:r>
        <w:t xml:space="preserve">formed by small and medium enterprises (SMEs), and</w:t>
      </w:r>
      <w:r>
        <w:t xml:space="preserve"> </w:t>
      </w:r>
      <w:r>
        <w:t xml:space="preserve">in particular very small family business that mostly rely</w:t>
      </w:r>
      <w:r>
        <w:t xml:space="preserve"> </w:t>
      </w:r>
      <w:r>
        <w:t xml:space="preserve">on readily available bank loans. Moreover, investor</w:t>
      </w:r>
      <w:r>
        <w:t xml:space="preserve"> </w:t>
      </w:r>
      <w:r>
        <w:t xml:space="preserve">appetite for Cypriot corporate bonds, other than those</w:t>
      </w:r>
      <w:r>
        <w:t xml:space="preserve"> </w:t>
      </w:r>
      <w:r>
        <w:t xml:space="preserve">issued by credit institutions, is uncertain given the</w:t>
      </w:r>
      <w:r>
        <w:t xml:space="preserve"> </w:t>
      </w:r>
      <w:r>
        <w:t xml:space="preserve">absence of credit ratings.</w:t>
      </w:r>
      <w:r>
        <w:br/>
      </w:r>
      <w:r>
        <w:t xml:space="preserve">Retail participation in capital markets</w:t>
      </w:r>
      <w:r>
        <w:t xml:space="preserve"> </w:t>
      </w:r>
      <w:r>
        <w:t xml:space="preserve">1.7.7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Cypriot households heavily favour holding their</w:t>
      </w:r>
      <w:r>
        <w:t xml:space="preserve"> </w:t>
      </w:r>
      <w:r>
        <w:t xml:space="preserve">financial assets in deposits over other types of</w:t>
      </w:r>
      <w:r>
        <w:t xml:space="preserve"> </w:t>
      </w:r>
      <w:r>
        <w:t xml:space="preserve">investments. On average, they allocate 59% of their</w:t>
      </w:r>
      <w:r>
        <w:t xml:space="preserve"> </w:t>
      </w:r>
      <w:r>
        <w:t xml:space="preserve">financial assets to deposits, significantly higher than</w:t>
      </w:r>
      <w:r>
        <w:t xml:space="preserve"> </w:t>
      </w:r>
      <w:r>
        <w:t xml:space="preserve">the EU average of 32%. Their second largest exposure,</w:t>
      </w:r>
      <w:r>
        <w:t xml:space="preserve"> </w:t>
      </w:r>
      <w:r>
        <w:t xml:space="preserve">around 18%, is in unlisted shares, which indicates a</w:t>
      </w:r>
      <w:r>
        <w:t xml:space="preserve"> </w:t>
      </w:r>
      <w:r>
        <w:t xml:space="preserve">strong culture of private or family-owned businesses.</w:t>
      </w:r>
      <w:r>
        <w:t xml:space="preserve"> </w:t>
      </w:r>
      <w:r>
        <w:t xml:space="preserve">Unlike most EU households, Cypriot households tend</w:t>
      </w:r>
      <w:r>
        <w:t xml:space="preserve"> </w:t>
      </w:r>
      <w:r>
        <w:t xml:space="preserve">to avoid diversified investment products, allocating</w:t>
      </w:r>
      <w:r>
        <w:t xml:space="preserve"> </w:t>
      </w:r>
      <w:r>
        <w:t xml:space="preserve">only 13% of their financial assets to insurance and</w:t>
      </w:r>
      <w:r>
        <w:t xml:space="preserve"> </w:t>
      </w:r>
      <w:r>
        <w:t xml:space="preserve">pension funds, and 3% to investment funds, compared</w:t>
      </w:r>
      <w:r>
        <w:t xml:space="preserve"> </w:t>
      </w:r>
      <w:r>
        <w:t xml:space="preserve">to the EU averages of 28% and 10%, respectively. A</w:t>
      </w:r>
      <w:r>
        <w:t xml:space="preserve"> </w:t>
      </w:r>
      <w:r>
        <w:t xml:space="preserve">key factor contributing to this investment behaviour is</w:t>
      </w:r>
      <w:r>
        <w:t xml:space="preserve"> </w:t>
      </w:r>
      <w:r>
        <w:t xml:space="preserve">the higher private indebtedness of Cypriot households,</w:t>
      </w:r>
      <w:r>
        <w:t xml:space="preserve"> </w:t>
      </w:r>
      <w:r>
        <w:t xml:space="preserve">which results in a lower saving rate and restricts the</w:t>
      </w:r>
      <w:r>
        <w:t xml:space="preserve"> </w:t>
      </w:r>
      <w:r>
        <w:t xml:space="preserve">availability of funds for investment in capital markets.</w:t>
      </w:r>
      <w:r>
        <w:t xml:space="preserve"> </w:t>
      </w:r>
      <w:r>
        <w:t xml:space="preserve">1.8 Czech Republic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1.8.1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The growing net private savings of the Czech</w:t>
      </w:r>
      <w:r>
        <w:t xml:space="preserve"> </w:t>
      </w:r>
      <w:r>
        <w:t xml:space="preserve">economy have been mostly supporting domestic</w:t>
      </w:r>
      <w:r>
        <w:t xml:space="preserve"> </w:t>
      </w:r>
      <w:r>
        <w:t xml:space="preserve">private investment and public finances. As of end-</w:t>
      </w:r>
      <w:r>
        <w:t xml:space="preserve"> </w:t>
      </w:r>
      <w:r>
        <w:t xml:space="preserve">2023, the private savings ratio, net of fixed capital</w:t>
      </w:r>
      <w:r>
        <w:t xml:space="preserve"> </w:t>
      </w:r>
      <w:r>
        <w:t xml:space="preserve">consumption, which has been on a persistently rising</w:t>
      </w:r>
      <w:r>
        <w:t xml:space="preserve"> </w:t>
      </w:r>
      <w:r>
        <w:t xml:space="preserve">trend, had reached 11.9% of GDP. It normalised at</w:t>
      </w:r>
      <w:r>
        <w:t xml:space="preserve"> </w:t>
      </w:r>
      <w:r>
        <w:t xml:space="preserve">7.4% in 2024, remaining however above its 10-year</w:t>
      </w:r>
      <w:r>
        <w:t xml:space="preserve"> </w:t>
      </w:r>
      <w:r>
        <w:t xml:space="preserve">average of 6.4% (see Graph 2.6.1). The net private</w:t>
      </w:r>
      <w:r>
        <w:t xml:space="preserve"> </w:t>
      </w:r>
      <w:r>
        <w:t xml:space="preserve">investment ratio, which measures the net contribution</w:t>
      </w:r>
      <w:r>
        <w:t xml:space="preserve"> </w:t>
      </w:r>
      <w:r>
        <w:t xml:space="preserve">of the private sector to capital accumulation in the</w:t>
      </w:r>
      <w:r>
        <w:t xml:space="preserve"> </w:t>
      </w:r>
      <w:r>
        <w:t xml:space="preserve">country, did not exhibit such a growing trend and</w:t>
      </w:r>
      <w:r>
        <w:t xml:space="preserve"> </w:t>
      </w:r>
      <w:r>
        <w:t xml:space="preserve">averaged 4% of GDP, with a maximum of 7.6% in</w:t>
      </w:r>
      <w:r>
        <w:t xml:space="preserve"> </w:t>
      </w:r>
      <w:r>
        <w:t xml:space="preserve">2022 and reaching only 2.3% of GDP in 2024.</w:t>
      </w:r>
      <w:r>
        <w:t xml:space="preserve"> </w:t>
      </w:r>
      <w:r>
        <w:t xml:space="preserve">Moreover, since 2020 the government budget is no</w:t>
      </w:r>
      <w:r>
        <w:t xml:space="preserve"> </w:t>
      </w:r>
      <w:r>
        <w:t xml:space="preserve">longer balanced, which resulted in an average ten-year</w:t>
      </w:r>
      <w:r>
        <w:t xml:space="preserve"> </w:t>
      </w:r>
      <w:r>
        <w:t xml:space="preserve">deficit equivalent to 1.7% of GDP. Due to these trends,</w:t>
      </w:r>
      <w:r>
        <w:t xml:space="preserve"> </w:t>
      </w:r>
      <w:r>
        <w:t xml:space="preserve">the Czech economy was a creditor to the rest of the</w:t>
      </w:r>
      <w:r>
        <w:t xml:space="preserve"> </w:t>
      </w:r>
      <w:r>
        <w:t xml:space="preserve">world for about 0.7% of its annual GDP during 2015-</w:t>
      </w:r>
      <w:r>
        <w:t xml:space="preserve"> </w:t>
      </w:r>
      <w:r>
        <w:t xml:space="preserve">2024. Thus, while net private savings have been</w:t>
      </w:r>
      <w:r>
        <w:t xml:space="preserve"> </w:t>
      </w:r>
      <w:r>
        <w:t xml:space="preserve">absorbed domestically until recently, their future</w:t>
      </w:r>
      <w:r>
        <w:t xml:space="preserve"> </w:t>
      </w:r>
      <w:r>
        <w:t xml:space="preserve">growth could lead the Czech economy to become a</w:t>
      </w:r>
      <w:r>
        <w:t xml:space="preserve"> </w:t>
      </w:r>
      <w:r>
        <w:t xml:space="preserve">more pronounced lender to foreigners.</w:t>
      </w:r>
      <w:r>
        <w:t xml:space="preserve"> </w:t>
      </w:r>
      <w:r>
        <w:t xml:space="preserve">The Czech economy has managed to improve its</w:t>
      </w:r>
      <w:r>
        <w:t xml:space="preserve"> </w:t>
      </w:r>
      <w:r>
        <w:t xml:space="preserve">(negative) net international investment position in</w:t>
      </w:r>
      <w:r>
        <w:t xml:space="preserve"> </w:t>
      </w:r>
      <w:r>
        <w:t xml:space="preserve">recent years. As of Q4 2024, total assets on foreigners</w:t>
      </w:r>
      <w:r>
        <w:t xml:space="preserve"> </w:t>
      </w:r>
      <w:r>
        <w:t xml:space="preserve">reached circa 119.6% of GDP, down from 126.2% in</w:t>
      </w:r>
      <w:r>
        <w:t xml:space="preserve"> </w:t>
      </w:r>
      <w:r>
        <w:t xml:space="preserve">2017, while liabilities to foreigners stood at 126.5% of</w:t>
      </w:r>
      <w:r>
        <w:t xml:space="preserve"> </w:t>
      </w:r>
      <w:r>
        <w:t xml:space="preserve">GDP, down from 151.6% in 2017. As a result, the</w:t>
      </w:r>
      <w:r>
        <w:t xml:space="preserve"> </w:t>
      </w:r>
      <w:r>
        <w:t xml:space="preserve">negative net international investment position (NIIP)</w:t>
      </w:r>
      <w:r>
        <w:t xml:space="preserve"> </w:t>
      </w:r>
      <w:r>
        <w:t xml:space="preserve">came down from -25.4% of GDP in 2017 to -6.9% of</w:t>
      </w:r>
      <w:r>
        <w:t xml:space="preserve"> </w:t>
      </w:r>
      <w:r>
        <w:t xml:space="preserve">GDP as of Q4 2024, showing that the Czech economy</w:t>
      </w:r>
      <w:r>
        <w:t xml:space="preserve"> </w:t>
      </w:r>
      <w:r>
        <w:t xml:space="preserve">remains nevertheless a net borrower from the rest of the</w:t>
      </w:r>
      <w:r>
        <w:t xml:space="preserve"> </w:t>
      </w:r>
      <w:r>
        <w:t xml:space="preserve">world in terms of outstanding net foreign assets (see</w:t>
      </w:r>
      <w:r>
        <w:t xml:space="preserve"> </w:t>
      </w:r>
      <w:r>
        <w:t xml:space="preserve">Graph 2.6.2). The improvement in the NIIP is</w:t>
      </w:r>
      <w:r>
        <w:t xml:space="preserve"> </w:t>
      </w:r>
      <w:r>
        <w:t xml:space="preserve">structural and concerns all forms of investment. During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CY</w:t>
      </w:r>
      <w:r>
        <w:t xml:space="preserve"> </w:t>
      </w:r>
      <w:r>
        <w:t xml:space="preserve">EU</w:t>
      </w:r>
      <w:r>
        <w:t xml:space="preserve"> </w:t>
      </w:r>
      <w:r>
        <w:t xml:space="preserve">CY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428</w:t>
      </w:r>
      <w:r>
        <w:t xml:space="preserve"> </w:t>
      </w:r>
      <w:r>
        <w:t xml:space="preserve">2017-2024, the net stock of foreign direct investment</w:t>
      </w:r>
      <w:r>
        <w:t xml:space="preserve"> </w:t>
      </w:r>
      <w:r>
        <w:t xml:space="preserve">grew by 9.6 percentage points of GDP, the net stock of</w:t>
      </w:r>
      <w:r>
        <w:t xml:space="preserve"> </w:t>
      </w:r>
      <w:r>
        <w:t xml:space="preserve">portfolio investment increased by 10.1 percentage</w:t>
      </w:r>
      <w:r>
        <w:t xml:space="preserve"> </w:t>
      </w:r>
      <w:r>
        <w:t xml:space="preserve">points of GDP, and the net stock of other investments</w:t>
      </w:r>
      <w:r>
        <w:t xml:space="preserve"> </w:t>
      </w:r>
      <w:r>
        <w:t xml:space="preserve">expanded by 17.4 percentage points of GDP. However,</w:t>
      </w:r>
      <w:r>
        <w:t xml:space="preserve"> </w:t>
      </w:r>
      <w:r>
        <w:t xml:space="preserve">the overall impact in NIIP was more limited, with an</w:t>
      </w:r>
      <w:r>
        <w:t xml:space="preserve"> </w:t>
      </w:r>
      <w:r>
        <w:t xml:space="preserve">increase of only 18.5 percentage points of GDP,</w:t>
      </w:r>
      <w:r>
        <w:t xml:space="preserve"> </w:t>
      </w:r>
      <w:r>
        <w:t xml:space="preserve">because the stock of official foreign reserves declined</w:t>
      </w:r>
      <w:r>
        <w:t xml:space="preserve"> </w:t>
      </w:r>
      <w:r>
        <w:t xml:space="preserve">by 18.6 percentage points down to 44.1% of GDP as of</w:t>
      </w:r>
      <w:r>
        <w:t xml:space="preserve"> </w:t>
      </w:r>
      <w:r>
        <w:t xml:space="preserve">Q4 2024. Thus, lately, the Czech economy has been</w:t>
      </w:r>
      <w:r>
        <w:t xml:space="preserve"> </w:t>
      </w:r>
      <w:r>
        <w:t xml:space="preserve">accumulating more private assets on foreigners,</w:t>
      </w:r>
      <w:r>
        <w:t xml:space="preserve"> </w:t>
      </w:r>
      <w:r>
        <w:t xml:space="preserve">improving its still negative NIIP position.</w:t>
      </w:r>
      <w:r>
        <w:t xml:space="preserve"> </w:t>
      </w:r>
      <w:r>
        <w:t xml:space="preserve">1.8.2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The financial sector in Czechia is dominated by</w:t>
      </w:r>
      <w:r>
        <w:t xml:space="preserve"> </w:t>
      </w:r>
      <w:r>
        <w:t xml:space="preserve">banks, while investment funds have gained in</w:t>
      </w:r>
      <w:r>
        <w:t xml:space="preserve"> </w:t>
      </w:r>
      <w:r>
        <w:t xml:space="preserve">importance. After peaking at 141% of GDP in 2021,</w:t>
      </w:r>
      <w:r>
        <w:t xml:space="preserve"> </w:t>
      </w:r>
      <w:r>
        <w:t xml:space="preserve">the size of the banking sector declined to 132.6% of</w:t>
      </w:r>
      <w:r>
        <w:t xml:space="preserve"> </w:t>
      </w:r>
      <w:r>
        <w:t xml:space="preserve">GDP in 2024 but continues to lead the Czech financial</w:t>
      </w:r>
      <w:r>
        <w:t xml:space="preserve"> </w:t>
      </w:r>
      <w:r>
        <w:t xml:space="preserve">sector, representing circa 80% of its assets. The</w:t>
      </w:r>
      <w:r>
        <w:t xml:space="preserve"> </w:t>
      </w:r>
      <w:r>
        <w:t xml:space="preserve">insurance sector, with total assets that declined from</w:t>
      </w:r>
      <w:r>
        <w:t xml:space="preserve"> </w:t>
      </w:r>
      <w:r>
        <w:t xml:space="preserve">8% of GDP at end-2020 to less than 6% of GDP at end-</w:t>
      </w:r>
      <w:r>
        <w:t xml:space="preserve"> </w:t>
      </w:r>
      <w:r>
        <w:t xml:space="preserve">2024, stays much behind the EU average of 55%. Third</w:t>
      </w:r>
      <w:r>
        <w:t xml:space="preserve"> </w:t>
      </w:r>
      <w:r>
        <w:t xml:space="preserve">pillar pension funds accounted for 7.8% of GDP669 at</w:t>
      </w:r>
      <w:r>
        <w:t xml:space="preserve"> </w:t>
      </w:r>
      <w:r>
        <w:t xml:space="preserve">end-2024, down from 8.1% of GDP in 2023, albeit</w:t>
      </w:r>
      <w:r>
        <w:t xml:space="preserve"> </w:t>
      </w:r>
      <w:r>
        <w:t xml:space="preserve">their assets were 1.2% up in nominal terms over the</w:t>
      </w:r>
      <w:r>
        <w:t xml:space="preserve"> </w:t>
      </w:r>
      <w:r>
        <w:t xml:space="preserve">period. From all non-bank financial intermediaries,</w:t>
      </w:r>
      <w:r>
        <w:t xml:space="preserve"> </w:t>
      </w:r>
      <w:r>
        <w:t xml:space="preserve">only investment funds have shown significant growth,</w:t>
      </w:r>
      <w:r>
        <w:t xml:space="preserve"> </w:t>
      </w:r>
      <w:r>
        <w:t xml:space="preserve">reaching the equivalent of 20.6% of GDP at end-2024,</w:t>
      </w:r>
      <w:r>
        <w:t xml:space="preserve"> </w:t>
      </w:r>
      <w:r>
        <w:t xml:space="preserve">up from 11.7% at end-2020.</w:t>
      </w:r>
    </w:p>
    <w:p>
      <w:pPr>
        <w:pStyle w:val="BodyText"/>
      </w:pPr>
      <w:r>
        <w:t xml:space="preserve">669 See data from ČNB ARAD, in conjuction with Annual national</w:t>
      </w:r>
      <w:r>
        <w:t xml:space="preserve"> </w:t>
      </w:r>
      <w:r>
        <w:t xml:space="preserve">accounts | Czech Statistical Office</w:t>
      </w:r>
      <w:r>
        <w:t xml:space="preserve"> </w:t>
      </w:r>
      <w:r>
        <w:t xml:space="preserve">1.8.3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AMECO, CNB. End-2024.</w:t>
      </w:r>
      <w:r>
        <w:t xml:space="preserve"> </w:t>
      </w:r>
      <w:r>
        <w:t xml:space="preserve">Capital markets are underdeveloped in Czechia.</w:t>
      </w:r>
      <w:r>
        <w:t xml:space="preserve"> </w:t>
      </w:r>
      <w:r>
        <w:t xml:space="preserve">The market capitalisation of listed equity of Czech</w:t>
      </w:r>
      <w:r>
        <w:t xml:space="preserve"> </w:t>
      </w:r>
      <w:r>
        <w:t xml:space="preserve">firms reached 10.4% of GDP at end-2024670, which is</w:t>
      </w:r>
      <w:r>
        <w:t xml:space="preserve"> </w:t>
      </w:r>
      <w:r>
        <w:t xml:space="preserve">much lower than the EU average of 66.8% (see Graph</w:t>
      </w:r>
      <w:r>
        <w:t xml:space="preserve"> </w:t>
      </w:r>
      <w:r>
        <w:t xml:space="preserve">2.6.3). Non-financial corporations accounted for</w:t>
      </w:r>
      <w:r>
        <w:t xml:space="preserve"> </w:t>
      </w:r>
      <w:r>
        <w:t xml:space="preserve">almost three quarters of that capitalisation. The</w:t>
      </w:r>
      <w:r>
        <w:t xml:space="preserve"> </w:t>
      </w:r>
      <w:r>
        <w:t xml:space="preserve">outstanding volume of debt securities reached 56.4%</w:t>
      </w:r>
      <w:r>
        <w:t xml:space="preserve"> </w:t>
      </w:r>
      <w:r>
        <w:t xml:space="preserve">of GDP at end-2024, which is almost three times lower</w:t>
      </w:r>
      <w:r>
        <w:t xml:space="preserve"> </w:t>
      </w:r>
      <w:r>
        <w:t xml:space="preserve">than the EU average (139.9%). General government</w:t>
      </w:r>
      <w:r>
        <w:t xml:space="preserve"> </w:t>
      </w:r>
      <w:r>
        <w:t xml:space="preserve">bonds accounted for two thirds of the outstanding</w:t>
      </w:r>
      <w:r>
        <w:t xml:space="preserve"> </w:t>
      </w:r>
      <w:r>
        <w:t xml:space="preserve">amounts, compared to only 51.2% for the EU average.</w:t>
      </w:r>
      <w:r>
        <w:t xml:space="preserve"> </w:t>
      </w:r>
      <w:r>
        <w:t xml:space="preserve">The remainder was distributed between banks (21.1%),</w:t>
      </w:r>
      <w:r>
        <w:t xml:space="preserve"> </w:t>
      </w:r>
      <w:r>
        <w:t xml:space="preserve">non-financial corporations (9%) and other financial</w:t>
      </w:r>
      <w:r>
        <w:t xml:space="preserve"> </w:t>
      </w:r>
      <w:r>
        <w:t xml:space="preserve">intermediaries (2.3%). Thus, the contribution of capital</w:t>
      </w:r>
      <w:r>
        <w:t xml:space="preserve"> </w:t>
      </w:r>
      <w:r>
        <w:t xml:space="preserve">markets in Czechia to the domestic economy’s</w:t>
      </w:r>
      <w:r>
        <w:t xml:space="preserve"> </w:t>
      </w:r>
      <w:r>
        <w:t xml:space="preserve">financing appears limited.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Firms in Czechia rely much less for their funding on</w:t>
      </w:r>
      <w:r>
        <w:t xml:space="preserve"> </w:t>
      </w:r>
      <w:r>
        <w:t xml:space="preserve">capital markets than the EU average and slightly</w:t>
      </w:r>
      <w:r>
        <w:t xml:space="preserve"> </w:t>
      </w:r>
      <w:r>
        <w:t xml:space="preserve">less on banks. More specifically, at the end of 2024</w:t>
      </w:r>
      <w:r>
        <w:t xml:space="preserve"> </w:t>
      </w:r>
      <w:r>
        <w:t xml:space="preserve">loans constituted only 24.8% of all funding sources for</w:t>
      </w:r>
      <w:r>
        <w:t xml:space="preserve"> </w:t>
      </w:r>
      <w:r>
        <w:t xml:space="preserve">Czech non-financial corporations (NFCs), while listed</w:t>
      </w:r>
      <w:r>
        <w:t xml:space="preserve"> </w:t>
      </w:r>
      <w:r>
        <w:t xml:space="preserve">shares and bonds represented only 7.1% of funding</w:t>
      </w:r>
      <w:r>
        <w:t xml:space="preserve"> </w:t>
      </w:r>
      <w:r>
        <w:t xml:space="preserve">sources. The equivalent figures for the EU average are</w:t>
      </w:r>
      <w:r>
        <w:t xml:space="preserve"> </w:t>
      </w:r>
      <w:r>
        <w:t xml:space="preserve">27% and 23.8%. EU firms also have overall funding</w:t>
      </w:r>
      <w:r>
        <w:t xml:space="preserve"> </w:t>
      </w:r>
      <w:r>
        <w:t xml:space="preserve">levels that are substantially higher as a share of GDP</w:t>
      </w:r>
      <w:r>
        <w:t xml:space="preserve"> </w:t>
      </w:r>
      <w:r>
        <w:t xml:space="preserve">than Czech firms (172.3% of GDP for Czech NFCs vs</w:t>
      </w:r>
      <w:r>
        <w:t xml:space="preserve"> </w:t>
      </w:r>
      <w:r>
        <w:t xml:space="preserve">225.6% of GDP in the EU on average (see Graph</w:t>
      </w:r>
      <w:r>
        <w:t xml:space="preserve"> </w:t>
      </w:r>
      <w:r>
        <w:t xml:space="preserve">2.6.4)).</w:t>
      </w:r>
      <w:r>
        <w:t xml:space="preserve"> </w:t>
      </w:r>
      <w:r>
        <w:t xml:space="preserve">670 This figure includes all listed shares of Czech companies,</w:t>
      </w:r>
      <w:r>
        <w:t xml:space="preserve"> </w:t>
      </w:r>
      <w:r>
        <w:t xml:space="preserve">irrespective of the stock exchange where they are listed.</w:t>
      </w:r>
      <w:r>
        <w:t xml:space="preserve"> </w:t>
      </w:r>
      <w:r>
        <w:t xml:space="preserve">-30</w:t>
      </w:r>
      <w:r>
        <w:t xml:space="preserve"> </w:t>
      </w:r>
      <w:r>
        <w:t xml:space="preserve">-25</w:t>
      </w:r>
      <w:r>
        <w:t xml:space="preserve"> </w:t>
      </w:r>
      <w:r>
        <w:t xml:space="preserve">-20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429</w:t>
      </w:r>
      <w:r>
        <w:t xml:space="preserve"> </w:t>
      </w:r>
      <w:r>
        <w:t xml:space="preserve">1.8.4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As a result, Czech businesses depend more on</w:t>
      </w:r>
      <w:r>
        <w:t xml:space="preserve"> </w:t>
      </w:r>
      <w:r>
        <w:t xml:space="preserve">internal financing than their European peers. 75%</w:t>
      </w:r>
      <w:r>
        <w:t xml:space="preserve"> </w:t>
      </w:r>
      <w:r>
        <w:t xml:space="preserve">of Czech firms’ investment needs are covered by</w:t>
      </w:r>
      <w:r>
        <w:t xml:space="preserve"> </w:t>
      </w:r>
      <w:r>
        <w:t xml:space="preserve">internal funding, compared with an EU average of</w:t>
      </w:r>
      <w:r>
        <w:t xml:space="preserve"> </w:t>
      </w:r>
      <w:r>
        <w:t xml:space="preserve">66%.671 At the same time, 88% of surveyed Czech</w:t>
      </w:r>
      <w:r>
        <w:t xml:space="preserve"> </w:t>
      </w:r>
      <w:r>
        <w:t xml:space="preserve">firms believed that their investment activities over the</w:t>
      </w:r>
      <w:r>
        <w:t xml:space="preserve"> </w:t>
      </w:r>
      <w:r>
        <w:t xml:space="preserve">last three years, i.e. in 2021-2023, were at about the</w:t>
      </w:r>
      <w:r>
        <w:t xml:space="preserve"> </w:t>
      </w:r>
      <w:r>
        <w:t xml:space="preserve">right amount, a level of confidence that was higher than</w:t>
      </w:r>
      <w:r>
        <w:t xml:space="preserve"> </w:t>
      </w:r>
      <w:r>
        <w:t xml:space="preserve">the EU average (80%), suggesting that there is no</w:t>
      </w:r>
      <w:r>
        <w:t xml:space="preserve"> </w:t>
      </w:r>
      <w:r>
        <w:t xml:space="preserve">material financing gap relative to investment demand.</w:t>
      </w:r>
      <w:r>
        <w:t xml:space="preserve"> </w:t>
      </w:r>
      <w:r>
        <w:t xml:space="preserve">However, this high level of overall satisfaction with</w:t>
      </w:r>
      <w:r>
        <w:t xml:space="preserve"> </w:t>
      </w:r>
      <w:r>
        <w:t xml:space="preserve">their funding situation may not be the case for Czech</w:t>
      </w:r>
      <w:r>
        <w:t xml:space="preserve"> </w:t>
      </w:r>
      <w:r>
        <w:t xml:space="preserve">firms with no or limited capacity for internal funding,</w:t>
      </w:r>
      <w:r>
        <w:t xml:space="preserve"> </w:t>
      </w:r>
      <w:r>
        <w:t xml:space="preserve">such as innovative start-up firms (see below).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main stock exchange in Czechia is the Prague</w:t>
      </w:r>
      <w:r>
        <w:t xml:space="preserve"> </w:t>
      </w:r>
      <w:r>
        <w:t xml:space="preserve">Stock Exchange (PSE). Its total capitalisation in 2024</w:t>
      </w:r>
      <w:r>
        <w:t xml:space="preserve"> </w:t>
      </w:r>
      <w:r>
        <w:t xml:space="preserve">was CZK 21.0 tn but more than 90% of that figure was</w:t>
      </w:r>
      <w:r>
        <w:t xml:space="preserve"> </w:t>
      </w:r>
      <w:r>
        <w:t xml:space="preserve">the capitalisation of the Free Market segment, which</w:t>
      </w:r>
      <w:r>
        <w:t xml:space="preserve"> </w:t>
      </w:r>
      <w:r>
        <w:t xml:space="preserve">mainly contains dual-listed foreign equity titles and has</w:t>
      </w:r>
      <w:r>
        <w:t xml:space="preserve"> </w:t>
      </w:r>
      <w:r>
        <w:t xml:space="preserve">low trading volumes. If we exclude this segment, the</w:t>
      </w:r>
      <w:r>
        <w:t xml:space="preserve"> </w:t>
      </w:r>
      <w:r>
        <w:t xml:space="preserve">market capitalisation of the remaining three market</w:t>
      </w:r>
      <w:r>
        <w:t xml:space="preserve"> </w:t>
      </w:r>
      <w:r>
        <w:t xml:space="preserve">segments was CZK 1.56 tn in 2024 (i.e. circa EUR 63.4</w:t>
      </w:r>
      <w:r>
        <w:t xml:space="preserve"> </w:t>
      </w:r>
      <w:r>
        <w:t xml:space="preserve">bn and the equivalent of 19.4% of GDP).672 This figure</w:t>
      </w:r>
      <w:r>
        <w:t xml:space="preserve"> </w:t>
      </w:r>
      <w:r>
        <w:t xml:space="preserve">includes a) the Prime Market, which is for Blue Chips</w:t>
      </w:r>
      <w:r>
        <w:t xml:space="preserve"> </w:t>
      </w:r>
      <w:r>
        <w:t xml:space="preserve">stocks, b) the Standard Market and c) the START</w:t>
      </w:r>
      <w:r>
        <w:t xml:space="preserve"> </w:t>
      </w:r>
      <w:r>
        <w:t xml:space="preserve">growth market for smaller, growing firms. Among the</w:t>
      </w:r>
      <w:r>
        <w:t xml:space="preserve"> </w:t>
      </w:r>
      <w:r>
        <w:t xml:space="preserve">three, the Prime Market is the dominant segment,</w:t>
      </w:r>
      <w:r>
        <w:t xml:space="preserve"> </w:t>
      </w:r>
      <w:r>
        <w:t xml:space="preserve">which corresponds to 97 % of market capitalisation and</w:t>
      </w:r>
    </w:p>
    <w:p>
      <w:pPr>
        <w:pStyle w:val="BodyText"/>
      </w:pPr>
      <w:r>
        <w:t xml:space="preserve">671 See p.29 of the 2024 EIB Investment Survey.</w:t>
      </w:r>
      <w:r>
        <w:t xml:space="preserve"> </w:t>
      </w:r>
      <w:r>
        <w:t xml:space="preserve">672 See CNB’s 2024 Financial market supervision report.</w:t>
      </w:r>
      <w:r>
        <w:t xml:space="preserve"> </w:t>
      </w:r>
      <w:r>
        <w:t xml:space="preserve">673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volume of trades of these segments. In terms of</w:t>
      </w:r>
      <w:r>
        <w:t xml:space="preserve"> </w:t>
      </w:r>
      <w:r>
        <w:t xml:space="preserve">performance (see Graph 2.6.5), the main index of the</w:t>
      </w:r>
      <w:r>
        <w:t xml:space="preserve"> </w:t>
      </w:r>
      <w:r>
        <w:t xml:space="preserve">Prague Stock Exchange (PX index) was up 22.6% in</w:t>
      </w:r>
      <w:r>
        <w:t xml:space="preserve"> </w:t>
      </w:r>
      <w:r>
        <w:t xml:space="preserve">2024 greatly outperforming the STOXX 600 (up</w:t>
      </w:r>
      <w:r>
        <w:t xml:space="preserve"> </w:t>
      </w:r>
      <w:r>
        <w:t xml:space="preserve">10.2%), while it continued to exhibit strong growth in</w:t>
      </w:r>
      <w:r>
        <w:t xml:space="preserve"> </w:t>
      </w:r>
      <w:r>
        <w:t xml:space="preserve">the first half of 2025 (up 26.9%).</w:t>
      </w:r>
      <w:r>
        <w:t xml:space="preserve"> </w:t>
      </w:r>
      <w:r>
        <w:t xml:space="preserve">1.8.5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Group673.</w:t>
      </w:r>
      <w:r>
        <w:t xml:space="preserve"> </w:t>
      </w:r>
      <w:r>
        <w:t xml:space="preserve">The Czech capital market is relatively small in size,</w:t>
      </w:r>
      <w:r>
        <w:t xml:space="preserve"> </w:t>
      </w:r>
      <w:r>
        <w:t xml:space="preserve">with low volumes and little IPO activity, while over-</w:t>
      </w:r>
      <w:r>
        <w:t xml:space="preserve"> </w:t>
      </w:r>
      <w:r>
        <w:t xml:space="preserve">the-counter transactions dominate. The market</w:t>
      </w:r>
      <w:r>
        <w:t xml:space="preserve"> </w:t>
      </w:r>
      <w:r>
        <w:t xml:space="preserve">breadth of listed shares674 in Czechia is substantially</w:t>
      </w:r>
      <w:r>
        <w:t xml:space="preserve"> </w:t>
      </w:r>
      <w:r>
        <w:t xml:space="preserve">smaller than the EU average (0.3% vs 2.7%) while the</w:t>
      </w:r>
      <w:r>
        <w:t xml:space="preserve"> </w:t>
      </w:r>
      <w:r>
        <w:t xml:space="preserve">bid-ask spread for listed shares, a sign of liquidity (or</w:t>
      </w:r>
      <w:r>
        <w:t xml:space="preserve"> </w:t>
      </w:r>
      <w:r>
        <w:t xml:space="preserve">lack of) in the market, is also higher (2.9% of the mid-</w:t>
      </w:r>
      <w:r>
        <w:t xml:space="preserve"> </w:t>
      </w:r>
      <w:r>
        <w:t xml:space="preserve">price vs 1.6% for the EU average). The limited liquidity</w:t>
      </w:r>
      <w:r>
        <w:t xml:space="preserve"> </w:t>
      </w:r>
      <w:r>
        <w:t xml:space="preserve">of the Czech stock market is also confirmed by a low</w:t>
      </w:r>
      <w:r>
        <w:t xml:space="preserve"> </w:t>
      </w:r>
      <w:r>
        <w:t xml:space="preserve">and deteriorating trading volume, which fell for the</w:t>
      </w:r>
      <w:r>
        <w:t xml:space="preserve"> </w:t>
      </w:r>
      <w:r>
        <w:t xml:space="preserve">second year in a row, to the lowest value in more than</w:t>
      </w:r>
      <w:r>
        <w:t xml:space="preserve"> </w:t>
      </w:r>
      <w:r>
        <w:t xml:space="preserve">20 years. It is also important to note that volume of</w:t>
      </w:r>
      <w:r>
        <w:t xml:space="preserve"> </w:t>
      </w:r>
      <w:r>
        <w:t xml:space="preserve">over-the-counter transactions has long been in excess</w:t>
      </w:r>
      <w:r>
        <w:t xml:space="preserve"> </w:t>
      </w:r>
      <w:r>
        <w:t xml:space="preserve">of the one in the Prague Stock Exchange, both for</w:t>
      </w:r>
      <w:r>
        <w:t xml:space="preserve"> </w:t>
      </w:r>
      <w:r>
        <w:t xml:space="preserve">equities and bonds. Unlike 2023, there was no increase</w:t>
      </w:r>
      <w:r>
        <w:t xml:space="preserve"> </w:t>
      </w:r>
      <w:r>
        <w:t xml:space="preserve">in 2024 to the number of the shares listed in the Prague</w:t>
      </w:r>
      <w:r>
        <w:t xml:space="preserve"> </w:t>
      </w:r>
      <w:r>
        <w:t xml:space="preserve">stock exchange (61 shares, all segments)675, but there</w:t>
      </w:r>
      <w:r>
        <w:t xml:space="preserve"> </w:t>
      </w:r>
      <w:r>
        <w:t xml:space="preserve">were two new listings in H1 2025 (one in the Prime</w:t>
      </w:r>
      <w:r>
        <w:t xml:space="preserve"> </w:t>
      </w:r>
      <w:r>
        <w:t xml:space="preserve">Market and one in the Start Market). The use of equity</w:t>
      </w:r>
      <w:r>
        <w:t xml:space="preserve"> </w:t>
      </w:r>
      <w:r>
        <w:t xml:space="preserve">by SMEs is also very limited, as only 1.7% of Czech</w:t>
      </w:r>
      <w:r>
        <w:t xml:space="preserve"> </w:t>
      </w:r>
      <w:r>
        <w:t xml:space="preserve">SMEs indicated in the 2024 SAFE survey that equity is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674 I.e. the number of outstanding shares relative to the number of</w:t>
      </w:r>
      <w:r>
        <w:t xml:space="preserve"> </w:t>
      </w:r>
      <w:r>
        <w:t xml:space="preserve">large firms (employment &gt;249). See List of indicators to monitor</w:t>
      </w:r>
      <w:r>
        <w:t xml:space="preserve"> </w:t>
      </w:r>
      <w:r>
        <w:t xml:space="preserve">progress towards the CMU objectives - European Commission</w:t>
      </w:r>
      <w:r>
        <w:t xml:space="preserve"> </w:t>
      </w:r>
      <w:r>
        <w:t xml:space="preserve">675 See Financial Market Development Report 2024 | Ministry of</w:t>
      </w:r>
      <w:r>
        <w:t xml:space="preserve"> </w:t>
      </w:r>
      <w:r>
        <w:t xml:space="preserve">Finance of the Czech Republic, Table 6.4. This suggests that</w:t>
      </w:r>
      <w:r>
        <w:t xml:space="preserve"> </w:t>
      </w:r>
      <w:r>
        <w:t xml:space="preserve">listings were either non-existent or equal to de-listings.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CZ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janv-08=100</w:t>
      </w:r>
      <w:r>
        <w:t xml:space="preserve"> </w:t>
      </w:r>
      <w:r>
        <w:t xml:space="preserve">CZ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PRAGUE SE PX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430</w:t>
      </w:r>
      <w:r>
        <w:t xml:space="preserve"> </w:t>
      </w:r>
      <w:r>
        <w:t xml:space="preserve">relevant for them, compared with an EU average of</w:t>
      </w:r>
      <w:r>
        <w:t xml:space="preserve"> </w:t>
      </w:r>
      <w:r>
        <w:t xml:space="preserve">11.7%.676</w:t>
      </w:r>
      <w:r>
        <w:t xml:space="preserve"> </w:t>
      </w:r>
      <w:r>
        <w:t xml:space="preserve">Although corporate bonds represent a small share</w:t>
      </w:r>
      <w:r>
        <w:t xml:space="preserve"> </w:t>
      </w:r>
      <w:r>
        <w:t xml:space="preserve">of net bond issuances, they have been growing the</w:t>
      </w:r>
      <w:r>
        <w:t xml:space="preserve"> </w:t>
      </w:r>
      <w:r>
        <w:t xml:space="preserve">last two years. With regards to net bond issuance, it is</w:t>
      </w:r>
      <w:r>
        <w:t xml:space="preserve"> </w:t>
      </w:r>
      <w:r>
        <w:t xml:space="preserve">usually dominated by the issuance of government</w:t>
      </w:r>
      <w:r>
        <w:t xml:space="preserve"> </w:t>
      </w:r>
      <w:r>
        <w:t xml:space="preserve">bonds. However, although the total value of net bond</w:t>
      </w:r>
      <w:r>
        <w:t xml:space="preserve"> </w:t>
      </w:r>
      <w:r>
        <w:t xml:space="preserve">issuances was down by 52% yoy in 2024 (see Graph</w:t>
      </w:r>
      <w:r>
        <w:t xml:space="preserve"> </w:t>
      </w:r>
      <w:r>
        <w:t xml:space="preserve">2.6.6), the total volume of bonds issued by non-</w:t>
      </w:r>
      <w:r>
        <w:t xml:space="preserve"> </w:t>
      </w:r>
      <w:r>
        <w:t xml:space="preserve">financial corporations increased for the 2nd year in a</w:t>
      </w:r>
      <w:r>
        <w:t xml:space="preserve"> </w:t>
      </w:r>
      <w:r>
        <w:t xml:space="preserve">row, reaching CZK 396.3 bn (i.e. circa EUR 16.1 bn),</w:t>
      </w:r>
      <w:r>
        <w:t xml:space="preserve"> </w:t>
      </w:r>
      <w:r>
        <w:t xml:space="preserve">the highest value since 2020 and an amount equal to</w:t>
      </w:r>
      <w:r>
        <w:t xml:space="preserve"> </w:t>
      </w:r>
      <w:r>
        <w:t xml:space="preserve">27.7% of NFC loans provided by Czech banks.677</w:t>
      </w:r>
      <w:r>
        <w:t xml:space="preserve"> </w:t>
      </w:r>
      <w:r>
        <w:t xml:space="preserve">1.8.6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Czechia had a national strategy in place for the</w:t>
      </w:r>
      <w:r>
        <w:t xml:space="preserve"> </w:t>
      </w:r>
      <w:r>
        <w:t xml:space="preserve">development of its capital markets for the period</w:t>
      </w:r>
      <w:r>
        <w:t xml:space="preserve"> </w:t>
      </w:r>
      <w:r>
        <w:t xml:space="preserve">2019–2023. Certain key measures in this strategy have</w:t>
      </w:r>
      <w:r>
        <w:t xml:space="preserve"> </w:t>
      </w:r>
      <w:r>
        <w:t xml:space="preserve">now been adopted, such as the introduction of a long-</w:t>
      </w:r>
      <w:r>
        <w:t xml:space="preserve"> </w:t>
      </w:r>
      <w:r>
        <w:t xml:space="preserve">term investment product and a new type of alternative</w:t>
      </w:r>
      <w:r>
        <w:t xml:space="preserve"> </w:t>
      </w:r>
      <w:r>
        <w:t xml:space="preserve">participation pension fund. However, these measures</w:t>
      </w:r>
      <w:r>
        <w:t xml:space="preserve"> </w:t>
      </w:r>
      <w:r>
        <w:t xml:space="preserve">have only been recently implemented and need time to</w:t>
      </w:r>
      <w:r>
        <w:t xml:space="preserve"> </w:t>
      </w:r>
      <w:r>
        <w:t xml:space="preserve">reach their full potential. Since 2024, there has not been</w:t>
      </w:r>
      <w:r>
        <w:t xml:space="preserve"> </w:t>
      </w:r>
      <w:r>
        <w:t xml:space="preserve">an updated dedicated strategy to develop Czechia’s</w:t>
      </w:r>
      <w:r>
        <w:t xml:space="preserve"> </w:t>
      </w:r>
      <w:r>
        <w:t xml:space="preserve">capital markets. However, the goals of creating better</w:t>
      </w:r>
      <w:r>
        <w:t xml:space="preserve"> </w:t>
      </w:r>
      <w:r>
        <w:t xml:space="preserve">access to financing for companies and individuals and</w:t>
      </w:r>
      <w:r>
        <w:t xml:space="preserve"> </w:t>
      </w:r>
      <w:r>
        <w:t xml:space="preserve">supporting innovation in the field of financial</w:t>
      </w:r>
      <w:r>
        <w:t xml:space="preserve"> </w:t>
      </w:r>
      <w:r>
        <w:t xml:space="preserve">technologies were integrated in the new Economic</w:t>
      </w:r>
      <w:r>
        <w:t xml:space="preserve"> </w:t>
      </w:r>
      <w:r>
        <w:t xml:space="preserve">Strategy of the Czech Republic 2040.678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Czech</w:t>
      </w:r>
      <w:r>
        <w:t xml:space="preserve"> </w:t>
      </w:r>
      <w:r>
        <w:t xml:space="preserve">households’</w:t>
      </w:r>
      <w:r>
        <w:t xml:space="preserve"> </w:t>
      </w:r>
      <w:r>
        <w:t xml:space="preserve">wealth</w:t>
      </w:r>
      <w:r>
        <w:t xml:space="preserve"> </w:t>
      </w:r>
      <w:r>
        <w:t xml:space="preserve">is</w:t>
      </w:r>
      <w:r>
        <w:t xml:space="preserve"> </w:t>
      </w:r>
      <w:r>
        <w:t xml:space="preserve">invested</w:t>
      </w:r>
      <w:r>
        <w:t xml:space="preserve"> </w:t>
      </w:r>
      <w:r>
        <w:t xml:space="preserve">conservatively, despite a gradual change in</w:t>
      </w:r>
      <w:r>
        <w:t xml:space="preserve"> </w:t>
      </w:r>
      <w:r>
        <w:t xml:space="preserve">investment behaviour over the past 15 years. The</w:t>
      </w:r>
      <w:r>
        <w:t xml:space="preserve"> </w:t>
      </w:r>
      <w:r>
        <w:t xml:space="preserve">overall wealth of Czech households is substantially</w:t>
      </w:r>
      <w:r>
        <w:t xml:space="preserve"> </w:t>
      </w:r>
      <w:r>
        <w:t xml:space="preserve">below the EU average both in per capita and GDP</w:t>
      </w:r>
    </w:p>
    <w:p>
      <w:pPr>
        <w:pStyle w:val="BodyText"/>
      </w:pPr>
      <w:r>
        <w:t xml:space="preserve">676 Data and surveys - SAFE - European Commission, 2024,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terms (see Graph 2.6.7). However, Czech households’</w:t>
      </w:r>
      <w:r>
        <w:t xml:space="preserve"> </w:t>
      </w:r>
      <w:r>
        <w:t xml:space="preserve">savings’ rate is one of the highest in the EU (see also</w:t>
      </w:r>
      <w:r>
        <w:t xml:space="preserve"> </w:t>
      </w:r>
      <w:r>
        <w:t xml:space="preserve">section before). So far this wealth has been invested</w:t>
      </w:r>
      <w:r>
        <w:t xml:space="preserve"> </w:t>
      </w:r>
      <w:r>
        <w:t xml:space="preserve">conservatively, as direct retail investment (i.e. </w:t>
      </w:r>
      <w:r>
        <w:t xml:space="preserve"> </w:t>
      </w:r>
      <w:r>
        <w:t xml:space="preserve">investment by non-professional investors) in the Czech</w:t>
      </w:r>
      <w:r>
        <w:t xml:space="preserve"> </w:t>
      </w:r>
      <w:r>
        <w:t xml:space="preserve">capital markets is low. Nevertheless, the assets of the</w:t>
      </w:r>
      <w:r>
        <w:t xml:space="preserve"> </w:t>
      </w:r>
      <w:r>
        <w:t xml:space="preserve">investment-fund industry continue to grow, and this is</w:t>
      </w:r>
      <w:r>
        <w:t xml:space="preserve"> </w:t>
      </w:r>
      <w:r>
        <w:t xml:space="preserve">reflected in the increasing share of household wealth</w:t>
      </w:r>
      <w:r>
        <w:t xml:space="preserve"> </w:t>
      </w:r>
      <w:r>
        <w:t xml:space="preserve">invested in such funds, which now accounts for 12.3%</w:t>
      </w:r>
      <w:r>
        <w:t xml:space="preserve"> </w:t>
      </w:r>
      <w:r>
        <w:t xml:space="preserve">of household assets, up from only 6% in 2015. More</w:t>
      </w:r>
      <w:r>
        <w:t xml:space="preserve"> </w:t>
      </w:r>
      <w:r>
        <w:t xml:space="preserve">broadly, household financial assets held in pension,</w:t>
      </w:r>
      <w:r>
        <w:t xml:space="preserve"> </w:t>
      </w:r>
      <w:r>
        <w:t xml:space="preserve">insurance and investment funds or directly in financial</w:t>
      </w:r>
      <w:r>
        <w:t xml:space="preserve"> </w:t>
      </w:r>
      <w:r>
        <w:t xml:space="preserve">instruments as a % of total household financial assets</w:t>
      </w:r>
      <w:r>
        <w:t xml:space="preserve"> </w:t>
      </w:r>
      <w:r>
        <w:t xml:space="preserve">rose from 17.8% in 2008 to 24.7% in 2024. However,</w:t>
      </w:r>
      <w:r>
        <w:t xml:space="preserve"> </w:t>
      </w:r>
      <w:r>
        <w:t xml:space="preserve">it is still markedly below the EU average of 46.6%, as</w:t>
      </w:r>
      <w:r>
        <w:t xml:space="preserve"> </w:t>
      </w:r>
      <w:r>
        <w:t xml:space="preserve">the share of wealth invested in insurance and pension</w:t>
      </w:r>
      <w:r>
        <w:t xml:space="preserve"> </w:t>
      </w:r>
      <w:r>
        <w:t xml:space="preserve">funds (7.4%) or listed shares (2.3%) lags significantly</w:t>
      </w:r>
      <w:r>
        <w:t xml:space="preserve"> </w:t>
      </w:r>
      <w:r>
        <w:t xml:space="preserve">behind the EU average (27.9% and 4.9% respectively).</w:t>
      </w:r>
      <w:r>
        <w:br/>
      </w:r>
      <w:r>
        <w:t xml:space="preserve">Part of the growth in investment funds may be due</w:t>
      </w:r>
      <w:r>
        <w:t xml:space="preserve"> </w:t>
      </w:r>
      <w:r>
        <w:t xml:space="preserve">to investment flows redirected from other types of</w:t>
      </w:r>
      <w:r>
        <w:t xml:space="preserve"> </w:t>
      </w:r>
      <w:r>
        <w:t xml:space="preserve">long-term savings’ products. While investment funds</w:t>
      </w:r>
      <w:r>
        <w:t xml:space="preserve"> </w:t>
      </w:r>
      <w:r>
        <w:t xml:space="preserve">grow as a share of household wealth in Czechia, the</w:t>
      </w:r>
      <w:r>
        <w:t xml:space="preserve"> </w:t>
      </w:r>
      <w:r>
        <w:t xml:space="preserve">amount of wealth invested in insurance and pension</w:t>
      </w:r>
      <w:r>
        <w:t xml:space="preserve"> </w:t>
      </w:r>
      <w:r>
        <w:t xml:space="preserve">funds has actually decreased through time both as a</w:t>
      </w:r>
      <w:r>
        <w:t xml:space="preserve"> </w:t>
      </w:r>
      <w:r>
        <w:t xml:space="preserve">share of GDP (3.6 percentage points lower than 2015)</w:t>
      </w:r>
      <w:r>
        <w:t xml:space="preserve"> </w:t>
      </w:r>
      <w:r>
        <w:t xml:space="preserve">and as a share of household wealth (4.5 percentage</w:t>
      </w:r>
      <w:r>
        <w:t xml:space="preserve"> </w:t>
      </w:r>
      <w:r>
        <w:t xml:space="preserve">points lower than 2015). This suggests that part of the</w:t>
      </w:r>
      <w:r>
        <w:t xml:space="preserve"> </w:t>
      </w:r>
      <w:r>
        <w:t xml:space="preserve">relative growth in the share of investment funds in the</w:t>
      </w:r>
      <w:r>
        <w:t xml:space="preserve"> </w:t>
      </w:r>
      <w:r>
        <w:t xml:space="preserve">overall household wealth in Czechia may have come at</w:t>
      </w:r>
      <w:r>
        <w:t xml:space="preserve"> </w:t>
      </w:r>
      <w:r>
        <w:t xml:space="preserve">the expense e.g. of investments in 3rd pillar pension</w:t>
      </w:r>
      <w:r>
        <w:t xml:space="preserve"> </w:t>
      </w:r>
      <w:r>
        <w:t xml:space="preserve">funds.</w:t>
      </w:r>
      <w:r>
        <w:br/>
      </w:r>
      <w:r>
        <w:t xml:space="preserve">1.8.7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There is still significant scope to increase the level</w:t>
      </w:r>
      <w:r>
        <w:t xml:space="preserve"> </w:t>
      </w:r>
      <w:r>
        <w:t xml:space="preserve">of direct and indirect retail investment in Czechia.</w:t>
      </w:r>
      <w:r>
        <w:t xml:space="preserve"> </w:t>
      </w:r>
      <w:r>
        <w:t xml:space="preserve">This is due to: (i) the stronger-than-average savings</w:t>
      </w:r>
      <w:r>
        <w:t xml:space="preserve"> </w:t>
      </w:r>
      <w:r>
        <w:t xml:space="preserve">677 See Financial Market Development Report 2024 | Ministry of</w:t>
      </w:r>
      <w:r>
        <w:t xml:space="preserve"> </w:t>
      </w:r>
      <w:r>
        <w:t xml:space="preserve">Finance of the Czech Republic.</w:t>
      </w:r>
      <w:r>
        <w:t xml:space="preserve"> </w:t>
      </w:r>
      <w:r>
        <w:t xml:space="preserve">678 See Economic Strategy of the Czech Republic 2040 | MPO</w:t>
      </w:r>
      <w:r>
        <w:t xml:space="preserve"> </w:t>
      </w:r>
      <w:r>
        <w:t xml:space="preserve">-10.0</w:t>
      </w:r>
      <w:r>
        <w:t xml:space="preserve"> </w:t>
      </w:r>
      <w:r>
        <w:t xml:space="preserve">-5.0</w:t>
      </w:r>
      <w:r>
        <w:t xml:space="preserve"> </w:t>
      </w:r>
      <w:r>
        <w:t xml:space="preserve">0.0</w:t>
      </w:r>
      <w:r>
        <w:t xml:space="preserve"> </w:t>
      </w:r>
      <w:r>
        <w:t xml:space="preserve">5.0</w:t>
      </w:r>
      <w:r>
        <w:t xml:space="preserve"> </w:t>
      </w:r>
      <w:r>
        <w:t xml:space="preserve">10.0</w:t>
      </w:r>
      <w:r>
        <w:t xml:space="preserve"> </w:t>
      </w:r>
      <w:r>
        <w:t xml:space="preserve">15.0</w:t>
      </w:r>
      <w:r>
        <w:t xml:space="preserve"> </w:t>
      </w:r>
      <w:r>
        <w:t xml:space="preserve">20.0</w:t>
      </w:r>
      <w:r>
        <w:t xml:space="preserve"> </w:t>
      </w:r>
      <w:r>
        <w:t xml:space="preserve">25.0</w:t>
      </w:r>
      <w:r>
        <w:t xml:space="preserve"> </w:t>
      </w:r>
      <w:r>
        <w:t xml:space="preserve">30.0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2025-Q2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CZ</w:t>
      </w:r>
      <w:r>
        <w:t xml:space="preserve"> </w:t>
      </w:r>
      <w:r>
        <w:t xml:space="preserve">EU</w:t>
      </w:r>
      <w:r>
        <w:t xml:space="preserve"> </w:t>
      </w:r>
      <w:r>
        <w:t xml:space="preserve">CZ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Other equity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Bonds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431</w:t>
      </w:r>
      <w:r>
        <w:t xml:space="preserve"> </w:t>
      </w:r>
      <w:r>
        <w:t xml:space="preserve">rate of Czech households in recent years, with positive</w:t>
      </w:r>
      <w:r>
        <w:t xml:space="preserve"> </w:t>
      </w:r>
      <w:r>
        <w:t xml:space="preserve">median saving rates for all quintiles of the household</w:t>
      </w:r>
      <w:r>
        <w:t xml:space="preserve"> </w:t>
      </w:r>
      <w:r>
        <w:t xml:space="preserve">income distribution; and (ii) the fact that cash and</w:t>
      </w:r>
      <w:r>
        <w:t xml:space="preserve"> </w:t>
      </w:r>
      <w:r>
        <w:t xml:space="preserve">deposits account for a higher share of household assets</w:t>
      </w:r>
      <w:r>
        <w:t xml:space="preserve"> </w:t>
      </w:r>
      <w:r>
        <w:t xml:space="preserve">than the EU average (41.3% vs 31.7%).</w:t>
      </w:r>
      <w:r>
        <w:br/>
      </w:r>
      <w:r>
        <w:t xml:space="preserve">Recent policy initiatives in Czechia aim to promote</w:t>
      </w:r>
      <w:r>
        <w:t xml:space="preserve"> </w:t>
      </w:r>
      <w:r>
        <w:t xml:space="preserve">retail participation in the country’s capital markets.</w:t>
      </w:r>
      <w:r>
        <w:t xml:space="preserve"> </w:t>
      </w:r>
      <w:r>
        <w:t xml:space="preserve">To boost household investment via the capital markets,</w:t>
      </w:r>
      <w:r>
        <w:t xml:space="preserve"> </w:t>
      </w:r>
      <w:r>
        <w:t xml:space="preserve">a long-term investment savings account has been made</w:t>
      </w:r>
      <w:r>
        <w:t xml:space="preserve"> </w:t>
      </w:r>
      <w:r>
        <w:t xml:space="preserve">available since 2024 (know as the “long-term</w:t>
      </w:r>
      <w:r>
        <w:t xml:space="preserve"> </w:t>
      </w:r>
      <w:r>
        <w:t xml:space="preserve">investment product” or LTIP). It offers an alternative</w:t>
      </w:r>
      <w:r>
        <w:t xml:space="preserve"> </w:t>
      </w:r>
      <w:r>
        <w:t xml:space="preserve">to other government-supported long-term savings</w:t>
      </w:r>
      <w:r>
        <w:t xml:space="preserve"> </w:t>
      </w:r>
      <w:r>
        <w:t xml:space="preserve">products, e.g. pension funds and life insurance</w:t>
      </w:r>
      <w:r>
        <w:t xml:space="preserve"> </w:t>
      </w:r>
      <w:r>
        <w:t xml:space="preserve">products. The new account, which is very flexible in</w:t>
      </w:r>
      <w:r>
        <w:t xml:space="preserve"> </w:t>
      </w:r>
      <w:r>
        <w:t xml:space="preserve">terms of asset allocation and investment strategy,</w:t>
      </w:r>
      <w:r>
        <w:t xml:space="preserve"> </w:t>
      </w:r>
      <w:r>
        <w:t xml:space="preserve">shares the same tax-relief features as these other long-</w:t>
      </w:r>
      <w:r>
        <w:t xml:space="preserve"> </w:t>
      </w:r>
      <w:r>
        <w:t xml:space="preserve">term products, subject to a cumulative cap on tax</w:t>
      </w:r>
      <w:r>
        <w:t xml:space="preserve"> </w:t>
      </w:r>
      <w:r>
        <w:t xml:space="preserve">advantages that applies to all of them. Its take-up has</w:t>
      </w:r>
      <w:r>
        <w:t xml:space="preserve"> </w:t>
      </w:r>
      <w:r>
        <w:t xml:space="preserve">shown encouraging early signs and as of June 2025,</w:t>
      </w:r>
      <w:r>
        <w:t xml:space="preserve"> </w:t>
      </w:r>
      <w:r>
        <w:t xml:space="preserve">170 thousand persons had made use of the long-term</w:t>
      </w:r>
      <w:r>
        <w:t xml:space="preserve"> </w:t>
      </w:r>
      <w:r>
        <w:t xml:space="preserve">investment savings account, with a total amount</w:t>
      </w:r>
      <w:r>
        <w:t xml:space="preserve"> </w:t>
      </w:r>
      <w:r>
        <w:t xml:space="preserve">invested of CZK 4.5 bn.679</w:t>
      </w:r>
      <w:r>
        <w:t xml:space="preserve"> </w:t>
      </w:r>
      <w:r>
        <w:t xml:space="preserve">Further policy action may be needed to promote</w:t>
      </w:r>
      <w:r>
        <w:t xml:space="preserve"> </w:t>
      </w:r>
      <w:r>
        <w:t xml:space="preserve">retail investment in Czech capital markets. Apart</w:t>
      </w:r>
      <w:r>
        <w:t xml:space="preserve"> </w:t>
      </w:r>
      <w:r>
        <w:t xml:space="preserve">from the continuous effort required to raise public</w:t>
      </w:r>
      <w:r>
        <w:t xml:space="preserve"> </w:t>
      </w:r>
      <w:r>
        <w:t xml:space="preserve">awareness of the new long-term investment product, its</w:t>
      </w:r>
      <w:r>
        <w:t xml:space="preserve"> </w:t>
      </w:r>
      <w:r>
        <w:t xml:space="preserve">take-up also needs to be monitored closely to assess the</w:t>
      </w:r>
      <w:r>
        <w:t xml:space="preserve"> </w:t>
      </w:r>
      <w:r>
        <w:t xml:space="preserve">product’s attractiveness for new savers and its</w:t>
      </w:r>
      <w:r>
        <w:t xml:space="preserve"> </w:t>
      </w:r>
      <w:r>
        <w:t xml:space="preserve">‘additionality’ compared to other long-term savings</w:t>
      </w:r>
      <w:r>
        <w:t xml:space="preserve"> </w:t>
      </w:r>
      <w:r>
        <w:t xml:space="preserve">products.680 A pre-requisite to make such an</w:t>
      </w:r>
      <w:r>
        <w:t xml:space="preserve"> </w:t>
      </w:r>
      <w:r>
        <w:t xml:space="preserve">assessment is the availability of data, which is currently</w:t>
      </w:r>
      <w:r>
        <w:t xml:space="preserve"> </w:t>
      </w:r>
      <w:r>
        <w:t xml:space="preserve">lacking, to allow for an appropriate, data-driven</w:t>
      </w:r>
      <w:r>
        <w:t xml:space="preserve"> </w:t>
      </w:r>
      <w:r>
        <w:t xml:space="preserve">evaluation not only of the LTIP but of the entire</w:t>
      </w:r>
      <w:r>
        <w:t xml:space="preserve"> </w:t>
      </w:r>
      <w:r>
        <w:t xml:space="preserve">framework of long-term savings products, with the aim</w:t>
      </w:r>
      <w:r>
        <w:t xml:space="preserve"> </w:t>
      </w:r>
      <w:r>
        <w:t xml:space="preserve">to identify targeted improvements, where possible, to</w:t>
      </w:r>
      <w:r>
        <w:t xml:space="preserve"> </w:t>
      </w:r>
      <w:r>
        <w:t xml:space="preserve">improve the effectiveness of such products in</w:t>
      </w:r>
      <w:r>
        <w:t xml:space="preserve"> </w:t>
      </w:r>
      <w:r>
        <w:t xml:space="preserve">mobilising new long-term investments. Such an</w:t>
      </w:r>
      <w:r>
        <w:t xml:space="preserve"> </w:t>
      </w:r>
      <w:r>
        <w:t xml:space="preserve">evaluation could also involve other aspects of the LTIP</w:t>
      </w:r>
      <w:r>
        <w:t xml:space="preserve"> </w:t>
      </w:r>
      <w:r>
        <w:t xml:space="preserve">product, including the competitiveness of the fee</w:t>
      </w:r>
      <w:r>
        <w:t xml:space="preserve"> </w:t>
      </w:r>
      <w:r>
        <w:t xml:space="preserve">structures associated with it.681 It will also be crucial to</w:t>
      </w:r>
      <w:r>
        <w:t xml:space="preserve"> </w:t>
      </w:r>
      <w:r>
        <w:t xml:space="preserve">further strengthen retail investor trust, in part by: (i)</w:t>
      </w:r>
      <w:r>
        <w:t xml:space="preserve"> </w:t>
      </w:r>
      <w:r>
        <w:t xml:space="preserve">maintaining an effective framework of corporate</w:t>
      </w:r>
      <w:r>
        <w:t xml:space="preserve"> </w:t>
      </w:r>
      <w:r>
        <w:t xml:space="preserve">governance and protection of shareholder rights682; and</w:t>
      </w:r>
      <w:r>
        <w:t xml:space="preserve"> </w:t>
      </w:r>
      <w:r>
        <w:t xml:space="preserve">(ii) reducing cases of fraud and malpractice.683</w:t>
      </w:r>
    </w:p>
    <w:p>
      <w:pPr>
        <w:pStyle w:val="BodyText"/>
      </w:pPr>
      <w:r>
        <w:t xml:space="preserve">679 See relevant Press release by AKAT.</w:t>
      </w:r>
      <w:r>
        <w:t xml:space="preserve"> </w:t>
      </w:r>
      <w:r>
        <w:t xml:space="preserve">680 I.e. the extent to which it is attracting new investment from retail</w:t>
      </w:r>
      <w:r>
        <w:t xml:space="preserve"> </w:t>
      </w:r>
      <w:r>
        <w:t xml:space="preserve">investors rather than diverting existing investment from other</w:t>
      </w:r>
      <w:r>
        <w:t xml:space="preserve"> </w:t>
      </w:r>
      <w:r>
        <w:t xml:space="preserve">government-supported long-term savings products.</w:t>
      </w:r>
      <w:r>
        <w:t xml:space="preserve"> </w:t>
      </w:r>
      <w:r>
        <w:t xml:space="preserve">681 Another element e.g. that could be assessed is the inability to</w:t>
      </w:r>
      <w:r>
        <w:t xml:space="preserve"> </w:t>
      </w:r>
      <w:r>
        <w:t xml:space="preserve">transfer the saving period between different LTIP provides in a</w:t>
      </w:r>
      <w:r>
        <w:t xml:space="preserve"> </w:t>
      </w:r>
      <w:r>
        <w:t xml:space="preserve">transfer of an LTIP, which reduces the product’s attractiveness.</w:t>
      </w:r>
      <w:r>
        <w:t xml:space="preserve"> </w:t>
      </w:r>
      <w:r>
        <w:t xml:space="preserve">1.9 Denmark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Danish economy invests the largest part of its</w:t>
      </w:r>
      <w:r>
        <w:t xml:space="preserve"> </w:t>
      </w:r>
      <w:r>
        <w:t xml:space="preserve">relatively high net savings abroad. In the last decade,</w:t>
      </w:r>
      <w:r>
        <w:t xml:space="preserve"> </w:t>
      </w:r>
      <w:r>
        <w:t xml:space="preserve">the private savings ratio, net of fixed capital</w:t>
      </w:r>
      <w:r>
        <w:t xml:space="preserve"> </w:t>
      </w:r>
      <w:r>
        <w:t xml:space="preserve">consumption, persistently fluctuated around its ten-</w:t>
      </w:r>
      <w:r>
        <w:t xml:space="preserve"> </w:t>
      </w:r>
      <w:r>
        <w:t xml:space="preserve">year average of 10.6% of GDP, reaching a maximum</w:t>
      </w:r>
      <w:r>
        <w:t xml:space="preserve"> </w:t>
      </w:r>
      <w:r>
        <w:t xml:space="preserve">of 15.4% in 2022 (see Graph 2.7.1). The net private</w:t>
      </w:r>
      <w:r>
        <w:t xml:space="preserve"> </w:t>
      </w:r>
      <w:r>
        <w:t xml:space="preserve">investment ratio, was significantly more volatile,</w:t>
      </w:r>
      <w:r>
        <w:t xml:space="preserve"> </w:t>
      </w:r>
      <w:r>
        <w:t xml:space="preserve">exhibited a ten-year average of 4.2% of GDP and</w:t>
      </w:r>
      <w:r>
        <w:t xml:space="preserve"> </w:t>
      </w:r>
      <w:r>
        <w:t xml:space="preserve">reached a maximum of 7.1% in 2022. At the same time,</w:t>
      </w:r>
      <w:r>
        <w:t xml:space="preserve"> </w:t>
      </w:r>
      <w:r>
        <w:t xml:space="preserve">during the same period the government budget was in</w:t>
      </w:r>
      <w:r>
        <w:t xml:space="preserve"> </w:t>
      </w:r>
      <w:r>
        <w:t xml:space="preserve">regular surpluses that averaged 2.2% of GDP. Thus, the</w:t>
      </w:r>
      <w:r>
        <w:t xml:space="preserve"> </w:t>
      </w:r>
      <w:r>
        <w:t xml:space="preserve">high positive balance between net domestic savings</w:t>
      </w:r>
      <w:r>
        <w:t xml:space="preserve"> </w:t>
      </w:r>
      <w:r>
        <w:t xml:space="preserve">and net investment, together with the government</w:t>
      </w:r>
      <w:r>
        <w:t xml:space="preserve"> </w:t>
      </w:r>
      <w:r>
        <w:t xml:space="preserve">surpluses, resulted in structural net lending by</w:t>
      </w:r>
      <w:r>
        <w:t xml:space="preserve"> </w:t>
      </w:r>
      <w:r>
        <w:t xml:space="preserve">Denmark to foreigners that averaged 8.6% of GDP,</w:t>
      </w:r>
      <w:r>
        <w:t xml:space="preserve"> </w:t>
      </w:r>
      <w:r>
        <w:t xml:space="preserve">with a peak of 12.7% in 2024. Thus, most of Danish</w:t>
      </w:r>
      <w:r>
        <w:t xml:space="preserve"> </w:t>
      </w:r>
      <w:r>
        <w:t xml:space="preserve">net savings, i.e. after accounting for the investments</w:t>
      </w:r>
      <w:r>
        <w:t xml:space="preserve"> </w:t>
      </w:r>
      <w:r>
        <w:t xml:space="preserve">that are necessary to merely maintain the existing</w:t>
      </w:r>
      <w:r>
        <w:t xml:space="preserve"> </w:t>
      </w:r>
      <w:r>
        <w:t xml:space="preserve">capital structure of the economy, are used to finance</w:t>
      </w:r>
      <w:r>
        <w:t xml:space="preserve"> </w:t>
      </w:r>
      <w:r>
        <w:t xml:space="preserve">projects abroad.</w:t>
      </w:r>
      <w:r>
        <w:t xml:space="preserve"> </w:t>
      </w:r>
      <w:r>
        <w:t xml:space="preserve">1.9.1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Consistent with its regular position of a net creditor</w:t>
      </w:r>
      <w:r>
        <w:t xml:space="preserve"> </w:t>
      </w:r>
      <w:r>
        <w:t xml:space="preserve">to the rest of the world, the Danish economy has</w:t>
      </w:r>
      <w:r>
        <w:t xml:space="preserve"> </w:t>
      </w:r>
      <w:r>
        <w:t xml:space="preserve">accumulated significant net foreign assets. As of</w:t>
      </w:r>
      <w:r>
        <w:t xml:space="preserve"> </w:t>
      </w:r>
      <w:r>
        <w:t xml:space="preserve">end-2024, total foreign assets reached 357% of GDP,</w:t>
      </w:r>
      <w:r>
        <w:t xml:space="preserve"> </w:t>
      </w:r>
      <w:r>
        <w:t xml:space="preserve">while liabilities to foreigners stood at 275% of GDP,</w:t>
      </w:r>
      <w:r>
        <w:t xml:space="preserve"> </w:t>
      </w:r>
      <w:r>
        <w:t xml:space="preserve">resulting in a net international investment position</w:t>
      </w:r>
      <w:r>
        <w:t xml:space="preserve"> </w:t>
      </w:r>
      <w:r>
        <w:t xml:space="preserve">(NIIP) equivalent to 82% of GDP (see Graph 2.7.2).</w:t>
      </w:r>
      <w:r>
        <w:t xml:space="preserve"> </w:t>
      </w:r>
      <w:r>
        <w:t xml:space="preserve">682 The rights of minority shareholders have been in the spotlight in</w:t>
      </w:r>
      <w:r>
        <w:t xml:space="preserve"> </w:t>
      </w:r>
      <w:r>
        <w:t xml:space="preserve">Czechia since mid-2023 because of the law passed to facilitate</w:t>
      </w:r>
      <w:r>
        <w:t xml:space="preserve"> </w:t>
      </w:r>
      <w:r>
        <w:t xml:space="preserve">the split of the largest listed entity in the PSE, the electric utility</w:t>
      </w:r>
      <w:r>
        <w:t xml:space="preserve"> </w:t>
      </w:r>
      <w:r>
        <w:t xml:space="preserve">CEZ. See Czech parliament gives initial nod to bill on company</w:t>
      </w:r>
      <w:r>
        <w:t xml:space="preserve"> </w:t>
      </w:r>
      <w:r>
        <w:t xml:space="preserve">splits.</w:t>
      </w:r>
      <w:r>
        <w:br/>
      </w:r>
      <w:r>
        <w:t xml:space="preserve">683 For examples of past cases of malpractice, see p. 7 in a private</w:t>
      </w:r>
      <w:r>
        <w:t xml:space="preserve"> </w:t>
      </w:r>
      <w:r>
        <w:t xml:space="preserve">survey (in Czech) for unlisted corporate bonds.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432</w:t>
      </w:r>
      <w:r>
        <w:t xml:space="preserve"> </w:t>
      </w:r>
      <w:r>
        <w:t xml:space="preserve">The accumulated net foreign direct investment, which</w:t>
      </w:r>
      <w:r>
        <w:t xml:space="preserve"> </w:t>
      </w:r>
      <w:r>
        <w:t xml:space="preserve">reached 32% of GDP as of end-2024, accounted for</w:t>
      </w:r>
      <w:r>
        <w:t xml:space="preserve"> </w:t>
      </w:r>
      <w:r>
        <w:t xml:space="preserve">most of the NIIP. The significant stock of official</w:t>
      </w:r>
      <w:r>
        <w:t xml:space="preserve"> </w:t>
      </w:r>
      <w:r>
        <w:t xml:space="preserve">foreign reserve assets, which amounted to 23% of</w:t>
      </w:r>
      <w:r>
        <w:t xml:space="preserve"> </w:t>
      </w:r>
      <w:r>
        <w:t xml:space="preserve">GDP, reflects the central bank’s commitment to</w:t>
      </w:r>
      <w:r>
        <w:t xml:space="preserve"> </w:t>
      </w:r>
      <w:r>
        <w:t xml:space="preserve">maintain the Danish krone within the narrow band of</w:t>
      </w:r>
      <w:r>
        <w:t xml:space="preserve"> </w:t>
      </w:r>
      <w:r>
        <w:t xml:space="preserve">its official peg. The net portfolio investments, which</w:t>
      </w:r>
      <w:r>
        <w:t xml:space="preserve"> </w:t>
      </w:r>
      <w:r>
        <w:t xml:space="preserve">are directly affected by the price volatility of equity</w:t>
      </w:r>
      <w:r>
        <w:t xml:space="preserve"> </w:t>
      </w:r>
      <w:r>
        <w:t xml:space="preserve">valuations abroad (assets) and in Denmark (liabilities),</w:t>
      </w:r>
      <w:r>
        <w:t xml:space="preserve"> </w:t>
      </w:r>
      <w:r>
        <w:t xml:space="preserve">turned positive to the equivalent of 18.5% of GDP, up</w:t>
      </w:r>
      <w:r>
        <w:t xml:space="preserve"> </w:t>
      </w:r>
      <w:r>
        <w:t xml:space="preserve">from -16% of GDP as of end-2023. The net</w:t>
      </w:r>
      <w:r>
        <w:t xml:space="preserve"> </w:t>
      </w:r>
      <w:r>
        <w:t xml:space="preserve">international stock of other investments amounted to</w:t>
      </w:r>
      <w:r>
        <w:t xml:space="preserve"> </w:t>
      </w:r>
      <w:r>
        <w:t xml:space="preserve">8% of GDP. Thus, while the Danish economy appears</w:t>
      </w:r>
      <w:r>
        <w:t xml:space="preserve"> </w:t>
      </w:r>
      <w:r>
        <w:t xml:space="preserve">to be deeply integrated in international capital flows,</w:t>
      </w:r>
      <w:r>
        <w:t xml:space="preserve"> </w:t>
      </w:r>
      <w:r>
        <w:t xml:space="preserve">including as a major recipient of foreign capital, it</w:t>
      </w:r>
      <w:r>
        <w:t xml:space="preserve"> </w:t>
      </w:r>
      <w:r>
        <w:t xml:space="preserve">remains nevertheless a net capital exporter, notably by</w:t>
      </w:r>
      <w:r>
        <w:t xml:space="preserve"> </w:t>
      </w:r>
      <w:r>
        <w:t xml:space="preserve">means of direct investments abroad.</w:t>
      </w:r>
      <w:r>
        <w:t xml:space="preserve"> </w:t>
      </w:r>
      <w:r>
        <w:t xml:space="preserve">1.9.2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and size of the financial sector</w:t>
      </w:r>
      <w:r>
        <w:t xml:space="preserve"> </w:t>
      </w:r>
      <w:r>
        <w:t xml:space="preserve">The Danish economy stands out with one of the</w:t>
      </w:r>
      <w:r>
        <w:t xml:space="preserve"> </w:t>
      </w:r>
      <w:r>
        <w:t xml:space="preserve">deepest domestic capital markets in Europe. Based</w:t>
      </w:r>
      <w:r>
        <w:t xml:space="preserve"> </w:t>
      </w:r>
      <w:r>
        <w:t xml:space="preserve">on ECB data, the market capitalisation of listed equity</w:t>
      </w:r>
      <w:r>
        <w:t xml:space="preserve"> </w:t>
      </w:r>
      <w:r>
        <w:t xml:space="preserve">issued by Danish companies684 reached 155% of GDP</w:t>
      </w:r>
      <w:r>
        <w:t xml:space="preserve"> </w:t>
      </w:r>
      <w:r>
        <w:t xml:space="preserve">at end-2024, which is the second highest in the EU after</w:t>
      </w:r>
      <w:r>
        <w:t xml:space="preserve"> </w:t>
      </w:r>
      <w:r>
        <w:t xml:space="preserve">Ireland (see Graph 2.7.3). Characteristically, non-</w:t>
      </w:r>
      <w:r>
        <w:t xml:space="preserve"> </w:t>
      </w:r>
      <w:r>
        <w:t xml:space="preserve">financial corporations accounted for 89% of that</w:t>
      </w:r>
      <w:r>
        <w:t xml:space="preserve"> </w:t>
      </w:r>
      <w:r>
        <w:t xml:space="preserve">capitalisation, which reflects the extent to which equity</w:t>
      </w:r>
      <w:r>
        <w:t xml:space="preserve"> </w:t>
      </w:r>
      <w:r>
        <w:t xml:space="preserve">markets are geared towards funding the non-financial</w:t>
      </w:r>
      <w:r>
        <w:t xml:space="preserve"> </w:t>
      </w:r>
      <w:r>
        <w:t xml:space="preserve">segment of the Danish economy. The outstanding</w:t>
      </w:r>
    </w:p>
    <w:p>
      <w:pPr>
        <w:pStyle w:val="BodyText"/>
      </w:pPr>
      <w:r>
        <w:t xml:space="preserve">684 This figure is a proxy for the degree of development of the</w:t>
      </w:r>
      <w:r>
        <w:t xml:space="preserve"> </w:t>
      </w:r>
      <w:r>
        <w:t xml:space="preserve">Danish stock exchange, given that i) Danish companies could be</w:t>
      </w:r>
      <w:r>
        <w:t xml:space="preserve"> </w:t>
      </w:r>
      <w:r>
        <w:t xml:space="preserve">listed abroad and ii) foreign companies could be listed in</w:t>
      </w:r>
      <w:r>
        <w:t xml:space="preserve"> </w:t>
      </w:r>
      <w:r>
        <w:t xml:space="preserve">Denmark as well.</w:t>
      </w:r>
      <w:r>
        <w:t xml:space="preserve"> </w:t>
      </w:r>
      <w:r>
        <w:t xml:space="preserve">685 In the Danish model, mortgage banks provide exclusively</w:t>
      </w:r>
      <w:r>
        <w:t xml:space="preserve"> </w:t>
      </w:r>
      <w:r>
        <w:t xml:space="preserve">market-funded mortgages for up to 80% of the property value.</w:t>
      </w:r>
      <w:r>
        <w:t xml:space="preserve"> </w:t>
      </w:r>
      <w:r>
        <w:t xml:space="preserve">Commercial banks may step in for up to 15%, remaining after</w:t>
      </w:r>
      <w:r>
        <w:t xml:space="preserve"> </w:t>
      </w:r>
      <w:r>
        <w:t xml:space="preserve">volume of debt securities reached 177% of GDP at end-</w:t>
      </w:r>
      <w:r>
        <w:t xml:space="preserve"> </w:t>
      </w:r>
      <w:r>
        <w:t xml:space="preserve">2024, which is one of the highest national scores in the</w:t>
      </w:r>
      <w:r>
        <w:t xml:space="preserve"> </w:t>
      </w:r>
      <w:r>
        <w:t xml:space="preserve">EU. Bonds issued by the monetary financial</w:t>
      </w:r>
      <w:r>
        <w:t xml:space="preserve"> </w:t>
      </w:r>
      <w:r>
        <w:t xml:space="preserve">institutions (MFIs) accounted for 83% of the total. This</w:t>
      </w:r>
      <w:r>
        <w:t xml:space="preserve"> </w:t>
      </w:r>
      <w:r>
        <w:t xml:space="preserve">reflects the specificity of mortgage lending in</w:t>
      </w:r>
      <w:r>
        <w:t xml:space="preserve"> </w:t>
      </w:r>
      <w:r>
        <w:t xml:space="preserve">Denmark, where most mortgages are funded through</w:t>
      </w:r>
      <w:r>
        <w:t xml:space="preserve"> </w:t>
      </w:r>
      <w:r>
        <w:t xml:space="preserve">marketable covered bonds, which enjoy very high</w:t>
      </w:r>
      <w:r>
        <w:t xml:space="preserve"> </w:t>
      </w:r>
      <w:r>
        <w:t xml:space="preserve">liquidity</w:t>
      </w:r>
      <w:r>
        <w:t xml:space="preserve"> </w:t>
      </w:r>
      <w:r>
        <w:t xml:space="preserve">and</w:t>
      </w:r>
      <w:r>
        <w:t xml:space="preserve"> </w:t>
      </w:r>
      <w:r>
        <w:t xml:space="preserve">strong</w:t>
      </w:r>
      <w:r>
        <w:t xml:space="preserve"> </w:t>
      </w:r>
      <w:r>
        <w:t xml:space="preserve">demand,</w:t>
      </w:r>
      <w:r>
        <w:t xml:space="preserve"> </w:t>
      </w:r>
      <w:r>
        <w:t xml:space="preserve">including</w:t>
      </w:r>
      <w:r>
        <w:t xml:space="preserve"> </w:t>
      </w:r>
      <w:r>
        <w:t xml:space="preserve">from</w:t>
      </w:r>
      <w:r>
        <w:t xml:space="preserve"> </w:t>
      </w:r>
      <w:r>
        <w:t xml:space="preserve">foreigners.685 As the government has been running</w:t>
      </w:r>
      <w:r>
        <w:t xml:space="preserve"> </w:t>
      </w:r>
      <w:r>
        <w:t xml:space="preserve">budgetary</w:t>
      </w:r>
      <w:r>
        <w:t xml:space="preserve"> </w:t>
      </w:r>
      <w:r>
        <w:t xml:space="preserve">surpluses,</w:t>
      </w:r>
      <w:r>
        <w:t xml:space="preserve"> </w:t>
      </w:r>
      <w:r>
        <w:t xml:space="preserve">the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general</w:t>
      </w:r>
      <w:r>
        <w:t xml:space="preserve"> </w:t>
      </w:r>
      <w:r>
        <w:t xml:space="preserve">government bonds declined from 40% of GDP at end-</w:t>
      </w:r>
      <w:r>
        <w:t xml:space="preserve"> </w:t>
      </w:r>
      <w:r>
        <w:t xml:space="preserve">2020 to less than 20% at end-2024.</w:t>
      </w:r>
      <w:r>
        <w:t xml:space="preserve"> </w:t>
      </w:r>
      <w:r>
        <w:t xml:space="preserve">1.9.3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AMECO, DNB. End-2023 data for investment</w:t>
      </w:r>
      <w:r>
        <w:t xml:space="preserve"> </w:t>
      </w:r>
      <w:r>
        <w:t xml:space="preserve">funds.</w:t>
      </w:r>
      <w:r>
        <w:t xml:space="preserve"> </w:t>
      </w:r>
      <w:r>
        <w:t xml:space="preserve">Even though the financial sector in Denmark</w:t>
      </w:r>
      <w:r>
        <w:t xml:space="preserve"> </w:t>
      </w:r>
      <w:r>
        <w:t xml:space="preserve">remains dominated by banks, non-bank financial</w:t>
      </w:r>
      <w:r>
        <w:t xml:space="preserve"> </w:t>
      </w:r>
      <w:r>
        <w:t xml:space="preserve">intermediaries are very much developed as well.</w:t>
      </w:r>
      <w:r>
        <w:t xml:space="preserve"> </w:t>
      </w:r>
      <w:r>
        <w:t xml:space="preserve">After peaking at 402% of GDP in 2020, the size of the</w:t>
      </w:r>
      <w:r>
        <w:t xml:space="preserve"> </w:t>
      </w:r>
      <w:r>
        <w:t xml:space="preserve">banking sector declined to 322% of GDP in 2024,</w:t>
      </w:r>
      <w:r>
        <w:t xml:space="preserve"> </w:t>
      </w:r>
      <w:r>
        <w:t xml:space="preserve">which remains however significantly above the EU</w:t>
      </w:r>
      <w:r>
        <w:t xml:space="preserve"> </w:t>
      </w:r>
      <w:r>
        <w:t xml:space="preserve">average of 251% and places the Danish banking sector</w:t>
      </w:r>
      <w:r>
        <w:t xml:space="preserve"> </w:t>
      </w:r>
      <w:r>
        <w:t xml:space="preserve">third in size686 in the EU, after Luxembourg (1,822%)</w:t>
      </w:r>
      <w:r>
        <w:t xml:space="preserve"> </w:t>
      </w:r>
      <w:r>
        <w:t xml:space="preserve">and France (416%). Foreign presence is limited and</w:t>
      </w:r>
      <w:r>
        <w:t xml:space="preserve"> </w:t>
      </w:r>
      <w:r>
        <w:t xml:space="preserve">accounts for about 7% in terms of assets. Banking</w:t>
      </w:r>
      <w:r>
        <w:t xml:space="preserve"> </w:t>
      </w:r>
      <w:r>
        <w:t xml:space="preserve">concentration appears to be higher than on average in</w:t>
      </w:r>
      <w:r>
        <w:t xml:space="preserve"> </w:t>
      </w:r>
      <w:r>
        <w:t xml:space="preserve">the EU, with the top five monetary financial</w:t>
      </w:r>
      <w:r>
        <w:t xml:space="preserve"> </w:t>
      </w:r>
      <w:r>
        <w:t xml:space="preserve">institutions (MFIs) controlling 64% of the sector. The</w:t>
      </w:r>
      <w:r>
        <w:t xml:space="preserve"> </w:t>
      </w:r>
      <w:r>
        <w:t xml:space="preserve">insurance sector, with total assets of almost 160% of</w:t>
      </w:r>
      <w:r>
        <w:t xml:space="preserve"> </w:t>
      </w:r>
      <w:r>
        <w:t xml:space="preserve">GDP at end-2024, dominates non-bank intermediation</w:t>
      </w:r>
      <w:r>
        <w:t xml:space="preserve"> </w:t>
      </w:r>
      <w:r>
        <w:t xml:space="preserve">and is the second largest in the EU (after Luxembourg</w:t>
      </w:r>
      <w:r>
        <w:t xml:space="preserve"> </w:t>
      </w:r>
      <w:r>
        <w:t xml:space="preserve">at 382% of GDP). Its very large size is due to the</w:t>
      </w:r>
      <w:r>
        <w:t xml:space="preserve"> </w:t>
      </w:r>
      <w:r>
        <w:t xml:space="preserve">importance of the asset-backed pension schemes,</w:t>
      </w:r>
      <w:r>
        <w:t xml:space="preserve"> </w:t>
      </w:r>
      <w:r>
        <w:t xml:space="preserve">5% of self-financing. As a result of that, commercial banks’</w:t>
      </w:r>
      <w:r>
        <w:t xml:space="preserve"> </w:t>
      </w:r>
      <w:r>
        <w:t xml:space="preserve">balance sheets do contain some mortgage loans, which does not</w:t>
      </w:r>
      <w:r>
        <w:t xml:space="preserve"> </w:t>
      </w:r>
      <w:r>
        <w:t xml:space="preserve">change the main fact that the bulk of (mortgage) lending in</w:t>
      </w:r>
      <w:r>
        <w:t xml:space="preserve"> </w:t>
      </w:r>
      <w:r>
        <w:t xml:space="preserve">Denmark has no monetary impact.</w:t>
      </w:r>
      <w:r>
        <w:t xml:space="preserve"> </w:t>
      </w:r>
      <w:r>
        <w:t xml:space="preserve">686 However, if the market-funded mortgage credit institutions are</w:t>
      </w:r>
      <w:r>
        <w:t xml:space="preserve"> </w:t>
      </w:r>
      <w:r>
        <w:t xml:space="preserve">excluded, the size of the remaining commercial banking sector</w:t>
      </w:r>
      <w:r>
        <w:t xml:space="preserve"> </w:t>
      </w:r>
      <w:r>
        <w:t xml:space="preserve">is estimated at about 125% of GDP, after consolidation.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-400</w:t>
      </w:r>
      <w:r>
        <w:t xml:space="preserve"> </w:t>
      </w:r>
      <w:r>
        <w:t xml:space="preserve">-200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433</w:t>
      </w:r>
      <w:r>
        <w:t xml:space="preserve"> </w:t>
      </w:r>
      <w:r>
        <w:t xml:space="preserve">which are set up as insurance companies under the</w:t>
      </w:r>
      <w:r>
        <w:t xml:space="preserve"> </w:t>
      </w:r>
      <w:r>
        <w:t xml:space="preserve">Solvency II Directive, instead of pension funds under</w:t>
      </w:r>
      <w:r>
        <w:t xml:space="preserve"> </w:t>
      </w:r>
      <w:r>
        <w:t xml:space="preserve">the IORP Directive. Accordingly, the sector of pension</w:t>
      </w:r>
      <w:r>
        <w:t xml:space="preserve"> </w:t>
      </w:r>
      <w:r>
        <w:t xml:space="preserve">funds is reported to have total assets of only 1.4% of</w:t>
      </w:r>
      <w:r>
        <w:t xml:space="preserve"> </w:t>
      </w:r>
      <w:r>
        <w:t xml:space="preserve">GDP at end-2024. Investment funds, though their total</w:t>
      </w:r>
      <w:r>
        <w:t xml:space="preserve"> </w:t>
      </w:r>
      <w:r>
        <w:t xml:space="preserve">assets dropped by 32 percentage points to 91% of GDP</w:t>
      </w:r>
      <w:r>
        <w:t xml:space="preserve"> </w:t>
      </w:r>
      <w:r>
        <w:t xml:space="preserve">between 2021 and 2023, remain nevertheless</w:t>
      </w:r>
      <w:r>
        <w:t xml:space="preserve"> </w:t>
      </w:r>
      <w:r>
        <w:t xml:space="preserve">significant.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Danish stock market, which offers one of the</w:t>
      </w:r>
      <w:r>
        <w:t xml:space="preserve"> </w:t>
      </w:r>
      <w:r>
        <w:t xml:space="preserve">highest investment protection environments in the</w:t>
      </w:r>
      <w:r>
        <w:t xml:space="preserve"> </w:t>
      </w:r>
      <w:r>
        <w:t xml:space="preserve">EU687, experienced high volatility in 2024. As of end-</w:t>
      </w:r>
      <w:r>
        <w:t xml:space="preserve"> </w:t>
      </w:r>
      <w:r>
        <w:t xml:space="preserve">2024, the Nasdaq Copenhagen had a market</w:t>
      </w:r>
      <w:r>
        <w:t xml:space="preserve"> </w:t>
      </w:r>
      <w:r>
        <w:t xml:space="preserve">capitalisation of 156.1% of GDP, i.e. about DKK 4600</w:t>
      </w:r>
      <w:r>
        <w:t xml:space="preserve"> </w:t>
      </w:r>
      <w:r>
        <w:t xml:space="preserve">bn (EUR 620 bn), down from 174% of GDP the year</w:t>
      </w:r>
      <w:r>
        <w:t xml:space="preserve"> </w:t>
      </w:r>
      <w:r>
        <w:t xml:space="preserve">before.688 124 companies are listed on the main stock</w:t>
      </w:r>
      <w:r>
        <w:t xml:space="preserve"> </w:t>
      </w:r>
      <w:r>
        <w:t xml:space="preserve">exchange and 39 on the First North Growth Market.689</w:t>
      </w:r>
      <w:r>
        <w:t xml:space="preserve"> </w:t>
      </w:r>
      <w:r>
        <w:t xml:space="preserve">The OMX20 Copenhagen index increased by almost</w:t>
      </w:r>
      <w:r>
        <w:t xml:space="preserve"> </w:t>
      </w:r>
      <w:r>
        <w:t xml:space="preserve">30% in the first two quarters of 2024, implying an</w:t>
      </w:r>
      <w:r>
        <w:t xml:space="preserve"> </w:t>
      </w:r>
      <w:r>
        <w:t xml:space="preserve">aggregate market capitalisation of more than 204% of</w:t>
      </w:r>
      <w:r>
        <w:t xml:space="preserve"> </w:t>
      </w:r>
      <w:r>
        <w:t xml:space="preserve">GDP as of Q2 2024, before declining by about 36%</w:t>
      </w:r>
      <w:r>
        <w:t xml:space="preserve"> </w:t>
      </w:r>
      <w:r>
        <w:t xml:space="preserve">since then (see Graph 2.7.4). These developments have</w:t>
      </w:r>
      <w:r>
        <w:t xml:space="preserve"> </w:t>
      </w:r>
      <w:r>
        <w:t xml:space="preserve">been driven by the stock price of Novo Nordisk, the</w:t>
      </w:r>
      <w:r>
        <w:t xml:space="preserve"> </w:t>
      </w:r>
      <w:r>
        <w:t xml:space="preserve">capitalisation of which is as large as the next nine</w:t>
      </w:r>
      <w:r>
        <w:t xml:space="preserve"> </w:t>
      </w:r>
      <w:r>
        <w:t xml:space="preserve">companies in the index.690 In comparison, the Danish</w:t>
      </w:r>
      <w:r>
        <w:t xml:space="preserve"> </w:t>
      </w:r>
      <w:r>
        <w:t xml:space="preserve">bank equity index, which expanded by 47% between</w:t>
      </w:r>
      <w:r>
        <w:t xml:space="preserve"> </w:t>
      </w:r>
      <w:r>
        <w:t xml:space="preserve">end-2023 and mid-2025, appears much more stable.</w:t>
      </w:r>
      <w:r>
        <w:t xml:space="preserve"> </w:t>
      </w:r>
      <w:r>
        <w:t xml:space="preserve">The trading infrastructure in Denmark is an integral</w:t>
      </w:r>
      <w:r>
        <w:t xml:space="preserve"> </w:t>
      </w:r>
      <w:r>
        <w:t xml:space="preserve">part of the Nasdaq Nordic, which provides an</w:t>
      </w:r>
      <w:r>
        <w:t xml:space="preserve"> </w:t>
      </w:r>
      <w:r>
        <w:t xml:space="preserve">integrated trading platform for shares, debt securities,</w:t>
      </w:r>
      <w:r>
        <w:t xml:space="preserve"> </w:t>
      </w:r>
      <w:r>
        <w:t xml:space="preserve">currencies, derivatives, and money-market instruments</w:t>
      </w:r>
      <w:r>
        <w:t xml:space="preserve"> </w:t>
      </w:r>
      <w:r>
        <w:t xml:space="preserve">across Denmark, Finland, Sweden, and Iceland.</w:t>
      </w:r>
      <w:r>
        <w:t xml:space="preserve"> </w:t>
      </w:r>
      <w:r>
        <w:t xml:space="preserve">Overall, today the Danish capital markets still retain</w:t>
      </w:r>
      <w:r>
        <w:t xml:space="preserve"> </w:t>
      </w:r>
      <w:r>
        <w:t xml:space="preserve">some of their traditional characteristics, including the</w:t>
      </w:r>
      <w:r>
        <w:t xml:space="preserve"> </w:t>
      </w:r>
      <w:r>
        <w:t xml:space="preserve">family ownership of many large companies and the</w:t>
      </w:r>
      <w:r>
        <w:t xml:space="preserve"> </w:t>
      </w:r>
      <w:r>
        <w:t xml:space="preserve">control of publicly traded companies by foundations.</w:t>
      </w:r>
      <w:r>
        <w:t xml:space="preserve"> </w:t>
      </w:r>
      <w:r>
        <w:t xml:space="preserve">Lately, insurance corporations and pension funds have</w:t>
      </w:r>
      <w:r>
        <w:t xml:space="preserve"> </w:t>
      </w:r>
      <w:r>
        <w:t xml:space="preserve">been the main issuers, with a market value of DKK</w:t>
      </w:r>
    </w:p>
    <w:p>
      <w:pPr>
        <w:pStyle w:val="BodyText"/>
      </w:pPr>
      <w:r>
        <w:t xml:space="preserve">687 According to the Overview of CMU Indicators, the investment</w:t>
      </w:r>
      <w:r>
        <w:t xml:space="preserve"> </w:t>
      </w:r>
      <w:r>
        <w:t xml:space="preserve">protection index for Denmark stood at 81 in 2024, versus an EU</w:t>
      </w:r>
      <w:r>
        <w:t xml:space="preserve"> </w:t>
      </w:r>
      <w:r>
        <w:t xml:space="preserve">average of 54.</w:t>
      </w:r>
      <w:r>
        <w:t xml:space="preserve"> </w:t>
      </w:r>
      <w:r>
        <w:t xml:space="preserve">688 See the data and commentary published by CEIC.</w:t>
      </w:r>
      <w:r>
        <w:t xml:space="preserve"> </w:t>
      </w:r>
      <w:r>
        <w:t xml:space="preserve">689 See the Nasdaq Copenhagen.</w:t>
      </w:r>
      <w:r>
        <w:t xml:space="preserve"> </w:t>
      </w:r>
      <w:r>
        <w:t xml:space="preserve">690 As of mid-September 2025, Novo Nordisk represented 47% of</w:t>
      </w:r>
      <w:r>
        <w:t xml:space="preserve"> </w:t>
      </w:r>
      <w:r>
        <w:t xml:space="preserve">the index market capitalisation.</w:t>
      </w:r>
      <w:r>
        <w:t xml:space="preserve"> </w:t>
      </w:r>
      <w:r>
        <w:t xml:space="preserve">691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1,700 bn as of June 2024, representing 100% of</w:t>
      </w:r>
      <w:r>
        <w:t xml:space="preserve"> </w:t>
      </w:r>
      <w:r>
        <w:t xml:space="preserve">domestic issuance.</w:t>
      </w:r>
      <w:r>
        <w:br/>
      </w:r>
      <w:r>
        <w:t xml:space="preserve">1.9.4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Group691.</w:t>
      </w:r>
      <w:r>
        <w:t xml:space="preserve"> </w:t>
      </w:r>
      <w:r>
        <w:t xml:space="preserve">As all mortgages in Denmark are market-funded,</w:t>
      </w:r>
      <w:r>
        <w:t xml:space="preserve"> </w:t>
      </w:r>
      <w:r>
        <w:t xml:space="preserve">the country has become the world’s largest private</w:t>
      </w:r>
      <w:r>
        <w:t xml:space="preserve"> </w:t>
      </w:r>
      <w:r>
        <w:t xml:space="preserve">market for covered bonds. As of December 2024, the</w:t>
      </w:r>
      <w:r>
        <w:t xml:space="preserve"> </w:t>
      </w:r>
      <w:r>
        <w:t xml:space="preserve">six Danish mortgage banks have issued the equivalent</w:t>
      </w:r>
      <w:r>
        <w:t xml:space="preserve"> </w:t>
      </w:r>
      <w:r>
        <w:t xml:space="preserve">of EUR 436 bn of covered mortgage bonds (CMBs),</w:t>
      </w:r>
      <w:r>
        <w:t xml:space="preserve"> </w:t>
      </w:r>
      <w:r>
        <w:t xml:space="preserve">accounting for 14.3% of the global issuance of CMBs</w:t>
      </w:r>
      <w:r>
        <w:t xml:space="preserve"> </w:t>
      </w:r>
      <w:r>
        <w:t xml:space="preserve">outside the USA.692 The DKK 3.3 tn of CMBs</w:t>
      </w:r>
      <w:r>
        <w:t xml:space="preserve"> </w:t>
      </w:r>
      <w:r>
        <w:t xml:space="preserve">represent the equivalent of 113% of GDP or more than</w:t>
      </w:r>
      <w:r>
        <w:t xml:space="preserve"> </w:t>
      </w:r>
      <w:r>
        <w:t xml:space="preserve">5 times the outstanding amount of central government</w:t>
      </w:r>
      <w:r>
        <w:t xml:space="preserve"> </w:t>
      </w:r>
      <w:r>
        <w:t xml:space="preserve">debt. This highlights the importance of CMBs for</w:t>
      </w:r>
      <w:r>
        <w:t xml:space="preserve"> </w:t>
      </w:r>
      <w:r>
        <w:t xml:space="preserve">investors and asset managers in Denmark. Nykredit</w:t>
      </w:r>
      <w:r>
        <w:t xml:space="preserve"> </w:t>
      </w:r>
      <w:r>
        <w:t xml:space="preserve">Realkredit (45.5%) and Realkredit Danmark (24.5%)</w:t>
      </w:r>
      <w:r>
        <w:t xml:space="preserve"> </w:t>
      </w:r>
      <w:r>
        <w:t xml:space="preserve">are the two largest mortgage banks and issuers of</w:t>
      </w:r>
      <w:r>
        <w:t xml:space="preserve"> </w:t>
      </w:r>
      <w:r>
        <w:t xml:space="preserve">CMBs.693 Historically, there has been no default on</w:t>
      </w:r>
      <w:r>
        <w:t xml:space="preserve"> </w:t>
      </w:r>
      <w:r>
        <w:t xml:space="preserve">Danish CMBs, which enjoy very high liquidity, also</w:t>
      </w:r>
      <w:r>
        <w:t xml:space="preserve"> </w:t>
      </w:r>
      <w:r>
        <w:t xml:space="preserve">because of their triple-A rating. Foreign demand,</w:t>
      </w:r>
      <w:r>
        <w:t xml:space="preserve"> </w:t>
      </w:r>
      <w:r>
        <w:t xml:space="preserve">which peaked at 24.5% of the outstanding volumes in</w:t>
      </w:r>
      <w:r>
        <w:t xml:space="preserve"> </w:t>
      </w:r>
      <w:r>
        <w:t xml:space="preserve">2020, declined to 19.2% as of March 2024 before</w:t>
      </w:r>
      <w:r>
        <w:t xml:space="preserve"> </w:t>
      </w:r>
      <w:r>
        <w:t xml:space="preserve">rebounding slightly to 20.6% as of end-2024. Most of</w:t>
      </w:r>
      <w:r>
        <w:t xml:space="preserve"> </w:t>
      </w:r>
      <w:r>
        <w:t xml:space="preserve">the foreign divestment occurred in 2022 against the</w:t>
      </w:r>
      <w:r>
        <w:t xml:space="preserve"> </w:t>
      </w:r>
      <w:r>
        <w:t xml:space="preserve">backdrop of central banks’ interest rate hikes that</w:t>
      </w:r>
      <w:r>
        <w:t xml:space="preserve"> </w:t>
      </w:r>
      <w:r>
        <w:t xml:space="preserve">improved the attractiveness of other investments</w:t>
      </w:r>
      <w:r>
        <w:t xml:space="preserve"> </w:t>
      </w:r>
      <w:r>
        <w:t xml:space="preserve">elsewhere. At the same time, the outstanding aggregate</w:t>
      </w:r>
      <w:r>
        <w:t xml:space="preserve"> </w:t>
      </w:r>
      <w:r>
        <w:t xml:space="preserve">value of CMBs contracted by 8% from DKK 3,310 bn</w:t>
      </w:r>
      <w:r>
        <w:t xml:space="preserve"> </w:t>
      </w:r>
      <w:r>
        <w:t xml:space="preserve">at end-2021 to DKK 3,054 bn at end-2022, also due to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692 See the latest European Covered Bond Factbook published by</w:t>
      </w:r>
      <w:r>
        <w:t xml:space="preserve"> </w:t>
      </w:r>
      <w:r>
        <w:t xml:space="preserve">the European Covered Bond Council (ECBC). In the USA,</w:t>
      </w:r>
      <w:r>
        <w:t xml:space="preserve"> </w:t>
      </w:r>
      <w:r>
        <w:t xml:space="preserve">government-sponsored enterprises, i.e. Freddie Mac, Fannie</w:t>
      </w:r>
      <w:r>
        <w:t xml:space="preserve"> </w:t>
      </w:r>
      <w:r>
        <w:t xml:space="preserve">Mae, and Ginnie Mae, dominate the issuance of mortgage-</w:t>
      </w:r>
      <w:r>
        <w:t xml:space="preserve"> </w:t>
      </w:r>
      <w:r>
        <w:t xml:space="preserve">backed securities, for a total of about USD 10 tn. Unlike MBSs,</w:t>
      </w:r>
      <w:r>
        <w:t xml:space="preserve"> </w:t>
      </w:r>
      <w:r>
        <w:t xml:space="preserve">investors in CMBs have some recourse to the bond issuers.</w:t>
      </w:r>
      <w:r>
        <w:t xml:space="preserve"> </w:t>
      </w:r>
      <w:r>
        <w:t xml:space="preserve">693 With a share of 0.1%, Totalkredit has discontinued its business.</w:t>
      </w:r>
      <w:r>
        <w:t xml:space="preserve"> </w:t>
      </w:r>
      <w:r>
        <w:t xml:space="preserve">Nordea kredit (12.4%), Jyske Realkredit (11.5%) and DLR</w:t>
      </w:r>
      <w:r>
        <w:t xml:space="preserve"> </w:t>
      </w:r>
      <w:r>
        <w:t xml:space="preserve">Kredit (6.5%) are the three remaining active issuers.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DK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OMX COPENHAGEN (OMXC20)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434</w:t>
      </w:r>
      <w:r>
        <w:t xml:space="preserve"> </w:t>
      </w:r>
      <w:r>
        <w:t xml:space="preserve">price adjustments. By end-2024, outstanding volumes</w:t>
      </w:r>
      <w:r>
        <w:t xml:space="preserve"> </w:t>
      </w:r>
      <w:r>
        <w:t xml:space="preserve">have recovered and reached DKK 3,346 bn. These</w:t>
      </w:r>
      <w:r>
        <w:t xml:space="preserve"> </w:t>
      </w:r>
      <w:r>
        <w:t xml:space="preserve">developments highlight the inherent riskiness of long-</w:t>
      </w:r>
      <w:r>
        <w:t xml:space="preserve"> </w:t>
      </w:r>
      <w:r>
        <w:t xml:space="preserve">term marketable securities, which remain interest-rate</w:t>
      </w:r>
      <w:r>
        <w:t xml:space="preserve"> </w:t>
      </w:r>
      <w:r>
        <w:t xml:space="preserve">sensitive irrespective of their high liquidity.694 As of</w:t>
      </w:r>
      <w:r>
        <w:t xml:space="preserve"> </w:t>
      </w:r>
      <w:r>
        <w:t xml:space="preserve">end-2024, the domestic demand was divided between</w:t>
      </w:r>
      <w:r>
        <w:t xml:space="preserve"> </w:t>
      </w:r>
      <w:r>
        <w:t xml:space="preserve">insurance companies and pension funds (28.9%), MFIs</w:t>
      </w:r>
      <w:r>
        <w:t xml:space="preserve"> </w:t>
      </w:r>
      <w:r>
        <w:t xml:space="preserve">(26.6%), investment funds (9.6%), households (1.4%)</w:t>
      </w:r>
      <w:r>
        <w:t xml:space="preserve"> </w:t>
      </w:r>
      <w:r>
        <w:t xml:space="preserve">and others (12.8%).</w:t>
      </w:r>
      <w:r>
        <w:t xml:space="preserve"> </w:t>
      </w:r>
      <w:r>
        <w:t xml:space="preserve">The Danish covered bonds market, though robust</w:t>
      </w:r>
      <w:r>
        <w:t xml:space="preserve"> </w:t>
      </w:r>
      <w:r>
        <w:t xml:space="preserve">and liquid, remains vulnerable to large-scale</w:t>
      </w:r>
      <w:r>
        <w:t xml:space="preserve"> </w:t>
      </w:r>
      <w:r>
        <w:t xml:space="preserve">divestments due to the very high concentration of</w:t>
      </w:r>
      <w:r>
        <w:t xml:space="preserve"> </w:t>
      </w:r>
      <w:r>
        <w:t xml:space="preserve">investors. Demand is sustained by a very limited</w:t>
      </w:r>
      <w:r>
        <w:t xml:space="preserve"> </w:t>
      </w:r>
      <w:r>
        <w:t xml:space="preserve">number of participants, that include 3 foreign investors,</w:t>
      </w:r>
      <w:r>
        <w:t xml:space="preserve"> </w:t>
      </w:r>
      <w:r>
        <w:t xml:space="preserve">7 insurance companies and pension funds, 3 investment</w:t>
      </w:r>
      <w:r>
        <w:t xml:space="preserve"> </w:t>
      </w:r>
      <w:r>
        <w:t xml:space="preserve">funds, and 4 banks.695 Only eight banks play the role of</w:t>
      </w:r>
      <w:r>
        <w:t xml:space="preserve"> </w:t>
      </w:r>
      <w:r>
        <w:t xml:space="preserve">market-makers. While the limited number of market</w:t>
      </w:r>
      <w:r>
        <w:t xml:space="preserve"> </w:t>
      </w:r>
      <w:r>
        <w:t xml:space="preserve">participants increases the risk of disorderly price</w:t>
      </w:r>
      <w:r>
        <w:t xml:space="preserve"> </w:t>
      </w:r>
      <w:r>
        <w:t xml:space="preserve">movements in the event of domestic or international</w:t>
      </w:r>
      <w:r>
        <w:t xml:space="preserve"> </w:t>
      </w:r>
      <w:r>
        <w:t xml:space="preserve">stress, the rather diverse investment profiles and the</w:t>
      </w:r>
      <w:r>
        <w:t xml:space="preserve"> </w:t>
      </w:r>
      <w:r>
        <w:t xml:space="preserve">good historical record of Danish mortgage bonds have</w:t>
      </w:r>
      <w:r>
        <w:t xml:space="preserve"> </w:t>
      </w:r>
      <w:r>
        <w:t xml:space="preserve">been mitigating the high concentration risk so far.</w:t>
      </w:r>
      <w:r>
        <w:t xml:space="preserve"> </w:t>
      </w:r>
      <w:r>
        <w:t xml:space="preserve">1.9.5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As regards net issuance of debt securities, the first</w:t>
      </w:r>
      <w:r>
        <w:t xml:space="preserve"> </w:t>
      </w:r>
      <w:r>
        <w:t xml:space="preserve">quarter of 2025 shows a notable structural change.</w:t>
      </w:r>
      <w:r>
        <w:t xml:space="preserve"> </w:t>
      </w:r>
      <w:r>
        <w:t xml:space="preserve">While in previous years market debt finance has not</w:t>
      </w:r>
      <w:r>
        <w:t xml:space="preserve"> </w:t>
      </w:r>
      <w:r>
        <w:t xml:space="preserve">been a major source of funding for non-financial</w:t>
      </w:r>
      <w:r>
        <w:t xml:space="preserve"> </w:t>
      </w:r>
      <w:r>
        <w:t xml:space="preserve">corporations, this seems to have changed lately, with</w:t>
      </w:r>
      <w:r>
        <w:t xml:space="preserve"> </w:t>
      </w:r>
      <w:r>
        <w:t xml:space="preserve">NFCs having raised the equivalent of EUR 7 bn in Q1</w:t>
      </w:r>
      <w:r>
        <w:t xml:space="preserve"> </w:t>
      </w:r>
      <w:r>
        <w:t xml:space="preserve">2025 only (see Graph 2.7.5). At the same time, the net</w:t>
      </w:r>
      <w:r>
        <w:t xml:space="preserve"> </w:t>
      </w:r>
      <w:r>
        <w:t xml:space="preserve">issuance by MFIs, which have been the most active</w:t>
      </w:r>
      <w:r>
        <w:t xml:space="preserve"> </w:t>
      </w:r>
      <w:r>
        <w:t xml:space="preserve">issuer of debt in the previous years, went negative in</w:t>
      </w:r>
      <w:r>
        <w:t xml:space="preserve"> </w:t>
      </w:r>
      <w:r>
        <w:t xml:space="preserve">Q1 2025. As a result of persistent budgetary surpluses,</w:t>
      </w:r>
      <w:r>
        <w:t xml:space="preserve"> </w:t>
      </w:r>
      <w:r>
        <w:t xml:space="preserve">the net issuance by the Danish government has been</w:t>
      </w:r>
      <w:r>
        <w:t xml:space="preserve"> </w:t>
      </w:r>
      <w:r>
        <w:t xml:space="preserve">negative consistently over the years.</w:t>
      </w:r>
    </w:p>
    <w:p>
      <w:pPr>
        <w:pStyle w:val="BodyText"/>
      </w:pPr>
      <w:r>
        <w:t xml:space="preserve">694 On that point, see also the relevant DN Financial stability</w:t>
      </w:r>
      <w:r>
        <w:t xml:space="preserve"> </w:t>
      </w:r>
      <w:r>
        <w:t xml:space="preserve">analyses.</w:t>
      </w:r>
      <w:r>
        <w:t xml:space="preserve"> </w:t>
      </w:r>
      <w:r>
        <w:t xml:space="preserve">695 On this point, see the relevant DN Analysis.</w:t>
      </w:r>
      <w:r>
        <w:t xml:space="preserve"> </w:t>
      </w:r>
      <w:r>
        <w:t xml:space="preserve">Companies’ funding and households’ assets</w:t>
      </w:r>
      <w:r>
        <w:t xml:space="preserve"> </w:t>
      </w:r>
      <w:r>
        <w:t xml:space="preserve">Even though Danish companies are more indebted</w:t>
      </w:r>
      <w:r>
        <w:t xml:space="preserve"> </w:t>
      </w:r>
      <w:r>
        <w:t xml:space="preserve">than their EU peers on aggregate, they rely</w:t>
      </w:r>
      <w:r>
        <w:t xml:space="preserve"> </w:t>
      </w:r>
      <w:r>
        <w:t xml:space="preserve">comparatively less on debt finance to fund their</w:t>
      </w:r>
      <w:r>
        <w:t xml:space="preserve"> </w:t>
      </w:r>
      <w:r>
        <w:t xml:space="preserve">activities. Financial borrowing by NFCs in Denmark</w:t>
      </w:r>
      <w:r>
        <w:t xml:space="preserve"> </w:t>
      </w:r>
      <w:r>
        <w:t xml:space="preserve">reached 112.4% of GDP in 2024, which is significantly</w:t>
      </w:r>
      <w:r>
        <w:t xml:space="preserve"> </w:t>
      </w:r>
      <w:r>
        <w:t xml:space="preserve">higher than the EU average of 71.6 % (see Graph</w:t>
      </w:r>
      <w:r>
        <w:t xml:space="preserve"> </w:t>
      </w:r>
      <w:r>
        <w:t xml:space="preserve">2.7.6). However, given the overall much larger size of</w:t>
      </w:r>
      <w:r>
        <w:t xml:space="preserve"> </w:t>
      </w:r>
      <w:r>
        <w:t xml:space="preserve">the aggregate balance sheet of Danish NFCs, which</w:t>
      </w:r>
      <w:r>
        <w:t xml:space="preserve"> </w:t>
      </w:r>
      <w:r>
        <w:t xml:space="preserve">reached 390% of GDP at end-2024 (versus 226% in the</w:t>
      </w:r>
      <w:r>
        <w:t xml:space="preserve"> </w:t>
      </w:r>
      <w:r>
        <w:t xml:space="preserve">EU), the relative share of financial borrowing in their</w:t>
      </w:r>
      <w:r>
        <w:t xml:space="preserve"> </w:t>
      </w:r>
      <w:r>
        <w:t xml:space="preserve">funding structure (28.8%) was lower than the EU</w:t>
      </w:r>
      <w:r>
        <w:t xml:space="preserve"> </w:t>
      </w:r>
      <w:r>
        <w:t xml:space="preserve">average (31.7%). Danish NFCs’ funding through listed</w:t>
      </w:r>
      <w:r>
        <w:t xml:space="preserve"> </w:t>
      </w:r>
      <w:r>
        <w:t xml:space="preserve">and unlisted shares significantly exceeds the EU</w:t>
      </w:r>
      <w:r>
        <w:t xml:space="preserve"> </w:t>
      </w:r>
      <w:r>
        <w:t xml:space="preserve">average, with the proportion of financially constrained</w:t>
      </w:r>
      <w:r>
        <w:t xml:space="preserve"> </w:t>
      </w:r>
      <w:r>
        <w:t xml:space="preserve">companies among the lowest in the EU.696 The</w:t>
      </w:r>
      <w:r>
        <w:t xml:space="preserve"> </w:t>
      </w:r>
      <w:r>
        <w:t xml:space="preserve">prevalence of unlisted equity as a funding source is due</w:t>
      </w:r>
      <w:r>
        <w:t xml:space="preserve"> </w:t>
      </w:r>
      <w:r>
        <w:t xml:space="preserve">to the persistence of some traditional features, i.e. the</w:t>
      </w:r>
      <w:r>
        <w:t xml:space="preserve"> </w:t>
      </w:r>
      <w:r>
        <w:t xml:space="preserve">family ownership of many large companies. Families’</w:t>
      </w:r>
      <w:r>
        <w:t xml:space="preserve"> </w:t>
      </w:r>
      <w:r>
        <w:t xml:space="preserve">reluctance to cede control also gives rise to a marked</w:t>
      </w:r>
      <w:r>
        <w:t xml:space="preserve"> </w:t>
      </w:r>
      <w:r>
        <w:t xml:space="preserve">preference for bank borrowing instead of raising new</w:t>
      </w:r>
      <w:r>
        <w:t xml:space="preserve"> </w:t>
      </w:r>
      <w:r>
        <w:t xml:space="preserve">capital on the market.</w:t>
      </w:r>
      <w:r>
        <w:t xml:space="preserve"> </w:t>
      </w:r>
      <w:r>
        <w:t xml:space="preserve">1.9.6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Danish households hold the highest relative volume</w:t>
      </w:r>
      <w:r>
        <w:t xml:space="preserve"> </w:t>
      </w:r>
      <w:r>
        <w:t xml:space="preserve">of financial assets in the EU (excluding cash,</w:t>
      </w:r>
      <w:r>
        <w:t xml:space="preserve"> </w:t>
      </w:r>
      <w:r>
        <w:t xml:space="preserve">deposits, and unlisted equity), at approximately</w:t>
      </w:r>
      <w:r>
        <w:t xml:space="preserve"> </w:t>
      </w:r>
      <w:r>
        <w:t xml:space="preserve">209% of GDP.697 Danes’ total financial wealth</w:t>
      </w:r>
      <w:r>
        <w:t xml:space="preserve"> </w:t>
      </w:r>
      <w:r>
        <w:t xml:space="preserve">reached 366.3% of GDP at end-2024, versus an EU</w:t>
      </w:r>
      <w:r>
        <w:t xml:space="preserve"> </w:t>
      </w:r>
      <w:r>
        <w:t xml:space="preserve">average of 212.2%. In per capita terms, on average</w:t>
      </w:r>
      <w:r>
        <w:t xml:space="preserve"> </w:t>
      </w:r>
      <w:r>
        <w:t xml:space="preserve">each Dane holds financial assets for EUR 241,200,</w:t>
      </w:r>
      <w:r>
        <w:t xml:space="preserve"> </w:t>
      </w:r>
      <w:r>
        <w:t xml:space="preserve">which is almost three times higher than the EU average</w:t>
      </w:r>
      <w:r>
        <w:t xml:space="preserve"> </w:t>
      </w:r>
      <w:r>
        <w:t xml:space="preserve">of EUR 84,800. Nearly every second Dane owns shares</w:t>
      </w:r>
      <w:r>
        <w:t xml:space="preserve"> </w:t>
      </w:r>
      <w:r>
        <w:t xml:space="preserve">directly, which is also one of the highest rates in</w:t>
      </w:r>
      <w:r>
        <w:t xml:space="preserve"> </w:t>
      </w:r>
      <w:r>
        <w:t xml:space="preserve">Europe, while most Danes hold shares indirectly</w:t>
      </w:r>
      <w:r>
        <w:t xml:space="preserve"> </w:t>
      </w:r>
      <w:r>
        <w:t xml:space="preserve">through the mandatory asset-backed pension schemes</w:t>
      </w:r>
      <w:r>
        <w:t xml:space="preserve"> </w:t>
      </w:r>
      <w:r>
        <w:t xml:space="preserve">or their private holdings in investment funds. As of</w:t>
      </w:r>
      <w:r>
        <w:t xml:space="preserve"> </w:t>
      </w:r>
      <w:r>
        <w:t xml:space="preserve">end-2024, 87% of Danish HHs’ financial wealth was</w:t>
      </w:r>
      <w:r>
        <w:t xml:space="preserve"> </w:t>
      </w:r>
      <w:r>
        <w:t xml:space="preserve">696 See the EIB Investment Survey 2023.</w:t>
      </w:r>
      <w:r>
        <w:t xml:space="preserve"> </w:t>
      </w:r>
      <w:r>
        <w:t xml:space="preserve">697 See the AFME 2024 Capital Markets Union Key Performance</w:t>
      </w:r>
      <w:r>
        <w:t xml:space="preserve"> </w:t>
      </w:r>
      <w:r>
        <w:t xml:space="preserve">Indicators.</w:t>
      </w:r>
      <w:r>
        <w:t xml:space="preserve"> </w:t>
      </w:r>
      <w:r>
        <w:t xml:space="preserve">-15.0</w:t>
      </w:r>
      <w:r>
        <w:t xml:space="preserve"> </w:t>
      </w:r>
      <w:r>
        <w:t xml:space="preserve">-10.0</w:t>
      </w:r>
      <w:r>
        <w:t xml:space="preserve"> </w:t>
      </w:r>
      <w:r>
        <w:t xml:space="preserve">-5.0</w:t>
      </w:r>
      <w:r>
        <w:t xml:space="preserve"> </w:t>
      </w:r>
      <w:r>
        <w:t xml:space="preserve">0.0</w:t>
      </w:r>
      <w:r>
        <w:t xml:space="preserve"> </w:t>
      </w:r>
      <w:r>
        <w:t xml:space="preserve">5.0</w:t>
      </w:r>
      <w:r>
        <w:t xml:space="preserve"> </w:t>
      </w:r>
      <w:r>
        <w:t xml:space="preserve">10.0</w:t>
      </w:r>
      <w:r>
        <w:t xml:space="preserve"> </w:t>
      </w:r>
      <w:r>
        <w:t xml:space="preserve">15.0</w:t>
      </w:r>
      <w:r>
        <w:t xml:space="preserve"> </w:t>
      </w:r>
      <w:r>
        <w:t xml:space="preserve">20.0</w:t>
      </w:r>
      <w:r>
        <w:t xml:space="preserve"> </w:t>
      </w:r>
      <w:r>
        <w:t xml:space="preserve">25.0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DK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435</w:t>
      </w:r>
      <w:r>
        <w:t xml:space="preserve"> </w:t>
      </w:r>
      <w:r>
        <w:t xml:space="preserve">invested in non-cash items (see Graph 2.7.7), as</w:t>
      </w:r>
      <w:r>
        <w:t xml:space="preserve"> </w:t>
      </w:r>
      <w:r>
        <w:t xml:space="preserve">opposed to 68% on average in the EU.698</w:t>
      </w:r>
      <w:r>
        <w:t xml:space="preserve"> </w:t>
      </w:r>
      <w:r>
        <w:t xml:space="preserve">1.9.7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1.10 Estonia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Estonian economy invests part of its net savings</w:t>
      </w:r>
      <w:r>
        <w:t xml:space="preserve"> </w:t>
      </w:r>
      <w:r>
        <w:t xml:space="preserve">abroad. Over the last decade, the private savings ratio,</w:t>
      </w:r>
      <w:r>
        <w:t xml:space="preserve"> </w:t>
      </w:r>
      <w:r>
        <w:t xml:space="preserve">net of fixed capital consumption, fluctuated around its</w:t>
      </w:r>
      <w:r>
        <w:t xml:space="preserve"> </w:t>
      </w:r>
      <w:r>
        <w:t xml:space="preserve">ten-year average of 10.1% of GDP, reaching a</w:t>
      </w:r>
      <w:r>
        <w:t xml:space="preserve"> </w:t>
      </w:r>
      <w:r>
        <w:t xml:space="preserve">maximum of 13.6% in 2020 (see Graph 2.8.2). The net</w:t>
      </w:r>
      <w:r>
        <w:t xml:space="preserve"> </w:t>
      </w:r>
      <w:r>
        <w:t xml:space="preserve">private investment ratio, which measures the net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private</w:t>
      </w:r>
      <w:r>
        <w:t xml:space="preserve"> </w:t>
      </w:r>
      <w:r>
        <w:t xml:space="preserve">sector</w:t>
      </w:r>
      <w:r>
        <w:t xml:space="preserve"> </w:t>
      </w:r>
      <w:r>
        <w:t xml:space="preserve">to</w:t>
      </w:r>
      <w:r>
        <w:t xml:space="preserve"> </w:t>
      </w:r>
      <w:r>
        <w:t xml:space="preserve">capital</w:t>
      </w:r>
      <w:r>
        <w:t xml:space="preserve"> </w:t>
      </w:r>
      <w:r>
        <w:t xml:space="preserve">accumulation in the country, exhibited a ten-year</w:t>
      </w:r>
      <w:r>
        <w:t xml:space="preserve"> </w:t>
      </w:r>
      <w:r>
        <w:t xml:space="preserve">average of 7.3% of GDP and reached a maximum of</w:t>
      </w:r>
      <w:r>
        <w:t xml:space="preserve"> </w:t>
      </w:r>
      <w:r>
        <w:t xml:space="preserve">11.1% in 2022. At the same time, during the same</w:t>
      </w:r>
      <w:r>
        <w:t xml:space="preserve"> </w:t>
      </w:r>
      <w:r>
        <w:t xml:space="preserve">period the government balance was in regular surplus,</w:t>
      </w:r>
      <w:r>
        <w:t xml:space="preserve"> </w:t>
      </w:r>
      <w:r>
        <w:t xml:space="preserve">averaging 0.8% of GDP. Thus, except for the last</w:t>
      </w:r>
      <w:r>
        <w:t xml:space="preserve"> </w:t>
      </w:r>
      <w:r>
        <w:t xml:space="preserve">couple of years, the high positive balance between net</w:t>
      </w:r>
      <w:r>
        <w:t xml:space="preserve"> </w:t>
      </w:r>
      <w:r>
        <w:t xml:space="preserve">domestic savings and net investment, together with the</w:t>
      </w:r>
      <w:r>
        <w:t xml:space="preserve"> </w:t>
      </w:r>
      <w:r>
        <w:t xml:space="preserve">government surpluses, resulted in net lending abroad</w:t>
      </w:r>
      <w:r>
        <w:t xml:space="preserve"> </w:t>
      </w:r>
      <w:r>
        <w:t xml:space="preserve">by Estonia, averaging 0.7% of GDP, with a peak of</w:t>
      </w:r>
      <w:r>
        <w:t xml:space="preserve"> </w:t>
      </w:r>
      <w:r>
        <w:t xml:space="preserve">5.4% in 2021. Hence, some of Estonia’s net savings,</w:t>
      </w:r>
      <w:r>
        <w:t xml:space="preserve"> </w:t>
      </w:r>
      <w:r>
        <w:t xml:space="preserve">i.e. after accounting for the investments that are</w:t>
      </w:r>
      <w:r>
        <w:t xml:space="preserve"> </w:t>
      </w:r>
      <w:r>
        <w:t xml:space="preserve">necessary to merely maintain the existing capital</w:t>
      </w:r>
      <w:r>
        <w:t xml:space="preserve"> </w:t>
      </w:r>
      <w:r>
        <w:t xml:space="preserve">structure of the economy, are used to finance projects</w:t>
      </w:r>
      <w:r>
        <w:t xml:space="preserve"> </w:t>
      </w:r>
      <w:r>
        <w:t xml:space="preserve">abroad, except over the last couple of years.</w:t>
      </w:r>
    </w:p>
    <w:p>
      <w:pPr>
        <w:pStyle w:val="BodyText"/>
      </w:pPr>
      <w:r>
        <w:t xml:space="preserve">698 See also the Overview of CMU Indicators.</w:t>
      </w:r>
      <w:r>
        <w:t xml:space="preserve"> </w:t>
      </w:r>
      <w:r>
        <w:t xml:space="preserve">1.10.1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The Estonian economy exhibits a negative net</w:t>
      </w:r>
      <w:r>
        <w:t xml:space="preserve"> </w:t>
      </w:r>
      <w:r>
        <w:t xml:space="preserve">international investment position. Between 2009 and</w:t>
      </w:r>
      <w:r>
        <w:t xml:space="preserve"> </w:t>
      </w:r>
      <w:r>
        <w:t xml:space="preserve">2023 the NIIP has strengthened almost every year,</w:t>
      </w:r>
      <w:r>
        <w:t xml:space="preserve"> </w:t>
      </w:r>
      <w:r>
        <w:t xml:space="preserve">reflecting</w:t>
      </w:r>
      <w:r>
        <w:t xml:space="preserve"> </w:t>
      </w:r>
      <w:r>
        <w:t xml:space="preserve">an</w:t>
      </w:r>
      <w:r>
        <w:t xml:space="preserve"> </w:t>
      </w:r>
      <w:r>
        <w:t xml:space="preserve">improvement</w:t>
      </w:r>
      <w:r>
        <w:t xml:space="preserve"> </w:t>
      </w:r>
      <w:r>
        <w:t xml:space="preserve">in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competitiveness, however remaining in negative</w:t>
      </w:r>
      <w:r>
        <w:t xml:space="preserve"> </w:t>
      </w:r>
      <w:r>
        <w:t xml:space="preserve">territory (see Graph 3.8.2). As of Q4-2024, total assets</w:t>
      </w:r>
      <w:r>
        <w:t xml:space="preserve"> </w:t>
      </w:r>
      <w:r>
        <w:t xml:space="preserve">on foreigners reached 179.5% of GDP, while liabilities</w:t>
      </w:r>
      <w:r>
        <w:t xml:space="preserve"> </w:t>
      </w:r>
      <w:r>
        <w:t xml:space="preserve">to foreigners stood at 189.3% of GDP, resulting in a</w:t>
      </w:r>
      <w:r>
        <w:t xml:space="preserve"> </w:t>
      </w:r>
      <w:r>
        <w:t xml:space="preserve">negative NIIP of 9.8% of GDP. The accumulated net</w:t>
      </w:r>
      <w:r>
        <w:t xml:space="preserve"> </w:t>
      </w:r>
      <w:r>
        <w:t xml:space="preserve">portfolio investment, which reached 41.3% of GDP as</w:t>
      </w:r>
      <w:r>
        <w:t xml:space="preserve"> </w:t>
      </w:r>
      <w:r>
        <w:t xml:space="preserve">of Q4-2024, did not suffice to counterbalance a</w:t>
      </w:r>
      <w:r>
        <w:t xml:space="preserve"> </w:t>
      </w:r>
      <w:r>
        <w:t xml:space="preserve">negative net foreign direct investment balance of -</w:t>
      </w:r>
      <w:r>
        <w:t xml:space="preserve"> </w:t>
      </w:r>
      <w:r>
        <w:t xml:space="preserve">55.2%, together with net other investments of -1%. The</w:t>
      </w:r>
      <w:r>
        <w:t xml:space="preserve"> </w:t>
      </w:r>
      <w:r>
        <w:t xml:space="preserve">stock of official foreign reserve assets amounted to</w:t>
      </w:r>
      <w:r>
        <w:t xml:space="preserve"> </w:t>
      </w:r>
      <w:r>
        <w:t xml:space="preserve">5.1% of GDP. The Estonian economy thus appears to</w:t>
      </w:r>
      <w:r>
        <w:t xml:space="preserve"> </w:t>
      </w:r>
      <w:r>
        <w:t xml:space="preserve">be a net capital importer, notably mainly by means of</w:t>
      </w:r>
      <w:r>
        <w:t xml:space="preserve"> </w:t>
      </w:r>
      <w:r>
        <w:t xml:space="preserve">foreign direct investments in the country.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DK</w:t>
      </w:r>
      <w:r>
        <w:t xml:space="preserve"> </w:t>
      </w:r>
      <w:r>
        <w:t xml:space="preserve">EU</w:t>
      </w:r>
      <w:r>
        <w:t xml:space="preserve"> </w:t>
      </w:r>
      <w:r>
        <w:t xml:space="preserve">DK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436</w:t>
      </w:r>
      <w:r>
        <w:t xml:space="preserve"> </w:t>
      </w:r>
      <w:r>
        <w:t xml:space="preserve">1.10.2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Banks represent the largest share of the Estonian</w:t>
      </w:r>
      <w:r>
        <w:t xml:space="preserve"> </w:t>
      </w:r>
      <w:r>
        <w:t xml:space="preserve">financial sector, accounting for about 70% of the</w:t>
      </w:r>
      <w:r>
        <w:t xml:space="preserve"> </w:t>
      </w:r>
      <w:r>
        <w:t xml:space="preserve">country’s financial assets. Nevertheless, the banking</w:t>
      </w:r>
      <w:r>
        <w:t xml:space="preserve"> </w:t>
      </w:r>
      <w:r>
        <w:t xml:space="preserve">system remains relatively small in comparison with</w:t>
      </w:r>
      <w:r>
        <w:t xml:space="preserve"> </w:t>
      </w:r>
      <w:r>
        <w:t xml:space="preserve">euro area peers. At the end of 2024, banks’ total assets</w:t>
      </w:r>
      <w:r>
        <w:t xml:space="preserve"> </w:t>
      </w:r>
      <w:r>
        <w:t xml:space="preserve">were equivalent to 115.6% of GDP, significantly below</w:t>
      </w:r>
      <w:r>
        <w:t xml:space="preserve"> </w:t>
      </w:r>
      <w:r>
        <w:t xml:space="preserve">the EU average of 251.1% (see Graph 2.8.4 and Table</w:t>
      </w:r>
      <w:r>
        <w:t xml:space="preserve"> </w:t>
      </w:r>
      <w:r>
        <w:t xml:space="preserve">2).</w:t>
      </w:r>
      <w:r>
        <w:br/>
      </w:r>
      <w:r>
        <w:t xml:space="preserve">The institutional investor base remains modest in</w:t>
      </w:r>
      <w:r>
        <w:t xml:space="preserve"> </w:t>
      </w:r>
      <w:r>
        <w:t xml:space="preserve">size as well. Total assets under the management of</w:t>
      </w:r>
      <w:r>
        <w:t xml:space="preserve"> </w:t>
      </w:r>
      <w:r>
        <w:t xml:space="preserve">pension funds, insurance corporations and investment</w:t>
      </w:r>
      <w:r>
        <w:t xml:space="preserve"> </w:t>
      </w:r>
      <w:r>
        <w:t xml:space="preserve">funds in 2019 stood at 29% of GDP in Estonia, one of</w:t>
      </w:r>
      <w:r>
        <w:t xml:space="preserve"> </w:t>
      </w:r>
      <w:r>
        <w:t xml:space="preserve">the lowest levels in the EU (where the average is</w:t>
      </w:r>
      <w:r>
        <w:t xml:space="preserve"> </w:t>
      </w:r>
      <w:r>
        <w:t xml:space="preserve">equivalent to more than 100% of GDP). Domestic</w:t>
      </w:r>
      <w:r>
        <w:t xml:space="preserve"> </w:t>
      </w:r>
      <w:r>
        <w:t xml:space="preserve">institutional investors place only a small portion of</w:t>
      </w:r>
      <w:r>
        <w:t xml:space="preserve"> </w:t>
      </w:r>
      <w:r>
        <w:t xml:space="preserve">their assets on the domestic market.</w:t>
      </w:r>
      <w:r>
        <w:br/>
      </w:r>
      <w:r>
        <w:t xml:space="preserve">1.10.3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The market capitalisation of Estonia’s stock market</w:t>
      </w:r>
      <w:r>
        <w:t xml:space="preserve"> </w:t>
      </w:r>
      <w:r>
        <w:t xml:space="preserve">expressed as a percentage of GDP is among the</w:t>
      </w:r>
      <w:r>
        <w:t xml:space="preserve"> </w:t>
      </w:r>
      <w:r>
        <w:t xml:space="preserve">lowest in the EU. The equity market is small in terms</w:t>
      </w:r>
      <w:r>
        <w:t xml:space="preserve"> </w:t>
      </w:r>
      <w:r>
        <w:t xml:space="preserve">of capitalisation and volumes traded. Nevertheless,</w:t>
      </w:r>
      <w:r>
        <w:t xml:space="preserve"> </w:t>
      </w:r>
      <w:r>
        <w:t xml:space="preserve">despite the similar economic structure and size, stock</w:t>
      </w:r>
      <w:r>
        <w:t xml:space="preserve"> </w:t>
      </w:r>
      <w:r>
        <w:t xml:space="preserve">exchanges of Estonia have been able to achieve a</w:t>
      </w:r>
      <w:r>
        <w:t xml:space="preserve"> </w:t>
      </w:r>
      <w:r>
        <w:t xml:space="preserve">somewhat higher level of development than its</w:t>
      </w:r>
      <w:r>
        <w:t xml:space="preserve"> </w:t>
      </w:r>
      <w:r>
        <w:t xml:space="preserve">neighbouring</w:t>
      </w:r>
      <w:r>
        <w:t xml:space="preserve"> </w:t>
      </w:r>
      <w:r>
        <w:t xml:space="preserve">countries.</w:t>
      </w:r>
      <w:r>
        <w:t xml:space="preserve"> </w:t>
      </w:r>
      <w:r>
        <w:t xml:space="preserve">Whereas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capitalisation of listed stocks reached 6.2% in</w:t>
      </w:r>
      <w:r>
        <w:t xml:space="preserve"> </w:t>
      </w:r>
      <w:r>
        <w:t xml:space="preserve">Lithuania and only 0.8% in Latvia, it amounted to</w:t>
      </w:r>
      <w:r>
        <w:t xml:space="preserve"> </w:t>
      </w:r>
      <w:r>
        <w:t xml:space="preserve">12.7% of GDP in Estonia at the end of 2024. In</w:t>
      </w:r>
      <w:r>
        <w:t xml:space="preserve"> </w:t>
      </w:r>
      <w:r>
        <w:t xml:space="preserve">comparison, the EU average is 66.8% of GDP. State</w:t>
      </w:r>
      <w:r>
        <w:t xml:space="preserve"> </w:t>
      </w:r>
      <w:r>
        <w:t xml:space="preserve">and local government-controlled companies account</w:t>
      </w:r>
      <w:r>
        <w:t xml:space="preserve"> </w:t>
      </w:r>
      <w:r>
        <w:t xml:space="preserve">for slightly more than a third of market capitalisation</w:t>
      </w:r>
      <w:r>
        <w:t xml:space="preserve"> </w:t>
      </w:r>
      <w:r>
        <w:t xml:space="preserve">in Estonia. The capital markets in Estonia have</w:t>
      </w:r>
      <w:r>
        <w:t xml:space="preserve"> </w:t>
      </w:r>
      <w:r>
        <w:t xml:space="preserve">contracted in recent years, partly due to the country’s</w:t>
      </w:r>
      <w:r>
        <w:t xml:space="preserve"> </w:t>
      </w:r>
      <w:r>
        <w:t xml:space="preserve">2021 pension reforms, which enabled savers to</w:t>
      </w:r>
      <w:r>
        <w:t xml:space="preserve"> </w:t>
      </w:r>
      <w:r>
        <w:t xml:space="preserve">withdraw funds from pillar-2 pension schemes. In</w:t>
      </w:r>
      <w:r>
        <w:t xml:space="preserve"> </w:t>
      </w:r>
      <w:r>
        <w:t xml:space="preserve">addition, the start of Russia’s war of aggression against</w:t>
      </w:r>
      <w:r>
        <w:t xml:space="preserve"> </w:t>
      </w:r>
      <w:r>
        <w:t xml:space="preserve">Ukraine has led to a decline in investor sentiment,</w:t>
      </w:r>
      <w:r>
        <w:t xml:space="preserve"> </w:t>
      </w:r>
      <w:r>
        <w:t xml:space="preserve">resulting in reduced trading and holding by Estonian</w:t>
      </w:r>
      <w:r>
        <w:t xml:space="preserve"> </w:t>
      </w:r>
      <w:r>
        <w:t xml:space="preserve">investors of international securities. The small size and</w:t>
      </w:r>
      <w:r>
        <w:t xml:space="preserve"> </w:t>
      </w:r>
      <w:r>
        <w:t xml:space="preserve">low liquidity of the equity markets has prompted major</w:t>
      </w:r>
      <w:r>
        <w:t xml:space="preserve"> </w:t>
      </w:r>
      <w:r>
        <w:t xml:space="preserve">index providers to continue to classify Estonia, and</w:t>
      </w:r>
      <w:r>
        <w:t xml:space="preserve"> </w:t>
      </w:r>
      <w:r>
        <w:t xml:space="preserve">also Latvia and Lithuania, as ‘frontier’ markets despite</w:t>
      </w:r>
      <w:r>
        <w:t xml:space="preserve"> </w:t>
      </w:r>
      <w:r>
        <w:t xml:space="preserve">their</w:t>
      </w:r>
      <w:r>
        <w:t xml:space="preserve"> </w:t>
      </w:r>
      <w:r>
        <w:t xml:space="preserve">sound</w:t>
      </w:r>
      <w:r>
        <w:t xml:space="preserve"> </w:t>
      </w:r>
      <w:r>
        <w:t xml:space="preserve">macro-economic</w:t>
      </w:r>
      <w:r>
        <w:t xml:space="preserve"> </w:t>
      </w:r>
      <w:r>
        <w:t xml:space="preserve">and</w:t>
      </w:r>
      <w:r>
        <w:t xml:space="preserve"> </w:t>
      </w:r>
      <w:r>
        <w:t xml:space="preserve">institutional</w:t>
      </w:r>
      <w:r>
        <w:t xml:space="preserve"> </w:t>
      </w:r>
      <w:r>
        <w:t xml:space="preserve">frameworks and the pan-Baltic region benefitting from</w:t>
      </w:r>
      <w:r>
        <w:t xml:space="preserve"> </w:t>
      </w:r>
      <w:r>
        <w:t xml:space="preserve">a single market classification.</w:t>
      </w:r>
      <w:r>
        <w:br/>
      </w:r>
      <w:r>
        <w:t xml:space="preserve">Debt markets remain undersized as well, but the</w:t>
      </w:r>
      <w:r>
        <w:t xml:space="preserve"> </w:t>
      </w:r>
      <w:r>
        <w:t xml:space="preserve">development of the sovereign bond market could</w:t>
      </w:r>
      <w:r>
        <w:t xml:space="preserve"> </w:t>
      </w:r>
      <w:r>
        <w:t xml:space="preserve">aid the extremely small corporate segment. While</w:t>
      </w:r>
      <w:r>
        <w:t xml:space="preserve"> </w:t>
      </w:r>
      <w:r>
        <w:t xml:space="preserve">government debt has risen sharply, it remains the</w:t>
      </w:r>
      <w:r>
        <w:t xml:space="preserve"> </w:t>
      </w:r>
      <w:r>
        <w:t xml:space="preserve">lowest in the OECD, at 19.6% of GDP, resulting in a</w:t>
      </w:r>
      <w:r>
        <w:t xml:space="preserve"> </w:t>
      </w:r>
      <w:r>
        <w:t xml:space="preserve">near inexistent float of sovereign bonds. This could</w:t>
      </w:r>
      <w:r>
        <w:t xml:space="preserve"> </w:t>
      </w:r>
      <w:r>
        <w:t xml:space="preserve">hinder the growth of the corporate segment, as</w:t>
      </w:r>
      <w:r>
        <w:t xml:space="preserve"> </w:t>
      </w:r>
      <w:r>
        <w:t xml:space="preserve">sovereign bonds typically serve as benchmark for</w:t>
      </w:r>
      <w:r>
        <w:t xml:space="preserve"> </w:t>
      </w:r>
      <w:r>
        <w:t xml:space="preserve">pricing debt securities. The corporate bond market is</w:t>
      </w:r>
      <w:r>
        <w:t xml:space="preserve"> </w:t>
      </w:r>
      <w:r>
        <w:t xml:space="preserve">very thin and activity there was very weak even when</w:t>
      </w:r>
      <w:r>
        <w:t xml:space="preserve"> </w:t>
      </w:r>
      <w:r>
        <w:t xml:space="preserve">low interest rates prevailed in financial markets over</w:t>
      </w:r>
      <w:r>
        <w:t xml:space="preserve"> </w:t>
      </w:r>
      <w:r>
        <w:t xml:space="preserve">the previous decade.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At the end of 2024, bank finance through loans</w:t>
      </w:r>
      <w:r>
        <w:t xml:space="preserve"> </w:t>
      </w:r>
      <w:r>
        <w:t xml:space="preserve">accounted for 26.7% of the total corporate funding</w:t>
      </w:r>
      <w:r>
        <w:t xml:space="preserve"> </w:t>
      </w:r>
      <w:r>
        <w:t xml:space="preserve">in Estonia. Listed shares and bonds accounted for only</w:t>
      </w:r>
      <w:r>
        <w:t xml:space="preserve"> </w:t>
      </w:r>
      <w:r>
        <w:t xml:space="preserve">1.8% of funding. The equivalent figures for the EU</w:t>
      </w:r>
      <w:r>
        <w:t xml:space="preserve"> </w:t>
      </w:r>
      <w:r>
        <w:t xml:space="preserve">average are 27% for bank funding and 19.1% for listed</w:t>
      </w:r>
      <w:r>
        <w:t xml:space="preserve"> </w:t>
      </w:r>
      <w:r>
        <w:t xml:space="preserve">shares and bonds. The small share of listed shares and</w:t>
      </w:r>
      <w:r>
        <w:t xml:space="preserve"> </w:t>
      </w:r>
      <w:r>
        <w:t xml:space="preserve">bonds in the capital structure of firms is compensated</w:t>
      </w:r>
      <w:r>
        <w:t xml:space="preserve"> </w:t>
      </w:r>
      <w:r>
        <w:t xml:space="preserve">for by the high share of unlisted shares in Estonia,</w:t>
      </w:r>
      <w:r>
        <w:t xml:space="preserve"> </w:t>
      </w:r>
      <w:r>
        <w:t xml:space="preserve">which is 58.4% vs. an EU average of 24.2%. At</w:t>
      </w:r>
      <w:r>
        <w:t xml:space="preserve"> </w:t>
      </w:r>
      <w:r>
        <w:t xml:space="preserve">212.6%, NFC funding as a share of Estonian GDP more</w:t>
      </w:r>
      <w:r>
        <w:t xml:space="preserve"> </w:t>
      </w:r>
      <w:r>
        <w:t xml:space="preserve">or less corresponds to the EU average of 225.6% of</w:t>
      </w:r>
      <w:r>
        <w:t xml:space="preserve"> </w:t>
      </w:r>
      <w:r>
        <w:t xml:space="preserve">GDP.</w:t>
      </w:r>
      <w:r>
        <w:br/>
      </w:r>
      <w:r>
        <w:t xml:space="preserve">-35</w:t>
      </w:r>
      <w:r>
        <w:t xml:space="preserve"> </w:t>
      </w:r>
      <w:r>
        <w:t xml:space="preserve">-30</w:t>
      </w:r>
      <w:r>
        <w:t xml:space="preserve"> </w:t>
      </w:r>
      <w:r>
        <w:t xml:space="preserve">-25</w:t>
      </w:r>
      <w:r>
        <w:t xml:space="preserve"> </w:t>
      </w:r>
      <w:r>
        <w:t xml:space="preserve">-20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437</w:t>
      </w:r>
      <w:r>
        <w:t xml:space="preserve"> </w:t>
      </w:r>
      <w:r>
        <w:t xml:space="preserve">1.10.4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Estonia has a large share of investment funded</w:t>
      </w:r>
      <w:r>
        <w:t xml:space="preserve"> </w:t>
      </w:r>
      <w:r>
        <w:t xml:space="preserve">internally. The primary and most significant source of</w:t>
      </w:r>
      <w:r>
        <w:t xml:space="preserve"> </w:t>
      </w:r>
      <w:r>
        <w:t xml:space="preserve">funds for companies is equity (unlisted shares and other</w:t>
      </w:r>
      <w:r>
        <w:t xml:space="preserve"> </w:t>
      </w:r>
      <w:r>
        <w:t xml:space="preserve">equity), or the internal funds from within that company.</w:t>
      </w:r>
      <w:r>
        <w:t xml:space="preserve"> </w:t>
      </w:r>
      <w:r>
        <w:t xml:space="preserve">These internal funds are primarily current cash flows</w:t>
      </w:r>
      <w:r>
        <w:t xml:space="preserve"> </w:t>
      </w:r>
      <w:r>
        <w:t xml:space="preserve">and financial buffers that were built up by the country’s</w:t>
      </w:r>
      <w:r>
        <w:t xml:space="preserve"> </w:t>
      </w:r>
      <w:r>
        <w:t xml:space="preserve">firms in previous years. This favouring of internal</w:t>
      </w:r>
      <w:r>
        <w:t xml:space="preserve"> </w:t>
      </w:r>
      <w:r>
        <w:t xml:space="preserve">funding is due to distribution-based Estonian income</w:t>
      </w:r>
      <w:r>
        <w:t xml:space="preserve"> </w:t>
      </w:r>
      <w:r>
        <w:t xml:space="preserve">tax system. It is also partly because Estonian</w:t>
      </w:r>
      <w:r>
        <w:t xml:space="preserve"> </w:t>
      </w:r>
      <w:r>
        <w:t xml:space="preserve">companies are generally small or medium-sized, and</w:t>
      </w:r>
      <w:r>
        <w:t xml:space="preserve"> </w:t>
      </w:r>
      <w:r>
        <w:t xml:space="preserve">external funding is more expensive for smaller</w:t>
      </w:r>
      <w:r>
        <w:t xml:space="preserve"> </w:t>
      </w:r>
      <w:r>
        <w:t xml:space="preserve">companies than it is for large companies. According to</w:t>
      </w:r>
      <w:r>
        <w:t xml:space="preserve"> </w:t>
      </w:r>
      <w:r>
        <w:t xml:space="preserve">the 2024 EIB Investment Survey699, 74% of Estonian</w:t>
      </w:r>
      <w:r>
        <w:t xml:space="preserve"> </w:t>
      </w:r>
      <w:r>
        <w:t xml:space="preserve">firms’ investment needs are covered by internal</w:t>
      </w:r>
      <w:r>
        <w:t xml:space="preserve"> </w:t>
      </w:r>
      <w:r>
        <w:t xml:space="preserve">funding, compared with an EU average of 66%.</w:t>
      </w:r>
      <w:r>
        <w:t xml:space="preserve"> </w:t>
      </w:r>
      <w:r>
        <w:t xml:space="preserve">Moreover, the country has a high share of finance-</w:t>
      </w:r>
      <w:r>
        <w:t xml:space="preserve"> </w:t>
      </w:r>
      <w:r>
        <w:t xml:space="preserve">constrained firms (16% vs an EU average of 6.9%).</w:t>
      </w:r>
      <w:r>
        <w:t xml:space="preserve"> </w:t>
      </w:r>
      <w:r>
        <w:t xml:space="preserve">The role of non-bank financial intermediation in</w:t>
      </w:r>
      <w:r>
        <w:t xml:space="preserve"> </w:t>
      </w:r>
      <w:r>
        <w:t xml:space="preserve">financing the Estonian economy is still not large in</w:t>
      </w:r>
      <w:r>
        <w:t xml:space="preserve"> </w:t>
      </w:r>
      <w:r>
        <w:t xml:space="preserve">volume or in competition with the supply of loans from</w:t>
      </w:r>
      <w:r>
        <w:t xml:space="preserve"> </w:t>
      </w:r>
      <w:r>
        <w:t xml:space="preserve">banks, but the activities of private and venture capital</w:t>
      </w:r>
      <w:r>
        <w:t xml:space="preserve"> </w:t>
      </w:r>
      <w:r>
        <w:t xml:space="preserve">funds offer serious support for companies in the early</w:t>
      </w:r>
      <w:r>
        <w:t xml:space="preserve"> </w:t>
      </w:r>
      <w:r>
        <w:t xml:space="preserve">stages of development. Estonia stands out among other</w:t>
      </w:r>
      <w:r>
        <w:t xml:space="preserve"> </w:t>
      </w:r>
      <w:r>
        <w:t xml:space="preserve">countries for the good work of its local private and</w:t>
      </w:r>
      <w:r>
        <w:t xml:space="preserve"> </w:t>
      </w:r>
      <w:r>
        <w:t xml:space="preserve">venture capital funds, and also because a lot of</w:t>
      </w:r>
      <w:r>
        <w:t xml:space="preserve"> </w:t>
      </w:r>
      <w:r>
        <w:t xml:space="preserve">investment reaches Estonian startup companies from</w:t>
      </w:r>
      <w:r>
        <w:t xml:space="preserve"> </w:t>
      </w:r>
      <w:r>
        <w:t xml:space="preserve">outside Estonia.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funding of NFCs via the capital markets is very</w:t>
      </w:r>
      <w:r>
        <w:t xml:space="preserve"> </w:t>
      </w:r>
      <w:r>
        <w:t xml:space="preserve">low in comparison with other EU countries. The</w:t>
      </w:r>
      <w:r>
        <w:t xml:space="preserve"> </w:t>
      </w:r>
      <w:r>
        <w:t xml:space="preserve">market-funding ratio stood at 15.8% at the end of 2023,</w:t>
      </w:r>
    </w:p>
    <w:p>
      <w:pPr>
        <w:pStyle w:val="BodyText"/>
      </w:pPr>
      <w:r>
        <w:t xml:space="preserve">699 EIB Investment Survey 2024 - Estonia.</w:t>
      </w:r>
      <w:r>
        <w:t xml:space="preserve"> </w:t>
      </w:r>
      <w:r>
        <w:t xml:space="preserve">700 CMU Dashboard indicators.</w:t>
      </w:r>
      <w:r>
        <w:t xml:space="preserve"> </w:t>
      </w:r>
      <w:r>
        <w:t xml:space="preserve">701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vs 49.6% for the EU on average700. Local businesses</w:t>
      </w:r>
      <w:r>
        <w:t xml:space="preserve"> </w:t>
      </w:r>
      <w:r>
        <w:t xml:space="preserve">tend to rely on bank intermediation and own funds</w:t>
      </w:r>
      <w:r>
        <w:t xml:space="preserve"> </w:t>
      </w:r>
      <w:r>
        <w:t xml:space="preserve">rather than attracting investments through stock and</w:t>
      </w:r>
      <w:r>
        <w:t xml:space="preserve"> </w:t>
      </w:r>
      <w:r>
        <w:t xml:space="preserve">bond issues or from alternative sources. As there is a</w:t>
      </w:r>
      <w:r>
        <w:t xml:space="preserve"> </w:t>
      </w:r>
      <w:r>
        <w:t xml:space="preserve">relatively large share of foreign-owned companies in</w:t>
      </w:r>
      <w:r>
        <w:t xml:space="preserve"> </w:t>
      </w:r>
      <w:r>
        <w:t xml:space="preserve">Estonia, some companies can borrow from their parent</w:t>
      </w:r>
      <w:r>
        <w:t xml:space="preserve"> </w:t>
      </w:r>
      <w:r>
        <w:t xml:space="preserve">companies. The small size of the local market also</w:t>
      </w:r>
      <w:r>
        <w:t xml:space="preserve"> </w:t>
      </w:r>
      <w:r>
        <w:t xml:space="preserve">leads large companies to borrow abroad more often and</w:t>
      </w:r>
      <w:r>
        <w:t xml:space="preserve"> </w:t>
      </w:r>
      <w:r>
        <w:t xml:space="preserve">to issue bonds in foreign markets. Furthermore, the</w:t>
      </w:r>
      <w:r>
        <w:t xml:space="preserve"> </w:t>
      </w:r>
      <w:r>
        <w:t xml:space="preserve">level of borrowing by the Estonian general government</w:t>
      </w:r>
      <w:r>
        <w:t xml:space="preserve"> </w:t>
      </w:r>
      <w:r>
        <w:t xml:space="preserve">is low, and so few sovereign bonds are issued. This all</w:t>
      </w:r>
      <w:r>
        <w:t xml:space="preserve"> </w:t>
      </w:r>
      <w:r>
        <w:t xml:space="preserve">results in: (i) few local investment opportunities; (ii)</w:t>
      </w:r>
      <w:r>
        <w:t xml:space="preserve"> </w:t>
      </w:r>
      <w:r>
        <w:t xml:space="preserve">low interest from institutional and retail investors; and</w:t>
      </w:r>
      <w:r>
        <w:t xml:space="preserve"> </w:t>
      </w:r>
      <w:r>
        <w:t xml:space="preserve">thus (iii) few local opportunities to raise share capital.</w:t>
      </w:r>
      <w:r>
        <w:t xml:space="preserve"> </w:t>
      </w:r>
      <w:r>
        <w:t xml:space="preserve">The lack of market activity by institutional investors</w:t>
      </w:r>
      <w:r>
        <w:t xml:space="preserve"> </w:t>
      </w:r>
      <w:r>
        <w:t xml:space="preserve">further weakens demand for corporate stocks and</w:t>
      </w:r>
      <w:r>
        <w:t xml:space="preserve"> </w:t>
      </w:r>
      <w:r>
        <w:t xml:space="preserve">bonds.</w:t>
      </w:r>
      <w:r>
        <w:br/>
      </w:r>
      <w:r>
        <w:t xml:space="preserve">1.10.5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Group701.</w:t>
      </w:r>
      <w:r>
        <w:t xml:space="preserve"> </w:t>
      </w:r>
      <w:r>
        <w:t xml:space="preserve">In addition, most companies (over 95%) in Estonia</w:t>
      </w:r>
      <w:r>
        <w:t xml:space="preserve"> </w:t>
      </w:r>
      <w:r>
        <w:t xml:space="preserve">are SMEs, which find it difficult to gain access to the</w:t>
      </w:r>
      <w:r>
        <w:t xml:space="preserve"> </w:t>
      </w:r>
      <w:r>
        <w:t xml:space="preserve">capital markets and their opportunities. Although</w:t>
      </w:r>
      <w:r>
        <w:t xml:space="preserve"> </w:t>
      </w:r>
      <w:r>
        <w:t xml:space="preserve">Nasdaq’s Baltic First North Market offers a trading</w:t>
      </w:r>
      <w:r>
        <w:t xml:space="preserve"> </w:t>
      </w:r>
      <w:r>
        <w:t xml:space="preserve">facility with reduced reporting requirements, targeting</w:t>
      </w:r>
      <w:r>
        <w:t xml:space="preserve"> </w:t>
      </w:r>
      <w:r>
        <w:t xml:space="preserve">primarily smaller cap issuances, SMEs and start-ups</w:t>
      </w:r>
      <w:r>
        <w:t xml:space="preserve"> </w:t>
      </w:r>
      <w:r>
        <w:t xml:space="preserve">seeking to list on Baltic First North face a significant</w:t>
      </w:r>
      <w:r>
        <w:t xml:space="preserve"> </w:t>
      </w:r>
      <w:r>
        <w:t xml:space="preserve">challenge due to the mandatory audit of their financial</w:t>
      </w:r>
      <w:r>
        <w:t xml:space="preserve"> </w:t>
      </w:r>
      <w:r>
        <w:t xml:space="preserve">statements every six months. Moreover, Estonia cannot</w:t>
      </w:r>
      <w:r>
        <w:t xml:space="preserve"> </w:t>
      </w:r>
      <w:r>
        <w:t xml:space="preserve">take advantage of this SME market because there are</w:t>
      </w:r>
      <w:r>
        <w:t xml:space="preserve"> </w:t>
      </w:r>
      <w:r>
        <w:t xml:space="preserve">no established SME growth markets in Estonia, nor in</w:t>
      </w:r>
      <w:r>
        <w:t xml:space="preserve"> </w:t>
      </w:r>
      <w:r>
        <w:t xml:space="preserve">the other Baltic states.</w:t>
      </w:r>
      <w:r>
        <w:br/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EE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2016</w:t>
      </w:r>
      <w:r>
        <w:t xml:space="preserve"> </w:t>
      </w:r>
      <w:r>
        <w:t xml:space="preserve">2019</w:t>
      </w:r>
      <w:r>
        <w:t xml:space="preserve"> </w:t>
      </w:r>
      <w:r>
        <w:t xml:space="preserve">2022</w:t>
      </w:r>
      <w:r>
        <w:t xml:space="preserve"> </w:t>
      </w:r>
      <w:r>
        <w:t xml:space="preserve">2025</w:t>
      </w:r>
      <w:r>
        <w:t xml:space="preserve"> </w:t>
      </w:r>
      <w:r>
        <w:t xml:space="preserve">Jun-16=100</w:t>
      </w:r>
      <w:r>
        <w:t xml:space="preserve"> </w:t>
      </w:r>
      <w:r>
        <w:t xml:space="preserve">EE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OMX TALLINN (OMXT)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438</w:t>
      </w:r>
      <w:r>
        <w:t xml:space="preserve"> </w:t>
      </w:r>
      <w:r>
        <w:t xml:space="preserve">1.10.6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The small size of the domestic capital market,</w:t>
      </w:r>
      <w:r>
        <w:t xml:space="preserve"> </w:t>
      </w:r>
      <w:r>
        <w:t xml:space="preserve">coupled with low liquidity, deters the participation</w:t>
      </w:r>
      <w:r>
        <w:t xml:space="preserve"> </w:t>
      </w:r>
      <w:r>
        <w:t xml:space="preserve">of both domestic and foreign investors. Estonia has</w:t>
      </w:r>
      <w:r>
        <w:t xml:space="preserve"> </w:t>
      </w:r>
      <w:r>
        <w:t xml:space="preserve">established a good market infrastructure, as well as a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</w:t>
      </w:r>
      <w:r>
        <w:t xml:space="preserve"> </w:t>
      </w:r>
      <w:r>
        <w:t xml:space="preserve">that</w:t>
      </w:r>
      <w:r>
        <w:t xml:space="preserve"> </w:t>
      </w:r>
      <w:r>
        <w:t xml:space="preserve">meets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standards, ensuring adequate market transparency and</w:t>
      </w:r>
      <w:r>
        <w:t xml:space="preserve"> </w:t>
      </w:r>
      <w:r>
        <w:t xml:space="preserve">investor protection. The Baltic countries have</w:t>
      </w:r>
      <w:r>
        <w:t xml:space="preserve"> </w:t>
      </w:r>
      <w:r>
        <w:t xml:space="preserve">consolidated their stock markets and CSDs which has</w:t>
      </w:r>
      <w:r>
        <w:t xml:space="preserve"> </w:t>
      </w:r>
      <w:r>
        <w:t xml:space="preserve">facilitated cross-border transactions and improved all</w:t>
      </w:r>
      <w:r>
        <w:t xml:space="preserve"> </w:t>
      </w:r>
      <w:r>
        <w:t xml:space="preserve">Baltics markets’ visibility. Yet the number of investors,</w:t>
      </w:r>
      <w:r>
        <w:t xml:space="preserve"> </w:t>
      </w:r>
      <w:r>
        <w:t xml:space="preserve">transactions and issued securities remains low. The low</w:t>
      </w:r>
      <w:r>
        <w:t xml:space="preserve"> </w:t>
      </w:r>
      <w:r>
        <w:t xml:space="preserve">number of listed enterprises results in low interest from</w:t>
      </w:r>
      <w:r>
        <w:t xml:space="preserve"> </w:t>
      </w:r>
      <w:r>
        <w:t xml:space="preserve">institutional and retail investors, and thus few local</w:t>
      </w:r>
      <w:r>
        <w:t xml:space="preserve"> </w:t>
      </w:r>
      <w:r>
        <w:t xml:space="preserve">opportunities to raise share capital. As there is a</w:t>
      </w:r>
      <w:r>
        <w:t xml:space="preserve"> </w:t>
      </w:r>
      <w:r>
        <w:t xml:space="preserve">relatively large share of foreign-owned companies in</w:t>
      </w:r>
      <w:r>
        <w:t xml:space="preserve"> </w:t>
      </w:r>
      <w:r>
        <w:t xml:space="preserve">Estonia, some companies can borrow from their parent</w:t>
      </w:r>
      <w:r>
        <w:t xml:space="preserve"> </w:t>
      </w:r>
      <w:r>
        <w:t xml:space="preserve">companies. The small size of the local market also</w:t>
      </w:r>
      <w:r>
        <w:t xml:space="preserve"> </w:t>
      </w:r>
      <w:r>
        <w:t xml:space="preserve">leads large companies to borrow abroad to a significant</w:t>
      </w:r>
      <w:r>
        <w:t xml:space="preserve"> </w:t>
      </w:r>
      <w:r>
        <w:t xml:space="preserve">extent and to issue bonds in foreign markets. Lacking</w:t>
      </w:r>
      <w:r>
        <w:t xml:space="preserve"> </w:t>
      </w:r>
      <w:r>
        <w:t xml:space="preserve">market activity by institutional investors results in</w:t>
      </w:r>
      <w:r>
        <w:t xml:space="preserve"> </w:t>
      </w:r>
      <w:r>
        <w:t xml:space="preserve">weak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corporate</w:t>
      </w:r>
      <w:r>
        <w:t xml:space="preserve"> </w:t>
      </w:r>
      <w:r>
        <w:t xml:space="preserve">stocks</w:t>
      </w:r>
      <w:r>
        <w:t xml:space="preserve"> </w:t>
      </w:r>
      <w:r>
        <w:t xml:space="preserve">and</w:t>
      </w:r>
      <w:r>
        <w:t xml:space="preserve"> </w:t>
      </w:r>
      <w:r>
        <w:t xml:space="preserve">bonds. Furthermore, the level of borrowing by the</w:t>
      </w:r>
      <w:r>
        <w:t xml:space="preserve"> </w:t>
      </w:r>
      <w:r>
        <w:t xml:space="preserve">Estonian general government is low, and so few</w:t>
      </w:r>
      <w:r>
        <w:t xml:space="preserve"> </w:t>
      </w:r>
      <w:r>
        <w:t xml:space="preserve">government bonds are issued. In terms of the</w:t>
      </w:r>
      <w:r>
        <w:t xml:space="preserve"> </w:t>
      </w:r>
      <w:r>
        <w:t xml:space="preserve">international market, projects developed in Estonia are</w:t>
      </w:r>
      <w:r>
        <w:t xml:space="preserve"> </w:t>
      </w:r>
      <w:r>
        <w:t xml:space="preserve">relatively low value, which makes them less attractive</w:t>
      </w:r>
      <w:r>
        <w:t xml:space="preserve"> </w:t>
      </w:r>
      <w:r>
        <w:t xml:space="preserve">to international investors. The relative lack of liquidity</w:t>
      </w:r>
      <w:r>
        <w:t xml:space="preserve"> </w:t>
      </w:r>
      <w:r>
        <w:t xml:space="preserve">in the market, which is reflected in the sluggish trading</w:t>
      </w:r>
      <w:r>
        <w:t xml:space="preserve"> </w:t>
      </w:r>
      <w:r>
        <w:t xml:space="preserve">activity and in the relatively large spreads between bid</w:t>
      </w:r>
      <w:r>
        <w:t xml:space="preserve"> </w:t>
      </w:r>
      <w:r>
        <w:t xml:space="preserve">and offer prices, even for the most liquid shares,</w:t>
      </w:r>
      <w:r>
        <w:t xml:space="preserve"> </w:t>
      </w:r>
      <w:r>
        <w:t xml:space="preserve">hampers attractiveness for short-term investors and</w:t>
      </w:r>
      <w:r>
        <w:t xml:space="preserve"> </w:t>
      </w:r>
      <w:r>
        <w:t xml:space="preserve">traders.</w:t>
      </w:r>
      <w:r>
        <w:br/>
      </w:r>
      <w:r>
        <w:t xml:space="preserve">Over the course of 2024, the Minister of Finance put</w:t>
      </w:r>
      <w:r>
        <w:t xml:space="preserve"> </w:t>
      </w:r>
      <w:r>
        <w:t xml:space="preserve">together a strategy for the Estonian capital markets.</w:t>
      </w:r>
      <w:r>
        <w:t xml:space="preserve"> </w:t>
      </w:r>
      <w:r>
        <w:t xml:space="preserve">In this respect, in September 2024, for the first time,</w:t>
      </w:r>
      <w:r>
        <w:t xml:space="preserve"> </w:t>
      </w:r>
      <w:r>
        <w:t xml:space="preserve">the state issued bonds aimed at Estonian retail</w:t>
      </w:r>
      <w:r>
        <w:t xml:space="preserve"> </w:t>
      </w:r>
      <w:r>
        <w:t xml:space="preserve">investors. The offer was oversubscribed more than four</w:t>
      </w:r>
      <w:r>
        <w:t xml:space="preserve"> </w:t>
      </w:r>
      <w:r>
        <w:t xml:space="preserve">times. The bond has been listed on Nasdaq Tallinn</w:t>
      </w:r>
      <w:r>
        <w:t xml:space="preserve"> </w:t>
      </w:r>
      <w:r>
        <w:t xml:space="preserve">where it can be traded on the secondary market.</w:t>
      </w:r>
      <w:r>
        <w:t xml:space="preserve"> </w:t>
      </w:r>
      <w:r>
        <w:t xml:space="preserve">Moreover, the listing of state-owned companies was</w:t>
      </w:r>
      <w:r>
        <w:t xml:space="preserve"> </w:t>
      </w:r>
      <w:r>
        <w:t xml:space="preserve">discussed.</w:t>
      </w:r>
      <w:r>
        <w:t xml:space="preserve"> </w:t>
      </w:r>
      <w:r>
        <w:t xml:space="preserve">Retail participation in capital markets</w:t>
      </w:r>
      <w:r>
        <w:br/>
      </w:r>
      <w:r>
        <w:t xml:space="preserve">Estonian households’ financial assets have almost</w:t>
      </w:r>
      <w:r>
        <w:t xml:space="preserve"> </w:t>
      </w:r>
      <w:r>
        <w:t xml:space="preserve">no exposure to bonds, listed shares, pension funds,</w:t>
      </w:r>
      <w:r>
        <w:t xml:space="preserve"> </w:t>
      </w:r>
      <w:r>
        <w:t xml:space="preserve">or insurance funds. The saving rate of Estonian</w:t>
      </w:r>
      <w:r>
        <w:t xml:space="preserve"> </w:t>
      </w:r>
      <w:r>
        <w:t xml:space="preserve">households is relatively low and they hold relatively</w:t>
      </w:r>
      <w:r>
        <w:t xml:space="preserve"> </w:t>
      </w:r>
      <w:r>
        <w:t xml:space="preserve">few financial assets. In particular, they hold very little</w:t>
      </w:r>
      <w:r>
        <w:t xml:space="preserve"> </w:t>
      </w:r>
      <w:r>
        <w:t xml:space="preserve">in investment and pension products. Since the</w:t>
      </w:r>
      <w:r>
        <w:t xml:space="preserve"> </w:t>
      </w:r>
      <w:r>
        <w:t xml:space="preserve">country’s 2021 pension reforms, households’ financial</w:t>
      </w:r>
      <w:r>
        <w:t xml:space="preserve"> </w:t>
      </w:r>
      <w:r>
        <w:t xml:space="preserve">assets held in pension and insurance funds has fallen</w:t>
      </w:r>
      <w:r>
        <w:t xml:space="preserve"> </w:t>
      </w:r>
      <w:r>
        <w:t xml:space="preserve">from the equivalent of 21% of GDP in 2020 to 1.3% of</w:t>
      </w:r>
      <w:r>
        <w:t xml:space="preserve"> </w:t>
      </w:r>
      <w:r>
        <w:t xml:space="preserve">GDP in 2024 (vs. 59.2% in the EU on average in 2024),</w:t>
      </w:r>
      <w:r>
        <w:t xml:space="preserve"> </w:t>
      </w:r>
      <w:r>
        <w:t xml:space="preserve">according to Eurostat data (Graph 2.8.4). Instead,</w:t>
      </w:r>
      <w:r>
        <w:t xml:space="preserve"> </w:t>
      </w:r>
      <w:r>
        <w:t xml:space="preserve">households’ financial assets held in investment funds</w:t>
      </w:r>
      <w:r>
        <w:t xml:space="preserve"> </w:t>
      </w:r>
      <w:r>
        <w:t xml:space="preserve">has increased over the last couple of years to 19.6% of</w:t>
      </w:r>
      <w:r>
        <w:t xml:space="preserve"> </w:t>
      </w:r>
      <w:r>
        <w:t xml:space="preserve">GDP in 2024, (still below the EU average of 23.5% of</w:t>
      </w:r>
      <w:r>
        <w:t xml:space="preserve"> </w:t>
      </w:r>
      <w:r>
        <w:t xml:space="preserve">GDP in 2024). All in all, the share of households’ total</w:t>
      </w:r>
      <w:r>
        <w:t xml:space="preserve"> </w:t>
      </w:r>
      <w:r>
        <w:t xml:space="preserve">financial assets held in pension funds, insurance funds</w:t>
      </w:r>
      <w:r>
        <w:t xml:space="preserve"> </w:t>
      </w:r>
      <w:r>
        <w:t xml:space="preserve">or directly in financial investment instruments was</w:t>
      </w:r>
      <w:r>
        <w:t xml:space="preserve"> </w:t>
      </w:r>
      <w:r>
        <w:t xml:space="preserve">equivalent to barely 18.8% in 2024, substantially short</w:t>
      </w:r>
      <w:r>
        <w:t xml:space="preserve"> </w:t>
      </w:r>
      <w:r>
        <w:t xml:space="preserve">of the EU average of 46.6%. Instead, the investment</w:t>
      </w:r>
      <w:r>
        <w:t xml:space="preserve"> </w:t>
      </w:r>
      <w:r>
        <w:t xml:space="preserve">instrument most preferred by Estonian households is</w:t>
      </w:r>
      <w:r>
        <w:t xml:space="preserve"> </w:t>
      </w:r>
      <w:r>
        <w:t xml:space="preserve">private equity (unlisted shares), followed by bank</w:t>
      </w:r>
      <w:r>
        <w:t xml:space="preserve"> </w:t>
      </w:r>
      <w:r>
        <w:t xml:space="preserve">deposits. The government introduced an investment</w:t>
      </w:r>
      <w:r>
        <w:t xml:space="preserve"> </w:t>
      </w:r>
      <w:r>
        <w:t xml:space="preserve">account system in 2011, but this has achieved only</w:t>
      </w:r>
      <w:r>
        <w:t xml:space="preserve"> </w:t>
      </w:r>
      <w:r>
        <w:t xml:space="preserve">moderate success. One reason for this is that certain</w:t>
      </w:r>
      <w:r>
        <w:t xml:space="preserve"> </w:t>
      </w:r>
      <w:r>
        <w:t xml:space="preserve">popular</w:t>
      </w:r>
      <w:r>
        <w:t xml:space="preserve"> </w:t>
      </w:r>
      <w:r>
        <w:t xml:space="preserve">investment</w:t>
      </w:r>
      <w:r>
        <w:t xml:space="preserve"> </w:t>
      </w:r>
      <w:r>
        <w:t xml:space="preserve">vehicles,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equity</w:t>
      </w:r>
      <w:r>
        <w:t xml:space="preserve"> </w:t>
      </w:r>
      <w:r>
        <w:t xml:space="preserve">crowdfunding, have until recently been excluded from</w:t>
      </w:r>
      <w:r>
        <w:t xml:space="preserve"> </w:t>
      </w:r>
      <w:r>
        <w:t xml:space="preserve">the benefits of this system, including the ability to defer</w:t>
      </w:r>
      <w:r>
        <w:t xml:space="preserve"> </w:t>
      </w:r>
      <w:r>
        <w:t xml:space="preserve">income tax.</w:t>
      </w:r>
      <w:r>
        <w:t xml:space="preserve"> </w:t>
      </w:r>
      <w:r>
        <w:t xml:space="preserve">Recent policy initiatives aim to promote the degree</w:t>
      </w:r>
      <w:r>
        <w:t xml:space="preserve"> </w:t>
      </w:r>
      <w:r>
        <w:t xml:space="preserve">of retail participation in Estonian financial</w:t>
      </w:r>
      <w:r>
        <w:t xml:space="preserve"> </w:t>
      </w:r>
      <w:r>
        <w:t xml:space="preserve">markets. In September 2024, the Estonian state issued,</w:t>
      </w:r>
      <w:r>
        <w:t xml:space="preserve"> </w:t>
      </w:r>
      <w:r>
        <w:t xml:space="preserve">for the first time, government bonds to retail investors.</w:t>
      </w:r>
      <w:r>
        <w:t xml:space="preserve"> </w:t>
      </w:r>
      <w:r>
        <w:t xml:space="preserve">These government bonds offer small investors a fixed</w:t>
      </w:r>
      <w:r>
        <w:t xml:space="preserve"> </w:t>
      </w:r>
      <w:r>
        <w:t xml:space="preserve">interest rate and the opportunity to trade those bonds on</w:t>
      </w:r>
      <w:r>
        <w:t xml:space="preserve"> </w:t>
      </w:r>
      <w:r>
        <w:t xml:space="preserve">the Tallinn Stock Exchange. The offer was</w:t>
      </w:r>
      <w:r>
        <w:t xml:space="preserve"> </w:t>
      </w:r>
      <w:r>
        <w:t xml:space="preserve">oversubscribed by more than four times. Encouraging</w:t>
      </w:r>
      <w:r>
        <w:t xml:space="preserve"> </w:t>
      </w:r>
      <w:r>
        <w:t xml:space="preserve">the build-up of universal funded supplementary</w:t>
      </w:r>
      <w:r>
        <w:t xml:space="preserve"> </w:t>
      </w:r>
      <w:r>
        <w:t xml:space="preserve">pension schemes would positively contribute to (i) the</w:t>
      </w:r>
      <w:r>
        <w:t xml:space="preserve"> </w:t>
      </w:r>
      <w:r>
        <w:t xml:space="preserve">sustainability and adequacy of pension benefits; (ii)</w:t>
      </w:r>
      <w:r>
        <w:t xml:space="preserve"> </w:t>
      </w:r>
      <w:r>
        <w:t xml:space="preserve">investment in equity; (iii) access to finance; (iv)</w:t>
      </w:r>
      <w:r>
        <w:t xml:space="preserve"> </w:t>
      </w:r>
      <w:r>
        <w:t xml:space="preserve">growth; and (v) innovation.</w:t>
      </w:r>
      <w:r>
        <w:t xml:space="preserve"> </w:t>
      </w:r>
      <w:r>
        <w:t xml:space="preserve">-1.0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3.0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439</w:t>
      </w:r>
      <w:r>
        <w:t xml:space="preserve"> </w:t>
      </w:r>
      <w:r>
        <w:t xml:space="preserve">1.10.7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1.11 Finland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Finland’s economy channels its net savings</w:t>
      </w:r>
      <w:r>
        <w:t xml:space="preserve"> </w:t>
      </w:r>
      <w:r>
        <w:t xml:space="preserve">predominantly into domestic investments. Over the</w:t>
      </w:r>
      <w:r>
        <w:t xml:space="preserve"> </w:t>
      </w:r>
      <w:r>
        <w:t xml:space="preserve">past decade, the private savings ratio, net of fixed</w:t>
      </w:r>
      <w:r>
        <w:t xml:space="preserve"> </w:t>
      </w:r>
      <w:r>
        <w:t xml:space="preserve">capital consumption, has hovered around its ten-year</w:t>
      </w:r>
      <w:r>
        <w:t xml:space="preserve"> </w:t>
      </w:r>
      <w:r>
        <w:t xml:space="preserve">average of 5.6% of GDP, peaking at 10.3% in 2020</w:t>
      </w:r>
      <w:r>
        <w:t xml:space="preserve"> </w:t>
      </w:r>
      <w:r>
        <w:t xml:space="preserve">amid pandemic-driven precautionary savings (see</w:t>
      </w:r>
      <w:r>
        <w:t xml:space="preserve"> </w:t>
      </w:r>
      <w:r>
        <w:t xml:space="preserve">Graph 2.9.1). In contrast, the net private investment</w:t>
      </w:r>
      <w:r>
        <w:t xml:space="preserve"> </w:t>
      </w:r>
      <w:r>
        <w:t xml:space="preserve">ratio, reflecting the private sector’s role in capital</w:t>
      </w:r>
      <w:r>
        <w:t xml:space="preserve"> </w:t>
      </w:r>
      <w:r>
        <w:t xml:space="preserve">accumulation, has been more volatile, averaging 4.3%</w:t>
      </w:r>
      <w:r>
        <w:t xml:space="preserve"> </w:t>
      </w:r>
      <w:r>
        <w:t xml:space="preserve">of GDP over the last decade and reaching a high of</w:t>
      </w:r>
      <w:r>
        <w:t xml:space="preserve"> </w:t>
      </w:r>
      <w:r>
        <w:t xml:space="preserve">7.3% in 2022 as businesses ramped up spending in the</w:t>
      </w:r>
      <w:r>
        <w:t xml:space="preserve"> </w:t>
      </w:r>
      <w:r>
        <w:t xml:space="preserve">post-Covid recovery. Lending to the government has</w:t>
      </w:r>
      <w:r>
        <w:t xml:space="preserve"> </w:t>
      </w:r>
      <w:r>
        <w:t xml:space="preserve">fluctuated, averaging 2.1% of GDP but dipping to near</w:t>
      </w:r>
      <w:r>
        <w:t xml:space="preserve"> </w:t>
      </w:r>
      <w:r>
        <w:t xml:space="preserve">zero back in 2023, reflecting tighter fiscal conditions.</w:t>
      </w:r>
      <w:r>
        <w:t xml:space="preserve"> </w:t>
      </w:r>
      <w:r>
        <w:t xml:space="preserve">These dynamics, coupled with a structural current</w:t>
      </w:r>
      <w:r>
        <w:t xml:space="preserve"> </w:t>
      </w:r>
      <w:r>
        <w:t xml:space="preserve">account deficit, have led to consistent, albeit very</w:t>
      </w:r>
      <w:r>
        <w:t xml:space="preserve"> </w:t>
      </w:r>
      <w:r>
        <w:t xml:space="preserve">limited, net borrowing from abroad, averaging some</w:t>
      </w:r>
      <w:r>
        <w:t xml:space="preserve"> </w:t>
      </w:r>
      <w:r>
        <w:t xml:space="preserve">0.8% of GDP over the period 2014-2024. Finland’s net</w:t>
      </w:r>
      <w:r>
        <w:t xml:space="preserve"> </w:t>
      </w:r>
      <w:r>
        <w:t xml:space="preserve">savings are therefore largely absorbed by domestic</w:t>
      </w:r>
      <w:r>
        <w:t xml:space="preserve"> </w:t>
      </w:r>
      <w:r>
        <w:t xml:space="preserve">projects while foreign funds play a minor role in</w:t>
      </w:r>
      <w:r>
        <w:t xml:space="preserve"> </w:t>
      </w:r>
      <w:r>
        <w:t xml:space="preserve">bridging the financing gap.</w:t>
      </w:r>
      <w:r>
        <w:t xml:space="preserve"> </w:t>
      </w:r>
      <w:r>
        <w:t xml:space="preserve">1.11.1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Finland’s economy maintains a cautiously balanced</w:t>
      </w:r>
      <w:r>
        <w:t xml:space="preserve"> </w:t>
      </w:r>
      <w:r>
        <w:t xml:space="preserve">stance in its international financial engagements.</w:t>
      </w:r>
      <w:r>
        <w:t xml:space="preserve"> </w:t>
      </w:r>
      <w:r>
        <w:t xml:space="preserve">Finland’s net international investment position has</w:t>
      </w:r>
      <w:r>
        <w:t xml:space="preserve"> </w:t>
      </w:r>
      <w:r>
        <w:t xml:space="preserve">remained marginally positive in recent years. As of</w:t>
      </w:r>
      <w:r>
        <w:t xml:space="preserve"> </w:t>
      </w:r>
      <w:r>
        <w:t xml:space="preserve">end-2024, total assets held by foreigners in Finland</w:t>
      </w:r>
      <w:r>
        <w:t xml:space="preserve"> </w:t>
      </w:r>
      <w:r>
        <w:t xml:space="preserve">stood at 297.2% of GDP, while Finnish assets abroad</w:t>
      </w:r>
      <w:r>
        <w:t xml:space="preserve"> </w:t>
      </w:r>
      <w:r>
        <w:t xml:space="preserve">(including reserves) were slightly higher at 324.8% of</w:t>
      </w:r>
      <w:r>
        <w:t xml:space="preserve"> </w:t>
      </w:r>
      <w:r>
        <w:t xml:space="preserve">GDP, resulting in a net international investment</w:t>
      </w:r>
      <w:r>
        <w:t xml:space="preserve"> </w:t>
      </w:r>
      <w:r>
        <w:t xml:space="preserve">position (NIIP) of 27.5% of GDP (see Graph 2.9.2).</w:t>
      </w:r>
      <w:r>
        <w:t xml:space="preserve"> </w:t>
      </w:r>
      <w:r>
        <w:t xml:space="preserve">Finnish foreign direct investment abroad, at 69.9% of</w:t>
      </w:r>
      <w:r>
        <w:t xml:space="preserve"> </w:t>
      </w:r>
      <w:r>
        <w:t xml:space="preserve">GDP, outweighed foreign direct investments into</w:t>
      </w:r>
      <w:r>
        <w:t xml:space="preserve"> </w:t>
      </w:r>
      <w:r>
        <w:t xml:space="preserve">Finland at 49.2% of GDP. Portfolio investments</w:t>
      </w:r>
      <w:r>
        <w:t xml:space="preserve"> </w:t>
      </w:r>
      <w:r>
        <w:t xml:space="preserve">showed a very balanced position highlighting Finland’s</w:t>
      </w:r>
      <w:r>
        <w:t xml:space="preserve"> </w:t>
      </w:r>
      <w:r>
        <w:t xml:space="preserve">attractiveness for portfolio investors while indicating,</w:t>
      </w:r>
      <w:r>
        <w:t xml:space="preserve"> </w:t>
      </w:r>
      <w:r>
        <w:t xml:space="preserve">in parallel, that local investors show a strong preference</w:t>
      </w:r>
      <w:r>
        <w:t xml:space="preserve"> </w:t>
      </w:r>
      <w:r>
        <w:t xml:space="preserve">for</w:t>
      </w:r>
      <w:r>
        <w:t xml:space="preserve"> </w:t>
      </w:r>
      <w:r>
        <w:t xml:space="preserve">portfolio</w:t>
      </w:r>
      <w:r>
        <w:t xml:space="preserve"> </w:t>
      </w:r>
      <w:r>
        <w:t xml:space="preserve">allocation</w:t>
      </w:r>
      <w:r>
        <w:t xml:space="preserve"> </w:t>
      </w:r>
      <w:r>
        <w:t xml:space="preserve">abroad.</w:t>
      </w:r>
      <w:r>
        <w:t xml:space="preserve"> </w:t>
      </w:r>
      <w:r>
        <w:t xml:space="preserve">Lastly,</w:t>
      </w:r>
      <w:r>
        <w:t xml:space="preserve"> </w:t>
      </w:r>
      <w:r>
        <w:t xml:space="preserve">other</w:t>
      </w:r>
      <w:r>
        <w:t xml:space="preserve"> </w:t>
      </w:r>
      <w:r>
        <w:t xml:space="preserve">investments, both assets and liabilities, remained</w:t>
      </w:r>
      <w:r>
        <w:t xml:space="preserve"> </w:t>
      </w:r>
      <w:r>
        <w:t xml:space="preserve">relatively balanced over the past years in the brackets</w:t>
      </w:r>
      <w:r>
        <w:t xml:space="preserve"> </w:t>
      </w:r>
      <w:r>
        <w:t xml:space="preserve">between 60-90% of the GDP. This structure highlights</w:t>
      </w:r>
      <w:r>
        <w:t xml:space="preserve"> </w:t>
      </w:r>
      <w:r>
        <w:t xml:space="preserve">the economy’s deep integration into the global capital</w:t>
      </w:r>
      <w:r>
        <w:t xml:space="preserve"> </w:t>
      </w:r>
      <w:r>
        <w:t xml:space="preserve">markets. Its net creditor status, albeit narrow, signals a</w:t>
      </w:r>
      <w:r>
        <w:t xml:space="preserve"> </w:t>
      </w:r>
      <w:r>
        <w:t xml:space="preserve">preference of Finnish investors to invest abroad rather</w:t>
      </w:r>
      <w:r>
        <w:t xml:space="preserve"> </w:t>
      </w:r>
      <w:r>
        <w:t xml:space="preserve">than locally, in particular when it comes to direct</w:t>
      </w:r>
      <w:r>
        <w:t xml:space="preserve"> </w:t>
      </w:r>
      <w:r>
        <w:t xml:space="preserve">investments.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EE</w:t>
      </w:r>
      <w:r>
        <w:t xml:space="preserve"> </w:t>
      </w:r>
      <w:r>
        <w:t xml:space="preserve">EU</w:t>
      </w:r>
      <w:r>
        <w:t xml:space="preserve"> </w:t>
      </w:r>
      <w:r>
        <w:t xml:space="preserve">EE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440</w:t>
      </w:r>
      <w:r>
        <w:t xml:space="preserve"> </w:t>
      </w:r>
      <w:r>
        <w:t xml:space="preserve">1.11.2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The Finnish economy is underpinned by a well-</w:t>
      </w:r>
      <w:r>
        <w:t xml:space="preserve"> </w:t>
      </w:r>
      <w:r>
        <w:t xml:space="preserve">developed domestic capital market. Based on ECB</w:t>
      </w:r>
      <w:r>
        <w:t xml:space="preserve"> </w:t>
      </w:r>
      <w:r>
        <w:t xml:space="preserve">data, the market capitalisation of listed equity issued by</w:t>
      </w:r>
      <w:r>
        <w:t xml:space="preserve"> </w:t>
      </w:r>
      <w:r>
        <w:t xml:space="preserve">Finnish companies702 reached 89.8% of GDP in 2024</w:t>
      </w:r>
      <w:r>
        <w:t xml:space="preserve"> </w:t>
      </w:r>
      <w:r>
        <w:t xml:space="preserve">(see Graph 2.9.3), reflecting a strong equity culture</w:t>
      </w:r>
      <w:r>
        <w:t xml:space="preserve"> </w:t>
      </w:r>
      <w:r>
        <w:t xml:space="preserve">driven by investor confidence in local firms. Non-</w:t>
      </w:r>
      <w:r>
        <w:t xml:space="preserve"> </w:t>
      </w:r>
      <w:r>
        <w:t xml:space="preserve">financial corporations account for roughly 74% of this</w:t>
      </w:r>
      <w:r>
        <w:t xml:space="preserve"> </w:t>
      </w:r>
      <w:r>
        <w:t xml:space="preserve">capitalisation, highlighting the market’s focus on</w:t>
      </w:r>
      <w:r>
        <w:t xml:space="preserve"> </w:t>
      </w:r>
      <w:r>
        <w:t xml:space="preserve">financing technology, various industries and other non-</w:t>
      </w:r>
      <w:r>
        <w:t xml:space="preserve"> </w:t>
      </w:r>
      <w:r>
        <w:t xml:space="preserve">financial services, which remain central to the</w:t>
      </w:r>
      <w:r>
        <w:t xml:space="preserve"> </w:t>
      </w:r>
      <w:r>
        <w:t xml:space="preserve">country’s economic identity. The outstanding volume</w:t>
      </w:r>
      <w:r>
        <w:t xml:space="preserve"> </w:t>
      </w:r>
      <w:r>
        <w:t xml:space="preserve">of debt securities (excluding government securities)</w:t>
      </w:r>
      <w:r>
        <w:t xml:space="preserve"> </w:t>
      </w:r>
      <w:r>
        <w:t xml:space="preserve">stood at 88.5% of GDP in 2024, with monetary</w:t>
      </w:r>
      <w:r>
        <w:t xml:space="preserve"> </w:t>
      </w:r>
      <w:r>
        <w:t xml:space="preserve">financial institutions (MFIs) contributing around 78%</w:t>
      </w:r>
      <w:r>
        <w:t xml:space="preserve"> </w:t>
      </w:r>
      <w:r>
        <w:t xml:space="preserve">of the total. This highlights the banking sector’s pivotal</w:t>
      </w:r>
      <w:r>
        <w:t xml:space="preserve"> </w:t>
      </w:r>
      <w:r>
        <w:t xml:space="preserve">role in funding the local economy but also reflects the</w:t>
      </w:r>
      <w:r>
        <w:t xml:space="preserve"> </w:t>
      </w:r>
      <w:r>
        <w:t xml:space="preserve">specificity of Nordic financial markets where covered</w:t>
      </w:r>
      <w:r>
        <w:t xml:space="preserve"> </w:t>
      </w:r>
      <w:r>
        <w:t xml:space="preserve">bonds remain an important source of funding for local</w:t>
      </w:r>
      <w:r>
        <w:t xml:space="preserve"> </w:t>
      </w:r>
      <w:r>
        <w:t xml:space="preserve">credit institutions. General government bonds issuance</w:t>
      </w:r>
      <w:r>
        <w:t xml:space="preserve"> </w:t>
      </w:r>
      <w:r>
        <w:t xml:space="preserve">accounts for approximately 57.3% of the GDP and has</w:t>
      </w:r>
      <w:r>
        <w:t xml:space="preserve"> </w:t>
      </w:r>
      <w:r>
        <w:t xml:space="preserve">increased by a few percentage points over the past</w:t>
      </w:r>
      <w:r>
        <w:t xml:space="preserve"> </w:t>
      </w:r>
      <w:r>
        <w:t xml:space="preserve">decade, in line with the growing indebtedness of</w:t>
      </w:r>
      <w:r>
        <w:t xml:space="preserve"> </w:t>
      </w:r>
      <w:r>
        <w:t xml:space="preserve">Finland.</w:t>
      </w:r>
    </w:p>
    <w:p>
      <w:pPr>
        <w:pStyle w:val="BodyText"/>
      </w:pPr>
      <w:r>
        <w:t xml:space="preserve">702 This figure is a proxy for the degree of development of the</w:t>
      </w:r>
      <w:r>
        <w:t xml:space="preserve"> </w:t>
      </w:r>
      <w:r>
        <w:t xml:space="preserve">Finnish stock exchange, given that i) Finnish companies could</w:t>
      </w:r>
      <w:r>
        <w:t xml:space="preserve"> </w:t>
      </w:r>
      <w:r>
        <w:t xml:space="preserve">be listed abroad and ii) a number of foreign companies are listed</w:t>
      </w:r>
      <w:r>
        <w:t xml:space="preserve"> </w:t>
      </w:r>
      <w:r>
        <w:t xml:space="preserve">in Finland as well.</w:t>
      </w:r>
      <w:r>
        <w:t xml:space="preserve"> </w:t>
      </w:r>
      <w:r>
        <w:t xml:space="preserve">703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1.11.3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Finland’s financial sector is dominated by banks.</w:t>
      </w:r>
      <w:r>
        <w:t xml:space="preserve"> </w:t>
      </w:r>
      <w:r>
        <w:t xml:space="preserve">By 2024, the banking sector’s assets stood at 240.6%</w:t>
      </w:r>
      <w:r>
        <w:t xml:space="preserve"> </w:t>
      </w:r>
      <w:r>
        <w:t xml:space="preserve">of GDP, a few percentage points below the EU average</w:t>
      </w:r>
      <w:r>
        <w:t xml:space="preserve"> </w:t>
      </w:r>
      <w:r>
        <w:t xml:space="preserve">of 251.1%. Foreign presence remains rather limited,</w:t>
      </w:r>
      <w:r>
        <w:t xml:space="preserve"> </w:t>
      </w:r>
      <w:r>
        <w:t xml:space="preserve">below 10% of total assets, but all lenders do have</w:t>
      </w:r>
      <w:r>
        <w:t xml:space="preserve"> </w:t>
      </w:r>
      <w:r>
        <w:t xml:space="preserve">strong ties to other Nordic markets. Non-bank financial</w:t>
      </w:r>
      <w:r>
        <w:t xml:space="preserve"> </w:t>
      </w:r>
      <w:r>
        <w:t xml:space="preserve">intermediaries, particularly investment funds and</w:t>
      </w:r>
      <w:r>
        <w:t xml:space="preserve"> </w:t>
      </w:r>
      <w:r>
        <w:t xml:space="preserve">insurance corporations, are notable, with assets at 64%</w:t>
      </w:r>
      <w:r>
        <w:t xml:space="preserve"> </w:t>
      </w:r>
      <w:r>
        <w:t xml:space="preserve">and 32.6% of GDP respectively in 2024, driven by a</w:t>
      </w:r>
      <w:r>
        <w:t xml:space="preserve"> </w:t>
      </w:r>
      <w:r>
        <w:t xml:space="preserve">strong cultural emphasis on long-term savings amid an</w:t>
      </w:r>
      <w:r>
        <w:t xml:space="preserve"> </w:t>
      </w:r>
      <w:r>
        <w:t xml:space="preserve">aging population. Local pension funds, which managed</w:t>
      </w:r>
      <w:r>
        <w:t xml:space="preserve"> </w:t>
      </w:r>
      <w:r>
        <w:t xml:space="preserve">by end-2024 assets worth EUR 277 bn are not fully</w:t>
      </w:r>
      <w:r>
        <w:t xml:space="preserve"> </w:t>
      </w:r>
      <w:r>
        <w:t xml:space="preserve">accounted for in the international statistics as they are</w:t>
      </w:r>
      <w:r>
        <w:t xml:space="preserve"> </w:t>
      </w:r>
      <w:r>
        <w:t xml:space="preserve">embedded in the pillar 1 of the Finnish national pension</w:t>
      </w:r>
      <w:r>
        <w:t xml:space="preserve"> </w:t>
      </w:r>
      <w:r>
        <w:t xml:space="preserve">system.</w:t>
      </w:r>
      <w:r>
        <w:t xml:space="preserve"> </w:t>
      </w:r>
      <w:r>
        <w:t xml:space="preserve">1.11.4</w:t>
      </w:r>
      <w:r>
        <w:t xml:space="preserve"> </w:t>
      </w:r>
      <w:r>
        <w:t xml:space="preserve">Stock market performance</w:t>
      </w:r>
    </w:p>
    <w:p>
      <w:pPr>
        <w:pStyle w:val="BodyText"/>
      </w:pPr>
      <w:r>
        <w:t xml:space="preserve">Source: London Stock Exchange Group703.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</w:p>
    <w:p>
      <w:pPr>
        <w:pStyle w:val="BodyText"/>
      </w:pP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-400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2009</w:t>
      </w:r>
      <w:r>
        <w:t xml:space="preserve"> </w:t>
      </w:r>
      <w:r>
        <w:t xml:space="preserve">2012</w:t>
      </w:r>
      <w:r>
        <w:t xml:space="preserve"> </w:t>
      </w:r>
      <w:r>
        <w:t xml:space="preserve">2015</w:t>
      </w:r>
      <w:r>
        <w:t xml:space="preserve"> </w:t>
      </w:r>
      <w:r>
        <w:t xml:space="preserve">2018</w:t>
      </w:r>
      <w:r>
        <w:t xml:space="preserve"> </w:t>
      </w:r>
      <w:r>
        <w:t xml:space="preserve">2021</w:t>
      </w:r>
      <w:r>
        <w:t xml:space="preserve"> </w:t>
      </w:r>
      <w:r>
        <w:t xml:space="preserve">2024</w:t>
      </w:r>
      <w:r>
        <w:t xml:space="preserve"> </w:t>
      </w:r>
      <w:r>
        <w:t xml:space="preserve">Oct-09=100</w:t>
      </w:r>
      <w:r>
        <w:t xml:space="preserve"> </w:t>
      </w:r>
      <w:r>
        <w:t xml:space="preserve">FI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OMX HELSINKI (OMXH)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441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capital markets are a vital component of the</w:t>
      </w:r>
      <w:r>
        <w:t xml:space="preserve"> </w:t>
      </w:r>
      <w:r>
        <w:t xml:space="preserve">country’s financial system. Despite not being very</w:t>
      </w:r>
      <w:r>
        <w:t xml:space="preserve"> </w:t>
      </w:r>
      <w:r>
        <w:t xml:space="preserve">large, Finland’s capital markets are considered to be</w:t>
      </w:r>
      <w:r>
        <w:t xml:space="preserve"> </w:t>
      </w:r>
      <w:r>
        <w:t xml:space="preserve">among the most efficient and well-developed in the</w:t>
      </w:r>
      <w:r>
        <w:t xml:space="preserve"> </w:t>
      </w:r>
      <w:r>
        <w:t xml:space="preserve">EU. The stock market remains dominated by the</w:t>
      </w:r>
      <w:r>
        <w:t xml:space="preserve"> </w:t>
      </w:r>
      <w:r>
        <w:t xml:space="preserve">Nasdaq</w:t>
      </w:r>
      <w:r>
        <w:t xml:space="preserve"> </w:t>
      </w:r>
      <w:r>
        <w:t xml:space="preserve">Helsinki</w:t>
      </w:r>
      <w:r>
        <w:t xml:space="preserve"> </w:t>
      </w:r>
      <w:r>
        <w:t xml:space="preserve">exchange,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market</w:t>
      </w:r>
      <w:r>
        <w:t xml:space="preserve"> </w:t>
      </w:r>
      <w:r>
        <w:t xml:space="preserve">capitalisation equivalent to 97.1% of GDP in 2024,</w:t>
      </w:r>
      <w:r>
        <w:t xml:space="preserve"> </w:t>
      </w:r>
      <w:r>
        <w:t xml:space="preserve">about 25 percentage points higher than the EU average.</w:t>
      </w:r>
      <w:r>
        <w:t xml:space="preserve"> </w:t>
      </w:r>
      <w:r>
        <w:t xml:space="preserve">The local exchange lists some 188 stocks (end-2024)</w:t>
      </w:r>
      <w:r>
        <w:t xml:space="preserve"> </w:t>
      </w:r>
      <w:r>
        <w:t xml:space="preserve">and has ambitious plans going forward, with several</w:t>
      </w:r>
      <w:r>
        <w:t xml:space="preserve"> </w:t>
      </w:r>
      <w:r>
        <w:t xml:space="preserve">dozen new public debuts to be expected in the coming</w:t>
      </w:r>
      <w:r>
        <w:t xml:space="preserve"> </w:t>
      </w:r>
      <w:r>
        <w:t xml:space="preserve">years. Finnish large and medium firms also make use</w:t>
      </w:r>
      <w:r>
        <w:t xml:space="preserve"> </w:t>
      </w:r>
      <w:r>
        <w:t xml:space="preserve">of fixed-income financing, although the outstanding</w:t>
      </w:r>
      <w:r>
        <w:t xml:space="preserve"> </w:t>
      </w:r>
      <w:r>
        <w:t xml:space="preserve">volume of Finnish corporate bonds is worth about</w:t>
      </w:r>
      <w:r>
        <w:t xml:space="preserve"> </w:t>
      </w:r>
      <w:r>
        <w:t xml:space="preserve">12.2% of GDP (vs an EU average of 10.8%),</w:t>
      </w:r>
      <w:r>
        <w:t xml:space="preserve"> </w:t>
      </w:r>
      <w:r>
        <w:t xml:space="preserve">substantially lower than the equity financing part of</w:t>
      </w:r>
      <w:r>
        <w:t xml:space="preserve"> </w:t>
      </w:r>
      <w:r>
        <w:t xml:space="preserve">corporate funding.</w:t>
      </w:r>
      <w:r>
        <w:t xml:space="preserve"> </w:t>
      </w:r>
      <w:r>
        <w:t xml:space="preserve">Debt finance continues to be a significant source of</w:t>
      </w:r>
      <w:r>
        <w:t xml:space="preserve"> </w:t>
      </w:r>
      <w:r>
        <w:t xml:space="preserve">market funding for domestic banks but of minor</w:t>
      </w:r>
      <w:r>
        <w:t xml:space="preserve"> </w:t>
      </w:r>
      <w:r>
        <w:t xml:space="preserve">importance for non-financial corporations. In the</w:t>
      </w:r>
      <w:r>
        <w:t xml:space="preserve"> </w:t>
      </w:r>
      <w:r>
        <w:t xml:space="preserve">first quarter of 2025, banks issued EUR 2.4 bn of debt</w:t>
      </w:r>
      <w:r>
        <w:t xml:space="preserve"> </w:t>
      </w:r>
      <w:r>
        <w:t xml:space="preserve">securities, which aligns with the EUR 11.5 bn issued in</w:t>
      </w:r>
      <w:r>
        <w:t xml:space="preserve"> </w:t>
      </w:r>
      <w:r>
        <w:t xml:space="preserve">2024 (see Graph 2.9.5). The other financial companies</w:t>
      </w:r>
      <w:r>
        <w:t xml:space="preserve"> </w:t>
      </w:r>
      <w:r>
        <w:t xml:space="preserve">continued to repay their market funding, resulting in</w:t>
      </w:r>
      <w:r>
        <w:t xml:space="preserve"> </w:t>
      </w:r>
      <w:r>
        <w:t xml:space="preserve">negative bond issuance flows both in 2024 (negative</w:t>
      </w:r>
      <w:r>
        <w:t xml:space="preserve"> </w:t>
      </w:r>
      <w:r>
        <w:t xml:space="preserve">EUR 0.6 bn) and early 2025, with negative EUR 0.8</w:t>
      </w:r>
      <w:r>
        <w:t xml:space="preserve"> </w:t>
      </w:r>
      <w:r>
        <w:t xml:space="preserve">bn. The net issuance by non-financial corporations was</w:t>
      </w:r>
      <w:r>
        <w:t xml:space="preserve"> </w:t>
      </w:r>
      <w:r>
        <w:t xml:space="preserve">barely positive in 2024 (EUR 0.2 bn) and turned out</w:t>
      </w:r>
      <w:r>
        <w:t xml:space="preserve"> </w:t>
      </w:r>
      <w:r>
        <w:t xml:space="preserve">negative, at EUR -0.2 bn in Q1 2025, highlighting the</w:t>
      </w:r>
      <w:r>
        <w:t xml:space="preserve"> </w:t>
      </w:r>
      <w:r>
        <w:t xml:space="preserve">rather minor role of debt market finance as a source of</w:t>
      </w:r>
      <w:r>
        <w:t xml:space="preserve"> </w:t>
      </w:r>
      <w:r>
        <w:t xml:space="preserve">funding for Finnish non-financial corporations.</w:t>
      </w:r>
      <w:r>
        <w:t xml:space="preserve"> </w:t>
      </w:r>
      <w:r>
        <w:t xml:space="preserve">1.11.5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</w:p>
    <w:p>
      <w:pPr>
        <w:pStyle w:val="BodyText"/>
      </w:pP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Long-term interest rates in Finland have followed</w:t>
      </w:r>
      <w:r>
        <w:t xml:space="preserve"> </w:t>
      </w:r>
      <w:r>
        <w:t xml:space="preserve">narrowly the Eurosystem’s policy moves. The 10-</w:t>
      </w:r>
      <w:r>
        <w:t xml:space="preserve"> </w:t>
      </w:r>
      <w:r>
        <w:t xml:space="preserve">year sovereign yields remained extremely low between</w:t>
      </w:r>
      <w:r>
        <w:t xml:space="preserve"> </w:t>
      </w:r>
      <w:r>
        <w:t xml:space="preserve">2014 and 2022 following ECB’s loose monetary</w:t>
      </w:r>
      <w:r>
        <w:t xml:space="preserve"> </w:t>
      </w:r>
      <w:r>
        <w:t xml:space="preserve">policy. Yields dropped into slightly negative territory</w:t>
      </w:r>
      <w:r>
        <w:t xml:space="preserve"> </w:t>
      </w:r>
      <w:r>
        <w:t xml:space="preserve">(negative 50 bp) between summer 2019 until end-2021</w:t>
      </w:r>
      <w:r>
        <w:t xml:space="preserve"> </w:t>
      </w:r>
      <w:r>
        <w:t xml:space="preserve">(see Graph 2.9.6). October 2023 marked a post-Covid</w:t>
      </w:r>
      <w:r>
        <w:t xml:space="preserve"> </w:t>
      </w:r>
      <w:r>
        <w:t xml:space="preserve">high (at 3.5%) for Finnish sovereign yields.</w:t>
      </w:r>
      <w:r>
        <w:t xml:space="preserve"> </w:t>
      </w:r>
      <w:r>
        <w:t xml:space="preserve">Subsequently, the cost of financing sovereign debt</w:t>
      </w:r>
      <w:r>
        <w:t xml:space="preserve"> </w:t>
      </w:r>
      <w:r>
        <w:t xml:space="preserve">started declining and remained in the 2.5-3% bracket</w:t>
      </w:r>
      <w:r>
        <w:t xml:space="preserve"> </w:t>
      </w:r>
      <w:r>
        <w:t xml:space="preserve">since the beginning of 2024. The spread to the German</w:t>
      </w:r>
      <w:r>
        <w:t xml:space="preserve"> </w:t>
      </w:r>
      <w:r>
        <w:t xml:space="preserve">Bund hit a peak of over 60 basis points in early 2022</w:t>
      </w:r>
      <w:r>
        <w:t xml:space="preserve"> </w:t>
      </w:r>
      <w:r>
        <w:t xml:space="preserve">(the start of Russia’s war on Ukraine) and started</w:t>
      </w:r>
      <w:r>
        <w:t xml:space="preserve"> </w:t>
      </w:r>
      <w:r>
        <w:t xml:space="preserve">declining since then, returning to historical average</w:t>
      </w:r>
      <w:r>
        <w:t xml:space="preserve"> </w:t>
      </w:r>
      <w:r>
        <w:t xml:space="preserve">bracket 25-40 basis points.</w:t>
      </w:r>
      <w:r>
        <w:t xml:space="preserve"> </w:t>
      </w:r>
      <w:r>
        <w:t xml:space="preserve">1.11.6</w:t>
      </w:r>
      <w:r>
        <w:t xml:space="preserve"> </w:t>
      </w:r>
      <w:r>
        <w:t xml:space="preserve">Long-term interest rates and credit default swaps</w:t>
      </w:r>
      <w:r>
        <w:t xml:space="preserve"> </w:t>
      </w:r>
      <w:r>
        <w:t xml:space="preserve">Source: London Stock Exchange Group.</w:t>
      </w:r>
      <w:r>
        <w:t xml:space="preserve"> </w:t>
      </w:r>
      <w:r>
        <w:t xml:space="preserve">Financing is not perceived as a major obstacle to</w:t>
      </w:r>
      <w:r>
        <w:t xml:space="preserve"> </w:t>
      </w:r>
      <w:r>
        <w:t xml:space="preserve">investment decisions. Just 6% of domestic firms</w:t>
      </w:r>
      <w:r>
        <w:t xml:space="preserve"> </w:t>
      </w:r>
      <w:r>
        <w:t xml:space="preserve">reported having issues when seeking a bank loan and</w:t>
      </w:r>
      <w:r>
        <w:t xml:space="preserve"> </w:t>
      </w:r>
      <w:r>
        <w:t xml:space="preserve">23% claimed that that financing was an issue when</w:t>
      </w:r>
      <w:r>
        <w:t xml:space="preserve"> </w:t>
      </w:r>
      <w:r>
        <w:t xml:space="preserve">pursuing investment plans, compared to an EU average</w:t>
      </w:r>
      <w:r>
        <w:t xml:space="preserve"> </w:t>
      </w:r>
      <w:r>
        <w:t xml:space="preserve">of 45%. More generally, four out of five firms in</w:t>
      </w:r>
      <w:r>
        <w:t xml:space="preserve"> </w:t>
      </w:r>
      <w:r>
        <w:t xml:space="preserve">Finland believe that their investment actions over the</w:t>
      </w:r>
      <w:r>
        <w:t xml:space="preserve"> </w:t>
      </w:r>
      <w:r>
        <w:t xml:space="preserve">past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were</w:t>
      </w:r>
      <w:r>
        <w:t xml:space="preserve"> </w:t>
      </w:r>
      <w:r>
        <w:t xml:space="preserve">adequate</w:t>
      </w:r>
      <w:r>
        <w:t xml:space="preserve"> </w:t>
      </w:r>
      <w:r>
        <w:t xml:space="preserve">for</w:t>
      </w:r>
      <w:r>
        <w:t xml:space="preserve"> </w:t>
      </w:r>
      <w:r>
        <w:t xml:space="preserve">market</w:t>
      </w:r>
      <w:r>
        <w:t xml:space="preserve"> </w:t>
      </w:r>
      <w:r>
        <w:t xml:space="preserve">requirements, in line with the EU average (EIB</w:t>
      </w:r>
      <w:r>
        <w:t xml:space="preserve"> </w:t>
      </w:r>
      <w:r>
        <w:t xml:space="preserve">Investment Survey 2024). This suggests that there is no</w:t>
      </w:r>
      <w:r>
        <w:t xml:space="preserve"> </w:t>
      </w:r>
      <w:r>
        <w:t xml:space="preserve">material financing gap relative to investment demand</w:t>
      </w:r>
      <w:r>
        <w:t xml:space="preserve"> </w:t>
      </w:r>
      <w:r>
        <w:t xml:space="preserve">and perceived investment needs. However, the</w:t>
      </w:r>
      <w:r>
        <w:t xml:space="preserve"> </w:t>
      </w:r>
      <w:r>
        <w:t xml:space="preserve">proportion of finance-constrained firms in Finland</w:t>
      </w:r>
      <w:r>
        <w:t xml:space="preserve"> </w:t>
      </w:r>
      <w:r>
        <w:t xml:space="preserve">(around 12%) is somewhat higher than the EU average</w:t>
      </w:r>
      <w:r>
        <w:t xml:space="preserve"> </w:t>
      </w:r>
      <w:r>
        <w:t xml:space="preserve">(6.8%).</w:t>
      </w:r>
      <w:r>
        <w:t xml:space="preserve"> </w:t>
      </w:r>
      <w:r>
        <w:t xml:space="preserve">Bank and equity financing are on par. Finnish</w:t>
      </w:r>
      <w:r>
        <w:t xml:space="preserve"> </w:t>
      </w:r>
      <w:r>
        <w:t xml:space="preserve">corporates rely on a sound mix of internal financing</w:t>
      </w:r>
      <w:r>
        <w:t xml:space="preserve"> </w:t>
      </w:r>
      <w:r>
        <w:t xml:space="preserve">(covering up to 69% of all investment needs (EIB</w:t>
      </w:r>
      <w:r>
        <w:t xml:space="preserve"> </w:t>
      </w:r>
      <w:r>
        <w:t xml:space="preserve">Investment Survey 2024) against an EU average of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-5.0</w:t>
      </w:r>
      <w:r>
        <w:t xml:space="preserve"> </w:t>
      </w:r>
      <w:r>
        <w:t xml:space="preserve">0.0</w:t>
      </w:r>
      <w:r>
        <w:t xml:space="preserve"> </w:t>
      </w:r>
      <w:r>
        <w:t xml:space="preserve">5.0</w:t>
      </w:r>
      <w:r>
        <w:t xml:space="preserve"> </w:t>
      </w:r>
      <w:r>
        <w:t xml:space="preserve">10.0</w:t>
      </w:r>
      <w:r>
        <w:t xml:space="preserve"> </w:t>
      </w:r>
      <w:r>
        <w:t xml:space="preserve">15.0</w:t>
      </w:r>
      <w:r>
        <w:t xml:space="preserve"> </w:t>
      </w:r>
      <w:r>
        <w:t xml:space="preserve">20.0</w:t>
      </w:r>
      <w:r>
        <w:t xml:space="preserve"> </w:t>
      </w:r>
      <w:r>
        <w:t xml:space="preserve">25.0</w:t>
      </w:r>
      <w:r>
        <w:t xml:space="preserve"> </w:t>
      </w:r>
      <w:r>
        <w:t xml:space="preserve">30.0</w:t>
      </w:r>
      <w:r>
        <w:t xml:space="preserve"> </w:t>
      </w:r>
      <w:r>
        <w:t xml:space="preserve">35.0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-10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2008</w:t>
      </w:r>
      <w:r>
        <w:t xml:space="preserve"> </w:t>
      </w:r>
      <w:r>
        <w:t xml:space="preserve">2013</w:t>
      </w:r>
      <w:r>
        <w:t xml:space="preserve"> </w:t>
      </w:r>
      <w:r>
        <w:t xml:space="preserve">2018</w:t>
      </w:r>
      <w:r>
        <w:t xml:space="preserve"> </w:t>
      </w:r>
      <w:r>
        <w:t xml:space="preserve">2023</w:t>
      </w:r>
      <w:r>
        <w:t xml:space="preserve"> </w:t>
      </w:r>
      <w:r>
        <w:t xml:space="preserve">bps</w:t>
      </w:r>
      <w:r>
        <w:t xml:space="preserve"> </w:t>
      </w:r>
      <w:r>
        <w:t xml:space="preserve">%</w:t>
      </w:r>
      <w:r>
        <w:t xml:space="preserve"> </w:t>
      </w:r>
      <w:r>
        <w:t xml:space="preserve">10Y yield (lhs)</w:t>
      </w:r>
      <w:r>
        <w:t xml:space="preserve"> </w:t>
      </w:r>
      <w:r>
        <w:t xml:space="preserve">Spread vs bund (rhs)</w:t>
      </w:r>
      <w:r>
        <w:t xml:space="preserve"> </w:t>
      </w:r>
      <w:r>
        <w:t xml:space="preserve">5Y CDS (rhs)</w:t>
      </w:r>
    </w:p>
    <w:p>
      <w:pPr>
        <w:pStyle w:val="BodyText"/>
      </w:pPr>
      <w:r>
        <w:t xml:space="preserve">442</w:t>
      </w:r>
      <w:r>
        <w:t xml:space="preserve"> </w:t>
      </w:r>
      <w:r>
        <w:t xml:space="preserve">66%), bank loans and capital market instruments for</w:t>
      </w:r>
      <w:r>
        <w:t xml:space="preserve"> </w:t>
      </w:r>
      <w:r>
        <w:t xml:space="preserve">business funding needs. An average Finnish firm relies</w:t>
      </w:r>
      <w:r>
        <w:t xml:space="preserve"> </w:t>
      </w:r>
      <w:r>
        <w:t xml:space="preserve">on bank loans and overdrafts to a slightly higher extent</w:t>
      </w:r>
      <w:r>
        <w:t xml:space="preserve"> </w:t>
      </w:r>
      <w:r>
        <w:t xml:space="preserve">(30% of total funding) than its average EU peer (about</w:t>
      </w:r>
      <w:r>
        <w:t xml:space="preserve"> </w:t>
      </w:r>
      <w:r>
        <w:t xml:space="preserve">27%). In total, corporate funding in Finland is</w:t>
      </w:r>
      <w:r>
        <w:t xml:space="preserve"> </w:t>
      </w:r>
      <w:r>
        <w:t xml:space="preserve">equivalent to 214% of GDP, about 16 percentage</w:t>
      </w:r>
      <w:r>
        <w:t xml:space="preserve"> </w:t>
      </w:r>
      <w:r>
        <w:t xml:space="preserve">points lower than the EU average of 230% of GDP.</w:t>
      </w:r>
      <w:r>
        <w:t xml:space="preserve"> </w:t>
      </w:r>
      <w:r>
        <w:t xml:space="preserve">Capital market instruments, including shares and</w:t>
      </w:r>
      <w:r>
        <w:t xml:space="preserve"> </w:t>
      </w:r>
      <w:r>
        <w:t xml:space="preserve">bonds, contribute around 68% to the total financing of</w:t>
      </w:r>
      <w:r>
        <w:t xml:space="preserve"> </w:t>
      </w:r>
      <w:r>
        <w:t xml:space="preserve">Finnish firms, on a par with the EU average of 69%.</w:t>
      </w:r>
      <w:r>
        <w:t xml:space="preserve"> </w:t>
      </w:r>
      <w:r>
        <w:t xml:space="preserve">More specifically, listed and unlisted shares are</w:t>
      </w:r>
      <w:r>
        <w:t xml:space="preserve"> </w:t>
      </w:r>
      <w:r>
        <w:t xml:space="preserve">equivalent to 125.5% of GDP in Finland, while the EU</w:t>
      </w:r>
      <w:r>
        <w:t xml:space="preserve"> </w:t>
      </w:r>
      <w:r>
        <w:t xml:space="preserve">average stands at 100.5% of GDP. This reliance on</w:t>
      </w:r>
      <w:r>
        <w:t xml:space="preserve"> </w:t>
      </w:r>
      <w:r>
        <w:t xml:space="preserve">equity-based instruments and, in particular, listed</w:t>
      </w:r>
      <w:r>
        <w:t xml:space="preserve"> </w:t>
      </w:r>
      <w:r>
        <w:t xml:space="preserve">equities highlights the level of development of</w:t>
      </w:r>
      <w:r>
        <w:t xml:space="preserve"> </w:t>
      </w:r>
      <w:r>
        <w:t xml:space="preserve">Finland’s capital markets and the fact that Finnish</w:t>
      </w:r>
      <w:r>
        <w:t xml:space="preserve"> </w:t>
      </w:r>
      <w:r>
        <w:t xml:space="preserve">investors are more likely to invest in equity-based</w:t>
      </w:r>
      <w:r>
        <w:t xml:space="preserve"> </w:t>
      </w:r>
      <w:r>
        <w:t xml:space="preserve">instruments than their EU peers.</w:t>
      </w:r>
      <w:r>
        <w:t xml:space="preserve"> </w:t>
      </w:r>
      <w:r>
        <w:t xml:space="preserve">1.11.7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Retail participation in the capital markets is</w:t>
      </w:r>
      <w:r>
        <w:t xml:space="preserve"> </w:t>
      </w:r>
      <w:r>
        <w:t xml:space="preserve">significant as households actively look to diversify</w:t>
      </w:r>
      <w:r>
        <w:t xml:space="preserve"> </w:t>
      </w:r>
      <w:r>
        <w:t xml:space="preserve">their financial holdings. As of end-2024, Finnish</w:t>
      </w:r>
      <w:r>
        <w:t xml:space="preserve"> </w:t>
      </w:r>
      <w:r>
        <w:t xml:space="preserve">households’ financial assets surpassed the EUR 420 bn</w:t>
      </w:r>
      <w:r>
        <w:t xml:space="preserve"> </w:t>
      </w:r>
      <w:r>
        <w:t xml:space="preserve">mark, equivalent to 153.9% of GDP (see Graph 2.9.7),</w:t>
      </w:r>
      <w:r>
        <w:t xml:space="preserve"> </w:t>
      </w:r>
      <w:r>
        <w:t xml:space="preserve">with deposits representing 30.5% of the total (vs an EU</w:t>
      </w:r>
      <w:r>
        <w:t xml:space="preserve"> </w:t>
      </w:r>
      <w:r>
        <w:t xml:space="preserve">average of 31.7%). Investments in domestic investment</w:t>
      </w:r>
      <w:r>
        <w:t xml:space="preserve"> </w:t>
      </w:r>
      <w:r>
        <w:t xml:space="preserve">funds reached a record high of EUR 40.6 bn and were</w:t>
      </w:r>
      <w:r>
        <w:t xml:space="preserve"> </w:t>
      </w:r>
      <w:r>
        <w:t xml:space="preserve">predominantly allocated to equity funds (43%), bond</w:t>
      </w:r>
      <w:r>
        <w:t xml:space="preserve"> </w:t>
      </w:r>
      <w:r>
        <w:t xml:space="preserve">funds (28%) and mixed funds (19%). In parallel,</w:t>
      </w:r>
      <w:r>
        <w:t xml:space="preserve"> </w:t>
      </w:r>
      <w:r>
        <w:t xml:space="preserve">households’ direct investments in listed and unlisted</w:t>
      </w:r>
      <w:r>
        <w:t xml:space="preserve"> </w:t>
      </w:r>
      <w:r>
        <w:t xml:space="preserve">equity amounted to EUR 102 bn. Finns display a</w:t>
      </w:r>
      <w:r>
        <w:t xml:space="preserve"> </w:t>
      </w:r>
      <w:r>
        <w:t xml:space="preserve">growing appetite for direct stock investments, driven</w:t>
      </w:r>
      <w:r>
        <w:t xml:space="preserve"> </w:t>
      </w:r>
      <w:r>
        <w:t xml:space="preserve">by, among other factors, the popularity of the stock</w:t>
      </w:r>
      <w:r>
        <w:t xml:space="preserve"> </w:t>
      </w:r>
      <w:r>
        <w:t xml:space="preserve">savings accounts. Furthermore, Finnish households</w:t>
      </w:r>
      <w:r>
        <w:t xml:space="preserve"> </w:t>
      </w:r>
      <w:r>
        <w:t xml:space="preserve">have shown considerable interest in foreign investment</w:t>
      </w:r>
      <w:r>
        <w:t xml:space="preserve"> </w:t>
      </w:r>
      <w:r>
        <w:t xml:space="preserve">funds, with holdings exceeding EUR 8 bn in end 2024.</w:t>
      </w:r>
      <w:r>
        <w:t xml:space="preserve"> </w:t>
      </w:r>
      <w:r>
        <w:t xml:space="preserve">The diverse allocation of financial assets across</w:t>
      </w:r>
      <w:r>
        <w:t xml:space="preserve"> </w:t>
      </w:r>
      <w:r>
        <w:t xml:space="preserve">deposits, investment funds and equities highlights the</w:t>
      </w:r>
      <w:r>
        <w:t xml:space="preserve"> </w:t>
      </w:r>
      <w:r>
        <w:t xml:space="preserve">dynamic and engaged nature of retail investors in</w:t>
      </w:r>
      <w:r>
        <w:t xml:space="preserve"> </w:t>
      </w:r>
      <w:r>
        <w:t xml:space="preserve">Finland, and a gradually rising level of financial</w:t>
      </w:r>
      <w:r>
        <w:t xml:space="preserve"> </w:t>
      </w:r>
      <w:r>
        <w:t xml:space="preserve">confidence across the population.</w:t>
      </w:r>
      <w:r>
        <w:t xml:space="preserve"> </w:t>
      </w:r>
      <w:r>
        <w:t xml:space="preserve">1.11.8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Venture capital and private equity have been</w:t>
      </w:r>
      <w:r>
        <w:t xml:space="preserve"> </w:t>
      </w:r>
      <w:r>
        <w:t xml:space="preserve">gaining importance. The country has long been</w:t>
      </w:r>
      <w:r>
        <w:t xml:space="preserve"> </w:t>
      </w:r>
      <w:r>
        <w:t xml:space="preserve">present on the global start-up stage. Finland is one of</w:t>
      </w:r>
      <w:r>
        <w:t xml:space="preserve"> </w:t>
      </w:r>
      <w:r>
        <w:t xml:space="preserve">the EU leaders in terms of investments into venture</w:t>
      </w:r>
      <w:r>
        <w:t xml:space="preserve"> </w:t>
      </w:r>
      <w:r>
        <w:t xml:space="preserve">capital and private equity relative to GDP (0.09% and</w:t>
      </w:r>
      <w:r>
        <w:t xml:space="preserve"> </w:t>
      </w:r>
      <w:r>
        <w:t xml:space="preserve">0.68% of GDP respectively at end-2024) with both</w:t>
      </w:r>
      <w:r>
        <w:t xml:space="preserve"> </w:t>
      </w:r>
      <w:r>
        <w:t xml:space="preserve">domestic and international investors (65% of the</w:t>
      </w:r>
      <w:r>
        <w:t xml:space="preserve"> </w:t>
      </w:r>
      <w:r>
        <w:t xml:space="preserve">invested volume) finding local start-ups worth</w:t>
      </w:r>
      <w:r>
        <w:t xml:space="preserve"> </w:t>
      </w:r>
      <w:r>
        <w:t xml:space="preserve">financing and supporting further. Despite this relative</w:t>
      </w:r>
      <w:r>
        <w:t xml:space="preserve"> </w:t>
      </w:r>
      <w:r>
        <w:t xml:space="preserve">success, the participation of domestic institutional</w:t>
      </w:r>
      <w:r>
        <w:t xml:space="preserve"> </w:t>
      </w:r>
      <w:r>
        <w:t xml:space="preserve">investors, particularly pension funds, remains rather on</w:t>
      </w:r>
      <w:r>
        <w:t xml:space="preserve"> </w:t>
      </w:r>
      <w:r>
        <w:t xml:space="preserve">the conservative side, limiting the availability of local</w:t>
      </w:r>
      <w:r>
        <w:t xml:space="preserve"> </w:t>
      </w:r>
      <w:r>
        <w:t xml:space="preserve">venture and growth capital for start-ups, especially in</w:t>
      </w:r>
      <w:r>
        <w:t xml:space="preserve"> </w:t>
      </w:r>
      <w:r>
        <w:t xml:space="preserve">the later stages of financing.</w:t>
      </w:r>
      <w:r>
        <w:br/>
      </w:r>
      <w:r>
        <w:t xml:space="preserve">The authorities have implemented a series of</w:t>
      </w:r>
      <w:r>
        <w:t xml:space="preserve"> </w:t>
      </w:r>
      <w:r>
        <w:t xml:space="preserve">strategic policy measures to make the domestic</w:t>
      </w:r>
      <w:r>
        <w:t xml:space="preserve"> </w:t>
      </w:r>
      <w:r>
        <w:t xml:space="preserve">start-up scene more dynamic. Finnish innovation</w:t>
      </w:r>
      <w:r>
        <w:t xml:space="preserve"> </w:t>
      </w:r>
      <w:r>
        <w:t xml:space="preserve">strategy is heavily focused on supporting start-ups. The</w:t>
      </w:r>
      <w:r>
        <w:t xml:space="preserve"> </w:t>
      </w:r>
      <w:r>
        <w:t xml:space="preserve">strategy is encapsulated in the innovation and skills in</w:t>
      </w:r>
      <w:r>
        <w:t xml:space="preserve"> </w:t>
      </w:r>
      <w:r>
        <w:t xml:space="preserve">Finland 2021-2027 programme, which aims to boost</w:t>
      </w:r>
      <w:r>
        <w:t xml:space="preserve"> </w:t>
      </w:r>
      <w:r>
        <w:t xml:space="preserve">sustainable growth, regional development and societal</w:t>
      </w:r>
      <w:r>
        <w:t xml:space="preserve"> </w:t>
      </w:r>
      <w:r>
        <w:t xml:space="preserve">well-being. This rather comprehensive programme has</w:t>
      </w:r>
      <w:r>
        <w:t xml:space="preserve"> </w:t>
      </w:r>
      <w:r>
        <w:t xml:space="preserve">a budget of over EUR 3.1 bn (two thirds financed from</w:t>
      </w:r>
      <w:r>
        <w:t xml:space="preserve"> </w:t>
      </w:r>
      <w:r>
        <w:t xml:space="preserve">the EU budget), across seven priority areas, including</w:t>
      </w:r>
      <w:r>
        <w:t xml:space="preserve"> </w:t>
      </w:r>
      <w:r>
        <w:t xml:space="preserve">digitalisation, green transition and health technologies.</w:t>
      </w:r>
      <w:r>
        <w:t xml:space="preserve"> </w:t>
      </w:r>
      <w:r>
        <w:t xml:space="preserve">The programme helps start-ups with funding, enables</w:t>
      </w:r>
      <w:r>
        <w:t xml:space="preserve"> </w:t>
      </w:r>
      <w:r>
        <w:t xml:space="preserve">public-private collaboration and assists start-ups to</w:t>
      </w:r>
      <w:r>
        <w:t xml:space="preserve"> </w:t>
      </w:r>
      <w:r>
        <w:t xml:space="preserve">scale up internationally. Recent legislative measures</w:t>
      </w:r>
      <w:r>
        <w:t xml:space="preserve"> </w:t>
      </w:r>
      <w:r>
        <w:t xml:space="preserve">have mostly focused on creating more flexible</w:t>
      </w:r>
      <w:r>
        <w:t xml:space="preserve"> </w:t>
      </w:r>
      <w:r>
        <w:t xml:space="preserve">investment vehicles and introducing some tax</w:t>
      </w:r>
      <w:r>
        <w:t xml:space="preserve"> </w:t>
      </w:r>
      <w:r>
        <w:t xml:space="preserve">incentives to encourage equity investments by</w:t>
      </w:r>
      <w:r>
        <w:t xml:space="preserve"> </w:t>
      </w:r>
      <w:r>
        <w:t xml:space="preserve">institutional investors.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FI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FI</w:t>
      </w:r>
      <w:r>
        <w:t xml:space="preserve"> </w:t>
      </w:r>
      <w:r>
        <w:t xml:space="preserve">EU</w:t>
      </w:r>
      <w:r>
        <w:t xml:space="preserve"> </w:t>
      </w:r>
      <w:r>
        <w:t xml:space="preserve">FI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Other equity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Bonds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443</w:t>
      </w:r>
      <w:r>
        <w:t xml:space="preserve"> </w:t>
      </w:r>
      <w:r>
        <w:t xml:space="preserve">1.12 France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Private savings and investment dropped sharply in</w:t>
      </w:r>
      <w:r>
        <w:t xml:space="preserve"> </w:t>
      </w:r>
      <w:r>
        <w:t xml:space="preserve">2024. In the last decade, the private savings ratio, net</w:t>
      </w:r>
      <w:r>
        <w:t xml:space="preserve"> </w:t>
      </w:r>
      <w:r>
        <w:t xml:space="preserve">of fixed capital consumption, exhibited some volatility</w:t>
      </w:r>
      <w:r>
        <w:t xml:space="preserve"> </w:t>
      </w:r>
      <w:r>
        <w:t xml:space="preserve">around its ten-year average of 6.9% of GDP. It steeply</w:t>
      </w:r>
      <w:r>
        <w:t xml:space="preserve"> </w:t>
      </w:r>
      <w:r>
        <w:t xml:space="preserve">increased to 10.7% of GDP in 2021 before dropping to</w:t>
      </w:r>
      <w:r>
        <w:t xml:space="preserve"> </w:t>
      </w:r>
      <w:r>
        <w:t xml:space="preserve">0% in 2024 (see Graph 2.10.1). The net private</w:t>
      </w:r>
      <w:r>
        <w:t xml:space="preserve"> </w:t>
      </w:r>
      <w:r>
        <w:t xml:space="preserve">investment ratio, which measures the net contribution</w:t>
      </w:r>
      <w:r>
        <w:t xml:space="preserve"> </w:t>
      </w:r>
      <w:r>
        <w:t xml:space="preserve">of the private sector to capital accumulation in the</w:t>
      </w:r>
      <w:r>
        <w:t xml:space="preserve"> </w:t>
      </w:r>
      <w:r>
        <w:t xml:space="preserve">country, evolved quite differently. It fluctuated around</w:t>
      </w:r>
      <w:r>
        <w:t xml:space="preserve"> </w:t>
      </w:r>
      <w:r>
        <w:t xml:space="preserve">its ten-year average of 2.9% of GDP, before dropping</w:t>
      </w:r>
      <w:r>
        <w:t xml:space="preserve"> </w:t>
      </w:r>
      <w:r>
        <w:t xml:space="preserve">to -5.2% in 2024. At the same time, during the same</w:t>
      </w:r>
      <w:r>
        <w:t xml:space="preserve"> </w:t>
      </w:r>
      <w:r>
        <w:t xml:space="preserve">period the government budget was in regular deficit</w:t>
      </w:r>
      <w:r>
        <w:t xml:space="preserve"> </w:t>
      </w:r>
      <w:r>
        <w:t xml:space="preserve">that averaged 4.7% of GDP with a peak at 8.9% of GDP</w:t>
      </w:r>
      <w:r>
        <w:t xml:space="preserve"> </w:t>
      </w:r>
      <w:r>
        <w:t xml:space="preserve">in 2020. Thus, the high positive balance between net</w:t>
      </w:r>
      <w:r>
        <w:t xml:space="preserve"> </w:t>
      </w:r>
      <w:r>
        <w:t xml:space="preserve">domestic savings and net investment did not fully</w:t>
      </w:r>
      <w:r>
        <w:t xml:space="preserve"> </w:t>
      </w:r>
      <w:r>
        <w:t xml:space="preserve">offset government deficits, which resulted in structural</w:t>
      </w:r>
      <w:r>
        <w:t xml:space="preserve"> </w:t>
      </w:r>
      <w:r>
        <w:t xml:space="preserve">net borrowing by France from foreigners that averaged</w:t>
      </w:r>
      <w:r>
        <w:t xml:space="preserve"> </w:t>
      </w:r>
      <w:r>
        <w:t xml:space="preserve">0.7% of GDP, with a peak of 1.9% in 2020.</w:t>
      </w:r>
      <w:r>
        <w:br/>
      </w:r>
      <w:r>
        <w:t xml:space="preserve">1.12.1</w:t>
      </w:r>
      <w:r>
        <w:t xml:space="preserve"> </w:t>
      </w:r>
      <w:r>
        <w:t xml:space="preserve">Net savings-investment balance</w:t>
      </w:r>
    </w:p>
    <w:p>
      <w:pPr>
        <w:pStyle w:val="BodyText"/>
      </w:pPr>
      <w:r>
        <w:t xml:space="preserve">Source: AMECO.</w:t>
      </w:r>
    </w:p>
    <w:p>
      <w:pPr>
        <w:pStyle w:val="BodyText"/>
      </w:pPr>
      <w:r>
        <w:t xml:space="preserve">1.12.2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Consistent with its regular position of a net</w:t>
      </w:r>
      <w:r>
        <w:t xml:space="preserve"> </w:t>
      </w:r>
      <w:r>
        <w:t xml:space="preserve">borrower from the rest of the world, the French</w:t>
      </w:r>
      <w:r>
        <w:t xml:space="preserve"> </w:t>
      </w:r>
      <w:r>
        <w:t xml:space="preserve">economy exhibits a negative net international</w:t>
      </w:r>
      <w:r>
        <w:t xml:space="preserve"> </w:t>
      </w:r>
      <w:r>
        <w:t xml:space="preserve">investment position. As of Q4 2024, total assets on</w:t>
      </w:r>
      <w:r>
        <w:t xml:space="preserve"> </w:t>
      </w:r>
      <w:r>
        <w:t xml:space="preserve">foreigners reached 313% of GDP, while liabilities to</w:t>
      </w:r>
      <w:r>
        <w:t xml:space="preserve"> </w:t>
      </w:r>
      <w:r>
        <w:t xml:space="preserve">foreigners stood at 329% of GDP, resulting in a net</w:t>
      </w:r>
      <w:r>
        <w:t xml:space="preserve"> </w:t>
      </w:r>
      <w:r>
        <w:t xml:space="preserve">international investment position (NIIP) equivalent to -</w:t>
      </w:r>
      <w:r>
        <w:t xml:space="preserve"> </w:t>
      </w:r>
      <w:r>
        <w:t xml:space="preserve">16% of GDP (see Graph 2.10.2). The net accumulated</w:t>
      </w:r>
      <w:r>
        <w:t xml:space="preserve"> </w:t>
      </w:r>
      <w:r>
        <w:t xml:space="preserve">portfolio investments, which reached -38% of GDP as</w:t>
      </w:r>
      <w:r>
        <w:t xml:space="preserve"> </w:t>
      </w:r>
      <w:r>
        <w:t xml:space="preserve">of Q4 2024, accounted for most of the (negative) NIIP,</w:t>
      </w:r>
      <w:r>
        <w:t xml:space="preserve"> </w:t>
      </w:r>
      <w:r>
        <w:t xml:space="preserve">while net foreign direct investments, which represented</w:t>
      </w:r>
      <w:r>
        <w:t xml:space="preserve"> </w:t>
      </w:r>
      <w:r>
        <w:t xml:space="preserve">20% of GDP, helped reduce the NIIP deficit. Thus,</w:t>
      </w:r>
      <w:r>
        <w:t xml:space="preserve"> </w:t>
      </w:r>
      <w:r>
        <w:t xml:space="preserve">while the French economy appears to be deeply</w:t>
      </w:r>
      <w:r>
        <w:t xml:space="preserve"> </w:t>
      </w:r>
      <w:r>
        <w:t xml:space="preserve">integrated in international capital flows, including as a</w:t>
      </w:r>
      <w:r>
        <w:t xml:space="preserve"> </w:t>
      </w:r>
      <w:r>
        <w:t xml:space="preserve">major provider of foreign direct investment, it remains</w:t>
      </w:r>
      <w:r>
        <w:t xml:space="preserve"> </w:t>
      </w:r>
      <w:r>
        <w:t xml:space="preserve">nevertheless a net capital importer, notably by means</w:t>
      </w:r>
      <w:r>
        <w:t xml:space="preserve"> </w:t>
      </w:r>
      <w:r>
        <w:t xml:space="preserve">of portfolio investments at home.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-35</w:t>
      </w:r>
      <w:r>
        <w:t xml:space="preserve"> </w:t>
      </w:r>
      <w:r>
        <w:t xml:space="preserve">-30</w:t>
      </w:r>
      <w:r>
        <w:t xml:space="preserve"> </w:t>
      </w:r>
      <w:r>
        <w:t xml:space="preserve">-25</w:t>
      </w:r>
      <w:r>
        <w:t xml:space="preserve"> </w:t>
      </w:r>
      <w:r>
        <w:t xml:space="preserve">-20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-400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444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1.12.3</w:t>
      </w:r>
      <w:r>
        <w:t xml:space="preserve"> </w:t>
      </w:r>
      <w:r>
        <w:t xml:space="preserve">Stock market performance</w:t>
      </w:r>
    </w:p>
    <w:p>
      <w:pPr>
        <w:pStyle w:val="BodyText"/>
      </w:pPr>
      <w:r>
        <w:t xml:space="preserve">Source: London Stock Exchange Group704.</w:t>
      </w:r>
    </w:p>
    <w:p>
      <w:pPr>
        <w:pStyle w:val="BodyText"/>
      </w:pPr>
      <w:r>
        <w:t xml:space="preserve">1.12.4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The French financial sector is well developed. The</w:t>
      </w:r>
      <w:r>
        <w:t xml:space="preserve"> </w:t>
      </w:r>
      <w:r>
        <w:t xml:space="preserve">market capitalisation of listed equity reached 92% of</w:t>
      </w:r>
      <w:r>
        <w:t xml:space="preserve"> </w:t>
      </w:r>
      <w:r>
        <w:t xml:space="preserve">GDP at end-2024 (vs 67% in the EU) (see Graph</w:t>
      </w:r>
      <w:r>
        <w:t xml:space="preserve"> </w:t>
      </w:r>
      <w:r>
        <w:t xml:space="preserve">2.10.3). Characteristically, non-financial corporations</w:t>
      </w:r>
      <w:r>
        <w:t xml:space="preserve"> </w:t>
      </w:r>
      <w:r>
        <w:t xml:space="preserve">accounted for more than 90% of that capitalisation,</w:t>
      </w:r>
      <w:r>
        <w:t xml:space="preserve"> </w:t>
      </w:r>
      <w:r>
        <w:t xml:space="preserve">which reflects the extent to which the stock market in</w:t>
      </w:r>
      <w:r>
        <w:t xml:space="preserve"> </w:t>
      </w:r>
      <w:r>
        <w:t xml:space="preserve">France is geared towards funding the non-financial</w:t>
      </w:r>
      <w:r>
        <w:t xml:space="preserve"> </w:t>
      </w:r>
      <w:r>
        <w:t xml:space="preserve">segment of the real economy. Like elsewhere in the</w:t>
      </w:r>
      <w:r>
        <w:t xml:space="preserve"> </w:t>
      </w:r>
      <w:r>
        <w:t xml:space="preserve">EU, the index of French banks has significantly</w:t>
      </w:r>
      <w:r>
        <w:t xml:space="preserve"> </w:t>
      </w:r>
      <w:r>
        <w:t xml:space="preserve">underperformed the general stock market index since</w:t>
      </w:r>
      <w:r>
        <w:t xml:space="preserve"> </w:t>
      </w:r>
      <w:r>
        <w:t xml:space="preserve">the</w:t>
      </w:r>
      <w:r>
        <w:t xml:space="preserve"> </w:t>
      </w:r>
      <w:r>
        <w:t xml:space="preserve">Great</w:t>
      </w:r>
      <w:r>
        <w:t xml:space="preserve"> </w:t>
      </w:r>
      <w:r>
        <w:t xml:space="preserve">Financial</w:t>
      </w:r>
      <w:r>
        <w:t xml:space="preserve"> </w:t>
      </w:r>
      <w:r>
        <w:t xml:space="preserve">Crisis.</w:t>
      </w:r>
      <w:r>
        <w:t xml:space="preserve"> </w:t>
      </w:r>
      <w:r>
        <w:t xml:space="preserve">However,</w:t>
      </w:r>
      <w:r>
        <w:t xml:space="preserve"> </w:t>
      </w:r>
      <w:r>
        <w:t xml:space="preserve">it has</w:t>
      </w:r>
      <w:r>
        <w:t xml:space="preserve"> </w:t>
      </w:r>
      <w:r>
        <w:t xml:space="preserve">outperformed vis-à-vis the EU average (see Graph</w:t>
      </w:r>
      <w:r>
        <w:t xml:space="preserve"> </w:t>
      </w:r>
      <w:r>
        <w:t xml:space="preserve">2.10.5). The outstanding volume of debt securities</w:t>
      </w:r>
      <w:r>
        <w:t xml:space="preserve"> </w:t>
      </w:r>
      <w:r>
        <w:t xml:space="preserve">reached 190% of GDP at end-2023, one of the highest</w:t>
      </w:r>
      <w:r>
        <w:t xml:space="preserve"> </w:t>
      </w:r>
      <w:r>
        <w:t xml:space="preserve">in the EU. Bonds issued by the government accounted</w:t>
      </w:r>
    </w:p>
    <w:p>
      <w:pPr>
        <w:pStyle w:val="BodyText"/>
      </w:pPr>
      <w:r>
        <w:t xml:space="preserve">704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for half of the total. This reflects the significant weight</w:t>
      </w:r>
      <w:r>
        <w:t xml:space="preserve"> </w:t>
      </w:r>
      <w:r>
        <w:t xml:space="preserve">of the gross public debt in the bond market.</w:t>
      </w:r>
      <w:r>
        <w:t xml:space="preserve"> </w:t>
      </w:r>
      <w:r>
        <w:t xml:space="preserve">Even though the financial sector in France remains</w:t>
      </w:r>
      <w:r>
        <w:t xml:space="preserve"> </w:t>
      </w:r>
      <w:r>
        <w:t xml:space="preserve">dominated</w:t>
      </w:r>
      <w:r>
        <w:t xml:space="preserve"> </w:t>
      </w:r>
      <w:r>
        <w:t xml:space="preserve">by</w:t>
      </w:r>
      <w:r>
        <w:t xml:space="preserve"> </w:t>
      </w:r>
      <w:r>
        <w:t xml:space="preserve">banks,</w:t>
      </w:r>
      <w:r>
        <w:t xml:space="preserve"> </w:t>
      </w:r>
      <w:r>
        <w:t xml:space="preserve">non-bank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 are very much developed as well.</w:t>
      </w:r>
      <w:r>
        <w:t xml:space="preserve"> </w:t>
      </w:r>
      <w:r>
        <w:t xml:space="preserve">Banks’ assets represented 416% of GDP in December</w:t>
      </w:r>
      <w:r>
        <w:t xml:space="preserve"> </w:t>
      </w:r>
      <w:r>
        <w:t xml:space="preserve">2024 (vs 251% in the EU) (see Graph 2.10.4). The</w:t>
      </w:r>
      <w:r>
        <w:t xml:space="preserve"> </w:t>
      </w:r>
      <w:r>
        <w:t xml:space="preserve">insurance sector, with total assets of almost 99% of</w:t>
      </w:r>
      <w:r>
        <w:t xml:space="preserve"> </w:t>
      </w:r>
      <w:r>
        <w:t xml:space="preserve">GDP at end-2024 (vs 55% of GDP in the EU),</w:t>
      </w:r>
      <w:r>
        <w:t xml:space="preserve"> </w:t>
      </w:r>
      <w:r>
        <w:t xml:space="preserve">dominates non-bank intermediation. Its relatively large</w:t>
      </w:r>
      <w:r>
        <w:t xml:space="preserve"> </w:t>
      </w:r>
      <w:r>
        <w:t xml:space="preserve">size is due to the popularity of life insurance in France.</w:t>
      </w:r>
      <w:r>
        <w:t xml:space="preserve"> </w:t>
      </w:r>
      <w:r>
        <w:t xml:space="preserve">The pension funds’ assets are much smaller: they only</w:t>
      </w:r>
      <w:r>
        <w:t xml:space="preserve"> </w:t>
      </w:r>
      <w:r>
        <w:t xml:space="preserve">represent 8% of GDP (vs 23% in the EU). Investment</w:t>
      </w:r>
      <w:r>
        <w:t xml:space="preserve"> </w:t>
      </w:r>
      <w:r>
        <w:t xml:space="preserve">funds represent a significant share of 65% of GDP,</w:t>
      </w:r>
      <w:r>
        <w:t xml:space="preserve"> </w:t>
      </w:r>
      <w:r>
        <w:t xml:space="preserve">above the EU median.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Firms in France rely less than the EU average on</w:t>
      </w:r>
      <w:r>
        <w:t xml:space="preserve"> </w:t>
      </w:r>
      <w:r>
        <w:t xml:space="preserve">funding from banks and more than the EU average</w:t>
      </w:r>
      <w:r>
        <w:t xml:space="preserve"> </w:t>
      </w:r>
      <w:r>
        <w:t xml:space="preserve">on funding from capital markets. More specifically,</w:t>
      </w:r>
      <w:r>
        <w:t xml:space="preserve"> </w:t>
      </w:r>
      <w:r>
        <w:t xml:space="preserve">at the end of 2024 bank finance through loans</w:t>
      </w:r>
      <w:r>
        <w:t xml:space="preserve"> </w:t>
      </w:r>
      <w:r>
        <w:t xml:space="preserve">constituted 25% (vs 27% in the EU) of all funding</w:t>
      </w:r>
      <w:r>
        <w:t xml:space="preserve"> </w:t>
      </w:r>
      <w:r>
        <w:t xml:space="preserve">sources for French non-financial corporations (NFCs),</w:t>
      </w:r>
      <w:r>
        <w:t xml:space="preserve"> </w:t>
      </w:r>
      <w:r>
        <w:t xml:space="preserve">while listed shares and bonds represented 30% (vs 24%</w:t>
      </w:r>
      <w:r>
        <w:t xml:space="preserve"> </w:t>
      </w:r>
      <w:r>
        <w:t xml:space="preserve">in the EU) of all funding sources. When expressed in</w:t>
      </w:r>
      <w:r>
        <w:t xml:space="preserve"> </w:t>
      </w:r>
      <w:r>
        <w:t xml:space="preserve">terms of GDP, the overall level of NFC funding was</w:t>
      </w:r>
      <w:r>
        <w:t xml:space="preserve"> </w:t>
      </w:r>
      <w:r>
        <w:t xml:space="preserve">higher in France (270% of GDP) than in the EU</w:t>
      </w:r>
      <w:r>
        <w:t xml:space="preserve"> </w:t>
      </w:r>
      <w:r>
        <w:t xml:space="preserve">(226%), see Graph 2.10.5.</w:t>
      </w:r>
      <w:r>
        <w:t xml:space="preserve"> </w:t>
      </w:r>
      <w:r>
        <w:t xml:space="preserve">1.12.5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FR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FRANCE CAC 40 -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FR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445</w:t>
      </w:r>
      <w:r>
        <w:t xml:space="preserve"> </w:t>
      </w:r>
      <w:r>
        <w:t xml:space="preserve">French businesses depend less on internal financing</w:t>
      </w:r>
      <w:r>
        <w:t xml:space="preserve"> </w:t>
      </w:r>
      <w:r>
        <w:t xml:space="preserve">than their European peers, but also more on</w:t>
      </w:r>
      <w:r>
        <w:t xml:space="preserve"> </w:t>
      </w:r>
      <w:r>
        <w:t xml:space="preserve">intragroup financing. According to the 2024 EIB</w:t>
      </w:r>
      <w:r>
        <w:t xml:space="preserve"> </w:t>
      </w:r>
      <w:r>
        <w:t xml:space="preserve">Investment Survey, 58% of investment needs of French</w:t>
      </w:r>
      <w:r>
        <w:t xml:space="preserve"> </w:t>
      </w:r>
      <w:r>
        <w:t xml:space="preserve">firms are covered by internal funding, compared to an</w:t>
      </w:r>
      <w:r>
        <w:t xml:space="preserve"> </w:t>
      </w:r>
      <w:r>
        <w:t xml:space="preserve">EU average of 66%. At the same time, 79% of French</w:t>
      </w:r>
      <w:r>
        <w:t xml:space="preserve"> </w:t>
      </w:r>
      <w:r>
        <w:t xml:space="preserve">firms believe that their investment activities over the</w:t>
      </w:r>
      <w:r>
        <w:t xml:space="preserve"> </w:t>
      </w:r>
      <w:r>
        <w:t xml:space="preserve">last three years were about the right amount, in line</w:t>
      </w:r>
      <w:r>
        <w:t xml:space="preserve"> </w:t>
      </w:r>
      <w:r>
        <w:t xml:space="preserve">with the EU average (80%). This suggests that there is</w:t>
      </w:r>
      <w:r>
        <w:t xml:space="preserve"> </w:t>
      </w:r>
      <w:r>
        <w:t xml:space="preserve">no material financing gap relative to investment</w:t>
      </w:r>
      <w:r>
        <w:t xml:space="preserve"> </w:t>
      </w:r>
      <w:r>
        <w:t xml:space="preserve">demand. However, this may not be the case for firms</w:t>
      </w:r>
      <w:r>
        <w:t xml:space="preserve"> </w:t>
      </w:r>
      <w:r>
        <w:t xml:space="preserve">with no or limited capacity for internal funding, such</w:t>
      </w:r>
      <w:r>
        <w:t xml:space="preserve"> </w:t>
      </w:r>
      <w:r>
        <w:t xml:space="preserve">as innovative start-up firms (see further below).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French capital markets are well developed. The</w:t>
      </w:r>
      <w:r>
        <w:t xml:space="preserve"> </w:t>
      </w:r>
      <w:r>
        <w:t xml:space="preserve">main stock exchange in France is Euronext Paris. The</w:t>
      </w:r>
      <w:r>
        <w:t xml:space="preserve"> </w:t>
      </w:r>
      <w:r>
        <w:t xml:space="preserve">equity market is relatively large in terms of</w:t>
      </w:r>
      <w:r>
        <w:t xml:space="preserve"> </w:t>
      </w:r>
      <w:r>
        <w:t xml:space="preserve">capitalisation (92% of GDP in 2024) when compared</w:t>
      </w:r>
      <w:r>
        <w:t xml:space="preserve"> </w:t>
      </w:r>
      <w:r>
        <w:t xml:space="preserve">with the EU average (67% of GDP), but much lower</w:t>
      </w:r>
      <w:r>
        <w:t xml:space="preserve"> </w:t>
      </w:r>
      <w:r>
        <w:t xml:space="preserve">than the US (213% of GDP). The market breadth705 of</w:t>
      </w:r>
      <w:r>
        <w:t xml:space="preserve"> </w:t>
      </w:r>
      <w:r>
        <w:t xml:space="preserve">French bond markets exceeds the EU average (2.1 vs</w:t>
      </w:r>
      <w:r>
        <w:t xml:space="preserve"> </w:t>
      </w:r>
      <w:r>
        <w:t xml:space="preserve">1.5) and the bid-ask spread706 on equity markets is</w:t>
      </w:r>
      <w:r>
        <w:t xml:space="preserve"> </w:t>
      </w:r>
      <w:r>
        <w:t xml:space="preserve">lower than the EU average (1.3 vs 1.6). The use of</w:t>
      </w:r>
      <w:r>
        <w:t xml:space="preserve"> </w:t>
      </w:r>
      <w:r>
        <w:t xml:space="preserve">equity by SMEs is relatively high, as 19% of SMEs</w:t>
      </w:r>
      <w:r>
        <w:t xml:space="preserve"> </w:t>
      </w:r>
      <w:r>
        <w:t xml:space="preserve">indicated in the 2024 SAFE survey that equity was</w:t>
      </w:r>
      <w:r>
        <w:t xml:space="preserve"> </w:t>
      </w:r>
      <w:r>
        <w:t xml:space="preserve">relevant for them, compared to an EU average of</w:t>
      </w:r>
      <w:r>
        <w:t xml:space="preserve"> </w:t>
      </w:r>
      <w:r>
        <w:t xml:space="preserve">12%.707 Initial public offerings (IPOs) were equivalent</w:t>
      </w:r>
      <w:r>
        <w:t xml:space="preserve"> </w:t>
      </w:r>
      <w:r>
        <w:t xml:space="preserve">to 0.07% of GDP in 2024, broadly in line with the EU</w:t>
      </w:r>
      <w:r>
        <w:t xml:space="preserve"> </w:t>
      </w:r>
      <w:r>
        <w:t xml:space="preserve">average (0.08% of GDP).</w:t>
      </w:r>
      <w:r>
        <w:t xml:space="preserve"> </w:t>
      </w:r>
      <w:r>
        <w:t xml:space="preserve">France has adopted or plans to adopt several</w:t>
      </w:r>
      <w:r>
        <w:t xml:space="preserve"> </w:t>
      </w:r>
      <w:r>
        <w:t xml:space="preserve">measures to strengthen the attractiveness of its</w:t>
      </w:r>
      <w:r>
        <w:t xml:space="preserve"> </w:t>
      </w:r>
      <w:r>
        <w:t xml:space="preserve">capital markets. These measures should improve</w:t>
      </w:r>
      <w:r>
        <w:t xml:space="preserve"> </w:t>
      </w:r>
      <w:r>
        <w:t xml:space="preserve">innovative firms’ access to listing, by introducing</w:t>
      </w:r>
      <w:r>
        <w:t xml:space="preserve"> </w:t>
      </w:r>
      <w:r>
        <w:t xml:space="preserve">multiple-vote share structures, and facilitate the use of</w:t>
      </w:r>
      <w:r>
        <w:t xml:space="preserve"> </w:t>
      </w:r>
      <w:r>
        <w:t xml:space="preserve">capital increase operations. Other measures will</w:t>
      </w:r>
      <w:r>
        <w:t xml:space="preserve"> </w:t>
      </w:r>
      <w:r>
        <w:t xml:space="preserve">digitalise trade finance operations and shareholder</w:t>
      </w:r>
      <w:r>
        <w:t xml:space="preserve"> </w:t>
      </w:r>
      <w:r>
        <w:t xml:space="preserve">meetings.</w:t>
      </w:r>
      <w:r>
        <w:br/>
      </w:r>
      <w:r>
        <w:t xml:space="preserve">After a peak in 2023, debt net issuance has receded</w:t>
      </w:r>
      <w:r>
        <w:t xml:space="preserve"> </w:t>
      </w:r>
      <w:r>
        <w:t xml:space="preserve">in 2024. In 2024, banks issued EUR 141 bn of debt</w:t>
      </w:r>
      <w:r>
        <w:t xml:space="preserve"> </w:t>
      </w:r>
      <w:r>
        <w:t xml:space="preserve">securities, down from EUR 274 bn in 2023 (see Graph</w:t>
      </w:r>
      <w:r>
        <w:t xml:space="preserve"> </w:t>
      </w:r>
      <w:r>
        <w:t xml:space="preserve">2.10.6), and the issuance observed in Q1-2025</w:t>
      </w:r>
      <w:r>
        <w:t xml:space="preserve"> </w:t>
      </w:r>
      <w:r>
        <w:t xml:space="preserve">(EUR 33 bn) seems to confirm this declining trend.</w:t>
      </w:r>
      <w:r>
        <w:t xml:space="preserve"> </w:t>
      </w:r>
      <w:r>
        <w:t xml:space="preserve">The other financial companies issued EUR 56 bn in</w:t>
      </w:r>
      <w:r>
        <w:t xml:space="preserve"> </w:t>
      </w:r>
      <w:r>
        <w:t xml:space="preserve">2024, down from EU 65 bn in 2023, and the slightly</w:t>
      </w:r>
      <w:r>
        <w:t xml:space="preserve"> </w:t>
      </w:r>
      <w:r>
        <w:t xml:space="preserve">negative issuance (EUR -0.6 bn) in Q1-2025 seems to</w:t>
      </w:r>
      <w:r>
        <w:t xml:space="preserve"> </w:t>
      </w:r>
      <w:r>
        <w:t xml:space="preserve">confirm this declining trend. The net issuance by non-</w:t>
      </w:r>
      <w:r>
        <w:t xml:space="preserve"> </w:t>
      </w:r>
      <w:r>
        <w:t xml:space="preserve">financial</w:t>
      </w:r>
      <w:r>
        <w:t xml:space="preserve"> </w:t>
      </w:r>
      <w:r>
        <w:t xml:space="preserve">corporations</w:t>
      </w:r>
      <w:r>
        <w:t xml:space="preserve"> </w:t>
      </w:r>
      <w:r>
        <w:t xml:space="preserve">steeply</w:t>
      </w:r>
      <w:r>
        <w:t xml:space="preserve"> </w:t>
      </w:r>
      <w:r>
        <w:t xml:space="preserve">decreased</w:t>
      </w:r>
      <w:r>
        <w:t xml:space="preserve"> </w:t>
      </w:r>
      <w:r>
        <w:t xml:space="preserve">from</w:t>
      </w:r>
      <w:r>
        <w:t xml:space="preserve"> </w:t>
      </w:r>
      <w:r>
        <w:t xml:space="preserve">EUR 19 bn in 2023 to EUR -1 bn in 2024, with a slight</w:t>
      </w:r>
      <w:r>
        <w:t xml:space="preserve"> </w:t>
      </w:r>
      <w:r>
        <w:t xml:space="preserve">better issuance of EUR 2 bn in Q1-2025. Hence, debt</w:t>
      </w:r>
    </w:p>
    <w:p>
      <w:pPr>
        <w:pStyle w:val="BodyText"/>
      </w:pPr>
      <w:r>
        <w:t xml:space="preserve">705 The ratio of bonds outstanding to GDP.</w:t>
      </w:r>
      <w:r>
        <w:t xml:space="preserve"> </w:t>
      </w:r>
      <w:r>
        <w:t xml:space="preserve">706 Median of bid-ask spread as a % of the mid-price.</w:t>
      </w:r>
      <w:r>
        <w:t xml:space="preserve"> </w:t>
      </w:r>
      <w:r>
        <w:t xml:space="preserve">market finance appears as a minor, declining source of</w:t>
      </w:r>
      <w:r>
        <w:t xml:space="preserve"> </w:t>
      </w:r>
      <w:r>
        <w:t xml:space="preserve">funding for French non-financial corporations.</w:t>
      </w:r>
      <w:r>
        <w:t xml:space="preserve"> </w:t>
      </w:r>
      <w:r>
        <w:t xml:space="preserve">1.12.6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Like in most Member States, French households do</w:t>
      </w:r>
      <w:r>
        <w:t xml:space="preserve"> </w:t>
      </w:r>
      <w:r>
        <w:t xml:space="preserve">not invest enough in financial assets and, more</w:t>
      </w:r>
      <w:r>
        <w:t xml:space="preserve"> </w:t>
      </w:r>
      <w:r>
        <w:t xml:space="preserve">importantly, equity. French households’ financial</w:t>
      </w:r>
      <w:r>
        <w:t xml:space="preserve"> </w:t>
      </w:r>
      <w:r>
        <w:t xml:space="preserve">assets were equivalent to 221% of GDP in 2024,</w:t>
      </w:r>
      <w:r>
        <w:t xml:space="preserve"> </w:t>
      </w:r>
      <w:r>
        <w:t xml:space="preserve">slightly more than the EU average (212%), but much</w:t>
      </w:r>
      <w:r>
        <w:t xml:space="preserve"> </w:t>
      </w:r>
      <w:r>
        <w:t xml:space="preserve">less than the US (446%). Moreover, assets invested in</w:t>
      </w:r>
      <w:r>
        <w:t xml:space="preserve"> </w:t>
      </w:r>
      <w:r>
        <w:t xml:space="preserve">equity were estimated to be equivalent to only 108% of</w:t>
      </w:r>
      <w:r>
        <w:t xml:space="preserve"> </w:t>
      </w:r>
      <w:r>
        <w:t xml:space="preserve">GDP, above the EU average (91%) but almost three</w:t>
      </w:r>
      <w:r>
        <w:t xml:space="preserve"> </w:t>
      </w:r>
      <w:r>
        <w:t xml:space="preserve">times lower than the US (291%). Compared to the</w:t>
      </w:r>
      <w:r>
        <w:t xml:space="preserve"> </w:t>
      </w:r>
      <w:r>
        <w:t xml:space="preserve">average EU household, French households invest</w:t>
      </w:r>
      <w:r>
        <w:t xml:space="preserve"> </w:t>
      </w:r>
      <w:r>
        <w:t xml:space="preserve">relatively little in investment funds, while allocating a</w:t>
      </w:r>
      <w:r>
        <w:t xml:space="preserve"> </w:t>
      </w:r>
      <w:r>
        <w:t xml:space="preserve">significant portion to life insurance. However, the</w:t>
      </w:r>
      <w:r>
        <w:t xml:space="preserve"> </w:t>
      </w:r>
      <w:r>
        <w:t xml:space="preserve">assets in traditional life insurance are mostly bonds,</w:t>
      </w:r>
      <w:r>
        <w:t xml:space="preserve"> </w:t>
      </w:r>
      <w:r>
        <w:t xml:space="preserve">which generate lower returns compared to equity</w:t>
      </w:r>
      <w:r>
        <w:t xml:space="preserve"> </w:t>
      </w:r>
      <w:r>
        <w:t xml:space="preserve">investments.</w:t>
      </w:r>
      <w:r>
        <w:t xml:space="preserve"> </w:t>
      </w:r>
      <w:r>
        <w:t xml:space="preserve">1.12.7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707 Data and surveys - SAFE - European Commission, 2023,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-100.0</w:t>
      </w:r>
      <w:r>
        <w:t xml:space="preserve"> </w:t>
      </w:r>
      <w:r>
        <w:t xml:space="preserve">0.0</w:t>
      </w:r>
      <w:r>
        <w:t xml:space="preserve"> </w:t>
      </w:r>
      <w:r>
        <w:t xml:space="preserve">100.0</w:t>
      </w:r>
      <w:r>
        <w:t xml:space="preserve"> </w:t>
      </w:r>
      <w:r>
        <w:t xml:space="preserve">200.0</w:t>
      </w:r>
      <w:r>
        <w:t xml:space="preserve"> </w:t>
      </w:r>
      <w:r>
        <w:t xml:space="preserve">300.0</w:t>
      </w:r>
      <w:r>
        <w:t xml:space="preserve"> </w:t>
      </w:r>
      <w:r>
        <w:t xml:space="preserve">400.0</w:t>
      </w:r>
      <w:r>
        <w:t xml:space="preserve"> </w:t>
      </w:r>
      <w:r>
        <w:t xml:space="preserve">500.0</w:t>
      </w:r>
      <w:r>
        <w:t xml:space="preserve"> </w:t>
      </w:r>
      <w:r>
        <w:t xml:space="preserve">600.0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FR</w:t>
      </w:r>
      <w:r>
        <w:t xml:space="preserve"> </w:t>
      </w:r>
      <w:r>
        <w:t xml:space="preserve">EU</w:t>
      </w:r>
      <w:r>
        <w:t xml:space="preserve"> </w:t>
      </w:r>
      <w:r>
        <w:t xml:space="preserve">FR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446</w:t>
      </w:r>
      <w:r>
        <w:t xml:space="preserve"> </w:t>
      </w:r>
      <w:r>
        <w:t xml:space="preserve">Fostering investment in equity could be attained</w:t>
      </w:r>
      <w:r>
        <w:t xml:space="preserve"> </w:t>
      </w:r>
      <w:r>
        <w:t xml:space="preserve">through</w:t>
      </w:r>
      <w:r>
        <w:t xml:space="preserve"> </w:t>
      </w:r>
      <w:r>
        <w:t xml:space="preserve">supplementary</w:t>
      </w:r>
      <w:r>
        <w:t xml:space="preserve"> </w:t>
      </w:r>
      <w:r>
        <w:t xml:space="preserve">fully-funded</w:t>
      </w:r>
      <w:r>
        <w:t xml:space="preserve"> </w:t>
      </w:r>
      <w:r>
        <w:t xml:space="preserve">pension</w:t>
      </w:r>
      <w:r>
        <w:t xml:space="preserve"> </w:t>
      </w:r>
      <w:r>
        <w:t xml:space="preserve">schemes. The pay-as-you-go nature of the public</w:t>
      </w:r>
      <w:r>
        <w:t xml:space="preserve"> </w:t>
      </w:r>
      <w:r>
        <w:t xml:space="preserve">pension system means that only the supplementary</w:t>
      </w:r>
      <w:r>
        <w:t xml:space="preserve"> </w:t>
      </w:r>
      <w:r>
        <w:t xml:space="preserve">private schemes invest, among others, in high-return</w:t>
      </w:r>
      <w:r>
        <w:t xml:space="preserve"> </w:t>
      </w:r>
      <w:r>
        <w:t xml:space="preserve">assets like equity. However, the supplementary private</w:t>
      </w:r>
      <w:r>
        <w:t xml:space="preserve"> </w:t>
      </w:r>
      <w:r>
        <w:t xml:space="preserve">schemes are not universal and accumulated rights often</w:t>
      </w:r>
      <w:r>
        <w:t xml:space="preserve"> </w:t>
      </w:r>
      <w:r>
        <w:t xml:space="preserve">remain limited for those covered. As a result, they only</w:t>
      </w:r>
      <w:r>
        <w:t xml:space="preserve"> </w:t>
      </w:r>
      <w:r>
        <w:t xml:space="preserve">contribute to a moderate extent to the total pension</w:t>
      </w:r>
      <w:r>
        <w:t xml:space="preserve"> </w:t>
      </w:r>
      <w:r>
        <w:t xml:space="preserve">income and do not fully foster the development of</w:t>
      </w:r>
      <w:r>
        <w:t xml:space="preserve"> </w:t>
      </w:r>
      <w:r>
        <w:t xml:space="preserve">capital markets. Encouraging the build-up of universal</w:t>
      </w:r>
      <w:r>
        <w:t xml:space="preserve"> </w:t>
      </w:r>
      <w:r>
        <w:t xml:space="preserve">funded supplementary pension schemes, in addition to</w:t>
      </w:r>
      <w:r>
        <w:t xml:space="preserve"> </w:t>
      </w:r>
      <w:r>
        <w:t xml:space="preserve">the prevailing pay-as-you go system, would positively</w:t>
      </w:r>
      <w:r>
        <w:t xml:space="preserve"> </w:t>
      </w:r>
      <w:r>
        <w:t xml:space="preserve">contribute to fostering investment in equity while</w:t>
      </w:r>
      <w:r>
        <w:t xml:space="preserve"> </w:t>
      </w:r>
      <w:r>
        <w:t xml:space="preserve">enhancing growth and innovation. The reform of the</w:t>
      </w:r>
      <w:r>
        <w:t xml:space="preserve"> </w:t>
      </w:r>
      <w:r>
        <w:t xml:space="preserve">French retirement savings plan (PER) under the</w:t>
      </w:r>
      <w:r>
        <w:t xml:space="preserve"> </w:t>
      </w:r>
      <w:r>
        <w:t xml:space="preserve">PACTE law in 2019 represented a step in this direction,</w:t>
      </w:r>
      <w:r>
        <w:t xml:space="preserve"> </w:t>
      </w:r>
      <w:r>
        <w:t xml:space="preserve">promoting broader access to funded pension schemes</w:t>
      </w:r>
      <w:r>
        <w:t xml:space="preserve"> </w:t>
      </w:r>
      <w:r>
        <w:t xml:space="preserve">through tax incentives and product simplification,</w:t>
      </w:r>
      <w:r>
        <w:t xml:space="preserve"> </w:t>
      </w:r>
      <w:r>
        <w:t xml:space="preserve">although its scope and uptake could still be</w:t>
      </w:r>
      <w:r>
        <w:t xml:space="preserve"> </w:t>
      </w:r>
      <w:r>
        <w:t xml:space="preserve">strengthened to fully realize its potential.</w:t>
      </w:r>
    </w:p>
    <w:p>
      <w:pPr>
        <w:pStyle w:val="BodyText"/>
      </w:pPr>
      <w:r>
        <w:t xml:space="preserve">1.13 Germany</w:t>
      </w:r>
      <w:r>
        <w:t xml:space="preserve"> </w:t>
      </w:r>
      <w:r>
        <w:t xml:space="preserve">Availability and use of domestic savings</w:t>
      </w:r>
      <w:r>
        <w:br/>
      </w:r>
      <w:r>
        <w:t xml:space="preserve">A large part of Germany’s net savings are invested</w:t>
      </w:r>
      <w:r>
        <w:t xml:space="preserve"> </w:t>
      </w:r>
      <w:r>
        <w:t xml:space="preserve">abroad. In the past two decades Germany has been</w:t>
      </w:r>
      <w:r>
        <w:t xml:space="preserve"> </w:t>
      </w:r>
      <w:r>
        <w:t xml:space="preserve">saving more than it invests, leading to a structural</w:t>
      </w:r>
      <w:r>
        <w:t xml:space="preserve"> </w:t>
      </w:r>
      <w:r>
        <w:t xml:space="preserve">capital account surplus, which averaged 6.8% of GDP</w:t>
      </w:r>
      <w:r>
        <w:t xml:space="preserve"> </w:t>
      </w:r>
      <w:r>
        <w:t xml:space="preserve">in the years 2014 to 2024, peaking at 8.8% in 2016.</w:t>
      </w:r>
      <w:r>
        <w:t xml:space="preserve"> </w:t>
      </w:r>
      <w:r>
        <w:t xml:space="preserve">From 2014 to 2024, private savings, net of fixed capital</w:t>
      </w:r>
      <w:r>
        <w:t xml:space="preserve"> </w:t>
      </w:r>
      <w:r>
        <w:t xml:space="preserve">consumption, fluctuated around its 11-year average of</w:t>
      </w:r>
      <w:r>
        <w:t xml:space="preserve"> </w:t>
      </w:r>
      <w:r>
        <w:t xml:space="preserve">9.4 of GDP, reaching a high of 12.2% in 2021 (see</w:t>
      </w:r>
      <w:r>
        <w:t xml:space="preserve"> </w:t>
      </w:r>
      <w:r>
        <w:t xml:space="preserve">Graph 2.11.2). Meanwhile, net private investments, i.e. </w:t>
      </w:r>
      <w:r>
        <w:t xml:space="preserve"> </w:t>
      </w:r>
      <w:r>
        <w:t xml:space="preserve">investments less depreciation, were significantly</w:t>
      </w:r>
      <w:r>
        <w:t xml:space="preserve"> </w:t>
      </w:r>
      <w:r>
        <w:t xml:space="preserve">lower, averaging 1.9%. The government budget has</w:t>
      </w:r>
      <w:r>
        <w:t xml:space="preserve"> </w:t>
      </w:r>
      <w:r>
        <w:t xml:space="preserve">been in deficit since 2020, averaging -3.0% over the</w:t>
      </w:r>
      <w:r>
        <w:t xml:space="preserve"> </w:t>
      </w:r>
      <w:r>
        <w:t xml:space="preserve">last 5 years. The public deficit was thus smaller than</w:t>
      </w:r>
      <w:r>
        <w:t xml:space="preserve"> </w:t>
      </w:r>
      <w:r>
        <w:t xml:space="preserve">the substantial surplus of private savings and</w:t>
      </w:r>
      <w:r>
        <w:t xml:space="preserve"> </w:t>
      </w:r>
      <w:r>
        <w:t xml:space="preserve">investment. Therefore, a significant portion of</w:t>
      </w:r>
      <w:r>
        <w:t xml:space="preserve"> </w:t>
      </w:r>
      <w:r>
        <w:t xml:space="preserve">Germany’s savings has been used to finance projects</w:t>
      </w:r>
      <w:r>
        <w:t xml:space="preserve"> </w:t>
      </w:r>
      <w:r>
        <w:t xml:space="preserve">abroad.</w:t>
      </w:r>
      <w:r>
        <w:t xml:space="preserve"> </w:t>
      </w:r>
      <w:r>
        <w:t xml:space="preserve">1.13.1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As a net creditor to the rest of the world, Germany</w:t>
      </w:r>
      <w:r>
        <w:t xml:space="preserve"> </w:t>
      </w:r>
      <w:r>
        <w:t xml:space="preserve">has built up substantial foreign assets and</w:t>
      </w:r>
      <w:r>
        <w:t xml:space="preserve"> </w:t>
      </w:r>
      <w:r>
        <w:t xml:space="preserve">maintains a positive net international investment</w:t>
      </w:r>
      <w:r>
        <w:t xml:space="preserve"> </w:t>
      </w:r>
      <w:r>
        <w:t xml:space="preserve">position. As at Q4-2024, Germany’s total external</w:t>
      </w:r>
      <w:r>
        <w:t xml:space="preserve"> </w:t>
      </w:r>
      <w:r>
        <w:t xml:space="preserve">assets amounted to 280% of GDP, while its liabilities</w:t>
      </w:r>
      <w:r>
        <w:t xml:space="preserve"> </w:t>
      </w:r>
      <w:r>
        <w:t xml:space="preserve">to foreign investors stood at 200% of GDP, resulting in</w:t>
      </w:r>
      <w:r>
        <w:t xml:space="preserve"> </w:t>
      </w:r>
      <w:r>
        <w:t xml:space="preserve">a net international investment position (NIIP) of 80%</w:t>
      </w:r>
      <w:r>
        <w:t xml:space="preserve"> </w:t>
      </w:r>
      <w:r>
        <w:t xml:space="preserve">of GDP (see Graph 2.11.2). While the stock of official</w:t>
      </w:r>
      <w:r>
        <w:t xml:space="preserve"> </w:t>
      </w:r>
      <w:r>
        <w:t xml:space="preserve">foreign reserve assets (8% of GDP) plays only a minor</w:t>
      </w:r>
      <w:r>
        <w:t xml:space="preserve"> </w:t>
      </w:r>
      <w:r>
        <w:t xml:space="preserve">role, the largest contribution to the positive NIIP comes</w:t>
      </w:r>
      <w:r>
        <w:t xml:space="preserve"> </w:t>
      </w:r>
      <w:r>
        <w:t xml:space="preserve">from net portfolio investments, which reached 25% of</w:t>
      </w:r>
      <w:r>
        <w:t xml:space="preserve"> </w:t>
      </w:r>
      <w:r>
        <w:t xml:space="preserve">GDP. This underlines the high degree of Germany’s</w:t>
      </w:r>
      <w:r>
        <w:t xml:space="preserve"> </w:t>
      </w:r>
      <w:r>
        <w:t xml:space="preserve">integration into global capital markets. While Germany</w:t>
      </w:r>
      <w:r>
        <w:t xml:space="preserve"> </w:t>
      </w:r>
      <w:r>
        <w:t xml:space="preserve">is a significant recipient of foreign capital, it remains</w:t>
      </w:r>
      <w:r>
        <w:t xml:space="preserve"> </w:t>
      </w:r>
      <w:r>
        <w:t xml:space="preserve">primarily a net capital exporter.</w:t>
      </w:r>
      <w:r>
        <w:br/>
      </w:r>
      <w:r>
        <w:t xml:space="preserve">1.13.2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br/>
      </w:r>
      <w:r>
        <w:t xml:space="preserve">The German economy features one of the largest</w:t>
      </w:r>
      <w:r>
        <w:t xml:space="preserve"> </w:t>
      </w:r>
      <w:r>
        <w:t xml:space="preserve">capital markets in Europe in absolute terms, though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447</w:t>
      </w:r>
      <w:r>
        <w:t xml:space="preserve"> </w:t>
      </w:r>
      <w:r>
        <w:t xml:space="preserve">its depth relative to GDP remains below the EU</w:t>
      </w:r>
      <w:r>
        <w:t xml:space="preserve"> </w:t>
      </w:r>
      <w:r>
        <w:t xml:space="preserve">average. The market capitalisation of listed equity</w:t>
      </w:r>
      <w:r>
        <w:t xml:space="preserve"> </w:t>
      </w:r>
      <w:r>
        <w:t xml:space="preserve">issued by German corporations reached 44% of GDP</w:t>
      </w:r>
      <w:r>
        <w:t xml:space="preserve"> </w:t>
      </w:r>
      <w:r>
        <w:t xml:space="preserve">at end-2024, significantly lower than in some of the</w:t>
      </w:r>
      <w:r>
        <w:t xml:space="preserve"> </w:t>
      </w:r>
      <w:r>
        <w:t xml:space="preserve">most developed capital markets in the EU. Despite the</w:t>
      </w:r>
      <w:r>
        <w:t xml:space="preserve"> </w:t>
      </w:r>
      <w:r>
        <w:t xml:space="preserve">stock market strength of German corporates, the</w:t>
      </w:r>
      <w:r>
        <w:t xml:space="preserve"> </w:t>
      </w:r>
      <w:r>
        <w:t xml:space="preserve">performance of listed banks has been persistently</w:t>
      </w:r>
      <w:r>
        <w:t xml:space="preserve"> </w:t>
      </w:r>
      <w:r>
        <w:t xml:space="preserve">weak. The German bank index has declined by around</w:t>
      </w:r>
      <w:r>
        <w:t xml:space="preserve"> </w:t>
      </w:r>
      <w:r>
        <w:t xml:space="preserve">60% since 2008 and has not recovered, unlike the</w:t>
      </w:r>
      <w:r>
        <w:t xml:space="preserve"> </w:t>
      </w:r>
      <w:r>
        <w:t xml:space="preserve">broader DAX index, which has more than doubled in</w:t>
      </w:r>
      <w:r>
        <w:t xml:space="preserve"> </w:t>
      </w:r>
      <w:r>
        <w:t xml:space="preserve">value. This underscores the structural weaknesses and</w:t>
      </w:r>
      <w:r>
        <w:t xml:space="preserve"> </w:t>
      </w:r>
      <w:r>
        <w:t xml:space="preserve">profitability challenges in the German banking sector.</w:t>
      </w:r>
      <w:r>
        <w:t xml:space="preserve"> </w:t>
      </w:r>
      <w:r>
        <w:t xml:space="preserve">In the 1debt market, the outstanding volume of debt</w:t>
      </w:r>
      <w:r>
        <w:t xml:space="preserve"> </w:t>
      </w:r>
      <w:r>
        <w:t xml:space="preserve">securities reached 103% of GDP at end-2024.</w:t>
      </w:r>
      <w:r>
        <w:t xml:space="preserve"> </w:t>
      </w:r>
      <w:r>
        <w:t xml:space="preserve">Government bonds account for the largest share (45%),</w:t>
      </w:r>
      <w:r>
        <w:t xml:space="preserve"> </w:t>
      </w:r>
      <w:r>
        <w:t xml:space="preserve">followed by those issued by banks (32%) and NFCs</w:t>
      </w:r>
      <w:r>
        <w:t xml:space="preserve"> </w:t>
      </w:r>
      <w:r>
        <w:t xml:space="preserve">(22%). The structure has been relatively stable in recent</w:t>
      </w:r>
      <w:r>
        <w:t xml:space="preserve"> </w:t>
      </w:r>
      <w:r>
        <w:t xml:space="preserve">years, with only a modest increase in the share of</w:t>
      </w:r>
      <w:r>
        <w:t xml:space="preserve"> </w:t>
      </w:r>
      <w:r>
        <w:t xml:space="preserve">corporate bonds.</w:t>
      </w:r>
      <w:r>
        <w:t xml:space="preserve"> </w:t>
      </w:r>
      <w:r>
        <w:t xml:space="preserve">1.13.3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While the German financial system remains largely</w:t>
      </w:r>
      <w:r>
        <w:t xml:space="preserve"> </w:t>
      </w:r>
      <w:r>
        <w:t xml:space="preserve">bank-based, non-bank financial intermediation</w:t>
      </w:r>
      <w:r>
        <w:t xml:space="preserve"> </w:t>
      </w:r>
      <w:r>
        <w:t xml:space="preserve">plays a relevant, if still limited, role. The size of the</w:t>
      </w:r>
      <w:r>
        <w:t xml:space="preserve"> </w:t>
      </w:r>
      <w:r>
        <w:t xml:space="preserve">MFI sector stood at 251% of GDP in 2024, below both</w:t>
      </w:r>
      <w:r>
        <w:t xml:space="preserve"> </w:t>
      </w:r>
      <w:r>
        <w:t xml:space="preserve">the EU average (257%) and the euro area average</w:t>
      </w:r>
      <w:r>
        <w:t xml:space="preserve"> </w:t>
      </w:r>
      <w:r>
        <w:t xml:space="preserve">(268%). The system is structurally decentralised as the</w:t>
      </w:r>
      <w:r>
        <w:t xml:space="preserve"> </w:t>
      </w:r>
      <w:r>
        <w:t xml:space="preserve">top five MFIs accounted for only 35% of total assets in</w:t>
      </w:r>
      <w:r>
        <w:t xml:space="preserve"> </w:t>
      </w:r>
      <w:r>
        <w:t xml:space="preserve">2024, which is the second lowest level of banking</w:t>
      </w:r>
      <w:r>
        <w:t xml:space="preserve"> </w:t>
      </w:r>
      <w:r>
        <w:t xml:space="preserve">concentration in the EU after Luxembourg. This</w:t>
      </w:r>
      <w:r>
        <w:t xml:space="preserve"> </w:t>
      </w:r>
      <w:r>
        <w:t xml:space="preserve">reflects the strong position of savings and cooperative</w:t>
      </w:r>
      <w:r>
        <w:t xml:space="preserve"> </w:t>
      </w:r>
      <w:r>
        <w:t xml:space="preserve">banks. Among non-bank intermediaries, insurance</w:t>
      </w:r>
      <w:r>
        <w:t xml:space="preserve"> </w:t>
      </w:r>
      <w:r>
        <w:t xml:space="preserve">corporations represent the largest share, with assets</w:t>
      </w:r>
    </w:p>
    <w:p>
      <w:pPr>
        <w:pStyle w:val="BodyText"/>
      </w:pPr>
      <w:r>
        <w:t xml:space="preserve">708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amounting to 55.5% of GDP. Pension funds remain</w:t>
      </w:r>
      <w:r>
        <w:t xml:space="preserve"> </w:t>
      </w:r>
      <w:r>
        <w:t xml:space="preserve">relatively small, with total assets equivalent to 5.9% of</w:t>
      </w:r>
      <w:r>
        <w:t xml:space="preserve"> </w:t>
      </w:r>
      <w:r>
        <w:t xml:space="preserve">GDP at end-2024. Investment funds held assets of 71%</w:t>
      </w:r>
      <w:r>
        <w:t xml:space="preserve"> </w:t>
      </w:r>
      <w:r>
        <w:t xml:space="preserve">of GDP. Overall, this suggests that non-bank</w:t>
      </w:r>
      <w:r>
        <w:t xml:space="preserve"> </w:t>
      </w:r>
      <w:r>
        <w:t xml:space="preserve">intermediation in Germany is underdeveloped relative</w:t>
      </w:r>
      <w:r>
        <w:t xml:space="preserve"> </w:t>
      </w:r>
      <w:r>
        <w:t xml:space="preserve">to the size of the economy and its high savings rate.</w:t>
      </w:r>
      <w:r>
        <w:t xml:space="preserve"> </w:t>
      </w:r>
      <w:r>
        <w:t xml:space="preserve">1.13.4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Group708.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Market finance</w:t>
      </w:r>
      <w:r>
        <w:br/>
      </w:r>
      <w:r>
        <w:t xml:space="preserve">The German stock market has shown steady growth</w:t>
      </w:r>
      <w:r>
        <w:t xml:space="preserve"> </w:t>
      </w:r>
      <w:r>
        <w:t xml:space="preserve">recently but is facing challenges to expand its</w:t>
      </w:r>
      <w:r>
        <w:t xml:space="preserve"> </w:t>
      </w:r>
      <w:r>
        <w:t xml:space="preserve">number of listed companies and market share</w:t>
      </w:r>
      <w:r>
        <w:t xml:space="preserve"> </w:t>
      </w:r>
      <w:r>
        <w:t xml:space="preserve">within the EU. German companies had outstanding</w:t>
      </w:r>
      <w:r>
        <w:t xml:space="preserve"> </w:t>
      </w:r>
      <w:r>
        <w:t xml:space="preserve">shares with a market capitalisation of about EUR</w:t>
      </w:r>
      <w:r>
        <w:t xml:space="preserve"> </w:t>
      </w:r>
      <w:r>
        <w:t xml:space="preserve">2,449 billion as at May 2025, representing a 14% year-</w:t>
      </w:r>
      <w:r>
        <w:t xml:space="preserve"> </w:t>
      </w:r>
      <w:r>
        <w:t xml:space="preserve">on-year increase. However, this accounts for only 10%</w:t>
      </w:r>
      <w:r>
        <w:t xml:space="preserve"> </w:t>
      </w:r>
      <w:r>
        <w:t xml:space="preserve">of all outstanding shares issued in the EU, which is</w:t>
      </w:r>
      <w:r>
        <w:t xml:space="preserve"> </w:t>
      </w:r>
      <w:r>
        <w:t xml:space="preserve">significantly below Germany’s roughly 25% share of</w:t>
      </w:r>
      <w:r>
        <w:t xml:space="preserve"> </w:t>
      </w:r>
      <w:r>
        <w:t xml:space="preserve">the EU economy. The number of listed companies on</w:t>
      </w:r>
      <w:r>
        <w:t xml:space="preserve"> </w:t>
      </w:r>
      <w:r>
        <w:t xml:space="preserve">German stock exchanges has steadily declined over</w:t>
      </w:r>
      <w:r>
        <w:t xml:space="preserve"> </w:t>
      </w:r>
      <w:r>
        <w:t xml:space="preserve">recent years and despite a minor surge with four new</w:t>
      </w:r>
      <w:r>
        <w:t xml:space="preserve"> </w:t>
      </w:r>
      <w:r>
        <w:t xml:space="preserve">listings in the past year, it remained at 470 listed</w:t>
      </w:r>
      <w:r>
        <w:t xml:space="preserve"> </w:t>
      </w:r>
      <w:r>
        <w:t xml:space="preserve">companies in May 2025, well below the 555 listed</w:t>
      </w:r>
      <w:r>
        <w:t xml:space="preserve"> </w:t>
      </w:r>
      <w:r>
        <w:t xml:space="preserve">companies recorded in 2015, according to FESE</w:t>
      </w:r>
      <w:r>
        <w:t xml:space="preserve"> </w:t>
      </w:r>
      <w:r>
        <w:t xml:space="preserve">figures. Small and medium-sized enterprises rarely use</w:t>
      </w:r>
      <w:r>
        <w:t xml:space="preserve"> </w:t>
      </w:r>
      <w:r>
        <w:t xml:space="preserve">capital markets for financing. Moreover, some well-</w:t>
      </w:r>
      <w:r>
        <w:t xml:space="preserve"> </w:t>
      </w:r>
      <w:r>
        <w:t xml:space="preserve">known German companies, such as Birkenstock, have</w:t>
      </w:r>
      <w:r>
        <w:t xml:space="preserve"> </w:t>
      </w:r>
      <w:r>
        <w:t xml:space="preserve">recently chosen to list abroad, for example in New</w:t>
      </w:r>
      <w:r>
        <w:t xml:space="preserve"> </w:t>
      </w:r>
      <w:r>
        <w:t xml:space="preserve">York. In fact, in July 2025, the Munich-based medical</w:t>
      </w:r>
      <w:r>
        <w:t xml:space="preserve"> </w:t>
      </w:r>
      <w:r>
        <w:t xml:space="preserve">technology company Brainlab planned what would</w:t>
      </w:r>
      <w:r>
        <w:t xml:space="preserve"> </w:t>
      </w:r>
      <w:r>
        <w:t xml:space="preserve">have been the largest IPO of the year in Frankfurt but</w:t>
      </w:r>
      <w:r>
        <w:t xml:space="preserve"> </w:t>
      </w:r>
      <w:r>
        <w:t xml:space="preserve">cancelled at short notice. This followed a similar</w:t>
      </w:r>
      <w:r>
        <w:t xml:space="preserve"> </w:t>
      </w:r>
      <w:r>
        <w:t xml:space="preserve">cancellation one week earlier by the online car parts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DE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DAX</w:t>
      </w:r>
      <w:r>
        <w:t xml:space="preserve"> </w:t>
      </w:r>
      <w:r>
        <w:t xml:space="preserve">‘KURS’</w:t>
      </w:r>
      <w:r>
        <w:t xml:space="preserve"> </w:t>
      </w:r>
      <w:r>
        <w:t xml:space="preserve">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448</w:t>
      </w:r>
      <w:r>
        <w:t xml:space="preserve"> </w:t>
      </w:r>
      <w:r>
        <w:t xml:space="preserve">retailer Autodoc24. Both companies cited the uncertain</w:t>
      </w:r>
      <w:r>
        <w:t xml:space="preserve"> </w:t>
      </w:r>
      <w:r>
        <w:t xml:space="preserve">geopolitical situation and its impact on capital markets</w:t>
      </w:r>
      <w:r>
        <w:t xml:space="preserve"> </w:t>
      </w:r>
      <w:r>
        <w:t xml:space="preserve">as reasons for withdrawing.</w:t>
      </w:r>
      <w:r>
        <w:t xml:space="preserve"> </w:t>
      </w:r>
      <w:r>
        <w:t xml:space="preserve">Germany has seven traditional stock exchanges, the</w:t>
      </w:r>
      <w:r>
        <w:t xml:space="preserve"> </w:t>
      </w:r>
      <w:r>
        <w:t xml:space="preserve">largest of which is the Frankfurt Stock Exchange,</w:t>
      </w:r>
      <w:r>
        <w:t xml:space="preserve"> </w:t>
      </w:r>
      <w:r>
        <w:t xml:space="preserve">owned by Deutsche Börse Group. While Frankfurt</w:t>
      </w:r>
      <w:r>
        <w:t xml:space="preserve"> </w:t>
      </w:r>
      <w:r>
        <w:t xml:space="preserve">maintains a traditional trading floor, approximately</w:t>
      </w:r>
      <w:r>
        <w:t xml:space="preserve"> </w:t>
      </w:r>
      <w:r>
        <w:t xml:space="preserve">90% of share trading in Germany occurs on Xetra,</w:t>
      </w:r>
      <w:r>
        <w:t xml:space="preserve"> </w:t>
      </w:r>
      <w:r>
        <w:t xml:space="preserve">Deutsche</w:t>
      </w:r>
      <w:r>
        <w:t xml:space="preserve"> </w:t>
      </w:r>
      <w:r>
        <w:t xml:space="preserve">Börse’s</w:t>
      </w:r>
      <w:r>
        <w:t xml:space="preserve"> </w:t>
      </w:r>
      <w:r>
        <w:t xml:space="preserve">electronic</w:t>
      </w:r>
      <w:r>
        <w:t xml:space="preserve"> </w:t>
      </w:r>
      <w:r>
        <w:t xml:space="preserve">trading</w:t>
      </w:r>
      <w:r>
        <w:t xml:space="preserve"> </w:t>
      </w:r>
      <w:r>
        <w:t xml:space="preserve">platform.</w:t>
      </w:r>
      <w:r>
        <w:t xml:space="preserve"> </w:t>
      </w:r>
      <w:r>
        <w:t xml:space="preserve">Deutsche Börse is the second-largest stock exchange</w:t>
      </w:r>
      <w:r>
        <w:t xml:space="preserve"> </w:t>
      </w:r>
      <w:r>
        <w:t xml:space="preserve">group in the EU by market capitalisation, at around</w:t>
      </w:r>
      <w:r>
        <w:t xml:space="preserve"> </w:t>
      </w:r>
      <w:r>
        <w:t xml:space="preserve">EUR 2.4 trillion, trailing Euronext’s EUR 6.3 trillion,</w:t>
      </w:r>
      <w:r>
        <w:t xml:space="preserve"> </w:t>
      </w:r>
      <w:r>
        <w:t xml:space="preserve">and has remained independent despite consolidation</w:t>
      </w:r>
      <w:r>
        <w:t xml:space="preserve"> </w:t>
      </w:r>
      <w:r>
        <w:t xml:space="preserve">trends among European exchanges. Deutsche Börse</w:t>
      </w:r>
      <w:r>
        <w:t xml:space="preserve"> </w:t>
      </w:r>
      <w:r>
        <w:t xml:space="preserve">also owns Eurex, a leading derivatives marketplace.</w:t>
      </w:r>
      <w:r>
        <w:t xml:space="preserve"> </w:t>
      </w:r>
      <w:r>
        <w:t xml:space="preserve">Outside Frankfurt, six regional stock exchanges</w:t>
      </w:r>
      <w:r>
        <w:t xml:space="preserve"> </w:t>
      </w:r>
      <w:r>
        <w:t xml:space="preserve">support smaller and local companies. The largest</w:t>
      </w:r>
      <w:r>
        <w:t xml:space="preserve"> </w:t>
      </w:r>
      <w:r>
        <w:t xml:space="preserve">regional exchange is the Stuttgart Stock Exchange,</w:t>
      </w:r>
      <w:r>
        <w:t xml:space="preserve"> </w:t>
      </w:r>
      <w:r>
        <w:t xml:space="preserve">known for its electronic trading platform Euwax and</w:t>
      </w:r>
      <w:r>
        <w:t xml:space="preserve"> </w:t>
      </w:r>
      <w:r>
        <w:t xml:space="preserve">for having the highest trading volume in bonds,</w:t>
      </w:r>
      <w:r>
        <w:t xml:space="preserve"> </w:t>
      </w:r>
      <w:r>
        <w:t xml:space="preserve">especially those issued by small and medium-sized</w:t>
      </w:r>
      <w:r>
        <w:t xml:space="preserve"> </w:t>
      </w:r>
      <w:r>
        <w:t xml:space="preserve">enterprises, in its Bond segment. Börse Stuttgart also</w:t>
      </w:r>
      <w:r>
        <w:t xml:space="preserve"> </w:t>
      </w:r>
      <w:r>
        <w:t xml:space="preserve">owns the Nordic Growth Market, Norway’s second-</w:t>
      </w:r>
      <w:r>
        <w:t xml:space="preserve"> </w:t>
      </w:r>
      <w:r>
        <w:t xml:space="preserve">largest exchange, BX Swiss in Bern, and the OTC</w:t>
      </w:r>
      <w:r>
        <w:t xml:space="preserve"> </w:t>
      </w:r>
      <w:r>
        <w:t xml:space="preserve">platform Cats, making it the sixth-largest stock</w:t>
      </w:r>
      <w:r>
        <w:t xml:space="preserve"> </w:t>
      </w:r>
      <w:r>
        <w:t xml:space="preserve">exchange group in Europe. Other regional exchanges</w:t>
      </w:r>
      <w:r>
        <w:t xml:space="preserve"> </w:t>
      </w:r>
      <w:r>
        <w:t xml:space="preserve">include those in Berlin, Munich, and the exchanges</w:t>
      </w:r>
      <w:r>
        <w:t xml:space="preserve"> </w:t>
      </w:r>
      <w:r>
        <w:t xml:space="preserve">operated by BÖAG Börse AG in Düsseldorf, Hamburg,</w:t>
      </w:r>
      <w:r>
        <w:t xml:space="preserve"> </w:t>
      </w:r>
      <w:r>
        <w:t xml:space="preserve">and Hannover. Historically, major German companies</w:t>
      </w:r>
      <w:r>
        <w:t xml:space="preserve"> </w:t>
      </w:r>
      <w:r>
        <w:t xml:space="preserve">such as BMW, Allianz, Munich Re, Infineon, and</w:t>
      </w:r>
      <w:r>
        <w:t xml:space="preserve"> </w:t>
      </w:r>
      <w:r>
        <w:t xml:space="preserve">Siemens made their IPOs in Munich.</w:t>
      </w:r>
      <w:r>
        <w:t xml:space="preserve"> </w:t>
      </w:r>
      <w:r>
        <w:t xml:space="preserve">Debt securities remain an important source of</w:t>
      </w:r>
      <w:r>
        <w:t xml:space="preserve"> </w:t>
      </w:r>
      <w:r>
        <w:t xml:space="preserve">market-based funding for banks and financial</w:t>
      </w:r>
      <w:r>
        <w:t xml:space="preserve"> </w:t>
      </w:r>
      <w:r>
        <w:t xml:space="preserve">institutions in Germany. In Q1 2025, MFIs issued</w:t>
      </w:r>
      <w:r>
        <w:t xml:space="preserve"> </w:t>
      </w:r>
      <w:r>
        <w:t xml:space="preserve">EUR 37.1 billion in debt, already surpassing the full-</w:t>
      </w:r>
      <w:r>
        <w:t xml:space="preserve"> </w:t>
      </w:r>
      <w:r>
        <w:t xml:space="preserve">year 2024 figure of EUR 15.4 billion and well on track</w:t>
      </w:r>
      <w:r>
        <w:t xml:space="preserve"> </w:t>
      </w:r>
      <w:r>
        <w:t xml:space="preserve">to exceed previous years. Other financial corporations</w:t>
      </w:r>
      <w:r>
        <w:t xml:space="preserve"> </w:t>
      </w:r>
      <w:r>
        <w:t xml:space="preserve">(non-MFIs) saw muted activity, with net issuance</w:t>
      </w:r>
      <w:r>
        <w:t xml:space="preserve"> </w:t>
      </w:r>
      <w:r>
        <w:t xml:space="preserve">turning slightly negative at –0.2 billion, following</w:t>
      </w:r>
      <w:r>
        <w:t xml:space="preserve"> </w:t>
      </w:r>
      <w:r>
        <w:t xml:space="preserve">EUR 13.9 billion in 2024. General government issued</w:t>
      </w:r>
      <w:r>
        <w:t xml:space="preserve"> </w:t>
      </w:r>
      <w:r>
        <w:t xml:space="preserve">EUR 16.6 billion in Q1 2025 after a substantial drop in</w:t>
      </w:r>
      <w:r>
        <w:t xml:space="preserve"> </w:t>
      </w:r>
      <w:r>
        <w:t xml:space="preserve">2024 (EUR 46.2 billion) compared to earlier years. By</w:t>
      </w:r>
      <w:r>
        <w:t xml:space="preserve"> </w:t>
      </w:r>
      <w:r>
        <w:t xml:space="preserve">contrast, NFCs remain marginal players in debt</w:t>
      </w:r>
      <w:r>
        <w:t xml:space="preserve"> </w:t>
      </w:r>
      <w:r>
        <w:t xml:space="preserve">markets. After modest issuance of EUR 8.9 billion in</w:t>
      </w:r>
      <w:r>
        <w:t xml:space="preserve"> </w:t>
      </w:r>
      <w:r>
        <w:t xml:space="preserve">2024, net issuance stood at just EUR 3.6 billion in Q1</w:t>
      </w:r>
      <w:r>
        <w:t xml:space="preserve"> </w:t>
      </w:r>
      <w:r>
        <w:t xml:space="preserve">2025, reflecting their continued reliance on other</w:t>
      </w:r>
      <w:r>
        <w:t xml:space="preserve"> </w:t>
      </w:r>
      <w:r>
        <w:t xml:space="preserve">funding</w:t>
      </w:r>
      <w:r>
        <w:t xml:space="preserve"> </w:t>
      </w:r>
      <w:r>
        <w:t xml:space="preserve">sources,</w:t>
      </w:r>
      <w:r>
        <w:t xml:space="preserve"> </w:t>
      </w:r>
      <w:r>
        <w:t xml:space="preserve">mostly</w:t>
      </w:r>
      <w:r>
        <w:t xml:space="preserve"> </w:t>
      </w:r>
      <w:r>
        <w:t xml:space="preserve">banking</w:t>
      </w:r>
      <w:r>
        <w:t xml:space="preserve"> </w:t>
      </w:r>
      <w:r>
        <w:t xml:space="preserve">loans</w:t>
      </w:r>
      <w:r>
        <w:t xml:space="preserve"> </w:t>
      </w:r>
      <w:r>
        <w:t xml:space="preserve">and</w:t>
      </w:r>
      <w:r>
        <w:t xml:space="preserve"> </w:t>
      </w:r>
      <w:r>
        <w:t xml:space="preserve">Schuldscheine, a particular German variant of</w:t>
      </w:r>
      <w:r>
        <w:t xml:space="preserve"> </w:t>
      </w:r>
      <w:r>
        <w:t xml:space="preserve">promissory notes. Overall, the data point to a recovery</w:t>
      </w:r>
      <w:r>
        <w:t xml:space="preserve"> </w:t>
      </w:r>
      <w:r>
        <w:t xml:space="preserve">in debt issuance among banks and government, while</w:t>
      </w:r>
      <w:r>
        <w:t xml:space="preserve"> </w:t>
      </w:r>
      <w:r>
        <w:t xml:space="preserve">issuance by corporates—especially non-financial</w:t>
      </w:r>
      <w:r>
        <w:t xml:space="preserve"> </w:t>
      </w:r>
      <w:r>
        <w:t xml:space="preserve">firms—remains subdued.</w:t>
      </w:r>
      <w:r>
        <w:br/>
      </w:r>
      <w:r>
        <w:t xml:space="preserve">One particularly important financing instrument in</w:t>
      </w:r>
      <w:r>
        <w:t xml:space="preserve"> </w:t>
      </w:r>
      <w:r>
        <w:t xml:space="preserve">Germany is the Pfandbrief, a type of covered bond</w:t>
      </w:r>
      <w:r>
        <w:t xml:space="preserve"> </w:t>
      </w:r>
      <w:r>
        <w:t xml:space="preserve">that serves as a cornerstone of the country’s</w:t>
      </w:r>
      <w:r>
        <w:t xml:space="preserve"> </w:t>
      </w:r>
      <w:r>
        <w:t xml:space="preserve">financial system. Pfandbriefe provide secure, long-</w:t>
      </w:r>
      <w:r>
        <w:t xml:space="preserve"> </w:t>
      </w:r>
      <w:r>
        <w:t xml:space="preserve">term funding primarily for real estate and public sector</w:t>
      </w:r>
      <w:r>
        <w:t xml:space="preserve"> </w:t>
      </w:r>
      <w:r>
        <w:t xml:space="preserve">loans, supported by a strong legal framework and</w:t>
      </w:r>
      <w:r>
        <w:t xml:space="preserve"> </w:t>
      </w:r>
      <w:r>
        <w:t xml:space="preserve">consistently high credit quality. As one of the largest</w:t>
      </w:r>
      <w:r>
        <w:t xml:space="preserve"> </w:t>
      </w:r>
      <w:r>
        <w:t xml:space="preserve">and most stable covered bond markets in Europe, the</w:t>
      </w:r>
      <w:r>
        <w:t xml:space="preserve"> </w:t>
      </w:r>
      <w:r>
        <w:t xml:space="preserve">Pfandbrief offers investors a safe and reliable</w:t>
      </w:r>
      <w:r>
        <w:t xml:space="preserve"> </w:t>
      </w:r>
      <w:r>
        <w:t xml:space="preserve">investment option. The market demonstrated its</w:t>
      </w:r>
      <w:r>
        <w:t xml:space="preserve"> </w:t>
      </w:r>
      <w:r>
        <w:t xml:space="preserve">resilience and stability throughout 2024 with the total</w:t>
      </w:r>
      <w:r>
        <w:t xml:space="preserve"> </w:t>
      </w:r>
      <w:r>
        <w:t xml:space="preserve">volume of Pfandbriefe eaching EUR 399.5 billion at</w:t>
      </w:r>
      <w:r>
        <w:t xml:space="preserve"> </w:t>
      </w:r>
      <w:r>
        <w:t xml:space="preserve">year-end, virtually unchanged from the robust EUR</w:t>
      </w:r>
      <w:r>
        <w:t xml:space="preserve"> </w:t>
      </w:r>
      <w:r>
        <w:t xml:space="preserve">400.3 billion</w:t>
      </w:r>
      <w:r>
        <w:t xml:space="preserve"> </w:t>
      </w:r>
      <w:r>
        <w:t xml:space="preserve">recorded</w:t>
      </w:r>
      <w:r>
        <w:t xml:space="preserve"> </w:t>
      </w:r>
      <w:r>
        <w:t xml:space="preserve">in</w:t>
      </w:r>
      <w:r>
        <w:t xml:space="preserve"> </w:t>
      </w:r>
      <w:r>
        <w:t xml:space="preserve">2023.</w:t>
      </w:r>
      <w:r>
        <w:t xml:space="preserve"> </w:t>
      </w:r>
      <w:r>
        <w:t xml:space="preserve">This</w:t>
      </w:r>
      <w:r>
        <w:t xml:space="preserve"> </w:t>
      </w:r>
      <w:r>
        <w:t xml:space="preserve">steady</w:t>
      </w:r>
      <w:r>
        <w:t xml:space="preserve"> </w:t>
      </w:r>
      <w:r>
        <w:t xml:space="preserve">performance highlights the Pfandbriefe’s continued</w:t>
      </w:r>
      <w:r>
        <w:t xml:space="preserve"> </w:t>
      </w:r>
      <w:r>
        <w:t xml:space="preserve">vital role in Germany’s funding landscape.</w:t>
      </w:r>
      <w:r>
        <w:t xml:space="preserve"> </w:t>
      </w:r>
      <w:r>
        <w:t xml:space="preserve">1.13.5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Between 2008 and 2025, Germany’s 5-year CDS</w:t>
      </w:r>
      <w:r>
        <w:t xml:space="preserve"> </w:t>
      </w:r>
      <w:r>
        <w:t xml:space="preserve">spreads and 10-year government bond yields have</w:t>
      </w:r>
      <w:r>
        <w:t xml:space="preserve"> </w:t>
      </w:r>
      <w:r>
        <w:t xml:space="preserve">shown significant fluctuations reflecting changing</w:t>
      </w:r>
      <w:r>
        <w:t xml:space="preserve"> </w:t>
      </w:r>
      <w:r>
        <w:t xml:space="preserve">market risk perceptions and economic conditions.</w:t>
      </w:r>
      <w:r>
        <w:t xml:space="preserve"> </w:t>
      </w:r>
      <w:r>
        <w:t xml:space="preserve">In the first half of 2025, 10-year Bund yields averaged</w:t>
      </w:r>
      <w:r>
        <w:t xml:space="preserve"> </w:t>
      </w:r>
      <w:r>
        <w:t xml:space="preserve">around 2.5%, broadly stable compared to late 2024 and</w:t>
      </w:r>
      <w:r>
        <w:t xml:space="preserve"> </w:t>
      </w:r>
      <w:r>
        <w:t xml:space="preserve">significantly above the negative or near-zero rates that</w:t>
      </w:r>
      <w:r>
        <w:t xml:space="preserve"> </w:t>
      </w:r>
      <w:r>
        <w:t xml:space="preserve">prevailed until early 2022. The CDS spreads spiked</w:t>
      </w:r>
      <w:r>
        <w:t xml:space="preserve"> </w:t>
      </w:r>
      <w:r>
        <w:t xml:space="preserve">sharply during the 2008-2009 financial crisis, reaching</w:t>
      </w:r>
      <w:r>
        <w:t xml:space="preserve"> </w:t>
      </w:r>
      <w:r>
        <w:t xml:space="preserve">peaks above 50 basis points, signalling increased credit</w:t>
      </w:r>
      <w:r>
        <w:t xml:space="preserve"> </w:t>
      </w:r>
      <w:r>
        <w:t xml:space="preserve">risk concerns. Over the following years, CDS spreads</w:t>
      </w:r>
      <w:r>
        <w:t xml:space="preserve"> </w:t>
      </w:r>
      <w:r>
        <w:t xml:space="preserve">steadily declined, with CDS spreads dropping below 10</w:t>
      </w:r>
      <w:r>
        <w:t xml:space="preserve"> </w:t>
      </w:r>
      <w:r>
        <w:t xml:space="preserve">basis points by 2014 and even lower in subsequent</w:t>
      </w:r>
      <w:r>
        <w:t xml:space="preserve"> </w:t>
      </w:r>
      <w:r>
        <w:t xml:space="preserve">years, indicating improved investor confidence. More</w:t>
      </w:r>
      <w:r>
        <w:t xml:space="preserve"> </w:t>
      </w:r>
      <w:r>
        <w:t xml:space="preserve">recently, from 2022 onward, CDS spreads have</w:t>
      </w:r>
      <w:r>
        <w:t xml:space="preserve"> </w:t>
      </w:r>
      <w:r>
        <w:t xml:space="preserve">marginally increased, rising above 15 basis points.</w:t>
      </w:r>
      <w:r>
        <w:t xml:space="preserve"> </w:t>
      </w:r>
      <w:r>
        <w:t xml:space="preserve">-50.0</w:t>
      </w:r>
      <w:r>
        <w:t xml:space="preserve"> </w:t>
      </w:r>
      <w:r>
        <w:t xml:space="preserve">0.0</w:t>
      </w:r>
      <w:r>
        <w:t xml:space="preserve"> </w:t>
      </w:r>
      <w:r>
        <w:t xml:space="preserve">50.0</w:t>
      </w:r>
      <w:r>
        <w:t xml:space="preserve"> </w:t>
      </w:r>
      <w:r>
        <w:t xml:space="preserve">100.0</w:t>
      </w:r>
      <w:r>
        <w:t xml:space="preserve"> </w:t>
      </w:r>
      <w:r>
        <w:t xml:space="preserve">150.0</w:t>
      </w:r>
      <w:r>
        <w:t xml:space="preserve"> </w:t>
      </w:r>
      <w:r>
        <w:t xml:space="preserve">200.0</w:t>
      </w:r>
      <w:r>
        <w:t xml:space="preserve"> </w:t>
      </w:r>
      <w:r>
        <w:t xml:space="preserve">250.0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449</w:t>
      </w:r>
      <w:r>
        <w:t xml:space="preserve"> </w:t>
      </w:r>
      <w:r>
        <w:t xml:space="preserve">1.13.6</w:t>
      </w:r>
      <w:r>
        <w:t xml:space="preserve"> </w:t>
      </w:r>
      <w:r>
        <w:t xml:space="preserve">Long-term interest rates and credit default swaps</w:t>
      </w:r>
      <w:r>
        <w:t xml:space="preserve"> </w:t>
      </w:r>
      <w:r>
        <w:t xml:space="preserve">Source: London Stock Exchange Group.</w:t>
      </w:r>
      <w:r>
        <w:t xml:space="preserve"> </w:t>
      </w:r>
      <w:r>
        <w:t xml:space="preserve">Even though German companies rely more heavily</w:t>
      </w:r>
      <w:r>
        <w:t xml:space="preserve"> </w:t>
      </w:r>
      <w:r>
        <w:t xml:space="preserve">on debt than some of their EU peers, their overall</w:t>
      </w:r>
      <w:r>
        <w:t xml:space="preserve"> </w:t>
      </w:r>
      <w:r>
        <w:t xml:space="preserve">funding structure reflects a relatively balanced mix</w:t>
      </w:r>
      <w:r>
        <w:t xml:space="preserve"> </w:t>
      </w:r>
      <w:r>
        <w:t xml:space="preserve">of financial instruments. In 2023, loans to NFCs in</w:t>
      </w:r>
      <w:r>
        <w:t xml:space="preserve"> </w:t>
      </w:r>
      <w:r>
        <w:t xml:space="preserve">Germany amounted to 54% of GDP, slightly below the</w:t>
      </w:r>
      <w:r>
        <w:t xml:space="preserve"> </w:t>
      </w:r>
      <w:r>
        <w:t xml:space="preserve">EU average of 62.7%. Similarly, German firms made</w:t>
      </w:r>
      <w:r>
        <w:t xml:space="preserve"> </w:t>
      </w:r>
      <w:r>
        <w:t xml:space="preserve">moderate use of trade credit (7.2% of GDP vs. 8.7% in</w:t>
      </w:r>
      <w:r>
        <w:t xml:space="preserve"> </w:t>
      </w:r>
      <w:r>
        <w:t xml:space="preserve">the EU) and bonds (5.6% vs. 10.8%). German</w:t>
      </w:r>
      <w:r>
        <w:t xml:space="preserve"> </w:t>
      </w:r>
      <w:r>
        <w:t xml:space="preserve">companies also rely significantly on equity to finance</w:t>
      </w:r>
      <w:r>
        <w:t xml:space="preserve"> </w:t>
      </w:r>
      <w:r>
        <w:t xml:space="preserve">their activities, though to a somewhat lesser extent than</w:t>
      </w:r>
      <w:r>
        <w:t xml:space="preserve"> </w:t>
      </w:r>
      <w:r>
        <w:t xml:space="preserve">the EU average. In 2023, total equity-based funding by</w:t>
      </w:r>
      <w:r>
        <w:t xml:space="preserve"> </w:t>
      </w:r>
      <w:r>
        <w:t xml:space="preserve">German NFCs, combining listed shares, unlisted</w:t>
      </w:r>
      <w:r>
        <w:t xml:space="preserve"> </w:t>
      </w:r>
      <w:r>
        <w:t xml:space="preserve">shares, and other equity, amounted to 127% of GDP,</w:t>
      </w:r>
      <w:r>
        <w:t xml:space="preserve"> </w:t>
      </w:r>
      <w:r>
        <w:t xml:space="preserve">compared to 147.7% in the EU. This reflects a robust</w:t>
      </w:r>
      <w:r>
        <w:t xml:space="preserve"> </w:t>
      </w:r>
      <w:r>
        <w:t xml:space="preserve">capital structure supported by strong internal financing,</w:t>
      </w:r>
      <w:r>
        <w:t xml:space="preserve"> </w:t>
      </w:r>
      <w:r>
        <w:t xml:space="preserve">even if German firms make slightly less use of equity</w:t>
      </w:r>
      <w:r>
        <w:t xml:space="preserve"> </w:t>
      </w:r>
      <w:r>
        <w:t xml:space="preserve">overall. Within this, the use of listed shares in Germany</w:t>
      </w:r>
      <w:r>
        <w:t xml:space="preserve"> </w:t>
      </w:r>
      <w:r>
        <w:t xml:space="preserve">(42% of GDP) was broadly in line with the EU average</w:t>
      </w:r>
      <w:r>
        <w:t xml:space="preserve"> </w:t>
      </w:r>
      <w:r>
        <w:t xml:space="preserve">(43.9%).</w:t>
      </w:r>
      <w:r>
        <w:t xml:space="preserve"> </w:t>
      </w:r>
      <w:r>
        <w:t xml:space="preserve">1.13.7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While</w:t>
      </w:r>
      <w:r>
        <w:t xml:space="preserve"> </w:t>
      </w:r>
      <w:r>
        <w:t xml:space="preserve">German</w:t>
      </w:r>
      <w:r>
        <w:t xml:space="preserve"> </w:t>
      </w:r>
      <w:r>
        <w:t xml:space="preserve">households</w:t>
      </w:r>
      <w:r>
        <w:t xml:space="preserve"> </w:t>
      </w:r>
      <w:r>
        <w:t xml:space="preserve">hold</w:t>
      </w:r>
      <w:r>
        <w:t xml:space="preserve"> </w:t>
      </w:r>
      <w:r>
        <w:t xml:space="preserve">substantial</w:t>
      </w:r>
      <w:r>
        <w:t xml:space="preserve"> </w:t>
      </w:r>
      <w:r>
        <w:t xml:space="preserve">financial assets overall, their participation in capital</w:t>
      </w:r>
      <w:r>
        <w:t xml:space="preserve"> </w:t>
      </w:r>
      <w:r>
        <w:t xml:space="preserve">markets is somewhat low compared to the EU</w:t>
      </w:r>
      <w:r>
        <w:t xml:space="preserve"> </w:t>
      </w:r>
      <w:r>
        <w:t xml:space="preserve">average. At the end of 2023, their aggregate financial</w:t>
      </w:r>
      <w:r>
        <w:t xml:space="preserve"> </w:t>
      </w:r>
      <w:r>
        <w:t xml:space="preserve">wealth stood at around 210% of GDP, in line with the</w:t>
      </w:r>
      <w:r>
        <w:t xml:space="preserve"> </w:t>
      </w:r>
      <w:r>
        <w:t xml:space="preserve">EU average. A large portion of this is held in cash and</w:t>
      </w:r>
      <w:r>
        <w:t xml:space="preserve"> </w:t>
      </w:r>
      <w:r>
        <w:t xml:space="preserve">deposits (79% of GDP vs. 68% in the EU), indicating</w:t>
      </w:r>
      <w:r>
        <w:t xml:space="preserve"> </w:t>
      </w:r>
      <w:r>
        <w:t xml:space="preserve">a strong preference for liquid and low-risk savings.</w:t>
      </w:r>
      <w:r>
        <w:t xml:space="preserve"> </w:t>
      </w:r>
      <w:r>
        <w:t xml:space="preserve">Holdings in insurance and pension products (58.1%)</w:t>
      </w:r>
      <w:r>
        <w:t xml:space="preserve"> </w:t>
      </w:r>
      <w:r>
        <w:t xml:space="preserve">match the EU average, while investment fund holdings</w:t>
      </w:r>
      <w:r>
        <w:t xml:space="preserve"> </w:t>
      </w:r>
      <w:r>
        <w:t xml:space="preserve">are slightly higher (25.5% vs. 21.0%). When it comes</w:t>
      </w:r>
      <w:r>
        <w:t xml:space="preserve"> </w:t>
      </w:r>
      <w:r>
        <w:t xml:space="preserve">to listed shares, German households are more engaged</w:t>
      </w:r>
      <w:r>
        <w:t xml:space="preserve"> </w:t>
      </w:r>
      <w:r>
        <w:t xml:space="preserve">than their EU peers, holding assets worth 13% of GDP,</w:t>
      </w:r>
      <w:r>
        <w:t xml:space="preserve"> </w:t>
      </w:r>
      <w:r>
        <w:t xml:space="preserve">compared to 10% in the EU. However, their exposure</w:t>
      </w:r>
      <w:r>
        <w:t xml:space="preserve"> </w:t>
      </w:r>
      <w:r>
        <w:t xml:space="preserve">to unlisted shares is considerably lower (6.0% vs. </w:t>
      </w:r>
      <w:r>
        <w:t xml:space="preserve"> </w:t>
      </w:r>
      <w:r>
        <w:t xml:space="preserve">22.6%), suggesting limited participation in private</w:t>
      </w:r>
      <w:r>
        <w:t xml:space="preserve"> </w:t>
      </w:r>
      <w:r>
        <w:t xml:space="preserve">companies. Overall, the data reflect a cautious</w:t>
      </w:r>
      <w:r>
        <w:t xml:space="preserve"> </w:t>
      </w:r>
      <w:r>
        <w:t xml:space="preserve">investment profile, with a high reliance on traditional</w:t>
      </w:r>
      <w:r>
        <w:t xml:space="preserve"> </w:t>
      </w:r>
      <w:r>
        <w:t xml:space="preserve">savings and a relatively low share of riskier or less</w:t>
      </w:r>
      <w:r>
        <w:t xml:space="preserve"> </w:t>
      </w:r>
      <w:r>
        <w:t xml:space="preserve">liquid capital market instruments.</w:t>
      </w:r>
      <w:r>
        <w:t xml:space="preserve"> </w:t>
      </w:r>
      <w:r>
        <w:t xml:space="preserve">1.13.8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Germany remains one of the largest private equity</w:t>
      </w:r>
      <w:r>
        <w:t xml:space="preserve"> </w:t>
      </w:r>
      <w:r>
        <w:t xml:space="preserve">(PE) and venture capital (VC) markets in the EU,</w:t>
      </w:r>
      <w:r>
        <w:t xml:space="preserve"> </w:t>
      </w:r>
      <w:r>
        <w:t xml:space="preserve">although activity has slowed in recent years due to</w:t>
      </w:r>
      <w:r>
        <w:t xml:space="preserve"> </w:t>
      </w:r>
      <w:r>
        <w:t xml:space="preserve">persistent macroeconomic uncertainty. In 2024,</w:t>
      </w:r>
      <w:r>
        <w:t xml:space="preserve"> </w:t>
      </w:r>
      <w:r>
        <w:t xml:space="preserve">total PE and VC investments declined to EUR</w:t>
      </w:r>
      <w:r>
        <w:t xml:space="preserve"> </w:t>
      </w:r>
      <w:r>
        <w:t xml:space="preserve">11.3 billion (–13% year-on-year), with buyouts</w:t>
      </w:r>
      <w:r>
        <w:t xml:space="preserve"> </w:t>
      </w:r>
      <w:r>
        <w:t xml:space="preserve">representing the largest segment (EUR 5.5 billion)</w:t>
      </w:r>
      <w:r>
        <w:t xml:space="preserve"> </w:t>
      </w:r>
      <w:r>
        <w:t xml:space="preserve">despite a sharp drop from 2023. However, VC in</w:t>
      </w:r>
      <w:r>
        <w:t xml:space="preserve"> </w:t>
      </w:r>
      <w:r>
        <w:t xml:space="preserve">isolation rebounded to EUR 3.4 billion (+31%),</w:t>
      </w:r>
      <w:r>
        <w:t xml:space="preserve"> </w:t>
      </w:r>
      <w:r>
        <w:t xml:space="preserve">marking the first annual increase since 2021. As of the</w:t>
      </w:r>
      <w:r>
        <w:t xml:space="preserve"> </w:t>
      </w:r>
      <w:r>
        <w:t xml:space="preserve">start of 2025, PE exit value in Germany grew nearly</w:t>
      </w:r>
      <w:r>
        <w:t xml:space="preserve"> </w:t>
      </w:r>
      <w:r>
        <w:t xml:space="preserve">40% qoq to reach EUR 11 billion even as IPO activity</w:t>
      </w:r>
      <w:r>
        <w:t xml:space="preserve"> </w:t>
      </w:r>
      <w:r>
        <w:t xml:space="preserve">in the country stalled. There were 38 PE exits, the</w:t>
      </w:r>
      <w:r>
        <w:t xml:space="preserve"> </w:t>
      </w:r>
      <w:r>
        <w:t xml:space="preserve">combined value of which marked the highest quarter</w:t>
      </w:r>
      <w:r>
        <w:t xml:space="preserve"> </w:t>
      </w:r>
      <w:r>
        <w:t xml:space="preserve">since Q4 2023, according to PitchBook. Total exit</w:t>
      </w:r>
      <w:r>
        <w:t xml:space="preserve"> </w:t>
      </w:r>
      <w:r>
        <w:t xml:space="preserve">value as of Q1 is already 42% of 2024’s full-year total.</w:t>
      </w:r>
      <w:r>
        <w:t xml:space="preserve"> </w:t>
      </w:r>
      <w:r>
        <w:t xml:space="preserve">The main sectors attracting VC funding included AI,</w:t>
      </w:r>
      <w:r>
        <w:t xml:space="preserve"> </w:t>
      </w:r>
      <w:r>
        <w:t xml:space="preserve">defence and climate technology, with several large-</w:t>
      </w:r>
      <w:r>
        <w:t xml:space="preserve"> </w:t>
      </w:r>
      <w:r>
        <w:t xml:space="preserve">scale financing rounds in high-growth companies.</w:t>
      </w:r>
      <w:r>
        <w:t xml:space="preserve"> </w:t>
      </w:r>
      <w:r>
        <w:t xml:space="preserve">Fundraising activity also showed signs of stabilisation:</w:t>
      </w:r>
      <w:r>
        <w:t xml:space="preserve"> </w:t>
      </w:r>
      <w:r>
        <w:t xml:space="preserve">German PE and VC funds raised EUR 6.3 billion in</w:t>
      </w:r>
      <w:r>
        <w:t xml:space="preserve"> </w:t>
      </w:r>
      <w:r>
        <w:t xml:space="preserve">2024, up from EUR 6.0 billion in 2023. The German</w:t>
      </w:r>
      <w:r>
        <w:t xml:space="preserve"> </w:t>
      </w:r>
      <w:r>
        <w:t xml:space="preserve">market continues to benefit from a strong institutional</w:t>
      </w:r>
      <w:r>
        <w:t xml:space="preserve"> </w:t>
      </w:r>
      <w:r>
        <w:t xml:space="preserve">investor base and recent policy reforms, such as the</w:t>
      </w:r>
      <w:r>
        <w:t xml:space="preserve"> </w:t>
      </w:r>
      <w:r>
        <w:t xml:space="preserve">elimination of VAT on fund management fees, which</w:t>
      </w:r>
      <w:r>
        <w:t xml:space="preserve"> </w:t>
      </w:r>
      <w:r>
        <w:t xml:space="preserve">are expected to strengthen its competitiveness further.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2008</w:t>
      </w:r>
      <w:r>
        <w:t xml:space="preserve"> </w:t>
      </w:r>
      <w:r>
        <w:t xml:space="preserve">2013</w:t>
      </w:r>
      <w:r>
        <w:t xml:space="preserve"> </w:t>
      </w:r>
      <w:r>
        <w:t xml:space="preserve">2018</w:t>
      </w:r>
      <w:r>
        <w:t xml:space="preserve"> </w:t>
      </w:r>
      <w:r>
        <w:t xml:space="preserve">2023</w:t>
      </w:r>
      <w:r>
        <w:t xml:space="preserve"> </w:t>
      </w:r>
      <w:r>
        <w:t xml:space="preserve">bps</w:t>
      </w:r>
      <w:r>
        <w:t xml:space="preserve"> </w:t>
      </w:r>
      <w:r>
        <w:t xml:space="preserve">%</w:t>
      </w:r>
      <w:r>
        <w:t xml:space="preserve"> </w:t>
      </w:r>
      <w:r>
        <w:t xml:space="preserve">10Y yield (lhs)</w:t>
      </w:r>
      <w:r>
        <w:t xml:space="preserve"> </w:t>
      </w:r>
      <w:r>
        <w:t xml:space="preserve">Spread vs bund (rhs)</w:t>
      </w:r>
      <w:r>
        <w:t xml:space="preserve"> </w:t>
      </w:r>
      <w:r>
        <w:t xml:space="preserve">5Y CDS (rhs)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DE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DE</w:t>
      </w:r>
      <w:r>
        <w:t xml:space="preserve"> </w:t>
      </w:r>
      <w:r>
        <w:t xml:space="preserve">EU</w:t>
      </w:r>
      <w:r>
        <w:t xml:space="preserve"> </w:t>
      </w:r>
      <w:r>
        <w:t xml:space="preserve">DE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450</w:t>
      </w:r>
      <w:r>
        <w:t xml:space="preserve"> </w:t>
      </w:r>
      <w:r>
        <w:t xml:space="preserve">The outlook for 2025 remains cautious, but interest rate</w:t>
      </w:r>
      <w:r>
        <w:t xml:space="preserve"> </w:t>
      </w:r>
      <w:r>
        <w:t xml:space="preserve">cuts and improved economic sentiment could support a</w:t>
      </w:r>
      <w:r>
        <w:t xml:space="preserve"> </w:t>
      </w:r>
      <w:r>
        <w:t xml:space="preserve">gradual recovery, especially in the VC segment.</w:t>
      </w:r>
      <w:r>
        <w:t xml:space="preserve"> </w:t>
      </w:r>
      <w:r>
        <w:t xml:space="preserve">1.14 Greece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Greek economy relies on external funding to</w:t>
      </w:r>
      <w:r>
        <w:t xml:space="preserve"> </w:t>
      </w:r>
      <w:r>
        <w:t xml:space="preserve">meet its investment needs. The negative net private</w:t>
      </w:r>
      <w:r>
        <w:t xml:space="preserve"> </w:t>
      </w:r>
      <w:r>
        <w:t xml:space="preserve">savings and investment balance over the last decade</w:t>
      </w:r>
      <w:r>
        <w:t xml:space="preserve"> </w:t>
      </w:r>
      <w:r>
        <w:t xml:space="preserve">(2015-2024), and government deficits between 2020</w:t>
      </w:r>
      <w:r>
        <w:t xml:space="preserve"> </w:t>
      </w:r>
      <w:r>
        <w:t xml:space="preserve">and 2023 led to increasing borrowing from the rest of</w:t>
      </w:r>
      <w:r>
        <w:t xml:space="preserve"> </w:t>
      </w:r>
      <w:r>
        <w:t xml:space="preserve">the world. In 2024, the private savings ratio, net of</w:t>
      </w:r>
      <w:r>
        <w:t xml:space="preserve"> </w:t>
      </w:r>
      <w:r>
        <w:t xml:space="preserve">fixed capital consumption, remained negative at -5.1%</w:t>
      </w:r>
      <w:r>
        <w:t xml:space="preserve"> </w:t>
      </w:r>
      <w:r>
        <w:t xml:space="preserve">of GDP, and its ten-year average of -3.6% of GDP (see</w:t>
      </w:r>
      <w:r>
        <w:t xml:space="preserve"> </w:t>
      </w:r>
      <w:r>
        <w:t xml:space="preserve">Graph 2.12.1). The net private investment ratio, turned</w:t>
      </w:r>
      <w:r>
        <w:t xml:space="preserve"> </w:t>
      </w:r>
      <w:r>
        <w:t xml:space="preserve">positive in 2022. Over the last decade, net private</w:t>
      </w:r>
      <w:r>
        <w:t xml:space="preserve"> </w:t>
      </w:r>
      <w:r>
        <w:t xml:space="preserve">investment, which was negative from 2011 to 2021,</w:t>
      </w:r>
      <w:r>
        <w:t xml:space="preserve"> </w:t>
      </w:r>
      <w:r>
        <w:t xml:space="preserve">averaged the equivalent of -1.9% of GDP per year.</w:t>
      </w:r>
      <w:r>
        <w:t xml:space="preserve"> </w:t>
      </w:r>
      <w:r>
        <w:t xml:space="preserve">Lending to the government increased sizeably in the</w:t>
      </w:r>
      <w:r>
        <w:t xml:space="preserve"> </w:t>
      </w:r>
      <w:r>
        <w:t xml:space="preserve">Covid crisis but deficit decreased markedly in 2023 and</w:t>
      </w:r>
      <w:r>
        <w:t xml:space="preserve"> </w:t>
      </w:r>
      <w:r>
        <w:t xml:space="preserve">turned into surplus in 2024. Together, the negative</w:t>
      </w:r>
      <w:r>
        <w:t xml:space="preserve"> </w:t>
      </w:r>
      <w:r>
        <w:t xml:space="preserve">balance between net private savings and net</w:t>
      </w:r>
      <w:r>
        <w:t xml:space="preserve"> </w:t>
      </w:r>
      <w:r>
        <w:t xml:space="preserve">investment, and the positive average lending to the</w:t>
      </w:r>
      <w:r>
        <w:t xml:space="preserve"> </w:t>
      </w:r>
      <w:r>
        <w:t xml:space="preserve">government implied that for the last ten years the Greek</w:t>
      </w:r>
      <w:r>
        <w:t xml:space="preserve"> </w:t>
      </w:r>
      <w:r>
        <w:t xml:space="preserve">economy borrowed each year, on average, the</w:t>
      </w:r>
      <w:r>
        <w:t xml:space="preserve"> </w:t>
      </w:r>
      <w:r>
        <w:t xml:space="preserve">equivalent of 4.0% of GDP from the rest of the world.</w:t>
      </w:r>
      <w:r>
        <w:t xml:space="preserve"> </w:t>
      </w:r>
      <w:r>
        <w:t xml:space="preserve">2.12.1:</w:t>
      </w:r>
      <w:r>
        <w:t xml:space="preserve"> </w:t>
      </w:r>
      <w:r>
        <w:t xml:space="preserve">Net savings-investment balance</w:t>
      </w:r>
    </w:p>
    <w:p>
      <w:pPr>
        <w:pStyle w:val="BodyText"/>
      </w:pPr>
      <w:r>
        <w:t xml:space="preserve">Source: AMECO.</w:t>
      </w:r>
      <w:r>
        <w:t xml:space="preserve"> </w:t>
      </w:r>
      <w:r>
        <w:t xml:space="preserve">The Greek economy improved its (negative) net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investment</w:t>
      </w:r>
      <w:r>
        <w:t xml:space="preserve"> </w:t>
      </w:r>
      <w:r>
        <w:t xml:space="preserve">position,</w:t>
      </w:r>
      <w:r>
        <w:t xml:space="preserve"> </w:t>
      </w:r>
      <w:r>
        <w:t xml:space="preserve">despite</w:t>
      </w:r>
      <w:r>
        <w:t xml:space="preserve"> </w:t>
      </w:r>
      <w:r>
        <w:t xml:space="preserve">a</w:t>
      </w:r>
      <w:r>
        <w:t xml:space="preserve"> </w:t>
      </w:r>
      <w:r>
        <w:t xml:space="preserve">structural net borrowing from abroad. In December</w:t>
      </w:r>
      <w:r>
        <w:t xml:space="preserve"> </w:t>
      </w:r>
      <w:r>
        <w:t xml:space="preserve">2024, Greece’s NIIP stood at -130.4% of GDP709, an</w:t>
      </w:r>
      <w:r>
        <w:t xml:space="preserve"> </w:t>
      </w:r>
      <w:r>
        <w:t xml:space="preserve">improvement from -167.4% in 2021, driven by</w:t>
      </w:r>
      <w:r>
        <w:t xml:space="preserve"> </w:t>
      </w:r>
      <w:r>
        <w:t xml:space="preserve">nominal GDP growth and favourable valuation effects,</w:t>
      </w:r>
      <w:r>
        <w:t xml:space="preserve"> </w:t>
      </w:r>
      <w:r>
        <w:t xml:space="preserve">more than offsetting the negative impact of the current</w:t>
      </w:r>
    </w:p>
    <w:p>
      <w:pPr>
        <w:pStyle w:val="BodyText"/>
      </w:pPr>
      <w:r>
        <w:t xml:space="preserve">709 For more detailed analysis, see also In-depth reviews - European</w:t>
      </w:r>
      <w:r>
        <w:t xml:space="preserve"> </w:t>
      </w:r>
      <w:r>
        <w:t xml:space="preserve">Commission, May 2025.</w:t>
      </w:r>
      <w:r>
        <w:t xml:space="preserve"> </w:t>
      </w:r>
      <w:r>
        <w:t xml:space="preserve">account deficit. As of Q4 2024, total assets on</w:t>
      </w:r>
      <w:r>
        <w:t xml:space="preserve"> </w:t>
      </w:r>
      <w:r>
        <w:t xml:space="preserve">foreigners reached 144% of GDP, up from 110% in</w:t>
      </w:r>
      <w:r>
        <w:t xml:space="preserve"> </w:t>
      </w:r>
      <w:r>
        <w:t xml:space="preserve">2017, while liabilities to foreigners stood at 277% of</w:t>
      </w:r>
      <w:r>
        <w:t xml:space="preserve"> </w:t>
      </w:r>
      <w:r>
        <w:t xml:space="preserve">GDP, up from 250% in 2017 (see Graph 2.12.2). The</w:t>
      </w:r>
      <w:r>
        <w:t xml:space="preserve"> </w:t>
      </w:r>
      <w:r>
        <w:t xml:space="preserve">Greek economy remains a major net borrower from the</w:t>
      </w:r>
      <w:r>
        <w:t xml:space="preserve"> </w:t>
      </w:r>
      <w:r>
        <w:t xml:space="preserve">rest of the world. While direct and other investments</w:t>
      </w:r>
      <w:r>
        <w:t xml:space="preserve"> </w:t>
      </w:r>
      <w:r>
        <w:t xml:space="preserve">abroad have been broadly stable relative to GDP,</w:t>
      </w:r>
      <w:r>
        <w:t xml:space="preserve"> </w:t>
      </w:r>
      <w:r>
        <w:t xml:space="preserve">Greeks’ gross portfolio investments abroad increased</w:t>
      </w:r>
      <w:r>
        <w:t xml:space="preserve"> </w:t>
      </w:r>
      <w:r>
        <w:t xml:space="preserve">significantly by 33 percentage points of GDP between</w:t>
      </w:r>
      <w:r>
        <w:t xml:space="preserve"> </w:t>
      </w:r>
      <w:r>
        <w:t xml:space="preserve">2017 and Q3 2024 and reached the equivalent of 92%</w:t>
      </w:r>
      <w:r>
        <w:t xml:space="preserve"> </w:t>
      </w:r>
      <w:r>
        <w:t xml:space="preserve">of GDP. During the same period, the stock of gross</w:t>
      </w:r>
      <w:r>
        <w:t xml:space="preserve"> </w:t>
      </w:r>
      <w:r>
        <w:t xml:space="preserve">foreign direct investments (FDI) in Greece increased</w:t>
      </w:r>
      <w:r>
        <w:t xml:space="preserve"> </w:t>
      </w:r>
      <w:r>
        <w:t xml:space="preserve">by 10 percentage points up to 29% of GDP, while other</w:t>
      </w:r>
      <w:r>
        <w:t xml:space="preserve"> </w:t>
      </w:r>
      <w:r>
        <w:t xml:space="preserve">dues to foreigners (primarily loans) rose by 11</w:t>
      </w:r>
      <w:r>
        <w:t xml:space="preserve"> </w:t>
      </w:r>
      <w:r>
        <w:t xml:space="preserve">percentage points up to 217% of GDP. Thus, overall,</w:t>
      </w:r>
      <w:r>
        <w:t xml:space="preserve"> </w:t>
      </w:r>
      <w:r>
        <w:t xml:space="preserve">despite a net increase in FDI in the country, and given</w:t>
      </w:r>
      <w:r>
        <w:t xml:space="preserve"> </w:t>
      </w:r>
      <w:r>
        <w:t xml:space="preserve">its negative net savings, the Greek economy remains</w:t>
      </w:r>
      <w:r>
        <w:t xml:space="preserve"> </w:t>
      </w:r>
      <w:r>
        <w:t xml:space="preserve">involved in international capital flows primarily as a</w:t>
      </w:r>
      <w:r>
        <w:t xml:space="preserve"> </w:t>
      </w:r>
      <w:r>
        <w:t xml:space="preserve">significant financial borrower.</w:t>
      </w:r>
      <w:r>
        <w:t xml:space="preserve"> </w:t>
      </w:r>
      <w:r>
        <w:t xml:space="preserve">2.12.2: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Capital markets in Greece remain relatively</w:t>
      </w:r>
      <w:r>
        <w:t xml:space="preserve"> </w:t>
      </w:r>
      <w:r>
        <w:t xml:space="preserve">underdeveloped. The market capitalisation of listed</w:t>
      </w:r>
      <w:r>
        <w:t xml:space="preserve"> </w:t>
      </w:r>
      <w:r>
        <w:t xml:space="preserve">equity reached the equivalent of 33.3% of GDP at end-</w:t>
      </w:r>
      <w:r>
        <w:t xml:space="preserve"> </w:t>
      </w:r>
      <w:r>
        <w:t xml:space="preserve">2024, which is much below the EU average of 66.8%</w:t>
      </w:r>
      <w:r>
        <w:t xml:space="preserve"> </w:t>
      </w:r>
      <w:r>
        <w:t xml:space="preserve">(see Graph 2.12.3). Non-financial corporations</w:t>
      </w:r>
      <w:r>
        <w:t xml:space="preserve"> </w:t>
      </w:r>
      <w:r>
        <w:t xml:space="preserve">accounted for 64% of that capitalisation. The</w:t>
      </w:r>
      <w:r>
        <w:t xml:space="preserve"> </w:t>
      </w:r>
      <w:r>
        <w:t xml:space="preserve">outstanding volume of debt securities reached the</w:t>
      </w:r>
      <w:r>
        <w:t xml:space="preserve"> </w:t>
      </w:r>
      <w:r>
        <w:t xml:space="preserve">equivalent of 63.5% of GDP at end-2024, which is also</w:t>
      </w:r>
      <w:r>
        <w:t xml:space="preserve"> </w:t>
      </w:r>
      <w:r>
        <w:t xml:space="preserve">significantly below the EU average of 140% of GDP.</w:t>
      </w:r>
      <w:r>
        <w:t xml:space="preserve"> </w:t>
      </w:r>
      <w:r>
        <w:t xml:space="preserve">General government bonds accounted for 71% of the</w:t>
      </w:r>
      <w:r>
        <w:t xml:space="preserve"> </w:t>
      </w:r>
      <w:r>
        <w:t xml:space="preserve">outstanding amounts of debt securities. The remainder</w:t>
      </w:r>
      <w:r>
        <w:t xml:space="preserve"> </w:t>
      </w:r>
      <w:r>
        <w:t xml:space="preserve">was distributed between banks (20%), non-financial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-400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451</w:t>
      </w:r>
      <w:r>
        <w:t xml:space="preserve"> </w:t>
      </w:r>
      <w:r>
        <w:t xml:space="preserve">corporations (5%) and other financial intermediaries</w:t>
      </w:r>
      <w:r>
        <w:t xml:space="preserve"> </w:t>
      </w:r>
      <w:r>
        <w:t xml:space="preserve">(4%). Thus, the contribution of capital markets in</w:t>
      </w:r>
      <w:r>
        <w:t xml:space="preserve"> </w:t>
      </w:r>
      <w:r>
        <w:t xml:space="preserve">Greece to the financing of the domestic economy</w:t>
      </w:r>
      <w:r>
        <w:t xml:space="preserve"> </w:t>
      </w:r>
      <w:r>
        <w:t xml:space="preserve">appears to be rather limited. In April 2025, Greece</w:t>
      </w:r>
      <w:r>
        <w:t xml:space="preserve"> </w:t>
      </w:r>
      <w:r>
        <w:t xml:space="preserve">passed a law incorporating a set of incentives in order</w:t>
      </w:r>
      <w:r>
        <w:t xml:space="preserve"> </w:t>
      </w:r>
      <w:r>
        <w:t xml:space="preserve">to enhance its capital market, including facilitating</w:t>
      </w:r>
      <w:r>
        <w:t xml:space="preserve"> </w:t>
      </w:r>
      <w:r>
        <w:t xml:space="preserve">SME’s listings on the stock exchange.</w:t>
      </w:r>
      <w:r>
        <w:t xml:space="preserve"> </w:t>
      </w:r>
      <w:r>
        <w:t xml:space="preserve">2.12.3: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The financial sector in Greece remains dominantly</w:t>
      </w:r>
      <w:r>
        <w:t xml:space="preserve"> </w:t>
      </w:r>
      <w:r>
        <w:t xml:space="preserve">bank-based and non-bank financial intermediation</w:t>
      </w:r>
      <w:r>
        <w:t xml:space="preserve"> </w:t>
      </w:r>
      <w:r>
        <w:t xml:space="preserve">is not developed. The assets of the banking sector</w:t>
      </w:r>
      <w:r>
        <w:t xml:space="preserve"> </w:t>
      </w:r>
      <w:r>
        <w:t xml:space="preserve">reached 135.2% of GDP in 2024, overshadowing other</w:t>
      </w:r>
      <w:r>
        <w:t xml:space="preserve"> </w:t>
      </w:r>
      <w:r>
        <w:t xml:space="preserve">segments. Foreign banks control only about 1.2% of</w:t>
      </w:r>
      <w:r>
        <w:t xml:space="preserve"> </w:t>
      </w:r>
      <w:r>
        <w:t xml:space="preserve">the sector’s assets. Insurance corporations held assets</w:t>
      </w:r>
      <w:r>
        <w:t xml:space="preserve"> </w:t>
      </w:r>
      <w:r>
        <w:t xml:space="preserve">equivalent to 8.9% of GDP, and investment funds</w:t>
      </w:r>
      <w:r>
        <w:t xml:space="preserve"> </w:t>
      </w:r>
      <w:r>
        <w:t xml:space="preserve">accounted for 8.6%, pointing to a relatively modest role</w:t>
      </w:r>
      <w:r>
        <w:t xml:space="preserve"> </w:t>
      </w:r>
      <w:r>
        <w:t xml:space="preserve">for institutional investors and suggesting room for</w:t>
      </w:r>
      <w:r>
        <w:t xml:space="preserve"> </w:t>
      </w:r>
      <w:r>
        <w:t xml:space="preserve">growth. Pension funds are practically non-existent.</w:t>
      </w:r>
      <w:r>
        <w:br/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Greek companies rely more on bank funding and</w:t>
      </w:r>
      <w:r>
        <w:t xml:space="preserve"> </w:t>
      </w:r>
      <w:r>
        <w:t xml:space="preserve">less on capital markets than their EU peers in</w:t>
      </w:r>
      <w:r>
        <w:t xml:space="preserve"> </w:t>
      </w:r>
      <w:r>
        <w:t xml:space="preserve">relative terms. At the end of 2024 bank finance</w:t>
      </w:r>
      <w:r>
        <w:t xml:space="preserve"> </w:t>
      </w:r>
      <w:r>
        <w:t xml:space="preserve">through loans constituted 37.2% of all funding sources</w:t>
      </w:r>
      <w:r>
        <w:t xml:space="preserve"> </w:t>
      </w:r>
      <w:r>
        <w:t xml:space="preserve">for Greek NFCs, while listed shares and bonds</w:t>
      </w:r>
      <w:r>
        <w:t xml:space="preserve"> </w:t>
      </w:r>
      <w:r>
        <w:t xml:space="preserve">represented only 15.7% of funding sources (see Graph</w:t>
      </w:r>
      <w:r>
        <w:t xml:space="preserve"> </w:t>
      </w:r>
      <w:r>
        <w:t xml:space="preserve">2.12.4). The equivalent figures for the EU average are</w:t>
      </w:r>
      <w:r>
        <w:t xml:space="preserve"> </w:t>
      </w:r>
      <w:r>
        <w:t xml:space="preserve">27.0% and 23.8%. Expressed as a share of GDP, Greek</w:t>
      </w:r>
      <w:r>
        <w:t xml:space="preserve"> </w:t>
      </w:r>
      <w:r>
        <w:t xml:space="preserve">NFCs also rely less on bank finance than the EU</w:t>
      </w:r>
      <w:r>
        <w:t xml:space="preserve"> </w:t>
      </w:r>
      <w:r>
        <w:t xml:space="preserve">average (bank finance through loans for Greek NFCs is</w:t>
      </w:r>
      <w:r>
        <w:t xml:space="preserve"> </w:t>
      </w:r>
      <w:r>
        <w:t xml:space="preserve">equivalent to 52.5% of GDP against an EU average of</w:t>
      </w:r>
      <w:r>
        <w:t xml:space="preserve"> </w:t>
      </w:r>
      <w:r>
        <w:t xml:space="preserve">60.9% of GDP) and less on listed shares and bonds than</w:t>
      </w:r>
    </w:p>
    <w:p>
      <w:pPr>
        <w:pStyle w:val="BodyText"/>
      </w:pPr>
      <w:r>
        <w:t xml:space="preserve">710 See “Benefits for the Greek economy from resolving bad loans</w:t>
      </w:r>
      <w:r>
        <w:t xml:space="preserve"> </w:t>
      </w:r>
      <w:r>
        <w:t xml:space="preserve">and zombie firms” published on the Economic Bulletin of Bank</w:t>
      </w:r>
      <w:r>
        <w:t xml:space="preserve"> </w:t>
      </w:r>
      <w:r>
        <w:t xml:space="preserve">of</w:t>
      </w:r>
      <w:r>
        <w:t xml:space="preserve"> </w:t>
      </w:r>
      <w:r>
        <w:t xml:space="preserve">Greece,</w:t>
      </w:r>
      <w:r>
        <w:t xml:space="preserve"> </w:t>
      </w:r>
      <w:r>
        <w:t xml:space="preserve">July</w:t>
      </w:r>
      <w:r>
        <w:t xml:space="preserve"> </w:t>
      </w:r>
      <w:r>
        <w:t xml:space="preserve">2024</w:t>
      </w:r>
      <w:r>
        <w:t xml:space="preserve"> </w:t>
      </w:r>
      <w:r>
        <w:t xml:space="preserve">the EU average (listed shares and bonds of Greek NFCs</w:t>
      </w:r>
      <w:r>
        <w:t xml:space="preserve"> </w:t>
      </w:r>
      <w:r>
        <w:t xml:space="preserve">are equivalent to 22.2% of GDP against an EU average</w:t>
      </w:r>
      <w:r>
        <w:t xml:space="preserve"> </w:t>
      </w:r>
      <w:r>
        <w:t xml:space="preserve">of 53.8% of GDP). However, this is because overall</w:t>
      </w:r>
      <w:r>
        <w:t xml:space="preserve"> </w:t>
      </w:r>
      <w:r>
        <w:t xml:space="preserve">levels of funding of NFCs are lower in Greece than the</w:t>
      </w:r>
      <w:r>
        <w:t xml:space="preserve"> </w:t>
      </w:r>
      <w:r>
        <w:t xml:space="preserve">EU average (as the overall level of NFC funding was</w:t>
      </w:r>
      <w:r>
        <w:t xml:space="preserve"> </w:t>
      </w:r>
      <w:r>
        <w:t xml:space="preserve">141.3% in Greece and 225.6% of GDP for the EU</w:t>
      </w:r>
      <w:r>
        <w:t xml:space="preserve"> </w:t>
      </w:r>
      <w:r>
        <w:t xml:space="preserve">average). Further, a sizeable part of NFCs is effectively</w:t>
      </w:r>
      <w:r>
        <w:t xml:space="preserve"> </w:t>
      </w:r>
      <w:r>
        <w:t xml:space="preserve">excluded from capital markets as their non-performing</w:t>
      </w:r>
      <w:r>
        <w:t xml:space="preserve"> </w:t>
      </w:r>
      <w:r>
        <w:t xml:space="preserve">loans were transferred from banks to credit servicers</w:t>
      </w:r>
      <w:r>
        <w:t xml:space="preserve"> </w:t>
      </w:r>
      <w:r>
        <w:t xml:space="preserve">(EUR 27.9 billion or 35% or of total NPLs in servicers’</w:t>
      </w:r>
      <w:r>
        <w:t xml:space="preserve"> </w:t>
      </w:r>
      <w:r>
        <w:t xml:space="preserve">accounts in June 2025). A recent study710 found a</w:t>
      </w:r>
      <w:r>
        <w:t xml:space="preserve"> </w:t>
      </w:r>
      <w:r>
        <w:t xml:space="preserve">strong positive correlation between NPLs and the</w:t>
      </w:r>
      <w:r>
        <w:t xml:space="preserve"> </w:t>
      </w:r>
      <w:r>
        <w:t xml:space="preserve">prevalence of “zombie” companies in the Greek</w:t>
      </w:r>
      <w:r>
        <w:t xml:space="preserve"> </w:t>
      </w:r>
      <w:r>
        <w:t xml:space="preserve">economy and revealed that a high concentration of</w:t>
      </w:r>
      <w:r>
        <w:t xml:space="preserve"> </w:t>
      </w:r>
      <w:r>
        <w:t xml:space="preserve">capital in zombie firms hinders investment by healthy</w:t>
      </w:r>
      <w:r>
        <w:t xml:space="preserve"> </w:t>
      </w:r>
      <w:r>
        <w:t xml:space="preserve">firms and prevents the reallocation of capital to more</w:t>
      </w:r>
      <w:r>
        <w:t xml:space="preserve"> </w:t>
      </w:r>
      <w:r>
        <w:t xml:space="preserve">productive uses. As regards Greek SMEs, their use of</w:t>
      </w:r>
      <w:r>
        <w:t xml:space="preserve"> </w:t>
      </w:r>
      <w:r>
        <w:t xml:space="preserve">equity is low, despite 17% of SMEs indicating in the</w:t>
      </w:r>
      <w:r>
        <w:t xml:space="preserve"> </w:t>
      </w:r>
      <w:r>
        <w:t xml:space="preserve">2024 SAFE survey that equity is relevant for them,</w:t>
      </w:r>
      <w:r>
        <w:t xml:space="preserve"> </w:t>
      </w:r>
      <w:r>
        <w:t xml:space="preserve">compared with an EU average of 11.7%.711</w:t>
      </w:r>
      <w:r>
        <w:t xml:space="preserve"> </w:t>
      </w:r>
      <w:r>
        <w:t xml:space="preserve">2.12.4: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End-2023.</w:t>
      </w:r>
      <w:r>
        <w:t xml:space="preserve"> </w:t>
      </w:r>
      <w:r>
        <w:t xml:space="preserve">Businesses in Greece depend more on internal</w:t>
      </w:r>
      <w:r>
        <w:t xml:space="preserve"> </w:t>
      </w:r>
      <w:r>
        <w:t xml:space="preserve">financing than their European peers. According to</w:t>
      </w:r>
      <w:r>
        <w:t xml:space="preserve"> </w:t>
      </w:r>
      <w:r>
        <w:t xml:space="preserve">the 2024 EIB Investment Survey, 75% of Greek firms’</w:t>
      </w:r>
      <w:r>
        <w:t xml:space="preserve"> </w:t>
      </w:r>
      <w:r>
        <w:t xml:space="preserve">investment needs are covered by internal funding,</w:t>
      </w:r>
      <w:r>
        <w:t xml:space="preserve"> </w:t>
      </w:r>
      <w:r>
        <w:t xml:space="preserve">compared with an EU average of 66%. In this survey,</w:t>
      </w:r>
      <w:r>
        <w:t xml:space="preserve"> </w:t>
      </w:r>
      <w:r>
        <w:t xml:space="preserve">72% of Greek firms declared that they believed their</w:t>
      </w:r>
      <w:r>
        <w:t xml:space="preserve"> </w:t>
      </w:r>
      <w:r>
        <w:t xml:space="preserve">investment activities over the last three years were at</w:t>
      </w:r>
      <w:r>
        <w:t xml:space="preserve"> </w:t>
      </w:r>
      <w:r>
        <w:t xml:space="preserve">about the right amount (EU average: 80%), while 14%</w:t>
      </w:r>
      <w:r>
        <w:t xml:space="preserve"> </w:t>
      </w:r>
      <w:r>
        <w:t xml:space="preserve">believed they invested too much (EU average: 6%).</w:t>
      </w:r>
      <w:r>
        <w:t xml:space="preserve"> </w:t>
      </w:r>
      <w:r>
        <w:t xml:space="preserve">This suggests that there is no material financing gap</w:t>
      </w:r>
      <w:r>
        <w:t xml:space="preserve"> </w:t>
      </w:r>
      <w:r>
        <w:t xml:space="preserve">relative to investment demand in Greece. However,</w:t>
      </w:r>
      <w:r>
        <w:t xml:space="preserve"> </w:t>
      </w:r>
      <w:r>
        <w:t xml:space="preserve">this may not be the case for firms with no or limited</w:t>
      </w:r>
      <w:r>
        <w:t xml:space="preserve"> </w:t>
      </w:r>
      <w:r>
        <w:t xml:space="preserve">capacity for internal funding, such as innovative start-</w:t>
      </w:r>
      <w:r>
        <w:t xml:space="preserve"> </w:t>
      </w:r>
      <w:r>
        <w:t xml:space="preserve">up firms.</w:t>
      </w:r>
      <w:r>
        <w:t xml:space="preserve"> </w:t>
      </w:r>
      <w:r>
        <w:t xml:space="preserve">(https://www.bankofgreece.gr/Publications/oikodelt202407.pdf</w:t>
      </w:r>
      <w:r>
        <w:t xml:space="preserve"> </w:t>
      </w:r>
      <w:r>
        <w:t xml:space="preserve">)</w:t>
      </w:r>
      <w:r>
        <w:t xml:space="preserve"> </w:t>
      </w:r>
      <w:r>
        <w:t xml:space="preserve">711 Data and surveys - SAFE - European Commission, 2024,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GR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452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Greek capital market is underdeveloped and is</w:t>
      </w:r>
      <w:r>
        <w:t xml:space="preserve"> </w:t>
      </w:r>
      <w:r>
        <w:t xml:space="preserve">recovering since the Greek sovereign debt crisis.</w:t>
      </w:r>
      <w:r>
        <w:t xml:space="preserve"> </w:t>
      </w:r>
      <w:r>
        <w:t xml:space="preserve">Sources of alternative non-bank financing remain</w:t>
      </w:r>
      <w:r>
        <w:t xml:space="preserve"> </w:t>
      </w:r>
      <w:r>
        <w:t xml:space="preserve">limited. The market-funding ratio has improved since</w:t>
      </w:r>
      <w:r>
        <w:t xml:space="preserve"> </w:t>
      </w:r>
      <w:r>
        <w:t xml:space="preserve">2017 but remains at low levels, reaching 28.7% in</w:t>
      </w:r>
      <w:r>
        <w:t xml:space="preserve"> </w:t>
      </w:r>
      <w:r>
        <w:t xml:space="preserve">2024, significantly lower than the EU average (49.5%,</w:t>
      </w:r>
      <w:r>
        <w:t xml:space="preserve"> </w:t>
      </w:r>
      <w:r>
        <w:t xml:space="preserve">see Table 6). Similarly, stock market capitalization</w:t>
      </w:r>
      <w:r>
        <w:t xml:space="preserve"> </w:t>
      </w:r>
      <w:r>
        <w:t xml:space="preserve">improved, from 22.9% in 2017 to 33.3% in 2024 but</w:t>
      </w:r>
      <w:r>
        <w:t xml:space="preserve"> </w:t>
      </w:r>
      <w:r>
        <w:t xml:space="preserve">remain well below EU average of 66.8%. The market</w:t>
      </w:r>
      <w:r>
        <w:t xml:space="preserve"> </w:t>
      </w:r>
      <w:r>
        <w:t xml:space="preserve">was demoted in 2012 from MSCI Developed Market</w:t>
      </w:r>
      <w:r>
        <w:t xml:space="preserve"> </w:t>
      </w:r>
      <w:r>
        <w:t xml:space="preserve">Status to Emerging Market Status and is still in this</w:t>
      </w:r>
      <w:r>
        <w:t xml:space="preserve"> </w:t>
      </w:r>
      <w:r>
        <w:t xml:space="preserve">category but is likely to return to developed market</w:t>
      </w:r>
      <w:r>
        <w:t xml:space="preserve"> </w:t>
      </w:r>
      <w:r>
        <w:t xml:space="preserve">status in 2026. On the positive side, trading volumes on</w:t>
      </w:r>
      <w:r>
        <w:t xml:space="preserve"> </w:t>
      </w:r>
      <w:r>
        <w:t xml:space="preserve">the Athens Stock Exchange are rapidly rising (+25%</w:t>
      </w:r>
      <w:r>
        <w:t xml:space="preserve"> </w:t>
      </w:r>
      <w:r>
        <w:t xml:space="preserve">growth in 2024). Trade is however concentrated, with</w:t>
      </w:r>
      <w:r>
        <w:t xml:space="preserve"> </w:t>
      </w:r>
      <w:r>
        <w:t xml:space="preserve">the top five most traded stocks accounting for 57.8% of</w:t>
      </w:r>
      <w:r>
        <w:t xml:space="preserve"> </w:t>
      </w:r>
      <w:r>
        <w:t xml:space="preserve">the total trading volume in 2024 (an EU average of</w:t>
      </w:r>
      <w:r>
        <w:t xml:space="preserve"> </w:t>
      </w:r>
      <w:r>
        <w:t xml:space="preserve">32.7%). In terms of performance, the general stock</w:t>
      </w:r>
      <w:r>
        <w:t xml:space="preserve"> </w:t>
      </w:r>
      <w:r>
        <w:t xml:space="preserve">market index and bank stock index heavily</w:t>
      </w:r>
      <w:r>
        <w:t xml:space="preserve"> </w:t>
      </w:r>
      <w:r>
        <w:t xml:space="preserve">underperformed the relevant Stoxx Europe 600 indices</w:t>
      </w:r>
      <w:r>
        <w:t xml:space="preserve"> </w:t>
      </w:r>
      <w:r>
        <w:t xml:space="preserve">see Graph 2.12.5). This is a direct consequence of</w:t>
      </w:r>
      <w:r>
        <w:t xml:space="preserve"> </w:t>
      </w:r>
      <w:r>
        <w:t xml:space="preserve">Greek government-debt crisis when a lot of equity was</w:t>
      </w:r>
      <w:r>
        <w:t xml:space="preserve"> </w:t>
      </w:r>
      <w:r>
        <w:t xml:space="preserve">wiped-out, particularly in the banking sector.</w:t>
      </w:r>
      <w:r>
        <w:br/>
      </w:r>
      <w:r>
        <w:t xml:space="preserve">2.12.5: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Group712.</w:t>
      </w:r>
      <w:r>
        <w:t xml:space="preserve"> </w:t>
      </w:r>
      <w:r>
        <w:t xml:space="preserve">The bond market remains almost untapped by local</w:t>
      </w:r>
      <w:r>
        <w:t xml:space="preserve"> </w:t>
      </w:r>
      <w:r>
        <w:t xml:space="preserve">firms as debt market finance remains a minor</w:t>
      </w:r>
      <w:r>
        <w:t xml:space="preserve"> </w:t>
      </w:r>
      <w:r>
        <w:t xml:space="preserve">source of funding. Apart from modest government</w:t>
      </w:r>
      <w:r>
        <w:t xml:space="preserve"> </w:t>
      </w:r>
      <w:r>
        <w:t xml:space="preserve">issuances (due to long-term fiscal consolidation</w:t>
      </w:r>
      <w:r>
        <w:t xml:space="preserve"> </w:t>
      </w:r>
      <w:r>
        <w:t xml:space="preserve">efforts), main issuances on the bond market are driven</w:t>
      </w:r>
      <w:r>
        <w:t xml:space="preserve"> </w:t>
      </w:r>
      <w:r>
        <w:t xml:space="preserve">by banks, principally to comply with their MREL</w:t>
      </w:r>
      <w:r>
        <w:t xml:space="preserve"> </w:t>
      </w:r>
      <w:r>
        <w:t xml:space="preserve">requirements. Issuances by NFCs are rare, with most</w:t>
      </w:r>
      <w:r>
        <w:t xml:space="preserve"> </w:t>
      </w:r>
      <w:r>
        <w:t xml:space="preserve">companies relying heavily on bank lending. In the past,</w:t>
      </w:r>
    </w:p>
    <w:p>
      <w:pPr>
        <w:pStyle w:val="BodyText"/>
      </w:pPr>
      <w:r>
        <w:t xml:space="preserve">712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this was explained by the lack of market demand for</w:t>
      </w:r>
      <w:r>
        <w:t xml:space="preserve"> </w:t>
      </w:r>
      <w:r>
        <w:t xml:space="preserve">Greek corporate debt, which has recently started to</w:t>
      </w:r>
      <w:r>
        <w:t xml:space="preserve"> </w:t>
      </w:r>
      <w:r>
        <w:t xml:space="preserve">change.</w:t>
      </w:r>
      <w:r>
        <w:t xml:space="preserve"> </w:t>
      </w:r>
      <w:r>
        <w:t xml:space="preserve">2.12.6: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Greek households own fewer financial assets than</w:t>
      </w:r>
      <w:r>
        <w:t xml:space="preserve"> </w:t>
      </w:r>
      <w:r>
        <w:t xml:space="preserve">households in other EU Member States, both in</w:t>
      </w:r>
      <w:r>
        <w:t xml:space="preserve"> </w:t>
      </w:r>
      <w:r>
        <w:t xml:space="preserve">absolute and relative terms. As of end-2024, an</w:t>
      </w:r>
      <w:r>
        <w:t xml:space="preserve"> </w:t>
      </w:r>
      <w:r>
        <w:t xml:space="preserve">average Greek household held less than half of</w:t>
      </w:r>
      <w:r>
        <w:t xml:space="preserve"> </w:t>
      </w:r>
      <w:r>
        <w:t xml:space="preserve">financial assets of an average household in the EU.</w:t>
      </w:r>
      <w:r>
        <w:t xml:space="preserve"> </w:t>
      </w:r>
      <w:r>
        <w:t xml:space="preserve">Total financial assets held by households represented</w:t>
      </w:r>
      <w:r>
        <w:t xml:space="preserve"> </w:t>
      </w:r>
      <w:r>
        <w:t xml:space="preserve">the equivalent of 143% of GDP, versus an EU average</w:t>
      </w:r>
      <w:r>
        <w:t xml:space="preserve"> </w:t>
      </w:r>
      <w:r>
        <w:t xml:space="preserve">of 212% (see Graph 2.12.7). Greek households heavily</w:t>
      </w:r>
      <w:r>
        <w:t xml:space="preserve"> </w:t>
      </w:r>
      <w:r>
        <w:t xml:space="preserve">favour holding their financial assets in cash and</w:t>
      </w:r>
      <w:r>
        <w:t xml:space="preserve"> </w:t>
      </w:r>
      <w:r>
        <w:t xml:space="preserve">deposits (72.2% of GDP, compared to 67.3% of GDP</w:t>
      </w:r>
      <w:r>
        <w:t xml:space="preserve"> </w:t>
      </w:r>
      <w:r>
        <w:t xml:space="preserve">in the EU) over other types of investments. This</w:t>
      </w:r>
      <w:r>
        <w:t xml:space="preserve"> </w:t>
      </w:r>
      <w:r>
        <w:t xml:space="preserve">outcome reflects a conservative approach to managing</w:t>
      </w:r>
      <w:r>
        <w:t xml:space="preserve"> </w:t>
      </w:r>
      <w:r>
        <w:t xml:space="preserve">wealth, with a strong preference for more liquid and</w:t>
      </w:r>
      <w:r>
        <w:t xml:space="preserve"> </w:t>
      </w:r>
      <w:r>
        <w:t xml:space="preserve">safer assets.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GR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ATHEX COMPOSITE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0.0</w:t>
      </w:r>
      <w:r>
        <w:t xml:space="preserve"> </w:t>
      </w:r>
      <w:r>
        <w:t xml:space="preserve">5.0</w:t>
      </w:r>
      <w:r>
        <w:t xml:space="preserve"> </w:t>
      </w:r>
      <w:r>
        <w:t xml:space="preserve">10.0</w:t>
      </w:r>
      <w:r>
        <w:t xml:space="preserve"> </w:t>
      </w:r>
      <w:r>
        <w:t xml:space="preserve">15.0</w:t>
      </w:r>
      <w:r>
        <w:t xml:space="preserve"> </w:t>
      </w:r>
      <w:r>
        <w:t xml:space="preserve">20.0</w:t>
      </w:r>
      <w:r>
        <w:t xml:space="preserve"> </w:t>
      </w:r>
      <w:r>
        <w:t xml:space="preserve">25.0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453</w:t>
      </w:r>
      <w:r>
        <w:t xml:space="preserve"> </w:t>
      </w:r>
      <w:r>
        <w:t xml:space="preserve">2.12.7: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End-2023.</w:t>
      </w:r>
      <w:r>
        <w:t xml:space="preserve"> </w:t>
      </w:r>
      <w:r>
        <w:t xml:space="preserve">There is some scope to increase the level of direct or</w:t>
      </w:r>
      <w:r>
        <w:t xml:space="preserve"> </w:t>
      </w:r>
      <w:r>
        <w:t xml:space="preserve">indirect retail investment in Greek capital markets.</w:t>
      </w:r>
      <w:r>
        <w:t xml:space="preserve"> </w:t>
      </w:r>
      <w:r>
        <w:t xml:space="preserve">Greek households had negative saving rates over the</w:t>
      </w:r>
      <w:r>
        <w:t xml:space="preserve"> </w:t>
      </w:r>
      <w:r>
        <w:t xml:space="preserve">last decade, a direct consequence of the Greek</w:t>
      </w:r>
      <w:r>
        <w:t xml:space="preserve"> </w:t>
      </w:r>
      <w:r>
        <w:t xml:space="preserve">government-debt crisis and the subsequent reduction in</w:t>
      </w:r>
      <w:r>
        <w:t xml:space="preserve"> </w:t>
      </w:r>
      <w:r>
        <w:t xml:space="preserve">household disposable income. For many Greeks,</w:t>
      </w:r>
      <w:r>
        <w:t xml:space="preserve"> </w:t>
      </w:r>
      <w:r>
        <w:t xml:space="preserve">household income over the past decade was barely</w:t>
      </w:r>
      <w:r>
        <w:t xml:space="preserve"> </w:t>
      </w:r>
      <w:r>
        <w:t xml:space="preserve">sufficient for basic needs and debt repayments. More</w:t>
      </w:r>
      <w:r>
        <w:t xml:space="preserve"> </w:t>
      </w:r>
      <w:r>
        <w:t xml:space="preserve">advanced financial products are available on the Greek</w:t>
      </w:r>
      <w:r>
        <w:t xml:space="preserve"> </w:t>
      </w:r>
      <w:r>
        <w:t xml:space="preserve">market for retail investors. However, only a small part</w:t>
      </w:r>
      <w:r>
        <w:t xml:space="preserve"> </w:t>
      </w:r>
      <w:r>
        <w:t xml:space="preserve">of the population shows an interest, including because</w:t>
      </w:r>
      <w:r>
        <w:t xml:space="preserve"> </w:t>
      </w:r>
      <w:r>
        <w:t xml:space="preserve">of the severe impact of the Greek crisis on the retail</w:t>
      </w:r>
      <w:r>
        <w:t xml:space="preserve"> </w:t>
      </w:r>
      <w:r>
        <w:t xml:space="preserve">investors. Regaining clients’ trust is therefore</w:t>
      </w:r>
      <w:r>
        <w:t xml:space="preserve"> </w:t>
      </w:r>
      <w:r>
        <w:t xml:space="preserve">challenging, and general interest in retail investment</w:t>
      </w:r>
      <w:r>
        <w:t xml:space="preserve"> </w:t>
      </w:r>
      <w:r>
        <w:t xml:space="preserve">remains low.</w:t>
      </w:r>
    </w:p>
    <w:p>
      <w:pPr>
        <w:pStyle w:val="BodyText"/>
      </w:pPr>
      <w:r>
        <w:t xml:space="preserve">1.15 Hungary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growing net private savings of the Hungarian</w:t>
      </w:r>
      <w:r>
        <w:t xml:space="preserve"> </w:t>
      </w:r>
      <w:r>
        <w:t xml:space="preserve">economy have helped to mitigate vulnerabilities</w:t>
      </w:r>
      <w:r>
        <w:t xml:space="preserve"> </w:t>
      </w:r>
      <w:r>
        <w:t xml:space="preserve">related to external financing. Throughout 2014 to</w:t>
      </w:r>
      <w:r>
        <w:t xml:space="preserve"> </w:t>
      </w:r>
      <w:r>
        <w:t xml:space="preserve">2023, the private savings ratio fluctuated around its ten-</w:t>
      </w:r>
      <w:r>
        <w:t xml:space="preserve"> </w:t>
      </w:r>
      <w:r>
        <w:t xml:space="preserve">year average of 10.7% of GDP, rising to 11.7% in</w:t>
      </w:r>
      <w:r>
        <w:t xml:space="preserve"> </w:t>
      </w:r>
      <w:r>
        <w:t xml:space="preserve">2023. The net private investment ratio, which</w:t>
      </w:r>
      <w:r>
        <w:t xml:space="preserve"> </w:t>
      </w:r>
      <w:r>
        <w:t xml:space="preserve">measures the private sector’s net contribution to capital</w:t>
      </w:r>
      <w:r>
        <w:t xml:space="preserve"> </w:t>
      </w:r>
      <w:r>
        <w:t xml:space="preserve">accumulation in the country, averaged 5.1% of GDP</w:t>
      </w:r>
      <w:r>
        <w:t xml:space="preserve"> </w:t>
      </w:r>
      <w:r>
        <w:t xml:space="preserve">over the decade but dropped to 3.1% in 2023. During</w:t>
      </w:r>
      <w:r>
        <w:t xml:space="preserve"> </w:t>
      </w:r>
      <w:r>
        <w:t xml:space="preserve">this period, lending to the government showed an</w:t>
      </w:r>
      <w:r>
        <w:t xml:space="preserve"> </w:t>
      </w:r>
      <w:r>
        <w:t xml:space="preserve">average deficit equivalent to 4.1% of GDP. The</w:t>
      </w:r>
      <w:r>
        <w:t xml:space="preserve"> </w:t>
      </w:r>
      <w:r>
        <w:t xml:space="preserve">substantial positive balance between net domestic</w:t>
      </w:r>
      <w:r>
        <w:t xml:space="preserve"> </w:t>
      </w:r>
      <w:r>
        <w:t xml:space="preserve">savings and net investment, coupled with a significant</w:t>
      </w:r>
      <w:r>
        <w:t xml:space="preserve"> </w:t>
      </w:r>
      <w:r>
        <w:t xml:space="preserve">government deficit, led to net lending of, on average,</w:t>
      </w:r>
      <w:r>
        <w:t xml:space="preserve"> </w:t>
      </w:r>
      <w:r>
        <w:t xml:space="preserve">1.5% of GDP to the rest of the world between 2014 and</w:t>
      </w:r>
      <w:r>
        <w:t xml:space="preserve"> </w:t>
      </w:r>
      <w:r>
        <w:t xml:space="preserve">2023.</w:t>
      </w:r>
      <w:r>
        <w:t xml:space="preserve"> </w:t>
      </w:r>
      <w:r>
        <w:t xml:space="preserve">1.15.1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Net external liabilities declined to circa 32% of</w:t>
      </w:r>
      <w:r>
        <w:t xml:space="preserve"> </w:t>
      </w:r>
      <w:r>
        <w:t xml:space="preserve">GDP, suggesting that Hungary remains a net capital</w:t>
      </w:r>
      <w:r>
        <w:t xml:space="preserve"> </w:t>
      </w:r>
      <w:r>
        <w:t xml:space="preserve">importer. As of Q3 2024, Hungary’s net international</w:t>
      </w:r>
      <w:r>
        <w:t xml:space="preserve"> </w:t>
      </w:r>
      <w:r>
        <w:t xml:space="preserve">investment position (NIIP) was equivalent to -31.8% of</w:t>
      </w:r>
      <w:r>
        <w:t xml:space="preserve"> </w:t>
      </w:r>
      <w:r>
        <w:t xml:space="preserve">GDP. Net foreign direct investment stock, which</w:t>
      </w:r>
      <w:r>
        <w:t xml:space="preserve"> </w:t>
      </w:r>
      <w:r>
        <w:t xml:space="preserve">reached -32% of GDP as of Q3 2024, accounted for</w:t>
      </w:r>
      <w:r>
        <w:t xml:space="preserve"> </w:t>
      </w:r>
      <w:r>
        <w:t xml:space="preserve">most of the NIIP. The significant stock of foreign</w:t>
      </w:r>
      <w:r>
        <w:t xml:space="preserve"> </w:t>
      </w:r>
      <w:r>
        <w:t xml:space="preserve">reserves, which amounted to 22.4% of GDP, decreases</w:t>
      </w:r>
      <w:r>
        <w:t xml:space="preserve"> </w:t>
      </w:r>
      <w:r>
        <w:t xml:space="preserve">net external liabilities. The net portfolio investments,</w:t>
      </w:r>
      <w:r>
        <w:t xml:space="preserve"> </w:t>
      </w:r>
      <w:r>
        <w:t xml:space="preserve">which are directly affected by the price volatility of</w:t>
      </w:r>
      <w:r>
        <w:t xml:space="preserve"> </w:t>
      </w:r>
      <w:r>
        <w:t xml:space="preserve">equity valuations abroad (assets) and in Hungary</w:t>
      </w:r>
      <w:r>
        <w:t xml:space="preserve"> </w:t>
      </w:r>
      <w:r>
        <w:t xml:space="preserve">(liabilities), were negative to the tune of -20.7% of</w:t>
      </w:r>
      <w:r>
        <w:t xml:space="preserve"> </w:t>
      </w:r>
      <w:r>
        <w:t xml:space="preserve">GDP as of Q3 2024. They were in line with the net</w:t>
      </w:r>
      <w:r>
        <w:t xml:space="preserve"> </w:t>
      </w:r>
      <w:r>
        <w:t xml:space="preserve">stock of other investments, which amounted to -1.5%</w:t>
      </w:r>
      <w:r>
        <w:t xml:space="preserve"> </w:t>
      </w:r>
      <w:r>
        <w:t xml:space="preserve">of GDP at the same time.</w:t>
      </w:r>
      <w:r>
        <w:t xml:space="preserve"> </w:t>
      </w:r>
      <w:r>
        <w:t xml:space="preserve">1.15.2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Banks dominate the financial sector in Hungary</w:t>
      </w:r>
      <w:r>
        <w:t xml:space="preserve"> </w:t>
      </w:r>
      <w:r>
        <w:t xml:space="preserve">and there is scope for the future development of all</w:t>
      </w:r>
      <w:r>
        <w:t xml:space="preserve"> </w:t>
      </w:r>
      <w:r>
        <w:t xml:space="preserve">non-bank intermediaries. The banking sector is the</w:t>
      </w:r>
      <w:r>
        <w:t xml:space="preserve"> </w:t>
      </w:r>
      <w:r>
        <w:t xml:space="preserve">largest segment of the financial services, total assets of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GR</w:t>
      </w:r>
      <w:r>
        <w:t xml:space="preserve"> </w:t>
      </w:r>
      <w:r>
        <w:t xml:space="preserve">EU</w:t>
      </w:r>
      <w:r>
        <w:t xml:space="preserve"> </w:t>
      </w:r>
      <w:r>
        <w:t xml:space="preserve">GR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-60</w:t>
      </w:r>
      <w:r>
        <w:t xml:space="preserve"> </w:t>
      </w:r>
      <w:r>
        <w:t xml:space="preserve">-50</w:t>
      </w:r>
      <w:r>
        <w:t xml:space="preserve"> </w:t>
      </w:r>
      <w:r>
        <w:t xml:space="preserve">-40</w:t>
      </w:r>
      <w:r>
        <w:t xml:space="preserve"> </w:t>
      </w:r>
      <w:r>
        <w:t xml:space="preserve">-30</w:t>
      </w:r>
      <w:r>
        <w:t xml:space="preserve"> </w:t>
      </w:r>
      <w:r>
        <w:t xml:space="preserve">-20</w:t>
      </w:r>
      <w:r>
        <w:t xml:space="preserve"> </w:t>
      </w:r>
      <w:r>
        <w:t xml:space="preserve">-10</w:t>
      </w:r>
      <w:r>
        <w:t xml:space="preserve"> </w:t>
      </w:r>
      <w:r>
        <w:t xml:space="preserve">0</w:t>
      </w:r>
      <w:r>
        <w:t xml:space="preserve"> </w:t>
      </w:r>
      <w:r>
        <w:t xml:space="preserve">-600</w:t>
      </w:r>
      <w:r>
        <w:t xml:space="preserve"> </w:t>
      </w:r>
      <w:r>
        <w:t xml:space="preserve">-400</w:t>
      </w:r>
      <w:r>
        <w:t xml:space="preserve"> </w:t>
      </w:r>
      <w:r>
        <w:t xml:space="preserve">-200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454</w:t>
      </w:r>
      <w:r>
        <w:t xml:space="preserve"> </w:t>
      </w:r>
      <w:r>
        <w:t xml:space="preserve">banks accounting for 94.4% of GDP in 2024, which</w:t>
      </w:r>
      <w:r>
        <w:t xml:space="preserve"> </w:t>
      </w:r>
      <w:r>
        <w:t xml:space="preserve">remains however significantly below the EU average</w:t>
      </w:r>
      <w:r>
        <w:t xml:space="preserve"> </w:t>
      </w:r>
      <w:r>
        <w:t xml:space="preserve">of 251.1%. The total assets of investment funds</w:t>
      </w:r>
      <w:r>
        <w:t xml:space="preserve"> </w:t>
      </w:r>
      <w:r>
        <w:t xml:space="preserve">accounted for 28% of GDP in 2024. The insurance</w:t>
      </w:r>
      <w:r>
        <w:t xml:space="preserve"> </w:t>
      </w:r>
      <w:r>
        <w:t xml:space="preserve">sector assets accounted for only 4.8% of GDP in 2024</w:t>
      </w:r>
      <w:r>
        <w:t xml:space="preserve"> </w:t>
      </w:r>
      <w:r>
        <w:t xml:space="preserve">(EU average: 54.8%). The OECD reported the total</w:t>
      </w:r>
      <w:r>
        <w:t xml:space="preserve"> </w:t>
      </w:r>
      <w:r>
        <w:t xml:space="preserve">assets of Hungary’s pension funds equate to around</w:t>
      </w:r>
      <w:r>
        <w:t xml:space="preserve"> </w:t>
      </w:r>
      <w:r>
        <w:t xml:space="preserve">4.5% of GDP at end-2023.713</w:t>
      </w:r>
      <w:r>
        <w:t xml:space="preserve"> </w:t>
      </w:r>
      <w:r>
        <w:t xml:space="preserve">Capital</w:t>
      </w:r>
      <w:r>
        <w:t xml:space="preserve"> </w:t>
      </w:r>
      <w:r>
        <w:t xml:space="preserve">markets</w:t>
      </w:r>
      <w:r>
        <w:t xml:space="preserve"> </w:t>
      </w:r>
      <w:r>
        <w:t xml:space="preserve">in</w:t>
      </w:r>
      <w:r>
        <w:t xml:space="preserve"> </w:t>
      </w:r>
      <w:r>
        <w:t xml:space="preserve">Hungary</w:t>
      </w:r>
      <w:r>
        <w:t xml:space="preserve"> </w:t>
      </w:r>
      <w:r>
        <w:t xml:space="preserve">remain</w:t>
      </w:r>
      <w:r>
        <w:t xml:space="preserve"> </w:t>
      </w:r>
      <w:r>
        <w:t xml:space="preserve">underdeveloped. The market capitalisation of listed</w:t>
      </w:r>
      <w:r>
        <w:t xml:space="preserve"> </w:t>
      </w:r>
      <w:r>
        <w:t xml:space="preserve">equity reached 19% of GDP at end-2024 (EU average:</w:t>
      </w:r>
      <w:r>
        <w:t xml:space="preserve"> </w:t>
      </w:r>
      <w:r>
        <w:t xml:space="preserve">66.8%) (see Graph 2.13.3). Non-financial corporations</w:t>
      </w:r>
      <w:r>
        <w:t xml:space="preserve"> </w:t>
      </w:r>
      <w:r>
        <w:t xml:space="preserve">(NFCs) accounted for 44% of that capitalisation, while</w:t>
      </w:r>
      <w:r>
        <w:t xml:space="preserve"> </w:t>
      </w:r>
      <w:r>
        <w:t xml:space="preserve">financial corporations accounted for 56% of that</w:t>
      </w:r>
      <w:r>
        <w:t xml:space="preserve"> </w:t>
      </w:r>
      <w:r>
        <w:t xml:space="preserve">capitalisation. The outstanding volume of debt</w:t>
      </w:r>
      <w:r>
        <w:t xml:space="preserve"> </w:t>
      </w:r>
      <w:r>
        <w:t xml:space="preserve">securities reached 83.9% of GDP at end-2024.</w:t>
      </w:r>
      <w:r>
        <w:t xml:space="preserve"> </w:t>
      </w:r>
      <w:r>
        <w:t xml:space="preserve">However, marketable debt securities issued by NFCs</w:t>
      </w:r>
      <w:r>
        <w:t xml:space="preserve"> </w:t>
      </w:r>
      <w:r>
        <w:t xml:space="preserve">accounted for only 5.2% of the total bonds. Indeed, the</w:t>
      </w:r>
      <w:r>
        <w:t xml:space="preserve"> </w:t>
      </w:r>
      <w:r>
        <w:t xml:space="preserve">domestic bond market in Hungary is dominated by</w:t>
      </w:r>
      <w:r>
        <w:t xml:space="preserve"> </w:t>
      </w:r>
      <w:r>
        <w:t xml:space="preserve">government securities, which accounted for 69.5% of</w:t>
      </w:r>
      <w:r>
        <w:t xml:space="preserve"> </w:t>
      </w:r>
      <w:r>
        <w:t xml:space="preserve">the total bonds as of end-2024. Financial institutions,</w:t>
      </w:r>
      <w:r>
        <w:t xml:space="preserve"> </w:t>
      </w:r>
      <w:r>
        <w:t xml:space="preserve">whether banks or not, accounted for 13.8% of the total</w:t>
      </w:r>
      <w:r>
        <w:t xml:space="preserve"> </w:t>
      </w:r>
      <w:r>
        <w:t xml:space="preserve">debt securities.</w:t>
      </w:r>
      <w:r>
        <w:br/>
      </w:r>
      <w:r>
        <w:t xml:space="preserve">1.15.3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Hungarian companies rely a lot more on funding</w:t>
      </w:r>
      <w:r>
        <w:t xml:space="preserve"> </w:t>
      </w:r>
      <w:r>
        <w:t xml:space="preserve">from banks and much less on funding from capital</w:t>
      </w:r>
      <w:r>
        <w:t xml:space="preserve"> </w:t>
      </w:r>
      <w:r>
        <w:t xml:space="preserve">markets. As a source of finance for Hungarian NFCs,</w:t>
      </w:r>
      <w:r>
        <w:t xml:space="preserve"> </w:t>
      </w:r>
      <w:r>
        <w:t xml:space="preserve">loans were equivalent to 51.3% of GDP as of end-2024,</w:t>
      </w:r>
      <w:r>
        <w:t xml:space="preserve"> </w:t>
      </w:r>
      <w:r>
        <w:t xml:space="preserve">below the EU average of 60.9%. When expressed as a</w:t>
      </w:r>
    </w:p>
    <w:p>
      <w:pPr>
        <w:pStyle w:val="BodyText"/>
      </w:pPr>
      <w:r>
        <w:t xml:space="preserve">713 OECD, 2024, Pension Markets in Focus-2024, p. 11. This</w:t>
      </w:r>
      <w:r>
        <w:t xml:space="preserve"> </w:t>
      </w:r>
      <w:r>
        <w:t xml:space="preserve">suggests a possible financing gap for early-stage innovative</w:t>
      </w:r>
      <w:r>
        <w:t xml:space="preserve"> </w:t>
      </w:r>
      <w:r>
        <w:t xml:space="preserve">firms in need of capital with high risk tolerance, throughout their</w:t>
      </w:r>
      <w:r>
        <w:t xml:space="preserve"> </w:t>
      </w:r>
      <w:r>
        <w:t xml:space="preserve">life-cycle.</w:t>
      </w:r>
      <w:r>
        <w:t xml:space="preserve"> </w:t>
      </w:r>
      <w:r>
        <w:t xml:space="preserve">714 EIB, 2024, 2024 EIB Investment Survey, p. 29.</w:t>
      </w:r>
      <w:r>
        <w:t xml:space="preserve"> </w:t>
      </w:r>
      <w:r>
        <w:t xml:space="preserve">percentage of overall NFCs financing, loans accounted</w:t>
      </w:r>
      <w:r>
        <w:t xml:space="preserve"> </w:t>
      </w:r>
      <w:r>
        <w:t xml:space="preserve">for 30.1% of share of all financing (EU average: 27%).</w:t>
      </w:r>
      <w:r>
        <w:t xml:space="preserve"> </w:t>
      </w:r>
      <w:r>
        <w:t xml:space="preserve">On the other hand, Hungarian NFCs’ use of listed</w:t>
      </w:r>
      <w:r>
        <w:t xml:space="preserve"> </w:t>
      </w:r>
      <w:r>
        <w:t xml:space="preserve">shares and bonds was much lower than the EU average,</w:t>
      </w:r>
      <w:r>
        <w:t xml:space="preserve"> </w:t>
      </w:r>
      <w:r>
        <w:t xml:space="preserve">both expressed as a percentage of GDP (12% vs 53.8%)</w:t>
      </w:r>
      <w:r>
        <w:t xml:space="preserve"> </w:t>
      </w:r>
      <w:r>
        <w:t xml:space="preserve">and as a percentage of overall NFC financing (7% vs</w:t>
      </w:r>
      <w:r>
        <w:t xml:space="preserve"> </w:t>
      </w:r>
      <w:r>
        <w:t xml:space="preserve">23.8%) at end-2024. The overall level of non-financial</w:t>
      </w:r>
      <w:r>
        <w:t xml:space="preserve"> </w:t>
      </w:r>
      <w:r>
        <w:t xml:space="preserve">corporation (NFC) funding in Hungary was equivalent</w:t>
      </w:r>
      <w:r>
        <w:t xml:space="preserve"> </w:t>
      </w:r>
      <w:r>
        <w:t xml:space="preserve">to 170.2% of GDP, which is substantially lower than</w:t>
      </w:r>
      <w:r>
        <w:t xml:space="preserve"> </w:t>
      </w:r>
      <w:r>
        <w:t xml:space="preserve">the EU average of 225.6% of GDP at end-2024 (see</w:t>
      </w:r>
      <w:r>
        <w:t xml:space="preserve"> </w:t>
      </w:r>
      <w:r>
        <w:t xml:space="preserve">Graph 2.13.4).</w:t>
      </w:r>
      <w:r>
        <w:t xml:space="preserve"> </w:t>
      </w:r>
      <w:r>
        <w:t xml:space="preserve">Hungarian firms rely mostly on internal financing</w:t>
      </w:r>
      <w:r>
        <w:t xml:space="preserve"> </w:t>
      </w:r>
      <w:r>
        <w:t xml:space="preserve">like their European peers. According to the 2024 EIB</w:t>
      </w:r>
      <w:r>
        <w:t xml:space="preserve"> </w:t>
      </w:r>
      <w:r>
        <w:t xml:space="preserve">Investment Survey, the investment needs of 67% of</w:t>
      </w:r>
      <w:r>
        <w:t xml:space="preserve"> </w:t>
      </w:r>
      <w:r>
        <w:t xml:space="preserve">Hungarian firms are covered by internal funding, close</w:t>
      </w:r>
      <w:r>
        <w:t xml:space="preserve"> </w:t>
      </w:r>
      <w:r>
        <w:t xml:space="preserve">to the EU average of 66%.714 At the same time, 73% of</w:t>
      </w:r>
      <w:r>
        <w:t xml:space="preserve"> </w:t>
      </w:r>
      <w:r>
        <w:t xml:space="preserve">Hungarian firms believe that their investment activities</w:t>
      </w:r>
      <w:r>
        <w:t xml:space="preserve"> </w:t>
      </w:r>
      <w:r>
        <w:t xml:space="preserve">over the last three years were about the right amount</w:t>
      </w:r>
      <w:r>
        <w:t xml:space="preserve"> </w:t>
      </w:r>
      <w:r>
        <w:t xml:space="preserve">(below the EU average of 80%), while 18% of</w:t>
      </w:r>
      <w:r>
        <w:t xml:space="preserve"> </w:t>
      </w:r>
      <w:r>
        <w:t xml:space="preserve">Hungarian firms believe that their investment activities</w:t>
      </w:r>
      <w:r>
        <w:t xml:space="preserve"> </w:t>
      </w:r>
      <w:r>
        <w:t xml:space="preserve">were too little (above the EU average of 14%). Overall,</w:t>
      </w:r>
      <w:r>
        <w:t xml:space="preserve"> </w:t>
      </w:r>
      <w:r>
        <w:t xml:space="preserve">this suggests that most Hungarian firms do not perceive</w:t>
      </w:r>
      <w:r>
        <w:t xml:space="preserve"> </w:t>
      </w:r>
      <w:r>
        <w:t xml:space="preserve">major investment gaps.715</w:t>
      </w:r>
      <w:r>
        <w:t xml:space="preserve"> </w:t>
      </w:r>
      <w:r>
        <w:t xml:space="preserve">1.15.4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Hungarian</w:t>
      </w:r>
      <w:r>
        <w:t xml:space="preserve"> </w:t>
      </w:r>
      <w:r>
        <w:t xml:space="preserve">capital</w:t>
      </w:r>
      <w:r>
        <w:t xml:space="preserve"> </w:t>
      </w:r>
      <w:r>
        <w:t xml:space="preserve">markets</w:t>
      </w:r>
      <w:r>
        <w:t xml:space="preserve"> </w:t>
      </w:r>
      <w:r>
        <w:t xml:space="preserve">remain</w:t>
      </w:r>
      <w:r>
        <w:t xml:space="preserve"> </w:t>
      </w:r>
      <w:r>
        <w:t xml:space="preserve">under-</w:t>
      </w:r>
      <w:r>
        <w:t xml:space="preserve"> </w:t>
      </w:r>
      <w:r>
        <w:t xml:space="preserve">developed. As mentioned earlier, market capitalisation</w:t>
      </w:r>
      <w:r>
        <w:t xml:space="preserve"> </w:t>
      </w:r>
      <w:r>
        <w:t xml:space="preserve">of listed equity accounted for only 19% of GDP at end-</w:t>
      </w:r>
      <w:r>
        <w:t xml:space="preserve"> </w:t>
      </w:r>
      <w:r>
        <w:t xml:space="preserve">2024 (EU average: 66.8%). The use of equity by SMEs</w:t>
      </w:r>
      <w:r>
        <w:t xml:space="preserve"> </w:t>
      </w:r>
      <w:r>
        <w:t xml:space="preserve">is very low, as only 3% of SMEs indicated in the 2024</w:t>
      </w:r>
      <w:r>
        <w:t xml:space="preserve"> </w:t>
      </w:r>
      <w:r>
        <w:t xml:space="preserve">SAFE survey that equity was relevant to them,</w:t>
      </w:r>
      <w:r>
        <w:t xml:space="preserve"> </w:t>
      </w:r>
      <w:r>
        <w:t xml:space="preserve">compared to an EU average of 12%.716</w:t>
      </w:r>
      <w:r>
        <w:t xml:space="preserve"> </w:t>
      </w:r>
      <w:r>
        <w:t xml:space="preserve">715 Ibid., p. 7.</w:t>
      </w:r>
      <w:r>
        <w:t xml:space="preserve"> </w:t>
      </w:r>
      <w:r>
        <w:t xml:space="preserve">716 European Commission, 2024, Data and Surveys-SAFE,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​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HU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455</w:t>
      </w:r>
      <w:r>
        <w:t xml:space="preserve"> </w:t>
      </w:r>
      <w:r>
        <w:t xml:space="preserve">The main stock exchange in Hungary is the</w:t>
      </w:r>
      <w:r>
        <w:t xml:space="preserve"> </w:t>
      </w:r>
      <w:r>
        <w:t xml:space="preserve">Budapest Stock Exchange (BSE), which is home to</w:t>
      </w:r>
      <w:r>
        <w:t xml:space="preserve"> </w:t>
      </w:r>
      <w:r>
        <w:t xml:space="preserve">around 155 listed companies.717 The MNB has the</w:t>
      </w:r>
      <w:r>
        <w:t xml:space="preserve"> </w:t>
      </w:r>
      <w:r>
        <w:t xml:space="preserve">controlling ownership of the BSE. The BSE total</w:t>
      </w:r>
      <w:r>
        <w:t xml:space="preserve"> </w:t>
      </w:r>
      <w:r>
        <w:t xml:space="preserve">annual revenue for 2024 decreased by 14% compared</w:t>
      </w:r>
      <w:r>
        <w:t xml:space="preserve"> </w:t>
      </w:r>
      <w:r>
        <w:t xml:space="preserve">to 2023718, while the net profit remained stable. The</w:t>
      </w:r>
      <w:r>
        <w:t xml:space="preserve"> </w:t>
      </w:r>
      <w:r>
        <w:t xml:space="preserve">official index for BSE is the Budapest Index (BUX).</w:t>
      </w:r>
      <w:r>
        <w:t xml:space="preserve"> </w:t>
      </w:r>
      <w:r>
        <w:t xml:space="preserve">Both the index of the general stock market and the</w:t>
      </w:r>
      <w:r>
        <w:t xml:space="preserve"> </w:t>
      </w:r>
      <w:r>
        <w:t xml:space="preserve">index of Hungarian banks outperformed the EU</w:t>
      </w:r>
      <w:r>
        <w:t xml:space="preserve"> </w:t>
      </w:r>
      <w:r>
        <w:t xml:space="preserve">average over last years (see Graph 2.13.5). The equity</w:t>
      </w:r>
      <w:r>
        <w:t xml:space="preserve"> </w:t>
      </w:r>
      <w:r>
        <w:t xml:space="preserve">market is the most important segment of the BSE,</w:t>
      </w:r>
      <w:r>
        <w:t xml:space="preserve"> </w:t>
      </w:r>
      <w:r>
        <w:t xml:space="preserve">accounting for around 90% of trading revenue in 2024,</w:t>
      </w:r>
      <w:r>
        <w:t xml:space="preserve"> </w:t>
      </w:r>
      <w:r>
        <w:t xml:space="preserve">while the second largest trading revenue is generated</w:t>
      </w:r>
      <w:r>
        <w:t xml:space="preserve"> </w:t>
      </w:r>
      <w:r>
        <w:t xml:space="preserve">by derivatives.719 The BSE also operates a multilateral</w:t>
      </w:r>
      <w:r>
        <w:t xml:space="preserve"> </w:t>
      </w:r>
      <w:r>
        <w:t xml:space="preserve">trading facility (MTF) for SMEs called BSE Xtend;</w:t>
      </w:r>
      <w:r>
        <w:t xml:space="preserve"> </w:t>
      </w:r>
      <w:r>
        <w:t xml:space="preserve">and a new market segment for secondary bond trading</w:t>
      </w:r>
      <w:r>
        <w:t xml:space="preserve"> </w:t>
      </w:r>
      <w:r>
        <w:t xml:space="preserve">called BSE Xbond. KELER, the central depository,</w:t>
      </w:r>
      <w:r>
        <w:t xml:space="preserve"> </w:t>
      </w:r>
      <w:r>
        <w:t xml:space="preserve">was founded in 1993 by the Hungarian National Bank</w:t>
      </w:r>
      <w:r>
        <w:t xml:space="preserve"> </w:t>
      </w:r>
      <w:r>
        <w:t xml:space="preserve">(MNB), the Budapest Stock Exchange (BSE) and the</w:t>
      </w:r>
      <w:r>
        <w:t xml:space="preserve"> </w:t>
      </w:r>
      <w:r>
        <w:t xml:space="preserve">Budapest Stock Exchange and is currently owned by</w:t>
      </w:r>
      <w:r>
        <w:t xml:space="preserve"> </w:t>
      </w:r>
      <w:r>
        <w:t xml:space="preserve">the MNB (53.33%) and the BSE (46.67%).720</w:t>
      </w:r>
      <w:r>
        <w:t xml:space="preserve"> </w:t>
      </w:r>
      <w:r>
        <w:t xml:space="preserve">1.15.5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Group721.</w:t>
      </w:r>
      <w:r>
        <w:t xml:space="preserve"> </w:t>
      </w:r>
      <w:r>
        <w:t xml:space="preserve">Debt finance continues to be a significant source of</w:t>
      </w:r>
      <w:r>
        <w:t xml:space="preserve"> </w:t>
      </w:r>
      <w:r>
        <w:t xml:space="preserve">market funding for the government in Hungary. In</w:t>
      </w:r>
      <w:r>
        <w:t xml:space="preserve"> </w:t>
      </w:r>
      <w:r>
        <w:t xml:space="preserve">Q1 2025, the government issued EUR 5.7 billion of</w:t>
      </w:r>
      <w:r>
        <w:t xml:space="preserve"> </w:t>
      </w:r>
      <w:r>
        <w:t xml:space="preserve">debt securities, compared to EUR 7.3 billion for the</w:t>
      </w:r>
      <w:r>
        <w:t xml:space="preserve"> </w:t>
      </w:r>
      <w:r>
        <w:t xml:space="preserve">whole of 2024 (around 50% of total issued bonds in</w:t>
      </w:r>
      <w:r>
        <w:t xml:space="preserve"> </w:t>
      </w:r>
      <w:r>
        <w:t xml:space="preserve">2024). In Q1 2025, MFI net issuance was negative at</w:t>
      </w:r>
      <w:r>
        <w:t xml:space="preserve"> </w:t>
      </w:r>
      <w:r>
        <w:t xml:space="preserve">EUR -1 bn of debt securities, compared to EUR 6.4</w:t>
      </w:r>
      <w:r>
        <w:t xml:space="preserve"> </w:t>
      </w:r>
      <w:r>
        <w:t xml:space="preserve">billion for the whole of 2024 (44.1% of total issued</w:t>
      </w:r>
    </w:p>
    <w:p>
      <w:pPr>
        <w:pStyle w:val="BodyText"/>
      </w:pPr>
      <w:r>
        <w:t xml:space="preserve">717 BSE, 2025, Annual Report 2024, p. 7.</w:t>
      </w:r>
      <w:r>
        <w:t xml:space="preserve"> </w:t>
      </w:r>
      <w:r>
        <w:t xml:space="preserve">718 BSE, 2025, Annual Report 2024, p. 8.</w:t>
      </w:r>
      <w:r>
        <w:t xml:space="preserve"> </w:t>
      </w:r>
      <w:r>
        <w:t xml:space="preserve">719 BSE, 2025, Annual Report 2024, p. 10</w:t>
      </w:r>
      <w:r>
        <w:t xml:space="preserve"> </w:t>
      </w:r>
      <w:r>
        <w:t xml:space="preserve">720 BSE, 2025, Annual Report 2024, p. 32.</w:t>
      </w:r>
      <w:r>
        <w:t xml:space="preserve"> </w:t>
      </w:r>
      <w:r>
        <w:t xml:space="preserve">721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bonds in 2024, see Graph 2.13.6). The net issuance by</w:t>
      </w:r>
      <w:r>
        <w:t xml:space="preserve"> </w:t>
      </w:r>
      <w:r>
        <w:t xml:space="preserve">NFCs was at EUR 31 million in Q1 2025, compared to</w:t>
      </w:r>
      <w:r>
        <w:t xml:space="preserve"> </w:t>
      </w:r>
      <w:r>
        <w:t xml:space="preserve">EUR 1.3 billion in 2024 (9.2% of total issued bonds in</w:t>
      </w:r>
      <w:r>
        <w:t xml:space="preserve"> </w:t>
      </w:r>
      <w:r>
        <w:t xml:space="preserve">2024). Hence, debt market finance does not appear to</w:t>
      </w:r>
      <w:r>
        <w:t xml:space="preserve"> </w:t>
      </w:r>
      <w:r>
        <w:t xml:space="preserve">be a source of funding for Hungarian non-financial</w:t>
      </w:r>
      <w:r>
        <w:t xml:space="preserve"> </w:t>
      </w:r>
      <w:r>
        <w:t xml:space="preserve">corporations (NFCs).</w:t>
      </w:r>
      <w:r>
        <w:t xml:space="preserve"> </w:t>
      </w:r>
      <w:r>
        <w:t xml:space="preserve">1.15.6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While there is no comprehensive government</w:t>
      </w:r>
      <w:r>
        <w:t xml:space="preserve"> </w:t>
      </w:r>
      <w:r>
        <w:t xml:space="preserve">strategy on promoting capital markets, some sector-</w:t>
      </w:r>
      <w:r>
        <w:t xml:space="preserve"> </w:t>
      </w:r>
      <w:r>
        <w:t xml:space="preserve">specific strategies were introduced by important</w:t>
      </w:r>
      <w:r>
        <w:t xml:space="preserve"> </w:t>
      </w:r>
      <w:r>
        <w:t xml:space="preserve">national players in the financial sector. Building on</w:t>
      </w:r>
      <w:r>
        <w:t xml:space="preserve"> </w:t>
      </w:r>
      <w:r>
        <w:t xml:space="preserve">the former 2016-2020 strategy722, the BSE developed a</w:t>
      </w:r>
      <w:r>
        <w:t xml:space="preserve"> </w:t>
      </w:r>
      <w:r>
        <w:t xml:space="preserve">new strategy for 2021-2025 to further increase the role</w:t>
      </w:r>
      <w:r>
        <w:t xml:space="preserve"> </w:t>
      </w:r>
      <w:r>
        <w:t xml:space="preserve">of capital markets (e.g. promoting the ESG aspect in</w:t>
      </w:r>
      <w:r>
        <w:t xml:space="preserve"> </w:t>
      </w:r>
      <w:r>
        <w:t xml:space="preserve">both equity and bond asset classes, exploring</w:t>
      </w:r>
      <w:r>
        <w:t xml:space="preserve"> </w:t>
      </w:r>
      <w:r>
        <w:t xml:space="preserve">cooperation opportunities in the CEE region, and</w:t>
      </w:r>
      <w:r>
        <w:t xml:space="preserve"> </w:t>
      </w:r>
      <w:r>
        <w:t xml:space="preserve">improving IT innovation and security).723 In 2018, the</w:t>
      </w:r>
      <w:r>
        <w:t xml:space="preserve"> </w:t>
      </w:r>
      <w:r>
        <w:t xml:space="preserve">MNB adopted a seven-point strategy report to promote</w:t>
      </w:r>
      <w:r>
        <w:t xml:space="preserve"> </w:t>
      </w:r>
      <w:r>
        <w:t xml:space="preserve">the insurance sector in Hungary. The seven points and</w:t>
      </w:r>
      <w:r>
        <w:t xml:space="preserve"> </w:t>
      </w:r>
      <w:r>
        <w:t xml:space="preserve">targets are: (i) widespread self-care (e.g. increasing</w:t>
      </w:r>
      <w:r>
        <w:t xml:space="preserve"> </w:t>
      </w:r>
      <w:r>
        <w:t xml:space="preserve">coverage of life insurance and voluntary pension fund</w:t>
      </w:r>
      <w:r>
        <w:t xml:space="preserve"> </w:t>
      </w:r>
      <w:r>
        <w:t xml:space="preserve">contracts, the number of contracts); (ii) converting</w:t>
      </w:r>
      <w:r>
        <w:t xml:space="preserve"> </w:t>
      </w:r>
      <w:r>
        <w:t xml:space="preserve">market size (e.g. penetration of gross written</w:t>
      </w:r>
      <w:r>
        <w:t xml:space="preserve"> </w:t>
      </w:r>
      <w:r>
        <w:t xml:space="preserve">premium/GDP); (iii) increasing the competitive</w:t>
      </w:r>
      <w:r>
        <w:t xml:space="preserve"> </w:t>
      </w:r>
      <w:r>
        <w:t xml:space="preserve">market; (iv) efficient sales (e.g. use of innovative</w:t>
      </w:r>
      <w:r>
        <w:t xml:space="preserve"> </w:t>
      </w:r>
      <w:r>
        <w:t xml:space="preserve">channels through online sales); (v) economies of scale;</w:t>
      </w:r>
      <w:r>
        <w:t xml:space="preserve"> </w:t>
      </w:r>
      <w:r>
        <w:t xml:space="preserve">(vi) fair and competitive profitability; and (vii) well-</w:t>
      </w:r>
      <w:r>
        <w:t xml:space="preserve"> </w:t>
      </w:r>
      <w:r>
        <w:t xml:space="preserve">capitalised insurers.724 The MNB carefully monitors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722 BSE, 2015, BSE Strategy 2016-2020.</w:t>
      </w:r>
      <w:r>
        <w:t xml:space="preserve"> </w:t>
      </w:r>
      <w:r>
        <w:t xml:space="preserve">723 BSE, 2020. BSE Strategy 2021-2025.</w:t>
      </w:r>
      <w:r>
        <w:t xml:space="preserve"> </w:t>
      </w:r>
      <w:r>
        <w:t xml:space="preserve">724 MNB, 2018, The 10-year vision of the insurance sector in 7</w:t>
      </w:r>
      <w:r>
        <w:t xml:space="preserve"> </w:t>
      </w:r>
      <w:r>
        <w:t xml:space="preserve">points; also MNB, 2024, Report on Insurance, funds, capital</w:t>
      </w:r>
      <w:r>
        <w:t xml:space="preserve"> </w:t>
      </w:r>
      <w:r>
        <w:t xml:space="preserve">market risks and consumer protection, p. 19.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HU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BUDAPEST (BUX)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-5.0</w:t>
      </w:r>
      <w:r>
        <w:t xml:space="preserve"> </w:t>
      </w:r>
      <w:r>
        <w:t xml:space="preserve">0.0</w:t>
      </w:r>
      <w:r>
        <w:t xml:space="preserve"> </w:t>
      </w:r>
      <w:r>
        <w:t xml:space="preserve">5.0</w:t>
      </w:r>
      <w:r>
        <w:t xml:space="preserve"> </w:t>
      </w:r>
      <w:r>
        <w:t xml:space="preserve">10.0</w:t>
      </w:r>
      <w:r>
        <w:t xml:space="preserve"> </w:t>
      </w:r>
      <w:r>
        <w:t xml:space="preserve">15.0</w:t>
      </w:r>
      <w:r>
        <w:t xml:space="preserve"> </w:t>
      </w:r>
      <w:r>
        <w:t xml:space="preserve">20.0</w:t>
      </w:r>
      <w:r>
        <w:t xml:space="preserve"> </w:t>
      </w:r>
      <w:r>
        <w:t xml:space="preserve">25.0</w:t>
      </w:r>
      <w:r>
        <w:t xml:space="preserve"> </w:t>
      </w:r>
      <w:r>
        <w:t xml:space="preserve">30.0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456</w:t>
      </w:r>
      <w:r>
        <w:t xml:space="preserve"> </w:t>
      </w:r>
      <w:r>
        <w:t xml:space="preserve">the development of these seven targets on an annual</w:t>
      </w:r>
      <w:r>
        <w:t xml:space="preserve"> </w:t>
      </w:r>
      <w:r>
        <w:t xml:space="preserve">basis.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Hungarian households have a high savings rate,</w:t>
      </w:r>
      <w:r>
        <w:t xml:space="preserve"> </w:t>
      </w:r>
      <w:r>
        <w:t xml:space="preserve">with the majority of their financial assets held in</w:t>
      </w:r>
      <w:r>
        <w:t xml:space="preserve"> </w:t>
      </w:r>
      <w:r>
        <w:t xml:space="preserve">government bonds and investment funds, but more</w:t>
      </w:r>
      <w:r>
        <w:t xml:space="preserve"> </w:t>
      </w:r>
      <w:r>
        <w:t xml:space="preserve">can be done. At end 2024, Hungarian households had</w:t>
      </w:r>
      <w:r>
        <w:t xml:space="preserve"> </w:t>
      </w:r>
      <w:r>
        <w:t xml:space="preserve">a lower-than-average holding of cash and deposits,</w:t>
      </w:r>
      <w:r>
        <w:t xml:space="preserve"> </w:t>
      </w:r>
      <w:r>
        <w:t xml:space="preserve">representing nearly a quarter (23.6%) of household</w:t>
      </w:r>
      <w:r>
        <w:t xml:space="preserve"> </w:t>
      </w:r>
      <w:r>
        <w:t xml:space="preserve">assets (EU average: 31.7%). Part of the deposits seem</w:t>
      </w:r>
      <w:r>
        <w:t xml:space="preserve"> </w:t>
      </w:r>
      <w:r>
        <w:t xml:space="preserve">to be replaced by domestic government bonds. At end</w:t>
      </w:r>
      <w:r>
        <w:t xml:space="preserve"> </w:t>
      </w:r>
      <w:r>
        <w:t xml:space="preserve">2024, 38% of households’ financial assets were held in</w:t>
      </w:r>
      <w:r>
        <w:t xml:space="preserve"> </w:t>
      </w:r>
      <w:r>
        <w:t xml:space="preserve">pension and investment funds or held directly in</w:t>
      </w:r>
      <w:r>
        <w:t xml:space="preserve"> </w:t>
      </w:r>
      <w:r>
        <w:t xml:space="preserve">financial investment instruments (EU average of</w:t>
      </w:r>
      <w:r>
        <w:t xml:space="preserve"> </w:t>
      </w:r>
      <w:r>
        <w:t xml:space="preserve">46.6%). More specifically, households’ direct holdings</w:t>
      </w:r>
      <w:r>
        <w:t xml:space="preserve"> </w:t>
      </w:r>
      <w:r>
        <w:t xml:space="preserve">of investment insurance and pension funds was at 6.3%</w:t>
      </w:r>
      <w:r>
        <w:t xml:space="preserve"> </w:t>
      </w:r>
      <w:r>
        <w:t xml:space="preserve">of all household financial assets (EU average: 27.9%),</w:t>
      </w:r>
      <w:r>
        <w:t xml:space="preserve"> </w:t>
      </w:r>
      <w:r>
        <w:t xml:space="preserve">investment funds at 13.2% (EU average: 11.1%), bonds</w:t>
      </w:r>
      <w:r>
        <w:t xml:space="preserve"> </w:t>
      </w:r>
      <w:r>
        <w:t xml:space="preserve">at 15.2% (EU average: 2.8%), and listed shares at 3.1%</w:t>
      </w:r>
      <w:r>
        <w:t xml:space="preserve"> </w:t>
      </w:r>
      <w:r>
        <w:t xml:space="preserve">(EU average: 4.9%) (see Graph 2.13.7). In Hungary,</w:t>
      </w:r>
      <w:r>
        <w:t xml:space="preserve"> </w:t>
      </w:r>
      <w:r>
        <w:t xml:space="preserve">direct and intermediated retail investment by</w:t>
      </w:r>
      <w:r>
        <w:t xml:space="preserve"> </w:t>
      </w:r>
      <w:r>
        <w:t xml:space="preserve">households was 52% in 2022 (EU average: 56.2%),</w:t>
      </w:r>
      <w:r>
        <w:t xml:space="preserve"> </w:t>
      </w:r>
      <w:r>
        <w:t xml:space="preserve">which is rather high.</w:t>
      </w:r>
      <w:r>
        <w:t xml:space="preserve"> </w:t>
      </w:r>
      <w:r>
        <w:t xml:space="preserve">1.15.7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1.16 Ireland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Ireland has been a net exporter of capital since</w:t>
      </w:r>
      <w:r>
        <w:t xml:space="preserve"> </w:t>
      </w:r>
      <w:r>
        <w:t xml:space="preserve">2021. Ireland’s saving and investment balance, which</w:t>
      </w:r>
      <w:r>
        <w:t xml:space="preserve"> </w:t>
      </w:r>
      <w:r>
        <w:t xml:space="preserve">is equal to the current account, stood at 13.6% of GDP</w:t>
      </w:r>
      <w:r>
        <w:t xml:space="preserve"> </w:t>
      </w:r>
      <w:r>
        <w:t xml:space="preserve">in 2024, showing that Ireland’s aggregate savings</w:t>
      </w:r>
      <w:r>
        <w:t xml:space="preserve"> </w:t>
      </w:r>
      <w:r>
        <w:t xml:space="preserve">exceeded domestic investment needs and the surplus</w:t>
      </w:r>
      <w:r>
        <w:t xml:space="preserve"> </w:t>
      </w:r>
      <w:r>
        <w:t xml:space="preserve">had to be invested overseas. While Ireland’s aggregate</w:t>
      </w:r>
      <w:r>
        <w:t xml:space="preserve"> </w:t>
      </w:r>
      <w:r>
        <w:t xml:space="preserve">gross private savings rate averaged 32% relative to</w:t>
      </w:r>
      <w:r>
        <w:t xml:space="preserve"> </w:t>
      </w:r>
      <w:r>
        <w:t xml:space="preserve">GDP in the last decade, the net savings rate after</w:t>
      </w:r>
      <w:r>
        <w:t xml:space="preserve"> </w:t>
      </w:r>
      <w:r>
        <w:t xml:space="preserve">deducting capital depreciation, stood at 8.4% of GDP</w:t>
      </w:r>
      <w:r>
        <w:t xml:space="preserve"> </w:t>
      </w:r>
      <w:r>
        <w:t xml:space="preserve">in the same time period. Private investment was</w:t>
      </w:r>
      <w:r>
        <w:t xml:space="preserve"> </w:t>
      </w:r>
      <w:r>
        <w:t xml:space="preserve">exceptionally strong in 2019 thanks to a temporary</w:t>
      </w:r>
      <w:r>
        <w:t xml:space="preserve"> </w:t>
      </w:r>
      <w:r>
        <w:t xml:space="preserve">spike in investments of intellectual property, but it fell</w:t>
      </w:r>
      <w:r>
        <w:t xml:space="preserve"> </w:t>
      </w:r>
      <w:r>
        <w:t xml:space="preserve">sharply</w:t>
      </w:r>
      <w:r>
        <w:t xml:space="preserve"> </w:t>
      </w:r>
      <w:r>
        <w:t xml:space="preserve">thereafter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pandemic</w:t>
      </w:r>
      <w:r>
        <w:t xml:space="preserve"> </w:t>
      </w:r>
      <w:r>
        <w:t xml:space="preserve">curtailed</w:t>
      </w:r>
      <w:r>
        <w:t xml:space="preserve"> </w:t>
      </w:r>
      <w:r>
        <w:t xml:space="preserve">construction activity and severely impacted the aircraft</w:t>
      </w:r>
      <w:r>
        <w:t xml:space="preserve"> </w:t>
      </w:r>
      <w:r>
        <w:t xml:space="preserve">leasing business, which is very important for Ireland.</w:t>
      </w:r>
      <w:r>
        <w:t xml:space="preserve"> </w:t>
      </w:r>
      <w:r>
        <w:t xml:space="preserve">Private</w:t>
      </w:r>
      <w:r>
        <w:t xml:space="preserve"> </w:t>
      </w:r>
      <w:r>
        <w:t xml:space="preserve">investment</w:t>
      </w:r>
      <w:r>
        <w:t xml:space="preserve"> </w:t>
      </w:r>
      <w:r>
        <w:t xml:space="preserve">has</w:t>
      </w:r>
      <w:r>
        <w:t xml:space="preserve"> </w:t>
      </w:r>
      <w:r>
        <w:t xml:space="preserve">fallen</w:t>
      </w:r>
      <w:r>
        <w:t xml:space="preserve"> </w:t>
      </w:r>
      <w:r>
        <w:t xml:space="preserve">below</w:t>
      </w:r>
      <w:r>
        <w:t xml:space="preserve"> </w:t>
      </w:r>
      <w:r>
        <w:t xml:space="preserve">capital</w:t>
      </w:r>
      <w:r>
        <w:t xml:space="preserve"> </w:t>
      </w:r>
      <w:r>
        <w:t xml:space="preserve">depreciation in 2021, 2022 and 2023. Government</w:t>
      </w:r>
      <w:r>
        <w:t xml:space="preserve"> </w:t>
      </w:r>
      <w:r>
        <w:t xml:space="preserve">finances delivered a surplus over the most recent years</w:t>
      </w:r>
      <w:r>
        <w:t xml:space="preserve"> </w:t>
      </w:r>
      <w:r>
        <w:t xml:space="preserve">contributing positively to total national savings.</w:t>
      </w:r>
      <w:r>
        <w:br/>
      </w:r>
      <w:r>
        <w:t xml:space="preserve">Despite recent improvements, Ireland maintains an</w:t>
      </w:r>
      <w:r>
        <w:t xml:space="preserve"> </w:t>
      </w:r>
      <w:r>
        <w:t xml:space="preserve">overall negative net international investment</w:t>
      </w:r>
      <w:r>
        <w:t xml:space="preserve"> </w:t>
      </w:r>
      <w:r>
        <w:t xml:space="preserve">position (NIIP). Due to strong investment inflows in</w:t>
      </w:r>
      <w:r>
        <w:t xml:space="preserve"> </w:t>
      </w:r>
      <w:r>
        <w:t xml:space="preserve">the past, Ireland accumulated a deeply negative NIIP,</w:t>
      </w:r>
      <w:r>
        <w:t xml:space="preserve"> </w:t>
      </w:r>
      <w:r>
        <w:t xml:space="preserve">hitting 190.6% of GDP in 2019. Since then, the NIIP</w:t>
      </w:r>
      <w:r>
        <w:t xml:space="preserve"> </w:t>
      </w:r>
      <w:r>
        <w:t xml:space="preserve">has improved significantly to 82.5% in 2024, thanks to</w:t>
      </w:r>
      <w:r>
        <w:t xml:space="preserve"> </w:t>
      </w:r>
      <w:r>
        <w:t xml:space="preserve">the current account surpluses in the most recent years.</w:t>
      </w:r>
      <w:r>
        <w:t xml:space="preserve"> </w:t>
      </w:r>
      <w:r>
        <w:t xml:space="preserve">Most of the foreign investment in Ireland comes as</w:t>
      </w:r>
      <w:r>
        <w:t xml:space="preserve"> </w:t>
      </w:r>
      <w:r>
        <w:t xml:space="preserve">portfolio investment with an outstanding balance of 11</w:t>
      </w:r>
      <w:r>
        <w:t xml:space="preserve"> </w:t>
      </w:r>
      <w:r>
        <w:t xml:space="preserve">times GDP. The country’s NIIP is heavily influenced</w:t>
      </w:r>
      <w:r>
        <w:t xml:space="preserve"> </w:t>
      </w:r>
      <w:r>
        <w:t xml:space="preserve">by the activities and balance sheets of multinational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HU</w:t>
      </w:r>
      <w:r>
        <w:t xml:space="preserve"> </w:t>
      </w:r>
      <w:r>
        <w:t xml:space="preserve">EU</w:t>
      </w:r>
      <w:r>
        <w:t xml:space="preserve"> </w:t>
      </w:r>
      <w:r>
        <w:t xml:space="preserve">HU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1.16.1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1.16.2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-20</w:t>
      </w:r>
      <w:r>
        <w:t xml:space="preserve"> </w:t>
      </w:r>
      <w:r>
        <w:t xml:space="preserve">-10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-250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-3000</w:t>
      </w:r>
      <w:r>
        <w:t xml:space="preserve"> </w:t>
      </w:r>
      <w:r>
        <w:t xml:space="preserve">-2000</w:t>
      </w:r>
      <w:r>
        <w:t xml:space="preserve"> </w:t>
      </w:r>
      <w:r>
        <w:t xml:space="preserve">-1000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457</w:t>
      </w:r>
      <w:r>
        <w:t xml:space="preserve"> </w:t>
      </w:r>
      <w:r>
        <w:t xml:space="preserve">companies and the country’s position as a major</w:t>
      </w:r>
      <w:r>
        <w:t xml:space="preserve"> </w:t>
      </w:r>
      <w:r>
        <w:t xml:space="preserve">financial centre. Most of the constituent entities have</w:t>
      </w:r>
      <w:r>
        <w:t xml:space="preserve"> </w:t>
      </w:r>
      <w:r>
        <w:t xml:space="preserve">limited links to Ireland’s domestic economy, which in</w:t>
      </w:r>
      <w:r>
        <w:t xml:space="preserve"> </w:t>
      </w:r>
      <w:r>
        <w:t xml:space="preserve">turn reduces domestic exposure and vulnerabilities.</w:t>
      </w:r>
      <w:r>
        <w:t xml:space="preserve"> </w:t>
      </w:r>
      <w:r>
        <w:t xml:space="preserve">The stock of official foreign exchange reserves</w:t>
      </w:r>
      <w:r>
        <w:t xml:space="preserve"> </w:t>
      </w:r>
      <w:r>
        <w:t xml:space="preserve">contributed 6 percentage points of GDP to the</w:t>
      </w:r>
      <w:r>
        <w:t xml:space="preserve"> </w:t>
      </w:r>
      <w:r>
        <w:t xml:space="preserve">aggregate positive NIIP.</w:t>
      </w:r>
      <w:r>
        <w:br/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Ireland functions as a significant international</w:t>
      </w:r>
      <w:r>
        <w:t xml:space="preserve"> </w:t>
      </w:r>
      <w:r>
        <w:t xml:space="preserve">financial centre especially for investment banks,</w:t>
      </w:r>
      <w:r>
        <w:t xml:space="preserve"> </w:t>
      </w:r>
      <w:r>
        <w:t xml:space="preserve">investment funds and money market funds.</w:t>
      </w:r>
      <w:r>
        <w:t xml:space="preserve"> </w:t>
      </w:r>
      <w:r>
        <w:t xml:space="preserve">Ireland’s market-based finance sector has grown</w:t>
      </w:r>
      <w:r>
        <w:t xml:space="preserve"> </w:t>
      </w:r>
      <w:r>
        <w:t xml:space="preserve">rapidly over the past years, reaching an asset volume of</w:t>
      </w:r>
      <w:r>
        <w:t xml:space="preserve"> </w:t>
      </w:r>
      <w:r>
        <w:t xml:space="preserve">roughly EUR 6.8 trillion in assets in March 2025. Many</w:t>
      </w:r>
      <w:r>
        <w:t xml:space="preserve"> </w:t>
      </w:r>
      <w:r>
        <w:t xml:space="preserve">of the Ireland-based financial institutions have only</w:t>
      </w:r>
      <w:r>
        <w:t xml:space="preserve"> </w:t>
      </w:r>
      <w:r>
        <w:t xml:space="preserve">limited exposures to the Irish economy. Their assets</w:t>
      </w:r>
      <w:r>
        <w:t xml:space="preserve"> </w:t>
      </w:r>
      <w:r>
        <w:t xml:space="preserve">and liabilities are located outside Ireland, and they offer</w:t>
      </w:r>
      <w:r>
        <w:t xml:space="preserve"> </w:t>
      </w:r>
      <w:r>
        <w:t xml:space="preserve">services outside Ireland. The sector is composed of a</w:t>
      </w:r>
      <w:r>
        <w:t xml:space="preserve"> </w:t>
      </w:r>
      <w:r>
        <w:t xml:space="preserve">diverse set of institutions: the most important are</w:t>
      </w:r>
      <w:r>
        <w:t xml:space="preserve"> </w:t>
      </w:r>
      <w:r>
        <w:t xml:space="preserve">investment funds with total assets of EUR 4.7 trillion,</w:t>
      </w:r>
      <w:r>
        <w:t xml:space="preserve"> </w:t>
      </w:r>
      <w:r>
        <w:t xml:space="preserve">money market funds with assets worth EUR 903 billion</w:t>
      </w:r>
      <w:r>
        <w:t xml:space="preserve"> </w:t>
      </w:r>
      <w:r>
        <w:t xml:space="preserve">as at March 2025. Another large group are special</w:t>
      </w:r>
      <w:r>
        <w:t xml:space="preserve"> </w:t>
      </w:r>
      <w:r>
        <w:t xml:space="preserve">purpose entities with assets worth EUR 1.8 trillion.</w:t>
      </w:r>
      <w:r>
        <w:t xml:space="preserve"> </w:t>
      </w:r>
      <w:r>
        <w:t xml:space="preserve">These can be divided into securitisation and non-</w:t>
      </w:r>
      <w:r>
        <w:t xml:space="preserve"> </w:t>
      </w:r>
      <w:r>
        <w:t xml:space="preserve">securitisation vehicles. There are also other financial</w:t>
      </w:r>
      <w:r>
        <w:t xml:space="preserve"> </w:t>
      </w:r>
      <w:r>
        <w:t xml:space="preserve">institutions, which are mainly treasuries of non-</w:t>
      </w:r>
      <w:r>
        <w:t xml:space="preserve"> </w:t>
      </w:r>
      <w:r>
        <w:t xml:space="preserve">financial corporations.</w:t>
      </w:r>
      <w:r>
        <w:br/>
      </w:r>
      <w:r>
        <w:t xml:space="preserve">1.16.3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Multinational companies choose Ireland as legal</w:t>
      </w:r>
      <w:r>
        <w:t xml:space="preserve"> </w:t>
      </w:r>
      <w:r>
        <w:t xml:space="preserve">headquarters inflating listed stocks statistics. The</w:t>
      </w:r>
      <w:r>
        <w:t xml:space="preserve"> </w:t>
      </w:r>
      <w:r>
        <w:t xml:space="preserve">market capitalisation of listed shares issued by Irish</w:t>
      </w:r>
      <w:r>
        <w:t xml:space="preserve"> </w:t>
      </w:r>
      <w:r>
        <w:t xml:space="preserve">NFCs stood at 226% of GDP at end-2024 (see Graph</w:t>
      </w:r>
      <w:r>
        <w:t xml:space="preserve"> </w:t>
      </w:r>
      <w:r>
        <w:t xml:space="preserve">2.14.3), which is the highest in the EU, but the total</w:t>
      </w:r>
    </w:p>
    <w:p>
      <w:pPr>
        <w:pStyle w:val="BodyText"/>
      </w:pPr>
      <w:r>
        <w:t xml:space="preserve">725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market capitalisation of financial corporations is at the</w:t>
      </w:r>
      <w:r>
        <w:t xml:space="preserve"> </w:t>
      </w:r>
      <w:r>
        <w:t xml:space="preserve">lower end with 11.2%. The high figure of Irish listed</w:t>
      </w:r>
      <w:r>
        <w:t xml:space="preserve"> </w:t>
      </w:r>
      <w:r>
        <w:t xml:space="preserve">shares is inflated by redomiciled plc, these are overseas</w:t>
      </w:r>
      <w:r>
        <w:t xml:space="preserve"> </w:t>
      </w:r>
      <w:r>
        <w:t xml:space="preserve">companies, in particular from the US, that move their</w:t>
      </w:r>
      <w:r>
        <w:t xml:space="preserve"> </w:t>
      </w:r>
      <w:r>
        <w:t xml:space="preserve">legal headquarters to Ireland for regulatory reasons.</w:t>
      </w:r>
      <w:r>
        <w:t xml:space="preserve"> </w:t>
      </w:r>
      <w:r>
        <w:t xml:space="preserve">Examples</w:t>
      </w:r>
      <w:r>
        <w:t xml:space="preserve"> </w:t>
      </w:r>
      <w:r>
        <w:t xml:space="preserve">are</w:t>
      </w:r>
      <w:r>
        <w:t xml:space="preserve"> </w:t>
      </w:r>
      <w:r>
        <w:t xml:space="preserve">Medtronic,</w:t>
      </w:r>
      <w:r>
        <w:t xml:space="preserve"> </w:t>
      </w:r>
      <w:r>
        <w:t xml:space="preserve">Eaton</w:t>
      </w:r>
      <w:r>
        <w:t xml:space="preserve"> </w:t>
      </w:r>
      <w:r>
        <w:t xml:space="preserve">Corp,</w:t>
      </w:r>
      <w:r>
        <w:t xml:space="preserve"> </w:t>
      </w:r>
      <w:r>
        <w:t xml:space="preserve">Jazz</w:t>
      </w:r>
      <w:r>
        <w:t xml:space="preserve"> </w:t>
      </w:r>
      <w:r>
        <w:t xml:space="preserve">Pharmaceuticals, Alikerms, STERIS, Actavis, Willis</w:t>
      </w:r>
      <w:r>
        <w:t xml:space="preserve"> </w:t>
      </w:r>
      <w:r>
        <w:t xml:space="preserve">Towers Watson, Aoin, and Cimpress. These companies</w:t>
      </w:r>
      <w:r>
        <w:t xml:space="preserve"> </w:t>
      </w:r>
      <w:r>
        <w:t xml:space="preserve">are structured as holding companies with US</w:t>
      </w:r>
      <w:r>
        <w:t xml:space="preserve"> </w:t>
      </w:r>
      <w:r>
        <w:t xml:space="preserve">operations but count as Irish companies in the statistics</w:t>
      </w:r>
      <w:r>
        <w:t xml:space="preserve"> </w:t>
      </w:r>
      <w:r>
        <w:t xml:space="preserve">even though their footprint in the country is quite</w:t>
      </w:r>
      <w:r>
        <w:t xml:space="preserve"> </w:t>
      </w:r>
      <w:r>
        <w:t xml:space="preserve">limited, and they list their shares on US stock</w:t>
      </w:r>
      <w:r>
        <w:t xml:space="preserve"> </w:t>
      </w:r>
      <w:r>
        <w:t xml:space="preserve">exchanges. These redomiciled PLCs significantly</w:t>
      </w:r>
      <w:r>
        <w:t xml:space="preserve"> </w:t>
      </w:r>
      <w:r>
        <w:t xml:space="preserve">inflate figures for Irish foreign direct investment, listed</w:t>
      </w:r>
      <w:r>
        <w:t xml:space="preserve"> </w:t>
      </w:r>
      <w:r>
        <w:t xml:space="preserve">equity, and even GDP-related metrics. The outstanding</w:t>
      </w:r>
      <w:r>
        <w:t xml:space="preserve"> </w:t>
      </w:r>
      <w:r>
        <w:t xml:space="preserve">volume of debt securities reached 198% of GDP at end-</w:t>
      </w:r>
      <w:r>
        <w:t xml:space="preserve"> </w:t>
      </w:r>
      <w:r>
        <w:t xml:space="preserve">2023, which is also among the highest national scores</w:t>
      </w:r>
      <w:r>
        <w:t xml:space="preserve"> </w:t>
      </w:r>
      <w:r>
        <w:t xml:space="preserve">in the EU. In this context it is important to note that a</w:t>
      </w:r>
      <w:r>
        <w:t xml:space="preserve"> </w:t>
      </w:r>
      <w:r>
        <w:t xml:space="preserve">lot of Irish companies choose to list overseas,</w:t>
      </w:r>
      <w:r>
        <w:t xml:space="preserve"> </w:t>
      </w:r>
      <w:r>
        <w:t xml:space="preserve">specifically in London or in New York. The ISEQ All</w:t>
      </w:r>
      <w:r>
        <w:t xml:space="preserve"> </w:t>
      </w:r>
      <w:r>
        <w:t xml:space="preserve">Share Index captures the performance of all Irish</w:t>
      </w:r>
      <w:r>
        <w:t xml:space="preserve"> </w:t>
      </w:r>
      <w:r>
        <w:t xml:space="preserve">companies that are listed in Dublin. Since 2016 the</w:t>
      </w:r>
      <w:r>
        <w:t xml:space="preserve"> </w:t>
      </w:r>
      <w:r>
        <w:t xml:space="preserve">performance has been in line with the Stoxx Europe</w:t>
      </w:r>
      <w:r>
        <w:t xml:space="preserve"> </w:t>
      </w:r>
      <w:r>
        <w:t xml:space="preserve">600.</w:t>
      </w:r>
      <w:r>
        <w:t xml:space="preserve"> </w:t>
      </w:r>
      <w:r>
        <w:t xml:space="preserve">Amidst the oversized financial sector, the banking</w:t>
      </w:r>
      <w:r>
        <w:t xml:space="preserve"> </w:t>
      </w:r>
      <w:r>
        <w:t xml:space="preserve">sector itself is small relative to the size of the</w:t>
      </w:r>
      <w:r>
        <w:t xml:space="preserve"> </w:t>
      </w:r>
      <w:r>
        <w:t xml:space="preserve">economy. At the end of 2023, the ratio of total assets</w:t>
      </w:r>
      <w:r>
        <w:t xml:space="preserve"> </w:t>
      </w:r>
      <w:r>
        <w:t xml:space="preserve">of monetary financial institutions (MFI) to GDP stood</w:t>
      </w:r>
      <w:r>
        <w:t xml:space="preserve"> </w:t>
      </w:r>
      <w:r>
        <w:t xml:space="preserve">at 316.1%, above the EU average (256.9%) but this is</w:t>
      </w:r>
      <w:r>
        <w:t xml:space="preserve"> </w:t>
      </w:r>
      <w:r>
        <w:t xml:space="preserve">chiefly due to the presence of money market funds.</w:t>
      </w:r>
      <w:r>
        <w:t xml:space="preserve"> </w:t>
      </w:r>
      <w:r>
        <w:t xml:space="preserve">Looking at banks only, their total assets are actually</w:t>
      </w:r>
      <w:r>
        <w:t xml:space="preserve"> </w:t>
      </w:r>
      <w:r>
        <w:t xml:space="preserve">below EU average compared to the size of the</w:t>
      </w:r>
      <w:r>
        <w:t xml:space="preserve"> </w:t>
      </w:r>
      <w:r>
        <w:t xml:space="preserve">economy.</w:t>
      </w:r>
      <w:r>
        <w:br/>
      </w:r>
      <w:r>
        <w:t xml:space="preserve">1.16.4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Group725.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</w:p>
    <w:p>
      <w:pPr>
        <w:pStyle w:val="BodyText"/>
      </w:pP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IE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ISEQ ALL SHARE INDEX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458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Many multinational non-financial corporations</w:t>
      </w:r>
      <w:r>
        <w:t xml:space="preserve"> </w:t>
      </w:r>
      <w:r>
        <w:t xml:space="preserve">(NFCs) use Ireland as their European base. Many</w:t>
      </w:r>
      <w:r>
        <w:t xml:space="preserve"> </w:t>
      </w:r>
      <w:r>
        <w:t xml:space="preserve">non-European companies have chosen Ireland as their</w:t>
      </w:r>
      <w:r>
        <w:t xml:space="preserve"> </w:t>
      </w:r>
      <w:r>
        <w:t xml:space="preserve">European headquarters, benefiting from: (i) a business-</w:t>
      </w:r>
      <w:r>
        <w:t xml:space="preserve"> </w:t>
      </w:r>
      <w:r>
        <w:t xml:space="preserve">friendly environment and corporate tax code; (ii) use of</w:t>
      </w:r>
      <w:r>
        <w:t xml:space="preserve"> </w:t>
      </w:r>
      <w:r>
        <w:t xml:space="preserve">the English language; and (iii) a skilled work force.</w:t>
      </w:r>
      <w:r>
        <w:t xml:space="preserve"> </w:t>
      </w:r>
      <w:r>
        <w:t xml:space="preserve">This explains the outsized balance sheet of the NFC</w:t>
      </w:r>
      <w:r>
        <w:t xml:space="preserve"> </w:t>
      </w:r>
      <w:r>
        <w:t xml:space="preserve">sector of 4.5 times GDP, and the large share of unlisted</w:t>
      </w:r>
      <w:r>
        <w:t xml:space="preserve"> </w:t>
      </w:r>
      <w:r>
        <w:t xml:space="preserve">equity (34%) on the liability side of the aggregate</w:t>
      </w:r>
      <w:r>
        <w:t xml:space="preserve"> </w:t>
      </w:r>
      <w:r>
        <w:t xml:space="preserve">balance sheet compared with an EU average of 24%, as</w:t>
      </w:r>
      <w:r>
        <w:t xml:space="preserve"> </w:t>
      </w:r>
      <w:r>
        <w:t xml:space="preserve">multinational enterprises hold ownership rights of their</w:t>
      </w:r>
      <w:r>
        <w:t xml:space="preserve"> </w:t>
      </w:r>
      <w:r>
        <w:t xml:space="preserve">subsidiaries in the form of unlisted equity. Loans also</w:t>
      </w:r>
      <w:r>
        <w:t xml:space="preserve"> </w:t>
      </w:r>
      <w:r>
        <w:t xml:space="preserve">play a significant role in corporate funding, but less so</w:t>
      </w:r>
      <w:r>
        <w:t xml:space="preserve"> </w:t>
      </w:r>
      <w:r>
        <w:t xml:space="preserve">than at EU level, with loans accounting for 19% of Irish</w:t>
      </w:r>
      <w:r>
        <w:t xml:space="preserve"> </w:t>
      </w:r>
      <w:r>
        <w:t xml:space="preserve">firms’ balance sheets, vs an EU average of 27%. Listed</w:t>
      </w:r>
      <w:r>
        <w:t xml:space="preserve"> </w:t>
      </w:r>
      <w:r>
        <w:t xml:space="preserve">shares accounted for 38% of funding sources in 2023,</w:t>
      </w:r>
      <w:r>
        <w:t xml:space="preserve"> </w:t>
      </w:r>
      <w:r>
        <w:t xml:space="preserve">compared with an EU average of 19%. Ireland’s high</w:t>
      </w:r>
      <w:r>
        <w:t xml:space="preserve"> </w:t>
      </w:r>
      <w:r>
        <w:t xml:space="preserve">market-funding ratio of 87.4% masks a sharp</w:t>
      </w:r>
      <w:r>
        <w:t xml:space="preserve"> </w:t>
      </w:r>
      <w:r>
        <w:t xml:space="preserve">distinction between multinational corporations, which</w:t>
      </w:r>
      <w:r>
        <w:t xml:space="preserve"> </w:t>
      </w:r>
      <w:r>
        <w:t xml:space="preserve">can easily source financing in capital markets, and</w:t>
      </w:r>
      <w:r>
        <w:t xml:space="preserve"> </w:t>
      </w:r>
      <w:r>
        <w:t xml:space="preserve">indigenous companies, predominantly SMEs, that rely</w:t>
      </w:r>
      <w:r>
        <w:t xml:space="preserve"> </w:t>
      </w:r>
      <w:r>
        <w:t xml:space="preserve">almost exclusively on bank loans. Large Irish</w:t>
      </w:r>
      <w:r>
        <w:t xml:space="preserve"> </w:t>
      </w:r>
      <w:r>
        <w:t xml:space="preserve">companies have easy access to international capital</w:t>
      </w:r>
      <w:r>
        <w:t xml:space="preserve"> </w:t>
      </w:r>
      <w:r>
        <w:t xml:space="preserve">markets. Irish companies had EUR 79.8 bn in debt</w:t>
      </w:r>
      <w:r>
        <w:t xml:space="preserve"> </w:t>
      </w:r>
      <w:r>
        <w:t xml:space="preserve">securities outstanding. Insurance companies are an</w:t>
      </w:r>
      <w:r>
        <w:t xml:space="preserve"> </w:t>
      </w:r>
      <w:r>
        <w:t xml:space="preserve">important source of investments for the Irish economy.</w:t>
      </w:r>
      <w:r>
        <w:t xml:space="preserve"> </w:t>
      </w:r>
      <w:r>
        <w:t xml:space="preserve">EEA insurance companies have invested EUR 15.8 bn</w:t>
      </w:r>
      <w:r>
        <w:t xml:space="preserve"> </w:t>
      </w:r>
      <w:r>
        <w:t xml:space="preserve">in Ireland, at the end of 2024. EEA insurance</w:t>
      </w:r>
      <w:r>
        <w:t xml:space="preserve"> </w:t>
      </w:r>
      <w:r>
        <w:t xml:space="preserve">companies have EUR 11.8 bn in Irish equity and 2.7 bn</w:t>
      </w:r>
      <w:r>
        <w:t xml:space="preserve"> </w:t>
      </w:r>
      <w:r>
        <w:t xml:space="preserve">in property, but also EUR 2.9 bn in mortgages and</w:t>
      </w:r>
      <w:r>
        <w:t xml:space="preserve"> </w:t>
      </w:r>
      <w:r>
        <w:t xml:space="preserve">loans.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Euronext Dublin, formerly known as the Irish Stock</w:t>
      </w:r>
      <w:r>
        <w:t xml:space="preserve"> </w:t>
      </w:r>
      <w:r>
        <w:t xml:space="preserve">Exchange, has only a small number of stock listings,</w:t>
      </w:r>
      <w:r>
        <w:t xml:space="preserve"> </w:t>
      </w:r>
      <w:r>
        <w:t xml:space="preserve">but is an important trading venue for debt securities</w:t>
      </w:r>
      <w:r>
        <w:t xml:space="preserve"> </w:t>
      </w:r>
      <w:r>
        <w:t xml:space="preserve">and investment funds. The Dublin Stock exchange</w:t>
      </w:r>
      <w:r>
        <w:t xml:space="preserve"> </w:t>
      </w:r>
      <w:r>
        <w:t xml:space="preserve">became part of the Euronext group in 2018. Euronext</w:t>
      </w:r>
      <w:r>
        <w:t xml:space="preserve"> </w:t>
      </w:r>
      <w:r>
        <w:t xml:space="preserve">Dublin has established itself as the largest listing venue</w:t>
      </w:r>
      <w:r>
        <w:t xml:space="preserve"> </w:t>
      </w:r>
      <w:r>
        <w:t xml:space="preserve">for bond and fund listings in the world. Its stock market</w:t>
      </w:r>
      <w:r>
        <w:t xml:space="preserve"> </w:t>
      </w:r>
      <w:r>
        <w:t xml:space="preserve">itself is quite small. The number of companies listed</w:t>
      </w:r>
      <w:r>
        <w:t xml:space="preserve"> </w:t>
      </w:r>
      <w:r>
        <w:t xml:space="preserve">has been declining over recent years and only 29</w:t>
      </w:r>
      <w:r>
        <w:t xml:space="preserve"> </w:t>
      </w:r>
      <w:r>
        <w:t xml:space="preserve">companies had their equity listed on Euronext Dublin</w:t>
      </w:r>
      <w:r>
        <w:t xml:space="preserve"> </w:t>
      </w:r>
      <w:r>
        <w:t xml:space="preserve">in March 2025. Many Irish companies have chosen to</w:t>
      </w:r>
      <w:r>
        <w:t xml:space="preserve"> </w:t>
      </w:r>
      <w:r>
        <w:t xml:space="preserve">list abroad, in many cases in third countries in the</w:t>
      </w:r>
      <w:r>
        <w:t xml:space="preserve"> </w:t>
      </w:r>
      <w:r>
        <w:t xml:space="preserve">expectation that this would facilitate market access.</w:t>
      </w:r>
      <w:r>
        <w:t xml:space="preserve"> </w:t>
      </w:r>
      <w:r>
        <w:t xml:space="preserve">The outstanding listed equity – domestically or abroad</w:t>
      </w:r>
    </w:p>
    <w:p>
      <w:pPr>
        <w:pStyle w:val="BodyText"/>
      </w:pP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- of Ireland’s non-financial corporations amounted to</w:t>
      </w:r>
      <w:r>
        <w:t xml:space="preserve"> </w:t>
      </w:r>
      <w:r>
        <w:t xml:space="preserve">192.2% of GDP in 2023.</w:t>
      </w:r>
      <w:r>
        <w:t xml:space="preserve"> </w:t>
      </w:r>
      <w:r>
        <w:t xml:space="preserve">1.16.5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Debt finance continues to be a significant source of</w:t>
      </w:r>
      <w:r>
        <w:t xml:space="preserve"> </w:t>
      </w:r>
      <w:r>
        <w:t xml:space="preserve">market funding for banks and financial companies</w:t>
      </w:r>
      <w:r>
        <w:t xml:space="preserve"> </w:t>
      </w:r>
      <w:r>
        <w:t xml:space="preserve">in Ireland. In the first quarter of 2025, monetary</w:t>
      </w:r>
      <w:r>
        <w:t xml:space="preserve"> </w:t>
      </w:r>
      <w:r>
        <w:t xml:space="preserve">financial institutions issued net EUR 0.9 bn of debt</w:t>
      </w:r>
      <w:r>
        <w:t xml:space="preserve"> </w:t>
      </w:r>
      <w:r>
        <w:t xml:space="preserve">securities, after negative net issuance of EUR -1.4 bn</w:t>
      </w:r>
      <w:r>
        <w:t xml:space="preserve"> </w:t>
      </w:r>
      <w:r>
        <w:t xml:space="preserve">in 2024 (see Graph 2.14.5). The other financial</w:t>
      </w:r>
      <w:r>
        <w:t xml:space="preserve"> </w:t>
      </w:r>
      <w:r>
        <w:t xml:space="preserve">corporations issued EUR 27.1 bn in Q1 2025,</w:t>
      </w:r>
      <w:r>
        <w:t xml:space="preserve"> </w:t>
      </w:r>
      <w:r>
        <w:t xml:space="preserve">compared to the 2024 total of EUR 51.2 bn.726 These</w:t>
      </w:r>
      <w:r>
        <w:t xml:space="preserve"> </w:t>
      </w:r>
      <w:r>
        <w:t xml:space="preserve">debt securities were issued by securitisation vehicles,</w:t>
      </w:r>
      <w:r>
        <w:t xml:space="preserve"> </w:t>
      </w:r>
      <w:r>
        <w:t xml:space="preserve">financial auxiliaries, captive financial institutions and</w:t>
      </w:r>
      <w:r>
        <w:t xml:space="preserve"> </w:t>
      </w:r>
      <w:r>
        <w:t xml:space="preserve">money lenders. The net issuance by non-financial</w:t>
      </w:r>
      <w:r>
        <w:t xml:space="preserve"> </w:t>
      </w:r>
      <w:r>
        <w:t xml:space="preserve">corporations amounted to only EUR 2.3 bn in Q1 2025,</w:t>
      </w:r>
      <w:r>
        <w:t xml:space="preserve"> </w:t>
      </w:r>
      <w:r>
        <w:t xml:space="preserve">after a 2024 total of EUR 6.6 bn.</w:t>
      </w:r>
      <w:r>
        <w:br/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large</w:t>
      </w:r>
      <w:r>
        <w:t xml:space="preserve"> </w:t>
      </w:r>
      <w:r>
        <w:t xml:space="preserve">multinational</w:t>
      </w:r>
      <w:r>
        <w:t xml:space="preserve"> </w:t>
      </w:r>
      <w:r>
        <w:t xml:space="preserve">enterprises in Ireland, the corporate sector’s</w:t>
      </w:r>
      <w:r>
        <w:t xml:space="preserve"> </w:t>
      </w:r>
      <w:r>
        <w:t xml:space="preserve">balance sheet is relatively big compared to the size</w:t>
      </w:r>
      <w:r>
        <w:t xml:space="preserve"> </w:t>
      </w:r>
      <w:r>
        <w:t xml:space="preserve">to the economy. Irish multinational companies are</w:t>
      </w:r>
      <w:r>
        <w:t xml:space="preserve"> </w:t>
      </w:r>
      <w:r>
        <w:t xml:space="preserve">often funded by unlisted shares held by their foreign</w:t>
      </w:r>
      <w:r>
        <w:t xml:space="preserve"> </w:t>
      </w:r>
      <w:r>
        <w:t xml:space="preserve">parent. Outstanding debt liabilities of non-financial</w:t>
      </w:r>
      <w:r>
        <w:t xml:space="preserve"> </w:t>
      </w:r>
      <w:r>
        <w:t xml:space="preserve">corporations (NFCs) in Ireland reached more than</w:t>
      </w:r>
      <w:r>
        <w:t xml:space="preserve"> </w:t>
      </w:r>
      <w:r>
        <w:t xml:space="preserve">123% of GDP in 2024, which is significantly higher</w:t>
      </w:r>
      <w:r>
        <w:t xml:space="preserve"> </w:t>
      </w:r>
      <w:r>
        <w:t xml:space="preserve">than the EU average of about 81% (see Graph 2.14.6).</w:t>
      </w:r>
      <w:r>
        <w:t xml:space="preserve"> </w:t>
      </w:r>
      <w:r>
        <w:t xml:space="preserve">However, given the overall much larger size of the</w:t>
      </w:r>
      <w:r>
        <w:t xml:space="preserve"> </w:t>
      </w:r>
      <w:r>
        <w:t xml:space="preserve">aggregate balance sheet of Irish NFCs, which reached</w:t>
      </w:r>
      <w:r>
        <w:t xml:space="preserve"> </w:t>
      </w:r>
      <w:r>
        <w:t xml:space="preserve">437% of GDP at end-2024 (versus an EU average of</w:t>
      </w:r>
      <w:r>
        <w:t xml:space="preserve"> </w:t>
      </w:r>
      <w:r>
        <w:t xml:space="preserve">226%), the relative share of financial loans in their</w:t>
      </w:r>
      <w:r>
        <w:t xml:space="preserve"> </w:t>
      </w:r>
      <w:r>
        <w:t xml:space="preserve">funding structure (28.1%) is slightly lower than the EU</w:t>
      </w:r>
      <w:r>
        <w:t xml:space="preserve"> </w:t>
      </w:r>
      <w:r>
        <w:t xml:space="preserve">average (35.6%).</w:t>
      </w:r>
      <w:r>
        <w:t xml:space="preserve"> </w:t>
      </w:r>
      <w:r>
        <w:t xml:space="preserve">Surveys suggest that Irish companies are content</w:t>
      </w:r>
      <w:r>
        <w:t xml:space="preserve"> </w:t>
      </w:r>
      <w:r>
        <w:t xml:space="preserve">with their access to external finance. According to</w:t>
      </w:r>
      <w:r>
        <w:t xml:space="preserve"> </w:t>
      </w:r>
      <w:r>
        <w:t xml:space="preserve">726 Other financial corporations include on-money market</w:t>
      </w:r>
      <w:r>
        <w:t xml:space="preserve"> </w:t>
      </w:r>
      <w:r>
        <w:t xml:space="preserve">investment funds (S.124), other financial intermediaries (S.125),</w:t>
      </w:r>
      <w:r>
        <w:t xml:space="preserve"> </w:t>
      </w:r>
      <w:r>
        <w:t xml:space="preserve">financial auxiliaries (S.126), captive financial institutions and</w:t>
      </w:r>
      <w:r>
        <w:t xml:space="preserve"> </w:t>
      </w:r>
      <w:r>
        <w:t xml:space="preserve">money lenders (S.127) , insurance companies (S.128) and</w:t>
      </w:r>
      <w:r>
        <w:t xml:space="preserve"> </w:t>
      </w:r>
      <w:r>
        <w:t xml:space="preserve">pension funds (S.129).</w:t>
      </w:r>
      <w:r>
        <w:t xml:space="preserve"> </w:t>
      </w:r>
      <w:r>
        <w:t xml:space="preserve">-20.0</w:t>
      </w:r>
      <w:r>
        <w:t xml:space="preserve"> </w:t>
      </w:r>
      <w:r>
        <w:t xml:space="preserve">0.0</w:t>
      </w:r>
      <w:r>
        <w:t xml:space="preserve"> </w:t>
      </w:r>
      <w:r>
        <w:t xml:space="preserve">20.0</w:t>
      </w:r>
      <w:r>
        <w:t xml:space="preserve"> </w:t>
      </w:r>
      <w:r>
        <w:t xml:space="preserve">40.0</w:t>
      </w:r>
      <w:r>
        <w:t xml:space="preserve"> </w:t>
      </w:r>
      <w:r>
        <w:t xml:space="preserve">60.0</w:t>
      </w:r>
      <w:r>
        <w:t xml:space="preserve"> </w:t>
      </w:r>
      <w:r>
        <w:t xml:space="preserve">80.0</w:t>
      </w:r>
      <w:r>
        <w:t xml:space="preserve"> </w:t>
      </w:r>
      <w:r>
        <w:t xml:space="preserve">100.0</w:t>
      </w:r>
      <w:r>
        <w:t xml:space="preserve"> </w:t>
      </w:r>
      <w:r>
        <w:t xml:space="preserve">120.0</w:t>
      </w:r>
      <w:r>
        <w:t xml:space="preserve"> </w:t>
      </w:r>
      <w:r>
        <w:t xml:space="preserve">140.0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459</w:t>
      </w:r>
      <w:r>
        <w:t xml:space="preserve"> </w:t>
      </w:r>
      <w:r>
        <w:t xml:space="preserve">the 2024 EIB Investment Survey, 80% of investments</w:t>
      </w:r>
      <w:r>
        <w:t xml:space="preserve"> </w:t>
      </w:r>
      <w:r>
        <w:t xml:space="preserve">by companies in Ireland was financed internally or</w:t>
      </w:r>
      <w:r>
        <w:t xml:space="preserve"> </w:t>
      </w:r>
      <w:r>
        <w:t xml:space="preserve">from intra-group sources, compared with an EU</w:t>
      </w:r>
      <w:r>
        <w:t xml:space="preserve"> </w:t>
      </w:r>
      <w:r>
        <w:t xml:space="preserve">average of 75%. At the same time, 80% of Ireland’s</w:t>
      </w:r>
      <w:r>
        <w:t xml:space="preserve"> </w:t>
      </w:r>
      <w:r>
        <w:t xml:space="preserve">firms believed that their investment over the previous</w:t>
      </w:r>
      <w:r>
        <w:t xml:space="preserve"> </w:t>
      </w:r>
      <w:r>
        <w:t xml:space="preserve">three years were at about the right amount, a view</w:t>
      </w:r>
      <w:r>
        <w:t xml:space="preserve"> </w:t>
      </w:r>
      <w:r>
        <w:t xml:space="preserve">shared by 80% of EU firms on average. Only 17% of</w:t>
      </w:r>
      <w:r>
        <w:t xml:space="preserve"> </w:t>
      </w:r>
      <w:r>
        <w:t xml:space="preserve">Irish firms said they had invested too little over this</w:t>
      </w:r>
      <w:r>
        <w:t xml:space="preserve"> </w:t>
      </w:r>
      <w:r>
        <w:t xml:space="preserve">period, although this exceeded the EU average of 14%,</w:t>
      </w:r>
      <w:r>
        <w:t xml:space="preserve"> </w:t>
      </w:r>
      <w:r>
        <w:t xml:space="preserve">suggesting that there could be a financing gap relative</w:t>
      </w:r>
      <w:r>
        <w:t xml:space="preserve"> </w:t>
      </w:r>
      <w:r>
        <w:t xml:space="preserve">to investment demand in Ireland. According to the</w:t>
      </w:r>
      <w:r>
        <w:t xml:space="preserve"> </w:t>
      </w:r>
      <w:r>
        <w:t xml:space="preserve">same survey, the share of finance-constrained firms is</w:t>
      </w:r>
      <w:r>
        <w:t xml:space="preserve"> </w:t>
      </w:r>
      <w:r>
        <w:t xml:space="preserve">around 10% and thus above the EU average of around</w:t>
      </w:r>
      <w:r>
        <w:t xml:space="preserve"> </w:t>
      </w:r>
      <w:r>
        <w:t xml:space="preserve">7%. The most important reason cited by these firms for</w:t>
      </w:r>
      <w:r>
        <w:t xml:space="preserve"> </w:t>
      </w:r>
      <w:r>
        <w:t xml:space="preserve">being finance-constrained is receiving smaller loan</w:t>
      </w:r>
      <w:r>
        <w:t xml:space="preserve"> </w:t>
      </w:r>
      <w:r>
        <w:t xml:space="preserve">amounts than they had applied for. For SMEs</w:t>
      </w:r>
      <w:r>
        <w:t xml:space="preserve"> </w:t>
      </w:r>
      <w:r>
        <w:t xml:space="preserve">specifically, in the last SAFE Access to Finance</w:t>
      </w:r>
      <w:r>
        <w:t xml:space="preserve"> </w:t>
      </w:r>
      <w:r>
        <w:t xml:space="preserve">Survey, the share of Irish SMEs reporting that access</w:t>
      </w:r>
      <w:r>
        <w:t xml:space="preserve"> </w:t>
      </w:r>
      <w:r>
        <w:t xml:space="preserve">to finance was a constraint for them was 6%, which is</w:t>
      </w:r>
      <w:r>
        <w:t xml:space="preserve"> </w:t>
      </w:r>
      <w:r>
        <w:t xml:space="preserve">in line with the EU average.</w:t>
      </w:r>
      <w:r>
        <w:t xml:space="preserve"> </w:t>
      </w:r>
      <w:r>
        <w:t xml:space="preserve">1.16.6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Irish households’ participation in financial markets</w:t>
      </w:r>
      <w:r>
        <w:t xml:space="preserve"> </w:t>
      </w:r>
      <w:r>
        <w:t xml:space="preserve">is dominated by insurance products. Average</w:t>
      </w:r>
      <w:r>
        <w:t xml:space="preserve"> </w:t>
      </w:r>
      <w:r>
        <w:t xml:space="preserve">financial household wealth in Ireland is estimated at</w:t>
      </w:r>
      <w:r>
        <w:t xml:space="preserve"> </w:t>
      </w:r>
      <w:r>
        <w:t xml:space="preserve">EUR 98 000 and thus above the EU average of EUR 80</w:t>
      </w:r>
      <w:r>
        <w:t xml:space="preserve"> </w:t>
      </w:r>
      <w:r>
        <w:t xml:space="preserve">300. Households’ largest holdings are deposits,</w:t>
      </w:r>
      <w:r>
        <w:t xml:space="preserve"> </w:t>
      </w:r>
      <w:r>
        <w:t xml:space="preserve">insurance funds and pension funds. Although</w:t>
      </w:r>
      <w:r>
        <w:t xml:space="preserve"> </w:t>
      </w:r>
      <w:r>
        <w:t xml:space="preserve">households have higher debt levels than in the EU on</w:t>
      </w:r>
      <w:r>
        <w:t xml:space="preserve"> </w:t>
      </w:r>
      <w:r>
        <w:t xml:space="preserve">average, this is matched by their larger cash holdings.</w:t>
      </w:r>
      <w:r>
        <w:t xml:space="preserve"> </w:t>
      </w:r>
      <w:r>
        <w:t xml:space="preserve">The share of their wealth that Irish households hold in</w:t>
      </w:r>
      <w:r>
        <w:t xml:space="preserve"> </w:t>
      </w:r>
      <w:r>
        <w:t xml:space="preserve">financial instruments, namely investment funds, listed</w:t>
      </w:r>
      <w:r>
        <w:t xml:space="preserve"> </w:t>
      </w:r>
      <w:r>
        <w:t xml:space="preserve">equities and bonds, is only 3.8%, falling far below the</w:t>
      </w:r>
      <w:r>
        <w:t xml:space="preserve"> </w:t>
      </w:r>
      <w:r>
        <w:t xml:space="preserve">EU average of 23.2%. Despite Ireland’s outstanding</w:t>
      </w:r>
      <w:r>
        <w:t xml:space="preserve"> </w:t>
      </w:r>
      <w:r>
        <w:t xml:space="preserve">role as a fund centre, Irish households’ holdings of</w:t>
      </w:r>
      <w:r>
        <w:t xml:space="preserve"> </w:t>
      </w:r>
      <w:r>
        <w:t xml:space="preserve">investment funds are unusually low, accounting for less</w:t>
      </w:r>
      <w:r>
        <w:t xml:space="preserve"> </w:t>
      </w:r>
      <w:r>
        <w:t xml:space="preserve">than 1% of the aggregate household balance sheet,</w:t>
      </w:r>
      <w:r>
        <w:t xml:space="preserve"> </w:t>
      </w:r>
      <w:r>
        <w:t xml:space="preserve">compared with an EU average of 10.0%.</w:t>
      </w:r>
      <w:r>
        <w:br/>
      </w:r>
      <w:r>
        <w:t xml:space="preserve">The availability of growth capital in Ireland falls</w:t>
      </w:r>
      <w:r>
        <w:t xml:space="preserve"> </w:t>
      </w:r>
      <w:r>
        <w:t xml:space="preserve">slightly short of the EU average. In 2023, the value</w:t>
      </w:r>
      <w:r>
        <w:t xml:space="preserve"> </w:t>
      </w:r>
      <w:r>
        <w:t xml:space="preserve">of private-equity investments in the country was</w:t>
      </w:r>
      <w:r>
        <w:t xml:space="preserve"> </w:t>
      </w:r>
      <w:r>
        <w:t xml:space="preserve">equivalent to 0.2% of GDP, below the EU average of</w:t>
      </w:r>
      <w:r>
        <w:t xml:space="preserve"> </w:t>
      </w:r>
      <w:r>
        <w:t xml:space="preserve">0.4%, and it has been below the EU average for most</w:t>
      </w:r>
      <w:r>
        <w:t xml:space="preserve"> </w:t>
      </w:r>
      <w:r>
        <w:t xml:space="preserve">of the past 10 years. Similarly for venture-capital</w:t>
      </w:r>
      <w:r>
        <w:t xml:space="preserve"> </w:t>
      </w:r>
      <w:r>
        <w:t xml:space="preserve">investments, Ireland had VC investments equivalent to</w:t>
      </w:r>
      <w:r>
        <w:t xml:space="preserve"> </w:t>
      </w:r>
      <w:r>
        <w:t xml:space="preserve">0.4% of GDP in 2023, just below the EU average of</w:t>
      </w:r>
      <w:r>
        <w:t xml:space="preserve"> </w:t>
      </w:r>
      <w:r>
        <w:t xml:space="preserve">0.5%, but achieving higher values in previous years.</w:t>
      </w:r>
      <w:r>
        <w:br/>
      </w:r>
      <w:r>
        <w:t xml:space="preserve">To support young innovative businesses, Ireland</w:t>
      </w:r>
      <w:r>
        <w:t xml:space="preserve"> </w:t>
      </w:r>
      <w:r>
        <w:t xml:space="preserve">offers attractive start-up support programmes.</w:t>
      </w:r>
      <w:r>
        <w:t xml:space="preserve"> </w:t>
      </w:r>
      <w:r>
        <w:t xml:space="preserve">Enterprise Ireland is a government agency responsible</w:t>
      </w:r>
      <w:r>
        <w:t xml:space="preserve"> </w:t>
      </w:r>
      <w:r>
        <w:t xml:space="preserve">for helping Irish businesses to start, grow, and expand</w:t>
      </w:r>
      <w:r>
        <w:t xml:space="preserve"> </w:t>
      </w:r>
      <w:r>
        <w:t xml:space="preserve">into international markets. It provides support through</w:t>
      </w:r>
      <w:r>
        <w:t xml:space="preserve"> </w:t>
      </w:r>
      <w:r>
        <w:t xml:space="preserve">several programmes, such as the Competitive Start</w:t>
      </w:r>
      <w:r>
        <w:t xml:space="preserve"> </w:t>
      </w:r>
      <w:r>
        <w:t xml:space="preserve">Fund (CSF) and the High Potential Start-Up Fund. The</w:t>
      </w:r>
      <w:r>
        <w:t xml:space="preserve"> </w:t>
      </w:r>
      <w:r>
        <w:t xml:space="preserve">CSF provides up to EUR 50 000 in equity funding to</w:t>
      </w:r>
      <w:r>
        <w:t xml:space="preserve"> </w:t>
      </w:r>
      <w:r>
        <w:t xml:space="preserve">early-stage start-ups and is designed to support start-</w:t>
      </w:r>
      <w:r>
        <w:t xml:space="preserve"> </w:t>
      </w:r>
      <w:r>
        <w:t xml:space="preserve">ups that have the potential to scale internationally. The</w:t>
      </w:r>
      <w:r>
        <w:t xml:space="preserve"> </w:t>
      </w:r>
      <w:r>
        <w:t xml:space="preserve">CSF funding is typically used to support the</w:t>
      </w:r>
      <w:r>
        <w:t xml:space="preserve"> </w:t>
      </w:r>
      <w:r>
        <w:t xml:space="preserve">development of a start-up’s product or service, as well</w:t>
      </w:r>
      <w:r>
        <w:t xml:space="preserve"> </w:t>
      </w:r>
      <w:r>
        <w:t xml:space="preserve">as its business plan and marketing strategy. The High</w:t>
      </w:r>
      <w:r>
        <w:t xml:space="preserve"> </w:t>
      </w:r>
      <w:r>
        <w:t xml:space="preserve">Potential Start-Up Fund provides funding and support</w:t>
      </w:r>
      <w:r>
        <w:t xml:space="preserve"> </w:t>
      </w:r>
      <w:r>
        <w:t xml:space="preserve">to start-ups that have the potential to scale quickly and</w:t>
      </w:r>
      <w:r>
        <w:t xml:space="preserve"> </w:t>
      </w:r>
      <w:r>
        <w:t xml:space="preserve">become major players in their markets. The fund</w:t>
      </w:r>
      <w:r>
        <w:t xml:space="preserve"> </w:t>
      </w:r>
      <w:r>
        <w:t xml:space="preserve">typically provides funding of between EUR 500 000</w:t>
      </w:r>
      <w:r>
        <w:t xml:space="preserve"> </w:t>
      </w:r>
      <w:r>
        <w:t xml:space="preserve">and EUR 5 million and is designed to support start-ups</w:t>
      </w:r>
      <w:r>
        <w:t xml:space="preserve"> </w:t>
      </w:r>
      <w:r>
        <w:t xml:space="preserve">that are developing innovative products or services,</w:t>
      </w:r>
      <w:r>
        <w:t xml:space="preserve"> </w:t>
      </w:r>
      <w:r>
        <w:t xml:space="preserve">and that have strong potential for export growth. In</w:t>
      </w:r>
      <w:r>
        <w:t xml:space="preserve"> </w:t>
      </w:r>
      <w:r>
        <w:t xml:space="preserve">addition, Enterprise Ireland’s Seed and Venture Capital</w:t>
      </w:r>
      <w:r>
        <w:t xml:space="preserve"> </w:t>
      </w:r>
      <w:r>
        <w:t xml:space="preserve">Scheme aims to leverage private-sector investment by</w:t>
      </w:r>
      <w:r>
        <w:t xml:space="preserve"> </w:t>
      </w:r>
      <w:r>
        <w:t xml:space="preserve">co-funding venture-capital projects, thereby easing</w:t>
      </w:r>
      <w:r>
        <w:t xml:space="preserve"> </w:t>
      </w:r>
      <w:r>
        <w:t xml:space="preserve">financial barriers for start-ups. By August 2024,</w:t>
      </w:r>
      <w:r>
        <w:t xml:space="preserve"> </w:t>
      </w:r>
      <w:r>
        <w:t xml:space="preserve">Enterprise Ireland had invested over EUR 700 million</w:t>
      </w:r>
      <w:r>
        <w:t xml:space="preserve"> </w:t>
      </w:r>
      <w:r>
        <w:t xml:space="preserve">in the scheme, which has leveraged funds totalling</w:t>
      </w:r>
      <w:r>
        <w:t xml:space="preserve"> </w:t>
      </w:r>
      <w:r>
        <w:t xml:space="preserve">EUR 3.3 billion. Further, the Ireland Strategic</w:t>
      </w:r>
      <w:r>
        <w:t xml:space="preserve"> </w:t>
      </w:r>
      <w:r>
        <w:t xml:space="preserve">Investment Fund, managed and controlled by the</w:t>
      </w:r>
      <w:r>
        <w:t xml:space="preserve"> </w:t>
      </w:r>
      <w:r>
        <w:t xml:space="preserve">National Treasury Management Agency (NTMA), has</w:t>
      </w:r>
      <w:r>
        <w:t xml:space="preserve"> </w:t>
      </w:r>
      <w:r>
        <w:t xml:space="preserve">a mandate to support economic activity and</w:t>
      </w:r>
      <w:r>
        <w:t xml:space="preserve"> </w:t>
      </w:r>
      <w:r>
        <w:t xml:space="preserve">employment in Ireland. Its main investment areas are</w:t>
      </w:r>
      <w:r>
        <w:t xml:space="preserve"> </w:t>
      </w:r>
      <w:r>
        <w:t xml:space="preserve">climate, housing and regional investments, indigenous</w:t>
      </w:r>
      <w:r>
        <w:t xml:space="preserve"> </w:t>
      </w:r>
      <w:r>
        <w:t xml:space="preserve">businesses, and food and agriculture.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IE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1.16.7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(1) For Ireland</w:t>
      </w:r>
      <w:r>
        <w:t xml:space="preserve"> </w:t>
      </w:r>
      <w:r>
        <w:t xml:space="preserve">“other equity”</w:t>
      </w:r>
      <w:r>
        <w:t xml:space="preserve"> </w:t>
      </w:r>
      <w:r>
        <w:t xml:space="preserve">is included in</w:t>
      </w:r>
      <w:r>
        <w:t xml:space="preserve"> </w:t>
      </w:r>
      <w:r>
        <w:t xml:space="preserve">“unlisted shares”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IE</w:t>
      </w:r>
      <w:r>
        <w:t xml:space="preserve"> </w:t>
      </w:r>
      <w:r>
        <w:t xml:space="preserve">EU</w:t>
      </w:r>
      <w:r>
        <w:t xml:space="preserve"> </w:t>
      </w:r>
      <w:r>
        <w:t xml:space="preserve">IE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460</w:t>
      </w:r>
    </w:p>
    <w:p>
      <w:pPr>
        <w:pStyle w:val="BodyText"/>
      </w:pPr>
      <w:r>
        <w:t xml:space="preserve">1.17 Italy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1.17.1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Italy’s private sector saves comparatively little in</w:t>
      </w:r>
      <w:r>
        <w:t xml:space="preserve"> </w:t>
      </w:r>
      <w:r>
        <w:t xml:space="preserve">net terms, despite a pick-up in pace since 2020, and</w:t>
      </w:r>
      <w:r>
        <w:t xml:space="preserve"> </w:t>
      </w:r>
      <w:r>
        <w:t xml:space="preserve">does not invest enough in the domestic economy. In</w:t>
      </w:r>
      <w:r>
        <w:t xml:space="preserve"> </w:t>
      </w:r>
      <w:r>
        <w:t xml:space="preserve">the last decade (2015-2024), the private savings ratio,</w:t>
      </w:r>
      <w:r>
        <w:t xml:space="preserve"> </w:t>
      </w:r>
      <w:r>
        <w:t xml:space="preserve">net of fixed capital consumption, averaged 6% of GDP,</w:t>
      </w:r>
      <w:r>
        <w:t xml:space="preserve"> </w:t>
      </w:r>
      <w:r>
        <w:t xml:space="preserve">albeit with a marked increase since 2020 and</w:t>
      </w:r>
      <w:r>
        <w:t xml:space="preserve"> </w:t>
      </w:r>
      <w:r>
        <w:t xml:space="preserve">particularly in the period 2020-2022 (see Graph</w:t>
      </w:r>
      <w:r>
        <w:t xml:space="preserve"> </w:t>
      </w:r>
      <w:r>
        <w:t xml:space="preserve">2.15.1). The net private investment ratio, which</w:t>
      </w:r>
      <w:r>
        <w:t xml:space="preserve"> </w:t>
      </w:r>
      <w:r>
        <w:t xml:space="preserve">measures the net direct contribution of the private</w:t>
      </w:r>
      <w:r>
        <w:t xml:space="preserve"> </w:t>
      </w:r>
      <w:r>
        <w:t xml:space="preserve">sector to capital accumulation in the country, fluctuated</w:t>
      </w:r>
      <w:r>
        <w:t xml:space="preserve"> </w:t>
      </w:r>
      <w:r>
        <w:t xml:space="preserve">around zero and averaged -0.7% of GDP, contributing</w:t>
      </w:r>
      <w:r>
        <w:t xml:space="preserve"> </w:t>
      </w:r>
      <w:r>
        <w:t xml:space="preserve">to a shrinking capital structure of the economy. There</w:t>
      </w:r>
      <w:r>
        <w:t xml:space="preserve"> </w:t>
      </w:r>
      <w:r>
        <w:t xml:space="preserve">was an improvement in 2024, with net private</w:t>
      </w:r>
      <w:r>
        <w:t xml:space="preserve"> </w:t>
      </w:r>
      <w:r>
        <w:t xml:space="preserve">investment turning positive at 2.4% of GDP, similar to</w:t>
      </w:r>
      <w:r>
        <w:t xml:space="preserve"> </w:t>
      </w:r>
      <w:r>
        <w:t xml:space="preserve">the EU average and expected to stay close to these</w:t>
      </w:r>
      <w:r>
        <w:t xml:space="preserve"> </w:t>
      </w:r>
      <w:r>
        <w:t xml:space="preserve">levels for 2025-2026. However, it still falls short of the</w:t>
      </w:r>
      <w:r>
        <w:t xml:space="preserve"> </w:t>
      </w:r>
      <w:r>
        <w:t xml:space="preserve">net savings ratio, suggesting that domestic savings are</w:t>
      </w:r>
      <w:r>
        <w:t xml:space="preserve"> </w:t>
      </w:r>
      <w:r>
        <w:t xml:space="preserve">not mainly invested in the domestic private sector. At</w:t>
      </w:r>
      <w:r>
        <w:t xml:space="preserve"> </w:t>
      </w:r>
      <w:r>
        <w:t xml:space="preserve">the same time, the rather sizeable borrowing by the</w:t>
      </w:r>
      <w:r>
        <w:t xml:space="preserve"> </w:t>
      </w:r>
      <w:r>
        <w:t xml:space="preserve">government, which averaged 4.8% of GDP over the</w:t>
      </w:r>
      <w:r>
        <w:t xml:space="preserve"> </w:t>
      </w:r>
      <w:r>
        <w:t xml:space="preserve">last decade, absorbed the equivalent of 81% of net</w:t>
      </w:r>
      <w:r>
        <w:t xml:space="preserve"> </w:t>
      </w:r>
      <w:r>
        <w:t xml:space="preserve">private savings. The remaining average net positive</w:t>
      </w:r>
      <w:r>
        <w:t xml:space="preserve"> </w:t>
      </w:r>
      <w:r>
        <w:t xml:space="preserve">balance of 1.9% of GDP resulted in regular net lending</w:t>
      </w:r>
      <w:r>
        <w:t xml:space="preserve"> </w:t>
      </w:r>
      <w:r>
        <w:t xml:space="preserve">to foreigners, with the notable exception of 2022. Thus,</w:t>
      </w:r>
      <w:r>
        <w:t xml:space="preserve"> </w:t>
      </w:r>
      <w:r>
        <w:t xml:space="preserve">overall, in the last decade the net Italian private</w:t>
      </w:r>
      <w:r>
        <w:t xml:space="preserve"> </w:t>
      </w:r>
      <w:r>
        <w:t xml:space="preserve">savings, i.e. after accounting for the investments that</w:t>
      </w:r>
      <w:r>
        <w:t xml:space="preserve"> </w:t>
      </w:r>
      <w:r>
        <w:t xml:space="preserve">are necessary to maintain the existing capital structure</w:t>
      </w:r>
      <w:r>
        <w:t xml:space="preserve"> </w:t>
      </w:r>
      <w:r>
        <w:t xml:space="preserve">of the economy, were channelled towards government</w:t>
      </w:r>
      <w:r>
        <w:t xml:space="preserve"> </w:t>
      </w:r>
      <w:r>
        <w:t xml:space="preserve">and foreign projects, rather than domestic private</w:t>
      </w:r>
      <w:r>
        <w:t xml:space="preserve"> </w:t>
      </w:r>
      <w:r>
        <w:t xml:space="preserve">investments.</w:t>
      </w:r>
      <w:r>
        <w:br/>
      </w:r>
      <w:r>
        <w:t xml:space="preserve">1.17.2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Consistent with Italy’s annual positive lending to</w:t>
      </w:r>
      <w:r>
        <w:t xml:space="preserve"> </w:t>
      </w:r>
      <w:r>
        <w:t xml:space="preserve">the rest of the world, its net international</w:t>
      </w:r>
      <w:r>
        <w:t xml:space="preserve"> </w:t>
      </w:r>
      <w:r>
        <w:t xml:space="preserve">investment position (NIIP) has been increasing. As</w:t>
      </w:r>
      <w:r>
        <w:t xml:space="preserve"> </w:t>
      </w:r>
      <w:r>
        <w:t xml:space="preserve">of end-2024, total assets on foreigners reached 172%</w:t>
      </w:r>
      <w:r>
        <w:t xml:space="preserve"> </w:t>
      </w:r>
      <w:r>
        <w:t xml:space="preserve">of GDP, up from 148% at end-2017, while liabilities to</w:t>
      </w:r>
      <w:r>
        <w:t xml:space="preserve"> </w:t>
      </w:r>
      <w:r>
        <w:t xml:space="preserve">foreigners were only marginally up, from 155.3% to</w:t>
      </w:r>
      <w:r>
        <w:t xml:space="preserve"> </w:t>
      </w:r>
      <w:r>
        <w:t xml:space="preserve">157% of GDP over the same period, resulting in a</w:t>
      </w:r>
      <w:r>
        <w:t xml:space="preserve"> </w:t>
      </w:r>
      <w:r>
        <w:t xml:space="preserve">positive net international investment position (NIIP)</w:t>
      </w:r>
      <w:r>
        <w:t xml:space="preserve"> </w:t>
      </w:r>
      <w:r>
        <w:t xml:space="preserve">equivalent to 15% of GDP (see Graph 2.15.2). The net</w:t>
      </w:r>
      <w:r>
        <w:t xml:space="preserve"> </w:t>
      </w:r>
      <w:r>
        <w:t xml:space="preserve">stock of foreign direct investment has been broadly</w:t>
      </w:r>
      <w:r>
        <w:t xml:space="preserve"> </w:t>
      </w:r>
      <w:r>
        <w:t xml:space="preserve">stable, declining from 6% of GDP at end-2017 to 5%</w:t>
      </w:r>
      <w:r>
        <w:t xml:space="preserve"> </w:t>
      </w:r>
      <w:r>
        <w:t xml:space="preserve">as of end-2024. Hence, the increase of the NII was</w:t>
      </w:r>
      <w:r>
        <w:t xml:space="preserve"> </w:t>
      </w:r>
      <w:r>
        <w:t xml:space="preserve">driven primarily by the net stock of portfolio</w:t>
      </w:r>
      <w:r>
        <w:t xml:space="preserve"> </w:t>
      </w:r>
      <w:r>
        <w:t xml:space="preserve">investments, which increased by 20.5 percentage</w:t>
      </w:r>
      <w:r>
        <w:t xml:space="preserve"> </w:t>
      </w:r>
      <w:r>
        <w:t xml:space="preserve">points of GDP, and by the stock of official foreign</w:t>
      </w:r>
      <w:r>
        <w:t xml:space="preserve"> </w:t>
      </w:r>
      <w:r>
        <w:t xml:space="preserve">exchange reserves, which expanded by 5.5 percentage</w:t>
      </w:r>
      <w:r>
        <w:t xml:space="preserve"> </w:t>
      </w:r>
      <w:r>
        <w:t xml:space="preserve">points of GDP. Meanwhile, the net liability of Italy in</w:t>
      </w:r>
      <w:r>
        <w:t xml:space="preserve"> </w:t>
      </w:r>
      <w:r>
        <w:t xml:space="preserve">terms of other investments increased by 3.1 percentage</w:t>
      </w:r>
      <w:r>
        <w:t xml:space="preserve"> </w:t>
      </w:r>
      <w:r>
        <w:t xml:space="preserve">points of GDP. Thus, the Italian economy appears to be</w:t>
      </w:r>
      <w:r>
        <w:t xml:space="preserve"> </w:t>
      </w:r>
      <w:r>
        <w:t xml:space="preserve">well integrated in international capital flows and has</w:t>
      </w:r>
      <w:r>
        <w:t xml:space="preserve"> </w:t>
      </w:r>
      <w:r>
        <w:t xml:space="preserve">managed lately to accumulate more private assets on</w:t>
      </w:r>
      <w:r>
        <w:t xml:space="preserve"> </w:t>
      </w:r>
      <w:r>
        <w:t xml:space="preserve">foreigners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Banks dominate the financial sector in Italy and</w:t>
      </w:r>
      <w:r>
        <w:t xml:space="preserve"> </w:t>
      </w:r>
      <w:r>
        <w:t xml:space="preserve">there is scope for the future development of all non-</w:t>
      </w:r>
      <w:r>
        <w:t xml:space="preserve"> </w:t>
      </w:r>
      <w:r>
        <w:t xml:space="preserve">bank intermediaries. After peaking at 230% of GDP</w:t>
      </w:r>
      <w:r>
        <w:t xml:space="preserve"> </w:t>
      </w:r>
      <w:r>
        <w:t xml:space="preserve">in 2020, the size of the banking sector declined to 176%</w:t>
      </w:r>
      <w:r>
        <w:t xml:space="preserve"> </w:t>
      </w:r>
      <w:r>
        <w:t xml:space="preserve">of GDP in 2024. Insurance companies, with total assets</w:t>
      </w:r>
      <w:r>
        <w:t xml:space="preserve"> </w:t>
      </w:r>
      <w:r>
        <w:t xml:space="preserve">equivalent to 50% of GDP at end-2024, are the most</w:t>
      </w:r>
      <w:r>
        <w:t xml:space="preserve"> </w:t>
      </w:r>
      <w:r>
        <w:t xml:space="preserve">developed non-bank financial intermediaries in Italy,</w:t>
      </w:r>
      <w:r>
        <w:t xml:space="preserve"> </w:t>
      </w:r>
      <w:r>
        <w:t xml:space="preserve">though their size remains below the EU average of</w:t>
      </w:r>
      <w:r>
        <w:t xml:space="preserve"> </w:t>
      </w:r>
      <w:r>
        <w:t xml:space="preserve">circa 55%. Total assets of investment funds were</w:t>
      </w:r>
      <w:r>
        <w:t xml:space="preserve"> </w:t>
      </w:r>
      <w:r>
        <w:t xml:space="preserve">equivalent to 24.5% of GDP at end-2024, while</w:t>
      </w:r>
      <w:r>
        <w:t xml:space="preserve"> </w:t>
      </w:r>
      <w:r>
        <w:t xml:space="preserve">occupational pension funds equalled 8.9% of GDP.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461</w:t>
      </w:r>
      <w:r>
        <w:t xml:space="preserve"> </w:t>
      </w:r>
      <w:r>
        <w:t xml:space="preserve">1.17.3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Capital markets in Italy remain underdeveloped</w:t>
      </w:r>
      <w:r>
        <w:t xml:space="preserve"> </w:t>
      </w:r>
      <w:r>
        <w:t xml:space="preserve">and insufficiently deep. The market capitalisation of</w:t>
      </w:r>
      <w:r>
        <w:t xml:space="preserve"> </w:t>
      </w:r>
      <w:r>
        <w:t xml:space="preserve">listed equity of Italian companies as a share of GDP727</w:t>
      </w:r>
      <w:r>
        <w:t xml:space="preserve"> </w:t>
      </w:r>
      <w:r>
        <w:t xml:space="preserve">is small by EU standards, at 31.3% of GDP vs an EU</w:t>
      </w:r>
      <w:r>
        <w:t xml:space="preserve"> </w:t>
      </w:r>
      <w:r>
        <w:t xml:space="preserve">average of 66.8% as of end-2024 (see Graph 2.15.3).</w:t>
      </w:r>
      <w:r>
        <w:t xml:space="preserve"> </w:t>
      </w:r>
      <w:r>
        <w:t xml:space="preserve">Non-financial corporations accounted for about 60% of</w:t>
      </w:r>
      <w:r>
        <w:t xml:space="preserve"> </w:t>
      </w:r>
      <w:r>
        <w:t xml:space="preserve">that capitalisation. The outstanding volume of debt</w:t>
      </w:r>
      <w:r>
        <w:t xml:space="preserve"> </w:t>
      </w:r>
      <w:r>
        <w:t xml:space="preserve">securities reached 155.6% of GDP at end-2024, which</w:t>
      </w:r>
      <w:r>
        <w:t xml:space="preserve"> </w:t>
      </w:r>
      <w:r>
        <w:t xml:space="preserve">is one of the highest national scores in the EU.</w:t>
      </w:r>
      <w:r>
        <w:t xml:space="preserve"> </w:t>
      </w:r>
      <w:r>
        <w:t xml:space="preserve">However, marketable debt securities issued by non-</w:t>
      </w:r>
      <w:r>
        <w:t xml:space="preserve"> </w:t>
      </w:r>
      <w:r>
        <w:t xml:space="preserve">financial corporations (NFCs) accounted for less than</w:t>
      </w:r>
      <w:r>
        <w:t xml:space="preserve"> </w:t>
      </w:r>
      <w:r>
        <w:t xml:space="preserve">6% of the total. Indeed, the domestic bond market in</w:t>
      </w:r>
      <w:r>
        <w:t xml:space="preserve"> </w:t>
      </w:r>
      <w:r>
        <w:t xml:space="preserve">Italy is entirely dominated by government securities,</w:t>
      </w:r>
      <w:r>
        <w:t xml:space="preserve"> </w:t>
      </w:r>
      <w:r>
        <w:t xml:space="preserve">which accounted for almost 74% of the total as of end-</w:t>
      </w:r>
      <w:r>
        <w:t xml:space="preserve"> </w:t>
      </w:r>
      <w:r>
        <w:t xml:space="preserve">2024. Financial institutions, whether banks or not,</w:t>
      </w:r>
      <w:r>
        <w:t xml:space="preserve"> </w:t>
      </w:r>
      <w:r>
        <w:t xml:space="preserve">accounted for the remaining 20% of debt securities.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Italian companies rely less on capital markets and</w:t>
      </w:r>
      <w:r>
        <w:t xml:space="preserve"> </w:t>
      </w:r>
      <w:r>
        <w:t xml:space="preserve">more on own profitability as a source of funding</w:t>
      </w:r>
      <w:r>
        <w:t xml:space="preserve"> </w:t>
      </w:r>
      <w:r>
        <w:t xml:space="preserve">than their EU peers, alongside bank lending. As a</w:t>
      </w:r>
      <w:r>
        <w:t xml:space="preserve"> </w:t>
      </w:r>
      <w:r>
        <w:t xml:space="preserve">source of finance for Italian NFCs, loans were</w:t>
      </w:r>
      <w:r>
        <w:t xml:space="preserve"> </w:t>
      </w:r>
      <w:r>
        <w:t xml:space="preserve">equivalent to 47% of GDP as of end-2024, below the</w:t>
      </w:r>
      <w:r>
        <w:t xml:space="preserve"> </w:t>
      </w:r>
      <w:r>
        <w:t xml:space="preserve">EU average of 60.9% (see Graph 2.15.4). Nevertheless,</w:t>
      </w:r>
      <w:r>
        <w:t xml:space="preserve"> </w:t>
      </w:r>
      <w:r>
        <w:t xml:space="preserve">expressed as a percentage of overall NFCs financing,</w:t>
      </w:r>
      <w:r>
        <w:t xml:space="preserve"> </w:t>
      </w:r>
      <w:r>
        <w:t xml:space="preserve">loans accounted for only a slightly smaller share of all</w:t>
      </w:r>
      <w:r>
        <w:t xml:space="preserve"> </w:t>
      </w:r>
      <w:r>
        <w:t xml:space="preserve">financing sources (26.6% versus 27% in the EU). In the</w:t>
      </w:r>
      <w:r>
        <w:t xml:space="preserve"> </w:t>
      </w:r>
      <w:r>
        <w:t xml:space="preserve">meantime, Italian NFCs’ use of listed shares and bonds</w:t>
      </w:r>
      <w:r>
        <w:t xml:space="preserve"> </w:t>
      </w:r>
      <w:r>
        <w:t xml:space="preserve">was also lower than the EU average, both expressed as</w:t>
      </w:r>
      <w:r>
        <w:t xml:space="preserve"> </w:t>
      </w:r>
      <w:r>
        <w:t xml:space="preserve">a percentage of GDP (23.9% vs 53.8%) and as a</w:t>
      </w:r>
      <w:r>
        <w:t xml:space="preserve"> </w:t>
      </w:r>
      <w:r>
        <w:t xml:space="preserve">percentage of overall NFC financing (13.5% vs</w:t>
      </w:r>
      <w:r>
        <w:t xml:space="preserve"> </w:t>
      </w:r>
      <w:r>
        <w:t xml:space="preserve">23.8%). This is largely due to the small proportion of</w:t>
      </w:r>
    </w:p>
    <w:p>
      <w:pPr>
        <w:pStyle w:val="BodyText"/>
      </w:pPr>
      <w:r>
        <w:t xml:space="preserve">727 This figure includes all listed shares of Italian companies,</w:t>
      </w:r>
      <w:r>
        <w:t xml:space="preserve"> </w:t>
      </w:r>
      <w:r>
        <w:t xml:space="preserve">irrespective of the stock exchange where they are listed.</w:t>
      </w:r>
      <w:r>
        <w:t xml:space="preserve"> </w:t>
      </w:r>
      <w:r>
        <w:t xml:space="preserve">728 E.g. according to Euronext’s Investor toolbox, as of April 2025</w:t>
      </w:r>
      <w:r>
        <w:t xml:space="preserve"> </w:t>
      </w:r>
      <w:r>
        <w:t xml:space="preserve">the market capitalisation of Borsa Italiana was EUR 906 bn vis-</w:t>
      </w:r>
      <w:r>
        <w:t xml:space="preserve"> </w:t>
      </w:r>
      <w:r>
        <w:t xml:space="preserve">listed shares in the funding mix (8.5% of funding</w:t>
      </w:r>
      <w:r>
        <w:t xml:space="preserve"> </w:t>
      </w:r>
      <w:r>
        <w:t xml:space="preserve">sources vs 19.1% for the EU). This suggests that own</w:t>
      </w:r>
      <w:r>
        <w:t xml:space="preserve"> </w:t>
      </w:r>
      <w:r>
        <w:t xml:space="preserve">profitability plays a somewhat larger role as a source of</w:t>
      </w:r>
      <w:r>
        <w:t xml:space="preserve"> </w:t>
      </w:r>
      <w:r>
        <w:t xml:space="preserve">funding for Italian firms relative to their EU peers.</w:t>
      </w:r>
      <w:r>
        <w:t xml:space="preserve"> </w:t>
      </w:r>
      <w:r>
        <w:t xml:space="preserve">1.17.4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However, the role of internal funding is not</w:t>
      </w:r>
      <w:r>
        <w:t xml:space="preserve"> </w:t>
      </w:r>
      <w:r>
        <w:t xml:space="preserve">excessive compared to EU average, and firms do not</w:t>
      </w:r>
      <w:r>
        <w:t xml:space="preserve"> </w:t>
      </w:r>
      <w:r>
        <w:t xml:space="preserve">appear to suffer from a lack of funding. According</w:t>
      </w:r>
      <w:r>
        <w:t xml:space="preserve"> </w:t>
      </w:r>
      <w:r>
        <w:t xml:space="preserve">to the 2024 EIB Investment Survey, 62% of Italian</w:t>
      </w:r>
      <w:r>
        <w:t xml:space="preserve"> </w:t>
      </w:r>
      <w:r>
        <w:t xml:space="preserve">firms responded that their investment needs are</w:t>
      </w:r>
      <w:r>
        <w:t xml:space="preserve"> </w:t>
      </w:r>
      <w:r>
        <w:t xml:space="preserve">covered by internal funding, close to the EU average of</w:t>
      </w:r>
      <w:r>
        <w:t xml:space="preserve"> </w:t>
      </w:r>
      <w:r>
        <w:t xml:space="preserve">66%. Moreover, 92% of Italian firms believe that their</w:t>
      </w:r>
      <w:r>
        <w:t xml:space="preserve"> </w:t>
      </w:r>
      <w:r>
        <w:t xml:space="preserve">investment activities over the last three years were</w:t>
      </w:r>
      <w:r>
        <w:t xml:space="preserve"> </w:t>
      </w:r>
      <w:r>
        <w:t xml:space="preserve">about the right amount, higher than the EU average</w:t>
      </w:r>
      <w:r>
        <w:t xml:space="preserve"> </w:t>
      </w:r>
      <w:r>
        <w:t xml:space="preserve">(80%), suggesting that there is no material financing</w:t>
      </w:r>
      <w:r>
        <w:t xml:space="preserve"> </w:t>
      </w:r>
      <w:r>
        <w:t xml:space="preserve">gap relative to investment demand. However, this may</w:t>
      </w:r>
      <w:r>
        <w:t xml:space="preserve"> </w:t>
      </w:r>
      <w:r>
        <w:t xml:space="preserve">not be the case for firms with no or limited capacity for</w:t>
      </w:r>
      <w:r>
        <w:t xml:space="preserve"> </w:t>
      </w:r>
      <w:r>
        <w:t xml:space="preserve">internal funding, such as innovative start-up firms (see</w:t>
      </w:r>
      <w:r>
        <w:t xml:space="preserve"> </w:t>
      </w:r>
      <w:r>
        <w:t xml:space="preserve">further below). Overall, Italy’s business sector invests</w:t>
      </w:r>
      <w:r>
        <w:t xml:space="preserve"> </w:t>
      </w:r>
      <w:r>
        <w:t xml:space="preserve">less as a share of GDP (11.4%) than the EU average</w:t>
      </w:r>
      <w:r>
        <w:t xml:space="preserve"> </w:t>
      </w:r>
      <w:r>
        <w:t xml:space="preserve">(13%).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Italian stock exchange is small relative to large</w:t>
      </w:r>
      <w:r>
        <w:t xml:space="preserve"> </w:t>
      </w:r>
      <w:r>
        <w:t xml:space="preserve">EU peers. The Italian stock exchange (Borsa Italiana)</w:t>
      </w:r>
      <w:r>
        <w:t xml:space="preserve"> </w:t>
      </w:r>
      <w:r>
        <w:t xml:space="preserve">forms part of Euronext, a pan-European market</w:t>
      </w:r>
      <w:r>
        <w:t xml:space="preserve"> </w:t>
      </w:r>
      <w:r>
        <w:t xml:space="preserve">infrastructure. Borsa Italiana is substantially smaller</w:t>
      </w:r>
      <w:r>
        <w:t xml:space="preserve"> </w:t>
      </w:r>
      <w:r>
        <w:t xml:space="preserve">both as an absolute figure and as a share of GDP than</w:t>
      </w:r>
      <w:r>
        <w:t xml:space="preserve"> </w:t>
      </w:r>
      <w:r>
        <w:t xml:space="preserve">the stock exchanges in Paris, Amsterdam or</w:t>
      </w:r>
      <w:r>
        <w:t xml:space="preserve"> </w:t>
      </w:r>
      <w:r>
        <w:t xml:space="preserve">Frankfurt.728 In terms of performance, the general stock</w:t>
      </w:r>
      <w:r>
        <w:t xml:space="preserve"> </w:t>
      </w:r>
      <w:r>
        <w:t xml:space="preserve">market index in Italy and, even more so, the index of</w:t>
      </w:r>
      <w:r>
        <w:t xml:space="preserve"> </w:t>
      </w:r>
      <w:r>
        <w:t xml:space="preserve">Italian bank stocks heavily underperformed the</w:t>
      </w:r>
      <w:r>
        <w:t xml:space="preserve"> </w:t>
      </w:r>
      <w:r>
        <w:t xml:space="preserve">relevant Stoxx 600 indices the first years since the 2008</w:t>
      </w:r>
      <w:r>
        <w:t xml:space="preserve"> </w:t>
      </w:r>
      <w:r>
        <w:t xml:space="preserve">à-vis EUR 3044 bn for Paris and EUR 1454 bn for Amsterdam</w:t>
      </w:r>
      <w:r>
        <w:t xml:space="preserve"> </w:t>
      </w:r>
      <w:r>
        <w:t xml:space="preserve">stock exchanges.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IT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462</w:t>
      </w:r>
      <w:r>
        <w:t xml:space="preserve"> </w:t>
      </w:r>
      <w:r>
        <w:t xml:space="preserve">global financial crisis but have recovered part of the</w:t>
      </w:r>
      <w:r>
        <w:t xml:space="preserve"> </w:t>
      </w:r>
      <w:r>
        <w:t xml:space="preserve">lost ground since end-2015 (see Graph 2.15.5).</w:t>
      </w:r>
      <w:r>
        <w:br/>
      </w:r>
      <w:r>
        <w:t xml:space="preserve">New listings were limited in the main market in</w:t>
      </w:r>
      <w:r>
        <w:t xml:space="preserve"> </w:t>
      </w:r>
      <w:r>
        <w:t xml:space="preserve">recent years, with more vibrant activity in the SME</w:t>
      </w:r>
      <w:r>
        <w:t xml:space="preserve"> </w:t>
      </w:r>
      <w:r>
        <w:t xml:space="preserve">growth market. In 2024, 23 Italian companies were</w:t>
      </w:r>
      <w:r>
        <w:t xml:space="preserve"> </w:t>
      </w:r>
      <w:r>
        <w:t xml:space="preserve">admitted to trading on Borsa Italiana, of which only</w:t>
      </w:r>
      <w:r>
        <w:t xml:space="preserve"> </w:t>
      </w:r>
      <w:r>
        <w:t xml:space="preserve">two on the main market (Euronext Milan) and 21 on</w:t>
      </w:r>
      <w:r>
        <w:t xml:space="preserve"> </w:t>
      </w:r>
      <w:r>
        <w:t xml:space="preserve">the growth market (Euronext Growth Milan). In the</w:t>
      </w:r>
      <w:r>
        <w:t xml:space="preserve"> </w:t>
      </w:r>
      <w:r>
        <w:t xml:space="preserve">same period, 29 companies exited the market, 15 from</w:t>
      </w:r>
      <w:r>
        <w:t xml:space="preserve"> </w:t>
      </w:r>
      <w:r>
        <w:t xml:space="preserve">the main market and 14 from the growth market.</w:t>
      </w:r>
      <w:r>
        <w:t xml:space="preserve"> </w:t>
      </w:r>
      <w:r>
        <w:t xml:space="preserve">Overall, from 2018, there have been 50 listings and 84</w:t>
      </w:r>
      <w:r>
        <w:t xml:space="preserve"> </w:t>
      </w:r>
      <w:r>
        <w:t xml:space="preserve">delistings from the main market, while in the growth</w:t>
      </w:r>
      <w:r>
        <w:t xml:space="preserve"> </w:t>
      </w:r>
      <w:r>
        <w:t xml:space="preserve">market there have been 204 listings and 91</w:t>
      </w:r>
      <w:r>
        <w:t xml:space="preserve"> </w:t>
      </w:r>
      <w:r>
        <w:t xml:space="preserve">delistings.729</w:t>
      </w:r>
      <w:r>
        <w:t xml:space="preserve"> </w:t>
      </w:r>
      <w:r>
        <w:t xml:space="preserve">1.17.5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Group730.</w:t>
      </w:r>
      <w:r>
        <w:t xml:space="preserve"> </w:t>
      </w:r>
      <w:r>
        <w:t xml:space="preserve">Net bond issuance continues to be dominated by</w:t>
      </w:r>
      <w:r>
        <w:t xml:space="preserve"> </w:t>
      </w:r>
      <w:r>
        <w:t xml:space="preserve">government</w:t>
      </w:r>
      <w:r>
        <w:t xml:space="preserve"> </w:t>
      </w:r>
      <w:r>
        <w:t xml:space="preserve">debt.</w:t>
      </w:r>
      <w:r>
        <w:t xml:space="preserve"> </w:t>
      </w:r>
      <w:r>
        <w:t xml:space="preserve">Government</w:t>
      </w:r>
      <w:r>
        <w:t xml:space="preserve"> </w:t>
      </w:r>
      <w:r>
        <w:t xml:space="preserve">debt</w:t>
      </w:r>
      <w:r>
        <w:t xml:space="preserve"> </w:t>
      </w:r>
      <w:r>
        <w:t xml:space="preserve">steadily</w:t>
      </w:r>
      <w:r>
        <w:t xml:space="preserve"> </w:t>
      </w:r>
      <w:r>
        <w:t xml:space="preserve">represents 80% or more of net bond issuance every year</w:t>
      </w:r>
      <w:r>
        <w:t xml:space="preserve"> </w:t>
      </w:r>
      <w:r>
        <w:t xml:space="preserve">in the Italian market (see Graph 2.15.6). With regards</w:t>
      </w:r>
      <w:r>
        <w:t xml:space="preserve"> </w:t>
      </w:r>
      <w:r>
        <w:t xml:space="preserve">to non-financial corporations, their debt issuance</w:t>
      </w:r>
      <w:r>
        <w:t xml:space="preserve"> </w:t>
      </w:r>
      <w:r>
        <w:t xml:space="preserve">activity can vary significantly from one year to the</w:t>
      </w:r>
      <w:r>
        <w:t xml:space="preserve"> </w:t>
      </w:r>
      <w:r>
        <w:t xml:space="preserve">next. It was subdued in 2024 (-74% down compared to</w:t>
      </w:r>
      <w:r>
        <w:t xml:space="preserve"> </w:t>
      </w:r>
      <w:r>
        <w:t xml:space="preserve">2023) but showed signs of recovery in the first quarter</w:t>
      </w:r>
      <w:r>
        <w:t xml:space="preserve"> </w:t>
      </w:r>
      <w:r>
        <w:t xml:space="preserve">of 2025 with net bond issuance of EUR 6.9 bn, higher</w:t>
      </w:r>
      <w:r>
        <w:t xml:space="preserve"> </w:t>
      </w:r>
      <w:r>
        <w:t xml:space="preserve">than during the whole of 2024. Nonetheless, non-</w:t>
      </w:r>
      <w:r>
        <w:t xml:space="preserve"> </w:t>
      </w:r>
      <w:r>
        <w:t xml:space="preserve">financial corporations’ marketable debt represents but</w:t>
      </w:r>
    </w:p>
    <w:p>
      <w:pPr>
        <w:pStyle w:val="BodyText"/>
      </w:pPr>
      <w:r>
        <w:t xml:space="preserve">729 Relazione annuale 2024 CONSOB</w:t>
      </w:r>
      <w:r>
        <w:t xml:space="preserve"> </w:t>
      </w:r>
      <w:r>
        <w:t xml:space="preserve">730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a small fraction of the total outstanding stock of Italian</w:t>
      </w:r>
      <w:r>
        <w:t xml:space="preserve"> </w:t>
      </w:r>
      <w:r>
        <w:t xml:space="preserve">debt securities (see previous section).</w:t>
      </w:r>
      <w:r>
        <w:br/>
      </w:r>
      <w:r>
        <w:t xml:space="preserve">1.17.6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There have been numerous national measures taken</w:t>
      </w:r>
      <w:r>
        <w:t xml:space="preserve"> </w:t>
      </w:r>
      <w:r>
        <w:t xml:space="preserve">to foster non-bank finance in Italy. These included a)</w:t>
      </w:r>
      <w:r>
        <w:t xml:space="preserve"> </w:t>
      </w:r>
      <w:r>
        <w:t xml:space="preserve">the creation of a mini-bond market731 since 2012,</w:t>
      </w:r>
      <w:r>
        <w:t xml:space="preserve"> </w:t>
      </w:r>
      <w:r>
        <w:t xml:space="preserve">which allows smaller firms to tap into the bond market,</w:t>
      </w:r>
      <w:r>
        <w:t xml:space="preserve"> </w:t>
      </w:r>
      <w:r>
        <w:t xml:space="preserve">b) the introduction of Special Purpose Acquisition</w:t>
      </w:r>
      <w:r>
        <w:t xml:space="preserve"> </w:t>
      </w:r>
      <w:r>
        <w:t xml:space="preserve">Companies (SPACs)732, c) changes in the threshold to</w:t>
      </w:r>
      <w:r>
        <w:t xml:space="preserve"> </w:t>
      </w:r>
      <w:r>
        <w:t xml:space="preserve">be exempt from the obligation to publish a prospectus,</w:t>
      </w:r>
      <w:r>
        <w:t xml:space="preserve"> </w:t>
      </w:r>
      <w:r>
        <w:t xml:space="preserve">d) the National Fund for Innovation to boost venture</w:t>
      </w:r>
      <w:r>
        <w:t xml:space="preserve"> </w:t>
      </w:r>
      <w:r>
        <w:t xml:space="preserve">capital, e) the set-up of PIR (individual savings plans</w:t>
      </w:r>
      <w:r>
        <w:t xml:space="preserve"> </w:t>
      </w:r>
      <w:r>
        <w:t xml:space="preserve">through collective investment schemes), which offer</w:t>
      </w:r>
      <w:r>
        <w:t xml:space="preserve"> </w:t>
      </w:r>
      <w:r>
        <w:t xml:space="preserve">tax incentives to investors who direct savings into</w:t>
      </w:r>
      <w:r>
        <w:t xml:space="preserve"> </w:t>
      </w:r>
      <w:r>
        <w:t xml:space="preserve">Italian or EEA companies with a permanent</w:t>
      </w:r>
      <w:r>
        <w:t xml:space="preserve"> </w:t>
      </w:r>
      <w:r>
        <w:t xml:space="preserve">establishment in Italy, f) the expansion of the</w:t>
      </w:r>
      <w:r>
        <w:t xml:space="preserve"> </w:t>
      </w:r>
      <w:r>
        <w:t xml:space="preserve">crowdfunding legal framework since 2019 to include</w:t>
      </w:r>
      <w:r>
        <w:t xml:space="preserve"> </w:t>
      </w:r>
      <w:r>
        <w:t xml:space="preserve">shares and bonds by SMEs, g) the introduction in 2019</w:t>
      </w:r>
      <w:r>
        <w:t xml:space="preserve"> </w:t>
      </w:r>
      <w:r>
        <w:t xml:space="preserve">of the SIS (Società di Investimento Semplice), a</w:t>
      </w:r>
      <w:r>
        <w:t xml:space="preserve"> </w:t>
      </w:r>
      <w:r>
        <w:t xml:space="preserve">vehicle company that can invest in unlisted SMEs at</w:t>
      </w:r>
      <w:r>
        <w:t xml:space="preserve"> </w:t>
      </w:r>
      <w:r>
        <w:t xml:space="preserve">early stage, h) the creation in 2018 of the National</w:t>
      </w:r>
      <w:r>
        <w:t xml:space="preserve"> </w:t>
      </w:r>
      <w:r>
        <w:t xml:space="preserve">Observatory on Sustainable Finance and the Financial</w:t>
      </w:r>
      <w:r>
        <w:t xml:space="preserve"> </w:t>
      </w:r>
      <w:r>
        <w:t xml:space="preserve">Centre for Sustainability and i) the establishment by</w:t>
      </w:r>
      <w:r>
        <w:t xml:space="preserve"> </w:t>
      </w:r>
      <w:r>
        <w:t xml:space="preserve">731 Mini-bonds are emissions from joint-stock non-financial</w:t>
      </w:r>
      <w:r>
        <w:t xml:space="preserve"> </w:t>
      </w:r>
      <w:r>
        <w:t xml:space="preserve">companies or cooperatives, normally SMEs, for an amount less</w:t>
      </w:r>
      <w:r>
        <w:t xml:space="preserve"> </w:t>
      </w:r>
      <w:r>
        <w:t xml:space="preserve">than EUR 50 mn, not open to retail investors and typically listed</w:t>
      </w:r>
      <w:r>
        <w:t xml:space="preserve"> </w:t>
      </w:r>
      <w:r>
        <w:t xml:space="preserve">on Borsa Italiana ExtraMOT Pro. Based on data by the mini-</w:t>
      </w:r>
      <w:r>
        <w:t xml:space="preserve"> </w:t>
      </w:r>
      <w:r>
        <w:t xml:space="preserve">bond observatory, since 2013 there have been 1,977 minibond</w:t>
      </w:r>
      <w:r>
        <w:t xml:space="preserve"> </w:t>
      </w:r>
      <w:r>
        <w:t xml:space="preserve">issues with a nominal value of EUR 12.6 bn.</w:t>
      </w:r>
    </w:p>
    <w:p>
      <w:pPr>
        <w:pStyle w:val="BodyText"/>
      </w:pPr>
      <w:r>
        <w:t xml:space="preserve">732 SPACs are cash shell companies, listed on financial markets, the</w:t>
      </w:r>
      <w:r>
        <w:t xml:space="preserve"> </w:t>
      </w:r>
      <w:r>
        <w:t xml:space="preserve">purpose of which is to carry out a merger with an operating</w:t>
      </w:r>
      <w:r>
        <w:t xml:space="preserve"> </w:t>
      </w:r>
      <w:r>
        <w:t xml:space="preserve">company, which then becomes listed on a regulated market or a</w:t>
      </w:r>
      <w:r>
        <w:t xml:space="preserve"> </w:t>
      </w:r>
      <w:r>
        <w:t xml:space="preserve">multilateral trading facility. The SPAC process is an alternative</w:t>
      </w:r>
      <w:r>
        <w:t xml:space="preserve"> </w:t>
      </w:r>
      <w:r>
        <w:t xml:space="preserve">to the standard IPO.</w:t>
      </w:r>
      <w:r>
        <w:br/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janv-08=100</w:t>
      </w:r>
      <w:r>
        <w:t xml:space="preserve"> </w:t>
      </w:r>
      <w:r>
        <w:t xml:space="preserve">IT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FTSE MIB INDEX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-40.0</w:t>
      </w:r>
      <w:r>
        <w:t xml:space="preserve"> </w:t>
      </w:r>
      <w:r>
        <w:t xml:space="preserve">-20.0</w:t>
      </w:r>
      <w:r>
        <w:t xml:space="preserve"> </w:t>
      </w:r>
      <w:r>
        <w:t xml:space="preserve">0.0</w:t>
      </w:r>
      <w:r>
        <w:t xml:space="preserve"> </w:t>
      </w:r>
      <w:r>
        <w:t xml:space="preserve">20.0</w:t>
      </w:r>
      <w:r>
        <w:t xml:space="preserve"> </w:t>
      </w:r>
      <w:r>
        <w:t xml:space="preserve">40.0</w:t>
      </w:r>
      <w:r>
        <w:t xml:space="preserve"> </w:t>
      </w:r>
      <w:r>
        <w:t xml:space="preserve">60.0</w:t>
      </w:r>
      <w:r>
        <w:t xml:space="preserve"> </w:t>
      </w:r>
      <w:r>
        <w:t xml:space="preserve">80.0</w:t>
      </w:r>
      <w:r>
        <w:t xml:space="preserve"> </w:t>
      </w:r>
      <w:r>
        <w:t xml:space="preserve">100.0</w:t>
      </w:r>
      <w:r>
        <w:t xml:space="preserve"> </w:t>
      </w:r>
      <w:r>
        <w:t xml:space="preserve">120.0</w:t>
      </w:r>
      <w:r>
        <w:t xml:space="preserve"> </w:t>
      </w:r>
      <w:r>
        <w:t xml:space="preserve">140.0</w:t>
      </w:r>
      <w:r>
        <w:t xml:space="preserve"> </w:t>
      </w:r>
      <w:r>
        <w:t xml:space="preserve">160.0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463</w:t>
      </w:r>
      <w:r>
        <w:t xml:space="preserve"> </w:t>
      </w:r>
      <w:r>
        <w:t xml:space="preserve">Banca d’Italia in 2021 of a regulatory sandbox to foster</w:t>
      </w:r>
      <w:r>
        <w:t xml:space="preserve"> </w:t>
      </w:r>
      <w:r>
        <w:t xml:space="preserve">FinTech development.</w:t>
      </w:r>
      <w:r>
        <w:br/>
      </w:r>
      <w:r>
        <w:t xml:space="preserve">Further</w:t>
      </w:r>
      <w:r>
        <w:t xml:space="preserve"> </w:t>
      </w:r>
      <w:r>
        <w:t xml:space="preserve">capital</w:t>
      </w:r>
      <w:r>
        <w:t xml:space="preserve"> </w:t>
      </w:r>
      <w:r>
        <w:t xml:space="preserve">market</w:t>
      </w:r>
      <w:r>
        <w:t xml:space="preserve"> </w:t>
      </w:r>
      <w:r>
        <w:t xml:space="preserve">reforms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implemented or are planned in the near future.</w:t>
      </w:r>
      <w:r>
        <w:t xml:space="preserve"> </w:t>
      </w:r>
      <w:r>
        <w:t xml:space="preserve">Building on past progress, the OECD prepared a capital</w:t>
      </w:r>
      <w:r>
        <w:t xml:space="preserve"> </w:t>
      </w:r>
      <w:r>
        <w:t xml:space="preserve">market review for Italy in 2020, under an EU-funded</w:t>
      </w:r>
      <w:r>
        <w:t xml:space="preserve"> </w:t>
      </w:r>
      <w:r>
        <w:t xml:space="preserve">technical support project. This was followed by a green</w:t>
      </w:r>
      <w:r>
        <w:t xml:space="preserve"> </w:t>
      </w:r>
      <w:r>
        <w:t xml:space="preserve">paper on the competitiveness of Italian financial</w:t>
      </w:r>
      <w:r>
        <w:t xml:space="preserve"> </w:t>
      </w:r>
      <w:r>
        <w:t xml:space="preserve">markets in support of growth, published by the Italian</w:t>
      </w:r>
      <w:r>
        <w:t xml:space="preserve"> </w:t>
      </w:r>
      <w:r>
        <w:t xml:space="preserve">Ministry of Economy and Finance in March 2022.</w:t>
      </w:r>
      <w:r>
        <w:t xml:space="preserve"> </w:t>
      </w:r>
      <w:r>
        <w:t xml:space="preserve">These initiatives led to the adoption of the Capital</w:t>
      </w:r>
      <w:r>
        <w:t xml:space="preserve"> </w:t>
      </w:r>
      <w:r>
        <w:t xml:space="preserve">Markets bill (Decreto Capitali, Law 21/2024) in</w:t>
      </w:r>
      <w:r>
        <w:t xml:space="preserve"> </w:t>
      </w:r>
      <w:r>
        <w:t xml:space="preserve">February 2024. This Law widens the definition of</w:t>
      </w:r>
      <w:r>
        <w:t xml:space="preserve"> </w:t>
      </w:r>
      <w:r>
        <w:t xml:space="preserve">SMEs and aims to stimulate the Italian IPO market and</w:t>
      </w:r>
      <w:r>
        <w:t xml:space="preserve"> </w:t>
      </w:r>
      <w:r>
        <w:t xml:space="preserve">incentivise investment in companies listed in Italy,</w:t>
      </w:r>
      <w:r>
        <w:t xml:space="preserve"> </w:t>
      </w:r>
      <w:r>
        <w:t xml:space="preserve">while at the same time making changes to the corporate</w:t>
      </w:r>
      <w:r>
        <w:t xml:space="preserve"> </w:t>
      </w:r>
      <w:r>
        <w:t xml:space="preserve">governance framework and promoting financial</w:t>
      </w:r>
      <w:r>
        <w:t xml:space="preserve"> </w:t>
      </w:r>
      <w:r>
        <w:t xml:space="preserve">literacy. A further reform of the Testo Unico della</w:t>
      </w:r>
      <w:r>
        <w:t xml:space="preserve"> </w:t>
      </w:r>
      <w:r>
        <w:t xml:space="preserve">Finanza (TUF) is underway, although it was recently</w:t>
      </w:r>
      <w:r>
        <w:t xml:space="preserve"> </w:t>
      </w:r>
      <w:r>
        <w:t xml:space="preserve">postponed by a maximum of one year.733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Italian households tend to invest their above-</w:t>
      </w:r>
      <w:r>
        <w:t xml:space="preserve"> </w:t>
      </w:r>
      <w:r>
        <w:t xml:space="preserve">average wealth in a similar way to EU peers but are</w:t>
      </w:r>
      <w:r>
        <w:t xml:space="preserve"> </w:t>
      </w:r>
      <w:r>
        <w:t xml:space="preserve">more risk-averse to direct exposure to shares. Italian</w:t>
      </w:r>
      <w:r>
        <w:t xml:space="preserve"> </w:t>
      </w:r>
      <w:r>
        <w:t xml:space="preserve">households have a higher amount of financial assets</w:t>
      </w:r>
      <w:r>
        <w:t xml:space="preserve"> </w:t>
      </w:r>
      <w:r>
        <w:t xml:space="preserve">than the EU average both in per capita terms and as a</w:t>
      </w:r>
      <w:r>
        <w:t xml:space="preserve"> </w:t>
      </w:r>
      <w:r>
        <w:t xml:space="preserve">share of GDP (see Graph 2.15.7). The share of</w:t>
      </w:r>
      <w:r>
        <w:t xml:space="preserve"> </w:t>
      </w:r>
      <w:r>
        <w:t xml:space="preserve">households’ financial assets held in pension and</w:t>
      </w:r>
      <w:r>
        <w:t xml:space="preserve"> </w:t>
      </w:r>
      <w:r>
        <w:t xml:space="preserve">investment funds or directly in financial investment</w:t>
      </w:r>
      <w:r>
        <w:t xml:space="preserve"> </w:t>
      </w:r>
      <w:r>
        <w:t xml:space="preserve">instruments is only slightly below the EU average</w:t>
      </w:r>
      <w:r>
        <w:t xml:space="preserve"> </w:t>
      </w:r>
      <w:r>
        <w:t xml:space="preserve">(45.7% vs 46.6% as of end-2024). Compared to the EU</w:t>
      </w:r>
      <w:r>
        <w:t xml:space="preserve"> </w:t>
      </w:r>
      <w:r>
        <w:t xml:space="preserve">average, Italian households have a higher share of</w:t>
      </w:r>
      <w:r>
        <w:t xml:space="preserve"> </w:t>
      </w:r>
      <w:r>
        <w:t xml:space="preserve">financial assets invested in bonds (8.6% vs 2.8%) and</w:t>
      </w:r>
      <w:r>
        <w:t xml:space="preserve"> </w:t>
      </w:r>
      <w:r>
        <w:t xml:space="preserve">investment funds (14.9% vs 11.1%) and a lower share</w:t>
      </w:r>
      <w:r>
        <w:t xml:space="preserve"> </w:t>
      </w:r>
      <w:r>
        <w:t xml:space="preserve">of financial assets invested in listed shares (3% vs</w:t>
      </w:r>
      <w:r>
        <w:t xml:space="preserve"> </w:t>
      </w:r>
      <w:r>
        <w:t xml:space="preserve">4.9%) and insurance and pension funds (21.9% vs</w:t>
      </w:r>
      <w:r>
        <w:t xml:space="preserve"> </w:t>
      </w:r>
      <w:r>
        <w:t xml:space="preserve">31.4%). Domestic government debt in particular is a</w:t>
      </w:r>
      <w:r>
        <w:t xml:space="preserve"> </w:t>
      </w:r>
      <w:r>
        <w:t xml:space="preserve">popular investment for Italian households, which hold</w:t>
      </w:r>
      <w:r>
        <w:t xml:space="preserve"> </w:t>
      </w:r>
      <w:r>
        <w:t xml:space="preserve">13% of the total outstanding general government debt</w:t>
      </w:r>
      <w:r>
        <w:t xml:space="preserve"> </w:t>
      </w:r>
      <w:r>
        <w:t xml:space="preserve">of Italy as of June 2024.</w:t>
      </w:r>
    </w:p>
    <w:p>
      <w:pPr>
        <w:pStyle w:val="BodyText"/>
      </w:pPr>
      <w:r>
        <w:t xml:space="preserve">733 The TUF —the Consolidated Law on Finance—regulates non-</w:t>
      </w:r>
      <w:r>
        <w:t xml:space="preserve"> </w:t>
      </w:r>
      <w:r>
        <w:t xml:space="preserve">banking financial intermediation. A review, which aims at</w:t>
      </w:r>
      <w:r>
        <w:t xml:space="preserve"> </w:t>
      </w:r>
      <w:r>
        <w:t xml:space="preserve">simplifying this framework, was envisaged under a delegation</w:t>
      </w:r>
      <w:r>
        <w:t xml:space="preserve"> </w:t>
      </w:r>
      <w:r>
        <w:t xml:space="preserve">granted in 2024’s Capital Markets bill, allowing the Ministry of</w:t>
      </w:r>
      <w:r>
        <w:t xml:space="preserve"> </w:t>
      </w:r>
      <w:r>
        <w:t xml:space="preserve">Economy and Finance to issue one or more legislative decrees</w:t>
      </w:r>
      <w:r>
        <w:t xml:space="preserve"> </w:t>
      </w:r>
      <w:r>
        <w:t xml:space="preserve">within twelve months of the entry into force of the Capital</w:t>
      </w:r>
      <w:r>
        <w:t xml:space="preserve"> </w:t>
      </w:r>
      <w:r>
        <w:t xml:space="preserve">Markets bill, i.e. by March 2025. Moreover, within 18 months</w:t>
      </w:r>
      <w:r>
        <w:t xml:space="preserve"> </w:t>
      </w:r>
      <w:r>
        <w:t xml:space="preserve">of the adoption of these legislative decrees, the Government may</w:t>
      </w:r>
      <w:r>
        <w:t xml:space="preserve"> </w:t>
      </w:r>
      <w:r>
        <w:t xml:space="preserve">issue one or more legislative decrees supplementing them.</w:t>
      </w:r>
      <w:r>
        <w:t xml:space="preserve"> </w:t>
      </w:r>
      <w:r>
        <w:t xml:space="preserve">1.17.7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Further measures to boost retail participation in</w:t>
      </w:r>
      <w:r>
        <w:t xml:space="preserve"> </w:t>
      </w:r>
      <w:r>
        <w:t xml:space="preserve">capital markets are underway. The take-up of past</w:t>
      </w:r>
      <w:r>
        <w:t xml:space="preserve"> </w:t>
      </w:r>
      <w:r>
        <w:t xml:space="preserve">initiatives to boost the level of retail participation, such</w:t>
      </w:r>
      <w:r>
        <w:t xml:space="preserve"> </w:t>
      </w:r>
      <w:r>
        <w:t xml:space="preserve">as the creation of individual savings plans (PIR), has</w:t>
      </w:r>
      <w:r>
        <w:t xml:space="preserve"> </w:t>
      </w:r>
      <w:r>
        <w:t xml:space="preserve">waned since 2019.734 However, a comprehensive</w:t>
      </w:r>
      <w:r>
        <w:t xml:space="preserve"> </w:t>
      </w:r>
      <w:r>
        <w:t xml:space="preserve">reform of financial legislation planned for the first half</w:t>
      </w:r>
      <w:r>
        <w:t xml:space="preserve"> </w:t>
      </w:r>
      <w:r>
        <w:t xml:space="preserve">of 2025 may include: i) using the option under EU</w:t>
      </w:r>
      <w:r>
        <w:t xml:space="preserve"> </w:t>
      </w:r>
      <w:r>
        <w:t xml:space="preserve">legislation735 for a registration system (instead of</w:t>
      </w:r>
      <w:r>
        <w:t xml:space="preserve"> </w:t>
      </w:r>
      <w:r>
        <w:t xml:space="preserve">authorisation) for alternative investment funds, and ii)</w:t>
      </w:r>
      <w:r>
        <w:t xml:space="preserve"> </w:t>
      </w:r>
      <w:r>
        <w:t xml:space="preserve">allowing retail investors to invest in registered</w:t>
      </w:r>
      <w:r>
        <w:t xml:space="preserve"> </w:t>
      </w:r>
      <w:r>
        <w:t xml:space="preserve">alternative funds, thus facilitating investment in private</w:t>
      </w:r>
      <w:r>
        <w:t xml:space="preserve"> </w:t>
      </w:r>
      <w:r>
        <w:t xml:space="preserve">equity and venture capital funds.</w:t>
      </w:r>
      <w:r>
        <w:t xml:space="preserve"> </w:t>
      </w:r>
      <w:r>
        <w:t xml:space="preserve">1.18 Latvia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In 2021, Latvia switched from a net foreign lender</w:t>
      </w:r>
      <w:r>
        <w:t xml:space="preserve"> </w:t>
      </w:r>
      <w:r>
        <w:t xml:space="preserve">to a net borrower. Over the last decade, the private</w:t>
      </w:r>
      <w:r>
        <w:t xml:space="preserve"> </w:t>
      </w:r>
      <w:r>
        <w:t xml:space="preserve">savings ratio, net of fixed capital consumption,</w:t>
      </w:r>
      <w:r>
        <w:t xml:space="preserve"> </w:t>
      </w:r>
      <w:r>
        <w:t xml:space="preserve">fluctuated around its ten-year average of 6.2% of GDP,</w:t>
      </w:r>
      <w:r>
        <w:t xml:space="preserve"> </w:t>
      </w:r>
      <w:r>
        <w:t xml:space="preserve">reaching a maximum of 10% in 2021 (Graph 2.16.1).</w:t>
      </w:r>
      <w:r>
        <w:t xml:space="preserve"> </w:t>
      </w:r>
      <w:r>
        <w:t xml:space="preserve">The net private investment ratio, which measures the</w:t>
      </w:r>
      <w:r>
        <w:t xml:space="preserve"> </w:t>
      </w:r>
      <w:r>
        <w:t xml:space="preserve">net contribution of the private sector to capital</w:t>
      </w:r>
      <w:r>
        <w:t xml:space="preserve"> </w:t>
      </w:r>
      <w:r>
        <w:t xml:space="preserve">accumulation in the country, exhibited a ten-year</w:t>
      </w:r>
      <w:r>
        <w:t xml:space="preserve"> </w:t>
      </w:r>
      <w:r>
        <w:t xml:space="preserve">average of 3.0% of GDP and reached a maximum of</w:t>
      </w:r>
      <w:r>
        <w:t xml:space="preserve"> </w:t>
      </w:r>
      <w:r>
        <w:t xml:space="preserve">5.4% in 2021. At the same time, during the same period</w:t>
      </w:r>
      <w:r>
        <w:t xml:space="preserve"> </w:t>
      </w:r>
      <w:r>
        <w:t xml:space="preserve">the government balance was in regular surplus,</w:t>
      </w:r>
      <w:r>
        <w:t xml:space="preserve"> </w:t>
      </w:r>
      <w:r>
        <w:t xml:space="preserve">averaging 0.8% of GDP. Until 2020, the balance</w:t>
      </w:r>
      <w:r>
        <w:t xml:space="preserve"> </w:t>
      </w:r>
      <w:r>
        <w:t xml:space="preserve">between net domestic savings, net investment, and the</w:t>
      </w:r>
      <w:r>
        <w:t xml:space="preserve"> </w:t>
      </w:r>
      <w:r>
        <w:t xml:space="preserve">structural government deficits was positive, resulting</w:t>
      </w:r>
      <w:r>
        <w:t xml:space="preserve"> </w:t>
      </w:r>
      <w:r>
        <w:t xml:space="preserve">However, in March 2025, a 12-month extension was granted to</w:t>
      </w:r>
      <w:r>
        <w:t xml:space="preserve"> </w:t>
      </w:r>
      <w:r>
        <w:t xml:space="preserve">the initial period for the issuance of the legislative decrees.</w:t>
      </w:r>
      <w:r>
        <w:t xml:space="preserve"> </w:t>
      </w:r>
      <w:r>
        <w:t xml:space="preserve">734 PIRs offer tax incentives to invest savings into Italian or EEA</w:t>
      </w:r>
      <w:r>
        <w:t xml:space="preserve"> </w:t>
      </w:r>
      <w:r>
        <w:t xml:space="preserve">companies permanently established in Italy. As of end-2024,</w:t>
      </w:r>
      <w:r>
        <w:t xml:space="preserve"> </w:t>
      </w:r>
      <w:r>
        <w:t xml:space="preserve">only 1.5% of the assets under management of open-ended and</w:t>
      </w:r>
      <w:r>
        <w:t xml:space="preserve"> </w:t>
      </w:r>
      <w:r>
        <w:t xml:space="preserve">closed-ended funds in Italy were in the form of original PIRs and</w:t>
      </w:r>
      <w:r>
        <w:t xml:space="preserve"> </w:t>
      </w:r>
      <w:r>
        <w:t xml:space="preserve">only 0.2% in alternative PIRs. See PIR Observatory, May 2025,</w:t>
      </w:r>
      <w:r>
        <w:t xml:space="preserve"> </w:t>
      </w:r>
      <w:r>
        <w:t xml:space="preserve">Assogestioni.</w:t>
      </w:r>
      <w:r>
        <w:t xml:space="preserve"> </w:t>
      </w:r>
      <w:r>
        <w:t xml:space="preserve">735 Directive 2011/61/EU (AIFMD).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IT</w:t>
      </w:r>
      <w:r>
        <w:t xml:space="preserve"> </w:t>
      </w:r>
      <w:r>
        <w:t xml:space="preserve">EU</w:t>
      </w:r>
      <w:r>
        <w:t xml:space="preserve"> </w:t>
      </w:r>
      <w:r>
        <w:t xml:space="preserve">IT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Other equity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Bonds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464</w:t>
      </w:r>
      <w:r>
        <w:t xml:space="preserve"> </w:t>
      </w:r>
      <w:r>
        <w:t xml:space="preserve">in net lending by Latvia averaging 0.8% of GDP, with</w:t>
      </w:r>
      <w:r>
        <w:t xml:space="preserve"> </w:t>
      </w:r>
      <w:r>
        <w:t xml:space="preserve">a peak of 4.8% in 2020. Hence, some of Latvian net</w:t>
      </w:r>
      <w:r>
        <w:t xml:space="preserve"> </w:t>
      </w:r>
      <w:r>
        <w:t xml:space="preserve">savings, i.e. after accounting for the investments that</w:t>
      </w:r>
      <w:r>
        <w:t xml:space="preserve"> </w:t>
      </w:r>
      <w:r>
        <w:t xml:space="preserve">are necessary to merely maintain the existing capital</w:t>
      </w:r>
      <w:r>
        <w:t xml:space="preserve"> </w:t>
      </w:r>
      <w:r>
        <w:t xml:space="preserve">structure of the economy, were used to finance projects</w:t>
      </w:r>
      <w:r>
        <w:t xml:space="preserve"> </w:t>
      </w:r>
      <w:r>
        <w:t xml:space="preserve">abroad until 2020. In 2021 Latvia became a net</w:t>
      </w:r>
      <w:r>
        <w:t xml:space="preserve"> </w:t>
      </w:r>
      <w:r>
        <w:t xml:space="preserve">borrower from the rest of the world.</w:t>
      </w:r>
      <w:r>
        <w:br/>
      </w:r>
      <w:r>
        <w:t xml:space="preserve">1.18.1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The Latvian economy exhibits a negative net</w:t>
      </w:r>
      <w:r>
        <w:t xml:space="preserve"> </w:t>
      </w:r>
      <w:r>
        <w:t xml:space="preserve">international investment position. Between 2009 and</w:t>
      </w:r>
      <w:r>
        <w:t xml:space="preserve"> </w:t>
      </w:r>
      <w:r>
        <w:t xml:space="preserve">2023, the NIIP strengthened almost every year,</w:t>
      </w:r>
      <w:r>
        <w:t xml:space="preserve"> </w:t>
      </w:r>
      <w:r>
        <w:t xml:space="preserve">reflecting</w:t>
      </w:r>
      <w:r>
        <w:t xml:space="preserve"> </w:t>
      </w:r>
      <w:r>
        <w:t xml:space="preserve">an</w:t>
      </w:r>
      <w:r>
        <w:t xml:space="preserve"> </w:t>
      </w:r>
      <w:r>
        <w:t xml:space="preserve">improvement</w:t>
      </w:r>
      <w:r>
        <w:t xml:space="preserve"> </w:t>
      </w:r>
      <w:r>
        <w:t xml:space="preserve">in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however remaining in negative territory. As of Q4-</w:t>
      </w:r>
      <w:r>
        <w:t xml:space="preserve"> </w:t>
      </w:r>
      <w:r>
        <w:t xml:space="preserve">2024, total assets on foreigners reached 137.8% of</w:t>
      </w:r>
      <w:r>
        <w:t xml:space="preserve"> </w:t>
      </w:r>
      <w:r>
        <w:t xml:space="preserve">GDP, while liabilities to foreigners stood at 158.3% of</w:t>
      </w:r>
      <w:r>
        <w:t xml:space="preserve"> </w:t>
      </w:r>
      <w:r>
        <w:t xml:space="preserve">GDP, resulting in a NIIP equivalent to -20.5% of GDP</w:t>
      </w:r>
      <w:r>
        <w:t xml:space="preserve"> </w:t>
      </w:r>
      <w:r>
        <w:t xml:space="preserve">(Graph 2.16.2). The accumulated net portfolio</w:t>
      </w:r>
      <w:r>
        <w:t xml:space="preserve"> </w:t>
      </w:r>
      <w:r>
        <w:t xml:space="preserve">investment, which reached 26.6% of GDP as of Q4-</w:t>
      </w:r>
      <w:r>
        <w:t xml:space="preserve"> </w:t>
      </w:r>
      <w:r>
        <w:t xml:space="preserve">2024 and the stock of official foreign reserve assets</w:t>
      </w:r>
      <w:r>
        <w:t xml:space="preserve"> </w:t>
      </w:r>
      <w:r>
        <w:t xml:space="preserve">amounting to 12.3% of GDP did not suffice to</w:t>
      </w:r>
      <w:r>
        <w:t xml:space="preserve"> </w:t>
      </w:r>
      <w:r>
        <w:t xml:space="preserve">counterbalance a negative accumulated net foreign</w:t>
      </w:r>
      <w:r>
        <w:t xml:space="preserve"> </w:t>
      </w:r>
      <w:r>
        <w:t xml:space="preserve">direct investment balance of -49.3%, together with net</w:t>
      </w:r>
      <w:r>
        <w:t xml:space="preserve"> </w:t>
      </w:r>
      <w:r>
        <w:t xml:space="preserve">other investments of -10.2%. Thus, Latvia has</w:t>
      </w:r>
      <w:r>
        <w:t xml:space="preserve"> </w:t>
      </w:r>
      <w:r>
        <w:t xml:space="preserve">systematically been a net capital importer, notably</w:t>
      </w:r>
      <w:r>
        <w:t xml:space="preserve"> </w:t>
      </w:r>
      <w:r>
        <w:t xml:space="preserve">mainly by means of foreign direct investments into the</w:t>
      </w:r>
      <w:r>
        <w:t xml:space="preserve"> </w:t>
      </w:r>
      <w:r>
        <w:t xml:space="preserve">country.</w:t>
      </w:r>
      <w:r>
        <w:br/>
      </w:r>
      <w:r>
        <w:t xml:space="preserve">1.18.2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In terms of capital market development, Latvia lags</w:t>
      </w:r>
      <w:r>
        <w:t xml:space="preserve"> </w:t>
      </w:r>
      <w:r>
        <w:t xml:space="preserve">behind the rest of the EU, and also neighbouring</w:t>
      </w:r>
      <w:r>
        <w:t xml:space="preserve"> </w:t>
      </w:r>
      <w:r>
        <w:t xml:space="preserve">countries. Despite a similar economic structure and</w:t>
      </w:r>
      <w:r>
        <w:t xml:space="preserve"> </w:t>
      </w:r>
      <w:r>
        <w:t xml:space="preserve">size, stock exchanges of Estonia and Lithuania have</w:t>
      </w:r>
      <w:r>
        <w:t xml:space="preserve"> </w:t>
      </w:r>
      <w:r>
        <w:t xml:space="preserve">been able to achieve a higher level of development.</w:t>
      </w:r>
      <w:r>
        <w:t xml:space="preserve"> </w:t>
      </w:r>
      <w:r>
        <w:t xml:space="preserve">Whereas the market capitalisation of listed stocks in</w:t>
      </w:r>
      <w:r>
        <w:t xml:space="preserve"> </w:t>
      </w:r>
      <w:r>
        <w:t xml:space="preserve">Estonia reached 12.7% at the end of 2024, and 6.2% in</w:t>
      </w:r>
      <w:r>
        <w:t xml:space="preserve"> </w:t>
      </w:r>
      <w:r>
        <w:t xml:space="preserve">Lithuania, it was only 0.8% of GDP in Latvia, among</w:t>
      </w:r>
      <w:r>
        <w:t xml:space="preserve"> </w:t>
      </w:r>
      <w:r>
        <w:t xml:space="preserve">the smallest percentages in the EU. In comparison, the</w:t>
      </w:r>
      <w:r>
        <w:t xml:space="preserve"> </w:t>
      </w:r>
      <w:r>
        <w:t xml:space="preserve">EU average is 66.8% of GDP. Whereas state and local</w:t>
      </w:r>
      <w:r>
        <w:t xml:space="preserve"> </w:t>
      </w:r>
      <w:r>
        <w:t xml:space="preserve">government-controlled companies account for slightly</w:t>
      </w:r>
      <w:r>
        <w:t xml:space="preserve"> </w:t>
      </w:r>
      <w:r>
        <w:t xml:space="preserve">more than a third of market capitalisation Lithuania and</w:t>
      </w:r>
      <w:r>
        <w:t xml:space="preserve"> </w:t>
      </w:r>
      <w:r>
        <w:t xml:space="preserve">Estonia, Latvia has only listed bonds for three state-</w:t>
      </w:r>
      <w:r>
        <w:t xml:space="preserve"> </w:t>
      </w:r>
      <w:r>
        <w:t xml:space="preserve">owned enterprises. The situation is similar in the debt</w:t>
      </w:r>
      <w:r>
        <w:t xml:space="preserve"> </w:t>
      </w:r>
      <w:r>
        <w:t xml:space="preserve">securities market: the corporate bond market is very</w:t>
      </w:r>
      <w:r>
        <w:t xml:space="preserve"> </w:t>
      </w:r>
      <w:r>
        <w:t xml:space="preserve">thin and activity there was very weak.</w:t>
      </w:r>
      <w:r>
        <w:t xml:space="preserve"> </w:t>
      </w:r>
      <w:r>
        <w:t xml:space="preserve">1.18.3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-60</w:t>
      </w:r>
      <w:r>
        <w:t xml:space="preserve"> </w:t>
      </w:r>
      <w:r>
        <w:t xml:space="preserve">-50</w:t>
      </w:r>
      <w:r>
        <w:t xml:space="preserve"> </w:t>
      </w:r>
      <w:r>
        <w:t xml:space="preserve">-40</w:t>
      </w:r>
      <w:r>
        <w:t xml:space="preserve"> </w:t>
      </w:r>
      <w:r>
        <w:t xml:space="preserve">-30</w:t>
      </w:r>
      <w:r>
        <w:t xml:space="preserve"> </w:t>
      </w:r>
      <w:r>
        <w:t xml:space="preserve">-20</w:t>
      </w:r>
      <w:r>
        <w:t xml:space="preserve"> </w:t>
      </w:r>
      <w:r>
        <w:t xml:space="preserve">-10</w:t>
      </w:r>
      <w:r>
        <w:t xml:space="preserve"> </w:t>
      </w:r>
      <w:r>
        <w:t xml:space="preserve">0</w:t>
      </w:r>
      <w:r>
        <w:t xml:space="preserve"> </w:t>
      </w:r>
      <w:r>
        <w:t xml:space="preserve">-250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465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Firms in Latvia rely less than the EU average on</w:t>
      </w:r>
      <w:r>
        <w:t xml:space="preserve"> </w:t>
      </w:r>
      <w:r>
        <w:t xml:space="preserve">funding from bank lending and capital markets.</w:t>
      </w:r>
      <w:r>
        <w:t xml:space="preserve"> </w:t>
      </w:r>
      <w:r>
        <w:t xml:space="preserve">The relative significance of bank credit to businesses</w:t>
      </w:r>
      <w:r>
        <w:t xml:space="preserve"> </w:t>
      </w:r>
      <w:r>
        <w:t xml:space="preserve">continues to decline, with companies in Latvia utilising</w:t>
      </w:r>
      <w:r>
        <w:t xml:space="preserve"> </w:t>
      </w:r>
      <w:r>
        <w:t xml:space="preserve">bank loans less than any other EU country. At the end</w:t>
      </w:r>
      <w:r>
        <w:t xml:space="preserve"> </w:t>
      </w:r>
      <w:r>
        <w:t xml:space="preserve">of 2023, MFI credit accounted for merely 15% of the</w:t>
      </w:r>
      <w:r>
        <w:t xml:space="preserve"> </w:t>
      </w:r>
      <w:r>
        <w:t xml:space="preserve">total corporate debt portfolio, down from 34% in 2010,</w:t>
      </w:r>
      <w:r>
        <w:t xml:space="preserve"> </w:t>
      </w:r>
      <w:r>
        <w:t xml:space="preserve">and among the lowest in the EU. Listed shares and</w:t>
      </w:r>
      <w:r>
        <w:t xml:space="preserve"> </w:t>
      </w:r>
      <w:r>
        <w:t xml:space="preserve">bonds represented only 1.3% of all funding sources for</w:t>
      </w:r>
      <w:r>
        <w:t xml:space="preserve"> </w:t>
      </w:r>
      <w:r>
        <w:t xml:space="preserve">Latvian non-financial corporations. The equivalent</w:t>
      </w:r>
      <w:r>
        <w:t xml:space="preserve"> </w:t>
      </w:r>
      <w:r>
        <w:t xml:space="preserve">figures for the EU average are 27.2% and 23.8%, with</w:t>
      </w:r>
      <w:r>
        <w:t xml:space="preserve"> </w:t>
      </w:r>
      <w:r>
        <w:t xml:space="preserve">the overall levels also substantially higher as a share of</w:t>
      </w:r>
      <w:r>
        <w:t xml:space="preserve"> </w:t>
      </w:r>
      <w:r>
        <w:t xml:space="preserve">GDP (as the overall level of non-financial corporations</w:t>
      </w:r>
      <w:r>
        <w:t xml:space="preserve"> </w:t>
      </w:r>
      <w:r>
        <w:t xml:space="preserve">funding was 137% in Latvia and 230% of GDP for the</w:t>
      </w:r>
      <w:r>
        <w:t xml:space="preserve"> </w:t>
      </w:r>
      <w:r>
        <w:t xml:space="preserve">EU average, see Graph 2.16.3). The market funding</w:t>
      </w:r>
      <w:r>
        <w:t xml:space="preserve"> </w:t>
      </w:r>
      <w:r>
        <w:t xml:space="preserve">ratio736 as of end 2023 was 21.2%, compared to an EU</w:t>
      </w:r>
      <w:r>
        <w:t xml:space="preserve"> </w:t>
      </w:r>
      <w:r>
        <w:t xml:space="preserve">average of 49.6%.</w:t>
      </w:r>
      <w:r>
        <w:t xml:space="preserve"> </w:t>
      </w:r>
      <w:r>
        <w:t xml:space="preserve">Internal financing accounted for the largest share of</w:t>
      </w:r>
      <w:r>
        <w:t xml:space="preserve"> </w:t>
      </w:r>
      <w:r>
        <w:t xml:space="preserve">finance for firms in Latvia in 2024. Non-financial</w:t>
      </w:r>
      <w:r>
        <w:t xml:space="preserve"> </w:t>
      </w:r>
      <w:r>
        <w:t xml:space="preserve">corporations tend to rely on their own funds as well as</w:t>
      </w:r>
      <w:r>
        <w:t xml:space="preserve"> </w:t>
      </w:r>
      <w:r>
        <w:t xml:space="preserve">other alternatives (other equity). Limited access to</w:t>
      </w:r>
      <w:r>
        <w:t xml:space="preserve"> </w:t>
      </w:r>
      <w:r>
        <w:t xml:space="preserve">finance is reflected in the 2024 SAFE survey results. In</w:t>
      </w:r>
      <w:r>
        <w:t xml:space="preserve"> </w:t>
      </w:r>
      <w:r>
        <w:t xml:space="preserve">that survey 30% of Latvian SMEs indicate that bank</w:t>
      </w:r>
      <w:r>
        <w:t xml:space="preserve"> </w:t>
      </w:r>
      <w:r>
        <w:t xml:space="preserve">loans are relevant for them, compared to an EU average</w:t>
      </w:r>
      <w:r>
        <w:t xml:space="preserve"> </w:t>
      </w:r>
      <w:r>
        <w:t xml:space="preserve">of 45%, and 29% of SME’s indicated that equity (other</w:t>
      </w:r>
      <w:r>
        <w:t xml:space="preserve"> </w:t>
      </w:r>
      <w:r>
        <w:t xml:space="preserve">than shares) is relevant for them vs. an EU average of</w:t>
      </w:r>
      <w:r>
        <w:t xml:space="preserve"> </w:t>
      </w:r>
      <w:r>
        <w:t xml:space="preserve">12%.737 Alternative financial service providers are</w:t>
      </w:r>
      <w:r>
        <w:t xml:space="preserve"> </w:t>
      </w:r>
      <w:r>
        <w:t xml:space="preserve">competing and often outcompeting the traditional ones</w:t>
      </w:r>
      <w:r>
        <w:t xml:space="preserve"> </w:t>
      </w:r>
      <w:r>
        <w:t xml:space="preserve">at high speed. Conducted empirical analysis shows that</w:t>
      </w:r>
      <w:r>
        <w:t xml:space="preserve"> </w:t>
      </w:r>
      <w:r>
        <w:t xml:space="preserve">the most available financing sources in Latvia, apart</w:t>
      </w:r>
      <w:r>
        <w:t xml:space="preserve"> </w:t>
      </w:r>
      <w:r>
        <w:t xml:space="preserve">from banking products, are friends and family, venture</w:t>
      </w:r>
      <w:r>
        <w:t xml:space="preserve"> </w:t>
      </w:r>
      <w:r>
        <w:t xml:space="preserve">capital, business angels, as well as diverse state support</w:t>
      </w:r>
      <w:r>
        <w:t xml:space="preserve"> </w:t>
      </w:r>
      <w:r>
        <w:t xml:space="preserve">programmes (including EU grants, Altum). However,</w:t>
      </w:r>
      <w:r>
        <w:t xml:space="preserve"> </w:t>
      </w:r>
      <w:r>
        <w:t xml:space="preserve">Altum’s loan portfolio is relatively small against the</w:t>
      </w:r>
      <w:r>
        <w:t xml:space="preserve"> </w:t>
      </w:r>
      <w:r>
        <w:t xml:space="preserve">total value of outstanding loans (a mere 2.5% as of mid-</w:t>
      </w:r>
      <w:r>
        <w:t xml:space="preserve"> </w:t>
      </w:r>
      <w:r>
        <w:t xml:space="preserve">2023).</w:t>
      </w:r>
    </w:p>
    <w:p>
      <w:pPr>
        <w:pStyle w:val="BodyText"/>
      </w:pPr>
      <w:r>
        <w:t xml:space="preserve">736 i.e. the volume of corporate bonds and listed shares of NFCs</w:t>
      </w:r>
      <w:r>
        <w:t xml:space="preserve"> </w:t>
      </w:r>
      <w:r>
        <w:t xml:space="preserve">relative to the volume of those two and bank loans to NFCs.</w:t>
      </w:r>
      <w:r>
        <w:t xml:space="preserve"> </w:t>
      </w:r>
      <w:r>
        <w:t xml:space="preserve">737 Data and surveys - SAFE - European Commission, 2024, Results</w:t>
      </w:r>
      <w:r>
        <w:t xml:space="preserve"> </w:t>
      </w:r>
      <w:r>
        <w:t xml:space="preserve">by country, T23, T27.</w:t>
      </w:r>
      <w:r>
        <w:t xml:space="preserve"> </w:t>
      </w:r>
      <w:r>
        <w:t xml:space="preserve">1.18.4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Latvian SMEs find it difficult to access and take</w:t>
      </w:r>
      <w:r>
        <w:t xml:space="preserve"> </w:t>
      </w:r>
      <w:r>
        <w:t xml:space="preserve">advantage of Latvia’s capital markets. In the 2024</w:t>
      </w:r>
      <w:r>
        <w:t xml:space="preserve"> </w:t>
      </w:r>
      <w:r>
        <w:t xml:space="preserve">SAFE survey 41% of SMEs indicated that internal</w:t>
      </w:r>
      <w:r>
        <w:t xml:space="preserve"> </w:t>
      </w:r>
      <w:r>
        <w:t xml:space="preserve">funds (retained earnings or sale of assets) are relevant</w:t>
      </w:r>
      <w:r>
        <w:t xml:space="preserve"> </w:t>
      </w:r>
      <w:r>
        <w:t xml:space="preserve">for them, compared to an EU average of 30%.738</w:t>
      </w:r>
      <w:r>
        <w:t xml:space="preserve"> </w:t>
      </w:r>
      <w:r>
        <w:t xml:space="preserve">Moreover, Latvia cannot take advantage of this SME</w:t>
      </w:r>
      <w:r>
        <w:t xml:space="preserve"> </w:t>
      </w:r>
      <w:r>
        <w:t xml:space="preserve">market because there are no established SME growth</w:t>
      </w:r>
      <w:r>
        <w:t xml:space="preserve"> </w:t>
      </w:r>
      <w:r>
        <w:t xml:space="preserve">markets in Lithuania, nor in the other Baltic states.</w:t>
      </w:r>
      <w:r>
        <w:t xml:space="preserve"> </w:t>
      </w:r>
      <w:r>
        <w:t xml:space="preserve">Recently, work started on setting up an SME Initial</w:t>
      </w:r>
      <w:r>
        <w:t xml:space="preserve"> </w:t>
      </w:r>
      <w:r>
        <w:t xml:space="preserve">Public Offering Fund in the Baltics, with the help from</w:t>
      </w:r>
      <w:r>
        <w:t xml:space="preserve"> </w:t>
      </w:r>
      <w:r>
        <w:t xml:space="preserve">ALTUM for Latvia and ILTE for Lithuania.</w:t>
      </w:r>
      <w:r>
        <w:br/>
      </w:r>
      <w:r>
        <w:t xml:space="preserve">1.18.5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</w:t>
      </w:r>
      <w:r>
        <w:br/>
      </w:r>
      <w:r>
        <w:t xml:space="preserve">The prospects for capital market development are</w:t>
      </w:r>
      <w:r>
        <w:t xml:space="preserve"> </w:t>
      </w:r>
      <w:r>
        <w:t xml:space="preserve">limited by the low number of listed enterprises.</w:t>
      </w:r>
      <w:r>
        <w:t xml:space="preserve"> </w:t>
      </w:r>
      <w:r>
        <w:t xml:space="preserve">Latvia has established a good market infrastructure, as</w:t>
      </w:r>
      <w:r>
        <w:t xml:space="preserve"> </w:t>
      </w:r>
      <w:r>
        <w:t xml:space="preserve">well as a regulatory framework that meets international</w:t>
      </w:r>
      <w:r>
        <w:t xml:space="preserve"> </w:t>
      </w:r>
      <w:r>
        <w:t xml:space="preserve">standards, ensuring adequate market transparency and</w:t>
      </w:r>
      <w:r>
        <w:t xml:space="preserve"> </w:t>
      </w:r>
      <w:r>
        <w:t xml:space="preserve">investor protection. The Baltic countries have</w:t>
      </w:r>
      <w:r>
        <w:t xml:space="preserve"> </w:t>
      </w:r>
      <w:r>
        <w:t xml:space="preserve">738 Data and surveys - SAFE - European Commission, 2024, Results</w:t>
      </w:r>
      <w:r>
        <w:t xml:space="preserve"> </w:t>
      </w:r>
      <w:r>
        <w:t xml:space="preserve">by country, T20.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LV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466</w:t>
      </w:r>
      <w:r>
        <w:t xml:space="preserve"> </w:t>
      </w:r>
      <w:r>
        <w:t xml:space="preserve">consolidated their stock markets and CSDs which has</w:t>
      </w:r>
      <w:r>
        <w:t xml:space="preserve"> </w:t>
      </w:r>
      <w:r>
        <w:t xml:space="preserve">facilitated cross-border transactions and improved all</w:t>
      </w:r>
      <w:r>
        <w:t xml:space="preserve"> </w:t>
      </w:r>
      <w:r>
        <w:t xml:space="preserve">Baltics markets’ visibility. Yet the number of investors,</w:t>
      </w:r>
      <w:r>
        <w:t xml:space="preserve"> </w:t>
      </w:r>
      <w:r>
        <w:t xml:space="preserve">transactions and issued securities remains low. Local</w:t>
      </w:r>
      <w:r>
        <w:t xml:space="preserve"> </w:t>
      </w:r>
      <w:r>
        <w:t xml:space="preserve">businesses tend to rely for external funding on bank</w:t>
      </w:r>
      <w:r>
        <w:t xml:space="preserve"> </w:t>
      </w:r>
      <w:r>
        <w:t xml:space="preserve">intermediation rather than attracting investments</w:t>
      </w:r>
      <w:r>
        <w:t xml:space="preserve"> </w:t>
      </w:r>
      <w:r>
        <w:t xml:space="preserve">through stock and bond issues or from alternative</w:t>
      </w:r>
      <w:r>
        <w:t xml:space="preserve"> </w:t>
      </w:r>
      <w:r>
        <w:t xml:space="preserve">sources. This results in low interest from institutional</w:t>
      </w:r>
      <w:r>
        <w:t xml:space="preserve"> </w:t>
      </w:r>
      <w:r>
        <w:t xml:space="preserve">and retail investors, and thus few local opportunities to</w:t>
      </w:r>
      <w:r>
        <w:t xml:space="preserve"> </w:t>
      </w:r>
      <w:r>
        <w:t xml:space="preserve">raise share capital. The lacking market activity by</w:t>
      </w:r>
      <w:r>
        <w:t xml:space="preserve"> </w:t>
      </w:r>
      <w:r>
        <w:t xml:space="preserve">institutional investors lowers demand for corporate</w:t>
      </w:r>
      <w:r>
        <w:t xml:space="preserve"> </w:t>
      </w:r>
      <w:r>
        <w:t xml:space="preserve">stocks and bonds. In terms of the international market,</w:t>
      </w:r>
      <w:r>
        <w:t xml:space="preserve"> </w:t>
      </w:r>
      <w:r>
        <w:t xml:space="preserve">projects developed in Latvia are relatively low value,</w:t>
      </w:r>
      <w:r>
        <w:t xml:space="preserve"> </w:t>
      </w:r>
      <w:r>
        <w:t xml:space="preserve">which makes them less attractive to international</w:t>
      </w:r>
      <w:r>
        <w:t xml:space="preserve"> </w:t>
      </w:r>
      <w:r>
        <w:t xml:space="preserve">investors. For the local capital markets to come onto</w:t>
      </w:r>
      <w:r>
        <w:t xml:space="preserve"> </w:t>
      </w:r>
      <w:r>
        <w:t xml:space="preserve">their radars, they would first need to reach a sufficient</w:t>
      </w:r>
      <w:r>
        <w:t xml:space="preserve"> </w:t>
      </w:r>
      <w:r>
        <w:t xml:space="preserve">level of capitalisation. Listing of large state-owned</w:t>
      </w:r>
      <w:r>
        <w:t xml:space="preserve"> </w:t>
      </w:r>
      <w:r>
        <w:t xml:space="preserve">enterprises and facilitating greater exposure of pension</w:t>
      </w:r>
      <w:r>
        <w:t xml:space="preserve"> </w:t>
      </w:r>
      <w:r>
        <w:t xml:space="preserve">funds to domestic securities could help attract investors</w:t>
      </w:r>
      <w:r>
        <w:t xml:space="preserve"> </w:t>
      </w:r>
      <w:r>
        <w:t xml:space="preserve">and raise access to finance. It is also important to note</w:t>
      </w:r>
      <w:r>
        <w:t xml:space="preserve"> </w:t>
      </w:r>
      <w:r>
        <w:t xml:space="preserve">that the outstanding deposits at banks significantly</w:t>
      </w:r>
      <w:r>
        <w:t xml:space="preserve"> </w:t>
      </w:r>
      <w:r>
        <w:t xml:space="preserve">exceed the outstanding loans from banks, which may</w:t>
      </w:r>
      <w:r>
        <w:t xml:space="preserve"> </w:t>
      </w:r>
      <w:r>
        <w:t xml:space="preserve">point to untapped potential since those savings could</w:t>
      </w:r>
      <w:r>
        <w:t xml:space="preserve"> </w:t>
      </w:r>
      <w:r>
        <w:t xml:space="preserve">be redirected towards capital markets.</w:t>
      </w:r>
      <w:r>
        <w:t xml:space="preserve"> </w:t>
      </w:r>
      <w:r>
        <w:t xml:space="preserve">The government is currently reviewing its strategy</w:t>
      </w:r>
      <w:r>
        <w:t xml:space="preserve"> </w:t>
      </w:r>
      <w:r>
        <w:t xml:space="preserve">for activating capital markets. Several lines of action</w:t>
      </w:r>
      <w:r>
        <w:t xml:space="preserve"> </w:t>
      </w:r>
      <w:r>
        <w:t xml:space="preserve">aim at meeting the ambitious target of stock market</w:t>
      </w:r>
      <w:r>
        <w:t xml:space="preserve"> </w:t>
      </w:r>
      <w:r>
        <w:t xml:space="preserve">capitalization of 9% of GDP by 2027. This initiative is</w:t>
      </w:r>
      <w:r>
        <w:t xml:space="preserve"> </w:t>
      </w:r>
      <w:r>
        <w:t xml:space="preserve">part of a broader strategy to leverage over EUR 10 bn</w:t>
      </w:r>
      <w:r>
        <w:t xml:space="preserve"> </w:t>
      </w:r>
      <w:r>
        <w:t xml:space="preserve">in household savings across Latvia, directing these</w:t>
      </w:r>
      <w:r>
        <w:t xml:space="preserve"> </w:t>
      </w:r>
      <w:r>
        <w:t xml:space="preserve">funds towards vital investments that can spur</w:t>
      </w:r>
      <w:r>
        <w:t xml:space="preserve"> </w:t>
      </w:r>
      <w:r>
        <w:t xml:space="preserve">sustainable economic growth. Government decisions</w:t>
      </w:r>
      <w:r>
        <w:t xml:space="preserve"> </w:t>
      </w:r>
      <w:r>
        <w:t xml:space="preserve">made earlier in 2021 and 2022 foresee specific</w:t>
      </w:r>
      <w:r>
        <w:t xml:space="preserve"> </w:t>
      </w:r>
      <w:r>
        <w:t xml:space="preserve">instruments to increase the capitalisation of the stock</w:t>
      </w:r>
      <w:r>
        <w:t xml:space="preserve"> </w:t>
      </w:r>
      <w:r>
        <w:t xml:space="preserve">market and promote capital attraction and the entry of</w:t>
      </w:r>
      <w:r>
        <w:t xml:space="preserve"> </w:t>
      </w:r>
      <w:r>
        <w:t xml:space="preserve">new issuers into the stock exchange. From the 10-step</w:t>
      </w:r>
      <w:r>
        <w:t xml:space="preserve"> </w:t>
      </w:r>
      <w:r>
        <w:t xml:space="preserve">programme, concrete action plans were derived and</w:t>
      </w:r>
      <w:r>
        <w:t xml:space="preserve"> </w:t>
      </w:r>
      <w:r>
        <w:t xml:space="preserve">included in the National Financial sector Development</w:t>
      </w:r>
      <w:r>
        <w:t xml:space="preserve"> </w:t>
      </w:r>
      <w:r>
        <w:t xml:space="preserve">Plan for 2021-2023. In May 2023 the government of</w:t>
      </w:r>
      <w:r>
        <w:t xml:space="preserve"> </w:t>
      </w:r>
      <w:r>
        <w:t xml:space="preserve">Latvia approved the initiative “On further development</w:t>
      </w:r>
      <w:r>
        <w:t xml:space="preserve"> </w:t>
      </w:r>
      <w:r>
        <w:t xml:space="preserve">of the Latvian capital market” to meet the target of</w:t>
      </w:r>
      <w:r>
        <w:t xml:space="preserve"> </w:t>
      </w:r>
      <w:r>
        <w:t xml:space="preserve">stock market capitalization of 9% of GDP by 2027.</w:t>
      </w:r>
      <w:r>
        <w:t xml:space="preserve"> </w:t>
      </w:r>
      <w:r>
        <w:t xml:space="preserve">Since then, progress has been made, but clearly there is</w:t>
      </w:r>
      <w:r>
        <w:t xml:space="preserve"> </w:t>
      </w:r>
      <w:r>
        <w:t xml:space="preserve">potential for further improvement. More work is</w:t>
      </w:r>
      <w:r>
        <w:t xml:space="preserve"> </w:t>
      </w:r>
      <w:r>
        <w:t xml:space="preserve">needed to open possibilities for domestic and foreign</w:t>
      </w:r>
      <w:r>
        <w:t xml:space="preserve"> </w:t>
      </w:r>
      <w:r>
        <w:t xml:space="preserve">capital flows to fund business investment, to provide</w:t>
      </w:r>
      <w:r>
        <w:t xml:space="preserve"> </w:t>
      </w:r>
      <w:r>
        <w:t xml:space="preserve">investors with an opportunity to invest in the</w:t>
      </w:r>
      <w:r>
        <w:t xml:space="preserve"> </w:t>
      </w:r>
      <w:r>
        <w:t xml:space="preserve">development of the Latvian economy. In February</w:t>
      </w:r>
      <w:r>
        <w:t xml:space="preserve"> </w:t>
      </w:r>
      <w:r>
        <w:t xml:space="preserve">2025 Latvijas Banka updated the 10-step programme</w:t>
      </w:r>
      <w:r>
        <w:t xml:space="preserve"> </w:t>
      </w:r>
      <w:r>
        <w:t xml:space="preserve">stating that measures should be taken to promote the</w:t>
      </w:r>
      <w:r>
        <w:t xml:space="preserve"> </w:t>
      </w:r>
      <w:r>
        <w:t xml:space="preserve">entry of large state-owned or municipalities-owned</w:t>
      </w:r>
    </w:p>
    <w:p>
      <w:pPr>
        <w:pStyle w:val="BodyText"/>
      </w:pPr>
      <w:r>
        <w:t xml:space="preserve">739 Other equity comprises all forms of equity other than those</w:t>
      </w:r>
      <w:r>
        <w:t xml:space="preserve"> </w:t>
      </w:r>
      <w:r>
        <w:t xml:space="preserve">classified in sub-categories listed shares (AF.511) and unlisted</w:t>
      </w:r>
      <w:r>
        <w:t xml:space="preserve"> </w:t>
      </w:r>
      <w:r>
        <w:t xml:space="preserve">shares (AF.512). In Latvia, the largest part of households’</w:t>
      </w:r>
      <w:r>
        <w:t xml:space="preserve"> </w:t>
      </w:r>
      <w:r>
        <w:t xml:space="preserve">companies into the capital market, notably by including</w:t>
      </w:r>
      <w:r>
        <w:t xml:space="preserve"> </w:t>
      </w:r>
      <w:r>
        <w:t xml:space="preserve">shares in the market.</w:t>
      </w:r>
      <w:r>
        <w:t xml:space="preserve"> </w:t>
      </w:r>
      <w:r>
        <w:t xml:space="preserve">Retail participation in capital markets</w:t>
      </w:r>
      <w:r>
        <w:br/>
      </w:r>
      <w:r>
        <w:t xml:space="preserve">The relatively low levels of income and savings of</w:t>
      </w:r>
      <w:r>
        <w:t xml:space="preserve"> </w:t>
      </w:r>
      <w:r>
        <w:t xml:space="preserve">Latvian households reduce the availability of credit</w:t>
      </w:r>
      <w:r>
        <w:t xml:space="preserve"> </w:t>
      </w:r>
      <w:r>
        <w:t xml:space="preserve">for enterprise investments and suggests that the</w:t>
      </w:r>
      <w:r>
        <w:t xml:space="preserve"> </w:t>
      </w:r>
      <w:r>
        <w:t xml:space="preserve">economy relies more on foreign savings. The Latvian</w:t>
      </w:r>
      <w:r>
        <w:t xml:space="preserve"> </w:t>
      </w:r>
      <w:r>
        <w:t xml:space="preserve">households’ portfolio is tilted towards currency and</w:t>
      </w:r>
      <w:r>
        <w:t xml:space="preserve"> </w:t>
      </w:r>
      <w:r>
        <w:t xml:space="preserve">deposits (33.2%) and more than one third of their</w:t>
      </w:r>
      <w:r>
        <w:t xml:space="preserve"> </w:t>
      </w:r>
      <w:r>
        <w:t xml:space="preserve">portfolio is held in “other equity”739, which is high</w:t>
      </w:r>
      <w:r>
        <w:t xml:space="preserve"> </w:t>
      </w:r>
      <w:r>
        <w:t xml:space="preserve">compared to other EU countries where the average is</w:t>
      </w:r>
      <w:r>
        <w:t xml:space="preserve"> </w:t>
      </w:r>
      <w:r>
        <w:t xml:space="preserve">11.2%. Latvian households have relatively few</w:t>
      </w:r>
      <w:r>
        <w:t xml:space="preserve"> </w:t>
      </w:r>
      <w:r>
        <w:t xml:space="preserve">financial assets, in particular related to investment,</w:t>
      </w:r>
      <w:r>
        <w:t xml:space="preserve"> </w:t>
      </w:r>
      <w:r>
        <w:t xml:space="preserve">insurance and pension funds. The share of households’</w:t>
      </w:r>
      <w:r>
        <w:t xml:space="preserve"> </w:t>
      </w:r>
      <w:r>
        <w:t xml:space="preserve">financial assets held in pension and insurance funds or</w:t>
      </w:r>
      <w:r>
        <w:t xml:space="preserve"> </w:t>
      </w:r>
      <w:r>
        <w:t xml:space="preserve">directly in financial investment instruments in total</w:t>
      </w:r>
      <w:r>
        <w:t xml:space="preserve"> </w:t>
      </w:r>
      <w:r>
        <w:t xml:space="preserve">financial assets has risen to 28.7% in 2024 but still falls</w:t>
      </w:r>
      <w:r>
        <w:t xml:space="preserve"> </w:t>
      </w:r>
      <w:r>
        <w:t xml:space="preserve">short of the EU average of 46.6%. Most investments</w:t>
      </w:r>
      <w:r>
        <w:t xml:space="preserve"> </w:t>
      </w:r>
      <w:r>
        <w:t xml:space="preserve">are in pension funds, mainly due to the larger</w:t>
      </w:r>
      <w:r>
        <w:t xml:space="preserve"> </w:t>
      </w:r>
      <w:r>
        <w:t xml:space="preserve">mandatory contribution to the 2nd pension pillar. In</w:t>
      </w:r>
      <w:r>
        <w:t xml:space="preserve"> </w:t>
      </w:r>
      <w:r>
        <w:t xml:space="preserve">Latvia, most of households’ investments are in life</w:t>
      </w:r>
      <w:r>
        <w:t xml:space="preserve"> </w:t>
      </w:r>
      <w:r>
        <w:t xml:space="preserve">insurance, and other investment opportunities are used</w:t>
      </w:r>
      <w:r>
        <w:t xml:space="preserve"> </w:t>
      </w:r>
      <w:r>
        <w:t xml:space="preserve">significantly less. Little by little, households are</w:t>
      </w:r>
      <w:r>
        <w:t xml:space="preserve"> </w:t>
      </w:r>
      <w:r>
        <w:t xml:space="preserve">gradually starting to invest their funds in higher-risk</w:t>
      </w:r>
      <w:r>
        <w:t xml:space="preserve"> </w:t>
      </w:r>
      <w:r>
        <w:t xml:space="preserve">assets. In recent years, deposits in securities and</w:t>
      </w:r>
      <w:r>
        <w:t xml:space="preserve"> </w:t>
      </w:r>
      <w:r>
        <w:t xml:space="preserve">investment funds grew most rapidly.</w:t>
      </w:r>
      <w:r>
        <w:br/>
      </w:r>
      <w:r>
        <w:t xml:space="preserve">1.18.6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1.19 Lithuania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Lithuanian economy invests a part of its</w:t>
      </w:r>
      <w:r>
        <w:t xml:space="preserve"> </w:t>
      </w:r>
      <w:r>
        <w:t xml:space="preserve">relatively high net savings abroad. In the last decade,</w:t>
      </w:r>
      <w:r>
        <w:t xml:space="preserve"> </w:t>
      </w:r>
      <w:r>
        <w:t xml:space="preserve">financial assets during the last year was made up by funds</w:t>
      </w:r>
      <w:r>
        <w:t xml:space="preserve"> </w:t>
      </w:r>
      <w:r>
        <w:t xml:space="preserve">invested in business activity (e.g. the equity capital of limited</w:t>
      </w:r>
      <w:r>
        <w:t xml:space="preserve"> </w:t>
      </w:r>
      <w:r>
        <w:t xml:space="preserve">liability companies and individual merchants).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LV</w:t>
      </w:r>
      <w:r>
        <w:t xml:space="preserve"> </w:t>
      </w:r>
      <w:r>
        <w:t xml:space="preserve">EU</w:t>
      </w:r>
      <w:r>
        <w:t xml:space="preserve"> </w:t>
      </w:r>
      <w:r>
        <w:t xml:space="preserve">LV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467</w:t>
      </w:r>
      <w:r>
        <w:t xml:space="preserve"> </w:t>
      </w:r>
      <w:r>
        <w:t xml:space="preserve">the private savings ratio, net of fixed capital</w:t>
      </w:r>
      <w:r>
        <w:t xml:space="preserve"> </w:t>
      </w:r>
      <w:r>
        <w:t xml:space="preserve">consumption, fluctuated around its ten-year average of</w:t>
      </w:r>
      <w:r>
        <w:t xml:space="preserve"> </w:t>
      </w:r>
      <w:r>
        <w:t xml:space="preserve">9.7% of GDP, reaching a maximum of 15.3% in 2020</w:t>
      </w:r>
      <w:r>
        <w:t xml:space="preserve"> </w:t>
      </w:r>
      <w:r>
        <w:t xml:space="preserve">(see Graph 2.17.4). The net private investment ratio,</w:t>
      </w:r>
      <w:r>
        <w:t xml:space="preserve"> </w:t>
      </w:r>
      <w:r>
        <w:t xml:space="preserve">which measures the net contribution of the private</w:t>
      </w:r>
      <w:r>
        <w:t xml:space="preserve"> </w:t>
      </w:r>
      <w:r>
        <w:t xml:space="preserve">sector to capital accumulation in the country, was a bit</w:t>
      </w:r>
      <w:r>
        <w:t xml:space="preserve"> </w:t>
      </w:r>
      <w:r>
        <w:t xml:space="preserve">more volatile, exhibited a ten-year average of 6.1% of</w:t>
      </w:r>
      <w:r>
        <w:t xml:space="preserve"> </w:t>
      </w:r>
      <w:r>
        <w:t xml:space="preserve">GDP and reached a maximum of 13.2% in 2022. At the</w:t>
      </w:r>
      <w:r>
        <w:t xml:space="preserve"> </w:t>
      </w:r>
      <w:r>
        <w:t xml:space="preserve">same time, during the same period the government</w:t>
      </w:r>
      <w:r>
        <w:t xml:space="preserve"> </w:t>
      </w:r>
      <w:r>
        <w:t xml:space="preserve">budget was in regular deficit that averaged 1% of GDP.</w:t>
      </w:r>
      <w:r>
        <w:t xml:space="preserve"> </w:t>
      </w:r>
      <w:r>
        <w:t xml:space="preserve">Thus, the positive balance between net domestic</w:t>
      </w:r>
      <w:r>
        <w:t xml:space="preserve"> </w:t>
      </w:r>
      <w:r>
        <w:t xml:space="preserve">savings and net investment, together with low</w:t>
      </w:r>
      <w:r>
        <w:t xml:space="preserve"> </w:t>
      </w:r>
      <w:r>
        <w:t xml:space="preserve">government deficits, resulted in net lending by</w:t>
      </w:r>
      <w:r>
        <w:t xml:space="preserve"> </w:t>
      </w:r>
      <w:r>
        <w:t xml:space="preserve">Lithuania to the rest of the world that averaged 2.6% of</w:t>
      </w:r>
      <w:r>
        <w:t xml:space="preserve"> </w:t>
      </w:r>
      <w:r>
        <w:t xml:space="preserve">GDP, with a peak of 8.9% in 2020. The swing in 2022</w:t>
      </w:r>
      <w:r>
        <w:t xml:space="preserve"> </w:t>
      </w:r>
      <w:r>
        <w:t xml:space="preserve">to net borrowing from the rest of the world is expected</w:t>
      </w:r>
      <w:r>
        <w:t xml:space="preserve"> </w:t>
      </w:r>
      <w:r>
        <w:t xml:space="preserve">to be temporary, as it was driven by a massive increase</w:t>
      </w:r>
      <w:r>
        <w:t xml:space="preserve"> </w:t>
      </w:r>
      <w:r>
        <w:t xml:space="preserve">in net energy imports and elevated energy prices.</w:t>
      </w:r>
      <w:r>
        <w:t xml:space="preserve"> </w:t>
      </w:r>
      <w:r>
        <w:t xml:space="preserve">Lithuania experienced strong capital inflows during</w:t>
      </w:r>
      <w:r>
        <w:t xml:space="preserve"> </w:t>
      </w:r>
      <w:r>
        <w:t xml:space="preserve">2022 which largely occurred through accelerated FDI</w:t>
      </w:r>
      <w:r>
        <w:t xml:space="preserve"> </w:t>
      </w:r>
      <w:r>
        <w:t xml:space="preserve">and portfolio investments.</w:t>
      </w:r>
      <w:r>
        <w:t xml:space="preserve"> </w:t>
      </w:r>
      <w:r>
        <w:t xml:space="preserve">1.19.1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The net international investment position turned</w:t>
      </w:r>
      <w:r>
        <w:t xml:space="preserve"> </w:t>
      </w:r>
      <w:r>
        <w:t xml:space="preserve">positive in 2024. Between 2009 and 2023, the net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investment</w:t>
      </w:r>
      <w:r>
        <w:t xml:space="preserve"> </w:t>
      </w:r>
      <w:r>
        <w:t xml:space="preserve">position</w:t>
      </w:r>
      <w:r>
        <w:t xml:space="preserve"> </w:t>
      </w:r>
      <w:r>
        <w:t xml:space="preserve">(NIIP)</w:t>
      </w:r>
      <w:r>
        <w:t xml:space="preserve"> </w:t>
      </w:r>
      <w:r>
        <w:t xml:space="preserve">has</w:t>
      </w:r>
      <w:r>
        <w:t xml:space="preserve"> </w:t>
      </w:r>
      <w:r>
        <w:t xml:space="preserve">strengthened almost every year, reflecting an</w:t>
      </w:r>
      <w:r>
        <w:t xml:space="preserve"> </w:t>
      </w:r>
      <w:r>
        <w:t xml:space="preserve">improvement in international competitiveness. As of</w:t>
      </w:r>
      <w:r>
        <w:t xml:space="preserve"> </w:t>
      </w:r>
      <w:r>
        <w:t xml:space="preserve">Q4-2024, total assets on foreigners reached 124.6% of</w:t>
      </w:r>
      <w:r>
        <w:t xml:space="preserve"> </w:t>
      </w:r>
      <w:r>
        <w:t xml:space="preserve">GDP, while liabilities to foreigners stood at 124.2% of</w:t>
      </w:r>
      <w:r>
        <w:t xml:space="preserve"> </w:t>
      </w:r>
      <w:r>
        <w:t xml:space="preserve">GDP, resulting in a NIIP equivalent to 0.4% of GDP</w:t>
      </w:r>
      <w:r>
        <w:t xml:space="preserve"> </w:t>
      </w:r>
      <w:r>
        <w:t xml:space="preserve">(see Graph 2.17.5). The accumulated net portfolio</w:t>
      </w:r>
      <w:r>
        <w:t xml:space="preserve"> </w:t>
      </w:r>
      <w:r>
        <w:t xml:space="preserve">investment, which reached 14.1% of GDP as of Q4-</w:t>
      </w:r>
      <w:r>
        <w:t xml:space="preserve"> </w:t>
      </w:r>
      <w:r>
        <w:t xml:space="preserve">2024, together with net other investments of 10.9% and</w:t>
      </w:r>
      <w:r>
        <w:t xml:space="preserve"> </w:t>
      </w:r>
      <w:r>
        <w:t xml:space="preserve">accumulated foreign reserves of 9.1% of GDP</w:t>
      </w:r>
      <w:r>
        <w:t xml:space="preserve"> </w:t>
      </w:r>
      <w:r>
        <w:t xml:space="preserve">counterbalanced a negative accumulated net foreign</w:t>
      </w:r>
      <w:r>
        <w:t xml:space="preserve"> </w:t>
      </w:r>
      <w:r>
        <w:t xml:space="preserve">direct investment balance of 33.7%.</w:t>
      </w:r>
      <w:r>
        <w:br/>
      </w:r>
      <w:r>
        <w:t xml:space="preserve">1.19.2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and size of the financial sector</w:t>
      </w:r>
      <w:r>
        <w:t xml:space="preserve"> </w:t>
      </w:r>
      <w:r>
        <w:t xml:space="preserve">Lithuania’s monetary financial sector is very small</w:t>
      </w:r>
      <w:r>
        <w:t xml:space="preserve"> </w:t>
      </w:r>
      <w:r>
        <w:t xml:space="preserve">compared with the EU average and concentration is</w:t>
      </w:r>
      <w:r>
        <w:t xml:space="preserve"> </w:t>
      </w:r>
      <w:r>
        <w:t xml:space="preserve">high. At the end of 2024, banks’ total assets were</w:t>
      </w:r>
      <w:r>
        <w:t xml:space="preserve"> </w:t>
      </w:r>
      <w:r>
        <w:t xml:space="preserve">equivalent to 96.4% of GDP, significantly below the</w:t>
      </w:r>
      <w:r>
        <w:t xml:space="preserve"> </w:t>
      </w:r>
      <w:r>
        <w:t xml:space="preserve">EU average of 251.1%. Nevertheless, banks and other</w:t>
      </w:r>
      <w:r>
        <w:t xml:space="preserve"> </w:t>
      </w:r>
      <w:r>
        <w:t xml:space="preserve">monetary financial institutions continue to account for</w:t>
      </w:r>
      <w:r>
        <w:t xml:space="preserve"> </w:t>
      </w:r>
      <w:r>
        <w:t xml:space="preserve">the largest share (76%) of the Lithuanian financial</w:t>
      </w:r>
      <w:r>
        <w:t xml:space="preserve"> </w:t>
      </w:r>
      <w:r>
        <w:t xml:space="preserve">market, a share that has remained largely stable over</w:t>
      </w:r>
      <w:r>
        <w:t xml:space="preserve"> </w:t>
      </w:r>
      <w:r>
        <w:t xml:space="preserve">the last years (Graph 2.17.6).</w:t>
      </w:r>
      <w:r>
        <w:t xml:space="preserve"> </w:t>
      </w:r>
      <w:r>
        <w:t xml:space="preserve">1.19.3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The role of the non-bank financial sector in the</w:t>
      </w:r>
      <w:r>
        <w:t xml:space="preserve"> </w:t>
      </w:r>
      <w:r>
        <w:t xml:space="preserve">economy is still considerably less important as</w:t>
      </w:r>
      <w:r>
        <w:t xml:space="preserve"> </w:t>
      </w:r>
      <w:r>
        <w:t xml:space="preserve">compared to other euro area countries. Total assets</w:t>
      </w:r>
      <w:r>
        <w:t xml:space="preserve"> </w:t>
      </w:r>
      <w:r>
        <w:t xml:space="preserve">of pension funds amounted to 12.2% of GDP at the end</w:t>
      </w:r>
      <w:r>
        <w:t xml:space="preserve"> </w:t>
      </w:r>
      <w:r>
        <w:t xml:space="preserve">of 2024, vs. an EU average of 23.7 % of GDP. The</w:t>
      </w:r>
      <w:r>
        <w:t xml:space="preserve"> </w:t>
      </w:r>
      <w:r>
        <w:t xml:space="preserve">share of public pension spending in GDP (6.2%) is</w:t>
      </w:r>
      <w:r>
        <w:t xml:space="preserve"> </w:t>
      </w:r>
      <w:r>
        <w:t xml:space="preserve">currently one of the lowest in the EU. The Lithuanian</w:t>
      </w:r>
      <w:r>
        <w:t xml:space="preserve"> </w:t>
      </w:r>
      <w:r>
        <w:t xml:space="preserve">insurance sector is also very small, with a share of total</w:t>
      </w:r>
      <w:r>
        <w:t xml:space="preserve"> </w:t>
      </w:r>
      <w:r>
        <w:t xml:space="preserve">assets in GDP of 2.6% as of end-2024 (vs. 54.8% for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-50</w:t>
      </w:r>
      <w:r>
        <w:t xml:space="preserve"> </w:t>
      </w:r>
      <w:r>
        <w:t xml:space="preserve">-40</w:t>
      </w:r>
      <w:r>
        <w:t xml:space="preserve"> </w:t>
      </w:r>
      <w:r>
        <w:t xml:space="preserve">-30</w:t>
      </w:r>
      <w:r>
        <w:t xml:space="preserve"> </w:t>
      </w:r>
      <w:r>
        <w:t xml:space="preserve">-20</w:t>
      </w:r>
      <w:r>
        <w:t xml:space="preserve"> </w:t>
      </w:r>
      <w:r>
        <w:t xml:space="preserve">-10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468</w:t>
      </w:r>
      <w:r>
        <w:t xml:space="preserve"> </w:t>
      </w:r>
      <w:r>
        <w:t xml:space="preserve">the EU on average). In 2023, assets of all types of non-</w:t>
      </w:r>
      <w:r>
        <w:t xml:space="preserve"> </w:t>
      </w:r>
      <w:r>
        <w:t xml:space="preserve">bank financial institutions increased, especially of</w:t>
      </w:r>
      <w:r>
        <w:t xml:space="preserve"> </w:t>
      </w:r>
      <w:r>
        <w:t xml:space="preserve">pension and investment funds. Assets managed by</w:t>
      </w:r>
      <w:r>
        <w:t xml:space="preserve"> </w:t>
      </w:r>
      <w:r>
        <w:t xml:space="preserve">pension funds grew by 27%. The insurance market</w:t>
      </w:r>
      <w:r>
        <w:t xml:space="preserve"> </w:t>
      </w:r>
      <w:r>
        <w:t xml:space="preserve">experienced a 17.7% growth in 2023, but slowed down</w:t>
      </w:r>
      <w:r>
        <w:t xml:space="preserve"> </w:t>
      </w:r>
      <w:r>
        <w:t xml:space="preserve">in 2024, with a growth of 9.1%. This increase was</w:t>
      </w:r>
      <w:r>
        <w:t xml:space="preserve"> </w:t>
      </w:r>
      <w:r>
        <w:t xml:space="preserve">driven by favourable conditions on the financial</w:t>
      </w:r>
      <w:r>
        <w:t xml:space="preserve"> </w:t>
      </w:r>
      <w:r>
        <w:t xml:space="preserve">markets. Although the number of registered crypto-</w:t>
      </w:r>
      <w:r>
        <w:t xml:space="preserve"> </w:t>
      </w:r>
      <w:r>
        <w:t xml:space="preserve">asset companies in Lithuania is relatively high</w:t>
      </w:r>
      <w:r>
        <w:t xml:space="preserve"> </w:t>
      </w:r>
      <w:r>
        <w:t xml:space="preserve">compared to European peers, only few of them are</w:t>
      </w:r>
      <w:r>
        <w:t xml:space="preserve"> </w:t>
      </w:r>
      <w:r>
        <w:t xml:space="preserve">profitable.</w:t>
      </w:r>
      <w:r>
        <w:t xml:space="preserve"> </w:t>
      </w:r>
      <w:r>
        <w:t xml:space="preserve">Lithuanian capital markets remain relatively</w:t>
      </w:r>
      <w:r>
        <w:t xml:space="preserve"> </w:t>
      </w:r>
      <w:r>
        <w:t xml:space="preserve">shallow, inactive and illiquid. At the end of 2024, the</w:t>
      </w:r>
      <w:r>
        <w:t xml:space="preserve"> </w:t>
      </w:r>
      <w:r>
        <w:t xml:space="preserve">market capitalisation of Nasdaq Vilnius Stock</w:t>
      </w:r>
      <w:r>
        <w:t xml:space="preserve"> </w:t>
      </w:r>
      <w:r>
        <w:t xml:space="preserve">Exchange (consisting of 44 listed companies) was just</w:t>
      </w:r>
      <w:r>
        <w:t xml:space="preserve"> </w:t>
      </w:r>
      <w:r>
        <w:t xml:space="preserve">about 6.2% of GDP (compared to 30% before the 2009</w:t>
      </w:r>
      <w:r>
        <w:t xml:space="preserve"> </w:t>
      </w:r>
      <w:r>
        <w:t xml:space="preserve">crisis), which is extremely small compared to other EU</w:t>
      </w:r>
      <w:r>
        <w:t xml:space="preserve"> </w:t>
      </w:r>
      <w:r>
        <w:t xml:space="preserve">countries (EU average of 66.8% as of end 2024). The</w:t>
      </w:r>
      <w:r>
        <w:t xml:space="preserve"> </w:t>
      </w:r>
      <w:r>
        <w:t xml:space="preserve">liquidity of securities traded on Nasdaq Vilnius, AB is</w:t>
      </w:r>
      <w:r>
        <w:t xml:space="preserve"> </w:t>
      </w:r>
      <w:r>
        <w:t xml:space="preserve">limited while the debt markets in Lithuania are</w:t>
      </w:r>
      <w:r>
        <w:t xml:space="preserve"> </w:t>
      </w:r>
      <w:r>
        <w:t xml:space="preserve">dominated by government securities. The prospects for</w:t>
      </w:r>
      <w:r>
        <w:t xml:space="preserve"> </w:t>
      </w:r>
      <w:r>
        <w:t xml:space="preserve">capital market development are limited by the low</w:t>
      </w:r>
      <w:r>
        <w:t xml:space="preserve"> </w:t>
      </w:r>
      <w:r>
        <w:t xml:space="preserve">number of listed enterprises. This results in few local</w:t>
      </w:r>
      <w:r>
        <w:t xml:space="preserve"> </w:t>
      </w:r>
      <w:r>
        <w:t xml:space="preserve">investment</w:t>
      </w:r>
      <w:r>
        <w:t xml:space="preserve"> </w:t>
      </w:r>
      <w:r>
        <w:t xml:space="preserve">opportunities,</w:t>
      </w:r>
      <w:r>
        <w:t xml:space="preserve"> </w:t>
      </w:r>
      <w:r>
        <w:t xml:space="preserve">low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institutional and retail investors, and thus few local</w:t>
      </w:r>
      <w:r>
        <w:t xml:space="preserve"> </w:t>
      </w:r>
      <w:r>
        <w:t xml:space="preserve">opportunities to raise share capital. In terms of the</w:t>
      </w:r>
      <w:r>
        <w:t xml:space="preserve"> </w:t>
      </w:r>
      <w:r>
        <w:t xml:space="preserve">international market, projects developed in Lithuania</w:t>
      </w:r>
      <w:r>
        <w:t xml:space="preserve"> </w:t>
      </w:r>
      <w:r>
        <w:t xml:space="preserve">are of relatively small size, which makes them less</w:t>
      </w:r>
      <w:r>
        <w:t xml:space="preserve"> </w:t>
      </w:r>
      <w:r>
        <w:t xml:space="preserve">attractive to international investors.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Firms in Lithuania rely less than the EU average on</w:t>
      </w:r>
      <w:r>
        <w:t xml:space="preserve"> </w:t>
      </w:r>
      <w:r>
        <w:t xml:space="preserve">funding from banks or capital markets. At the end</w:t>
      </w:r>
      <w:r>
        <w:t xml:space="preserve"> </w:t>
      </w:r>
      <w:r>
        <w:t xml:space="preserve">of 2023, bank finance through loans constituted only</w:t>
      </w:r>
      <w:r>
        <w:t xml:space="preserve"> </w:t>
      </w:r>
      <w:r>
        <w:t xml:space="preserve">22.3% of all funding sources for Lithuanian non-</w:t>
      </w:r>
      <w:r>
        <w:t xml:space="preserve"> </w:t>
      </w:r>
      <w:r>
        <w:t xml:space="preserve">financial corporations, while listed shares and bonds</w:t>
      </w:r>
      <w:r>
        <w:t xml:space="preserve"> </w:t>
      </w:r>
      <w:r>
        <w:t xml:space="preserve">represented only 6.0% of funding sources. The</w:t>
      </w:r>
      <w:r>
        <w:t xml:space="preserve"> </w:t>
      </w:r>
      <w:r>
        <w:t xml:space="preserve">equivalent figures for the EU average are 27.3% and</w:t>
      </w:r>
      <w:r>
        <w:t xml:space="preserve"> </w:t>
      </w:r>
      <w:r>
        <w:t xml:space="preserve">23.8%, with the overall levels for Lithuania also</w:t>
      </w:r>
      <w:r>
        <w:t xml:space="preserve"> </w:t>
      </w:r>
      <w:r>
        <w:t xml:space="preserve">substantially lower as a share of GDP (as the overall</w:t>
      </w:r>
      <w:r>
        <w:t xml:space="preserve"> </w:t>
      </w:r>
      <w:r>
        <w:t xml:space="preserve">level of NFC funding was 121.6% in Lithuania and</w:t>
      </w:r>
      <w:r>
        <w:t xml:space="preserve"> </w:t>
      </w:r>
      <w:r>
        <w:t xml:space="preserve">229.9% of GDP for the EU average, see Graph 2.17.4).</w:t>
      </w:r>
      <w:r>
        <w:t xml:space="preserve"> </w:t>
      </w:r>
      <w:r>
        <w:t xml:space="preserve">The market funding ratio740 as of end 2023 was only</w:t>
      </w:r>
      <w:r>
        <w:t xml:space="preserve"> </w:t>
      </w:r>
      <w:r>
        <w:t xml:space="preserve">31.5%, compared to an EU average of 49.6%.</w:t>
      </w:r>
    </w:p>
    <w:p>
      <w:pPr>
        <w:pStyle w:val="BodyText"/>
      </w:pPr>
      <w:r>
        <w:t xml:space="preserve">740 i.e. the volume of corporate bonds and listed shares of NFCs</w:t>
      </w:r>
      <w:r>
        <w:t xml:space="preserve"> </w:t>
      </w:r>
      <w:r>
        <w:t xml:space="preserve">relative to the volume of those two and bank loans to NFCs.</w:t>
      </w:r>
      <w:r>
        <w:t xml:space="preserve"> </w:t>
      </w:r>
      <w:r>
        <w:t xml:space="preserve">1.19.4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There may be a financing gap relative to investment</w:t>
      </w:r>
      <w:r>
        <w:t xml:space="preserve"> </w:t>
      </w:r>
      <w:r>
        <w:t xml:space="preserve">demand, especially for SMEs. According to the 2024</w:t>
      </w:r>
      <w:r>
        <w:t xml:space="preserve"> </w:t>
      </w:r>
      <w:r>
        <w:t xml:space="preserve">EIB Investment Survey, 69% of investment needs of</w:t>
      </w:r>
      <w:r>
        <w:t xml:space="preserve"> </w:t>
      </w:r>
      <w:r>
        <w:t xml:space="preserve">Lithuanian firms are covered by internal funding,</w:t>
      </w:r>
      <w:r>
        <w:t xml:space="preserve"> </w:t>
      </w:r>
      <w:r>
        <w:t xml:space="preserve">compared to an EU average of 66%. Only 54% of all</w:t>
      </w:r>
      <w:r>
        <w:t xml:space="preserve"> </w:t>
      </w:r>
      <w:r>
        <w:t xml:space="preserve">Lithuanian firms use external finance that rely on bank</w:t>
      </w:r>
      <w:r>
        <w:t xml:space="preserve"> </w:t>
      </w:r>
      <w:r>
        <w:t xml:space="preserve">finance, the lowest share in the EU (with the EU</w:t>
      </w:r>
      <w:r>
        <w:t xml:space="preserve"> </w:t>
      </w:r>
      <w:r>
        <w:t xml:space="preserve">average at 81%. Moreover, the country has a high share</w:t>
      </w:r>
      <w:r>
        <w:t xml:space="preserve"> </w:t>
      </w:r>
      <w:r>
        <w:t xml:space="preserve">of finance-constrained firms (13.7%). At the same</w:t>
      </w:r>
      <w:r>
        <w:t xml:space="preserve"> </w:t>
      </w:r>
      <w:r>
        <w:t xml:space="preserve">time, 26% of all Lithuanian firms believed that their</w:t>
      </w:r>
      <w:r>
        <w:t xml:space="preserve"> </w:t>
      </w:r>
      <w:r>
        <w:t xml:space="preserve">investment activities over the last three years were not</w:t>
      </w:r>
      <w:r>
        <w:t xml:space="preserve"> </w:t>
      </w:r>
      <w:r>
        <w:t xml:space="preserve">sufficient. This is – together with the other two Baltic</w:t>
      </w:r>
      <w:r>
        <w:t xml:space="preserve"> </w:t>
      </w:r>
      <w:r>
        <w:t xml:space="preserve">countries</w:t>
      </w:r>
      <w:r>
        <w:t xml:space="preserve"> </w:t>
      </w:r>
      <w:r>
        <w:t xml:space="preserve">–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levels</w:t>
      </w:r>
      <w:r>
        <w:t xml:space="preserve"> </w:t>
      </w:r>
      <w:r>
        <w:t xml:space="preserve">of</w:t>
      </w:r>
      <w:r>
        <w:t xml:space="preserve"> </w:t>
      </w:r>
      <w:r>
        <w:t xml:space="preserve">underinvestment in the EU (EU average of 14%),</w:t>
      </w:r>
      <w:r>
        <w:t xml:space="preserve"> </w:t>
      </w:r>
      <w:r>
        <w:t xml:space="preserve">suggesting that there is a financing gap relative to</w:t>
      </w:r>
      <w:r>
        <w:t xml:space="preserve"> </w:t>
      </w:r>
      <w:r>
        <w:t xml:space="preserve">investment demand, especially for SMEs.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So far, Lithuanian capital markets experienced</w:t>
      </w:r>
      <w:r>
        <w:t xml:space="preserve"> </w:t>
      </w:r>
      <w:r>
        <w:t xml:space="preserve">positive developments, and investors continue to be</w:t>
      </w:r>
      <w:r>
        <w:t xml:space="preserve"> </w:t>
      </w:r>
      <w:r>
        <w:t xml:space="preserve">optimistic about the future. Between December 2022</w:t>
      </w:r>
      <w:r>
        <w:t xml:space="preserve"> </w:t>
      </w:r>
      <w:r>
        <w:t xml:space="preserve">and June 2025, the Vilnius Exchange Index (OMX)</w:t>
      </w:r>
      <w:r>
        <w:t xml:space="preserve"> </w:t>
      </w:r>
      <w:r>
        <w:t xml:space="preserve">increased by 26% (see Graph 2.17.5). However, local</w:t>
      </w:r>
      <w:r>
        <w:t xml:space="preserve"> </w:t>
      </w:r>
      <w:r>
        <w:t xml:space="preserve">businesses tend to rely for external funding on bank</w:t>
      </w:r>
      <w:r>
        <w:t xml:space="preserve"> </w:t>
      </w:r>
      <w:r>
        <w:t xml:space="preserve">intermediation rather than attracting funding through</w:t>
      </w:r>
      <w:r>
        <w:t xml:space="preserve"> </w:t>
      </w:r>
      <w:r>
        <w:t xml:space="preserve">stock and bond issues or from alternative sources. The</w:t>
      </w:r>
      <w:r>
        <w:t xml:space="preserve"> </w:t>
      </w:r>
      <w:r>
        <w:t xml:space="preserve">limited market activity by institutional investors</w:t>
      </w:r>
      <w:r>
        <w:t xml:space="preserve"> </w:t>
      </w:r>
      <w:r>
        <w:t xml:space="preserve">reduces demand for corporate stocks and bonds. At the</w:t>
      </w:r>
      <w:r>
        <w:t xml:space="preserve"> </w:t>
      </w:r>
      <w:r>
        <w:t xml:space="preserve">same time, risks exist, and both the interconnectedness</w:t>
      </w:r>
      <w:r>
        <w:t xml:space="preserve"> </w:t>
      </w:r>
      <w:r>
        <w:t xml:space="preserve">of markets and the increased trading of crypto assets</w:t>
      </w:r>
      <w:r>
        <w:t xml:space="preserve"> </w:t>
      </w:r>
      <w:r>
        <w:t xml:space="preserve">warrant cautiousness.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LT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469</w:t>
      </w:r>
      <w:r>
        <w:t xml:space="preserve"> </w:t>
      </w:r>
      <w:r>
        <w:t xml:space="preserve">1.19.5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Group741.</w:t>
      </w:r>
      <w:r>
        <w:t xml:space="preserve"> </w:t>
      </w:r>
      <w:r>
        <w:t xml:space="preserve">The commercial bond market remains significantly</w:t>
      </w:r>
      <w:r>
        <w:t xml:space="preserve"> </w:t>
      </w:r>
      <w:r>
        <w:t xml:space="preserve">underdeveloped. Markets in Lithuania are dominated</w:t>
      </w:r>
      <w:r>
        <w:t xml:space="preserve"> </w:t>
      </w:r>
      <w:r>
        <w:t xml:space="preserve">by government securities. In the first quarter of 2025,</w:t>
      </w:r>
      <w:r>
        <w:t xml:space="preserve"> </w:t>
      </w:r>
      <w:r>
        <w:t xml:space="preserve">the government issued EUR 2.6 bn of debt securities,</w:t>
      </w:r>
      <w:r>
        <w:t xml:space="preserve"> </w:t>
      </w:r>
      <w:r>
        <w:t xml:space="preserve">which compares to only EUR 0.7 bn in 2021 (see Graph</w:t>
      </w:r>
      <w:r>
        <w:t xml:space="preserve"> </w:t>
      </w:r>
      <w:r>
        <w:t xml:space="preserve">2.17.6). Banks issued EUR 0.3 bn in Q1 2025, almost</w:t>
      </w:r>
      <w:r>
        <w:t xml:space="preserve"> </w:t>
      </w:r>
      <w:r>
        <w:t xml:space="preserve">double the 2024 total of EUR 0.16 bn. Issuance of</w:t>
      </w:r>
      <w:r>
        <w:t xml:space="preserve"> </w:t>
      </w:r>
      <w:r>
        <w:t xml:space="preserve">pension funds, investment funds and insurance</w:t>
      </w:r>
      <w:r>
        <w:t xml:space="preserve"> </w:t>
      </w:r>
      <w:r>
        <w:t xml:space="preserve">companies are also not significant. The net issuance by</w:t>
      </w:r>
      <w:r>
        <w:t xml:space="preserve"> </w:t>
      </w:r>
      <w:r>
        <w:t xml:space="preserve">non-financial corporations turned out negative in 2023,</w:t>
      </w:r>
      <w:r>
        <w:t xml:space="preserve"> </w:t>
      </w:r>
      <w:r>
        <w:t xml:space="preserve">at EUR –0.26 bn. Hence, debt market finance appears</w:t>
      </w:r>
      <w:r>
        <w:t xml:space="preserve"> </w:t>
      </w:r>
      <w:r>
        <w:t xml:space="preserve">as a minor source of funding for Lithuanian non-</w:t>
      </w:r>
      <w:r>
        <w:t xml:space="preserve"> </w:t>
      </w:r>
      <w:r>
        <w:t xml:space="preserve">financial corporations.</w:t>
      </w:r>
      <w:r>
        <w:br/>
      </w:r>
      <w:r>
        <w:t xml:space="preserve">1.19.6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</w:p>
    <w:p>
      <w:pPr>
        <w:pStyle w:val="BodyText"/>
      </w:pPr>
      <w:r>
        <w:t xml:space="preserve">741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In May 2022 the Bank of Lithuania set out capital</w:t>
      </w:r>
      <w:r>
        <w:t xml:space="preserve"> </w:t>
      </w:r>
      <w:r>
        <w:t xml:space="preserve">market development action guidelines to help the</w:t>
      </w:r>
      <w:r>
        <w:t xml:space="preserve"> </w:t>
      </w:r>
      <w:r>
        <w:t xml:space="preserve">capital markets to grow. They set out concrete</w:t>
      </w:r>
      <w:r>
        <w:t xml:space="preserve"> </w:t>
      </w:r>
      <w:r>
        <w:t xml:space="preserve">measures and recommendations that aim to make the</w:t>
      </w:r>
      <w:r>
        <w:t xml:space="preserve"> </w:t>
      </w:r>
      <w:r>
        <w:t xml:space="preserve">capital markets more attractive for domestic and</w:t>
      </w:r>
      <w:r>
        <w:t xml:space="preserve"> </w:t>
      </w:r>
      <w:r>
        <w:t xml:space="preserve">foreign investors, and to encourage businesses to</w:t>
      </w:r>
      <w:r>
        <w:t xml:space="preserve"> </w:t>
      </w:r>
      <w:r>
        <w:t xml:space="preserve">obtain alternative financing by issuing securities and</w:t>
      </w:r>
      <w:r>
        <w:t xml:space="preserve"> </w:t>
      </w:r>
      <w:r>
        <w:t xml:space="preserve">allowing more securities to be listed on the stock</w:t>
      </w:r>
      <w:r>
        <w:t xml:space="preserve"> </w:t>
      </w:r>
      <w:r>
        <w:t xml:space="preserve">exchange. There is also a need to tap into the unused</w:t>
      </w:r>
      <w:r>
        <w:t xml:space="preserve"> </w:t>
      </w:r>
      <w:r>
        <w:t xml:space="preserve">potential of pension funds (currently 90% of assets are</w:t>
      </w:r>
      <w:r>
        <w:t xml:space="preserve"> </w:t>
      </w:r>
      <w:r>
        <w:t xml:space="preserve">invested abroad), e.g. by providing a wider range of</w:t>
      </w:r>
      <w:r>
        <w:t xml:space="preserve"> </w:t>
      </w:r>
      <w:r>
        <w:t xml:space="preserve">financial market instruments traded on the capital</w:t>
      </w:r>
      <w:r>
        <w:t xml:space="preserve"> </w:t>
      </w:r>
      <w:r>
        <w:t xml:space="preserve">markets. Certain key measures have already been</w:t>
      </w:r>
      <w:r>
        <w:t xml:space="preserve"> </w:t>
      </w:r>
      <w:r>
        <w:t xml:space="preserve">adopted but not all have fully matured yet. The Capital</w:t>
      </w:r>
      <w:r>
        <w:t xml:space="preserve"> </w:t>
      </w:r>
      <w:r>
        <w:t xml:space="preserve">Market Council, set up in January 2023, seeks to</w:t>
      </w:r>
      <w:r>
        <w:t xml:space="preserve"> </w:t>
      </w:r>
      <w:r>
        <w:t xml:space="preserve">combine market and public sector efforts to advance</w:t>
      </w:r>
      <w:r>
        <w:t xml:space="preserve"> </w:t>
      </w:r>
      <w:r>
        <w:t xml:space="preserve">capital market growth.</w:t>
      </w:r>
      <w:r>
        <w:br/>
      </w:r>
      <w:r>
        <w:t xml:space="preserve">SMEs find it difficult to access and take advantage</w:t>
      </w:r>
      <w:r>
        <w:t xml:space="preserve"> </w:t>
      </w:r>
      <w:r>
        <w:t xml:space="preserve">of Lithuania’s capital markets. In the 2024 SAFE</w:t>
      </w:r>
      <w:r>
        <w:t xml:space="preserve"> </w:t>
      </w:r>
      <w:r>
        <w:t xml:space="preserve">survey, 38% of SMEs indicated that internal funds</w:t>
      </w:r>
      <w:r>
        <w:t xml:space="preserve"> </w:t>
      </w:r>
      <w:r>
        <w:t xml:space="preserve">(retained earnings or sale of assets) were relevant for</w:t>
      </w:r>
      <w:r>
        <w:t xml:space="preserve"> </w:t>
      </w:r>
      <w:r>
        <w:t xml:space="preserve">them, compared to an EU average of 30%.742</w:t>
      </w:r>
      <w:r>
        <w:t xml:space="preserve"> </w:t>
      </w:r>
      <w:r>
        <w:t xml:space="preserve">Moreover, Lithuania cannot take advantage of this</w:t>
      </w:r>
      <w:r>
        <w:t xml:space="preserve"> </w:t>
      </w:r>
      <w:r>
        <w:t xml:space="preserve">SME market because there are no established SME</w:t>
      </w:r>
      <w:r>
        <w:t xml:space="preserve"> </w:t>
      </w:r>
      <w:r>
        <w:t xml:space="preserve">growth markets in Lithuania, nor in the other Baltic</w:t>
      </w:r>
      <w:r>
        <w:t xml:space="preserve"> </w:t>
      </w:r>
      <w:r>
        <w:t xml:space="preserve">states. Work recently started on setting up an SME</w:t>
      </w:r>
      <w:r>
        <w:t xml:space="preserve"> </w:t>
      </w:r>
      <w:r>
        <w:t xml:space="preserve">initial public offering (IPO) fund in the Baltic states,</w:t>
      </w:r>
      <w:r>
        <w:t xml:space="preserve"> </w:t>
      </w:r>
      <w:r>
        <w:t xml:space="preserve">with the help of ALTUM in Latvia and ILTE in</w:t>
      </w:r>
      <w:r>
        <w:t xml:space="preserve"> </w:t>
      </w:r>
      <w:r>
        <w:t xml:space="preserve">Lithuania.</w:t>
      </w:r>
      <w:r>
        <w:br/>
      </w:r>
      <w:r>
        <w:t xml:space="preserve">Retail participation in capital markets</w:t>
      </w:r>
      <w:r>
        <w:br/>
      </w:r>
      <w:r>
        <w:t xml:space="preserve">The persistently low saving rate of Lithuanian</w:t>
      </w:r>
      <w:r>
        <w:t xml:space="preserve"> </w:t>
      </w:r>
      <w:r>
        <w:t xml:space="preserve">households reduces the availability of credit for</w:t>
      </w:r>
      <w:r>
        <w:t xml:space="preserve"> </w:t>
      </w:r>
      <w:r>
        <w:t xml:space="preserve">enterprise</w:t>
      </w:r>
      <w:r>
        <w:t xml:space="preserve"> </w:t>
      </w:r>
      <w:r>
        <w:t xml:space="preserve">investments.</w:t>
      </w:r>
      <w:r>
        <w:t xml:space="preserve"> </w:t>
      </w:r>
      <w:r>
        <w:t xml:space="preserve">Two-thirds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population’s savings are held in demand deposit bank</w:t>
      </w:r>
      <w:r>
        <w:t xml:space="preserve"> </w:t>
      </w:r>
      <w:r>
        <w:t xml:space="preserve">accounts. Lithuanian households have relatively few</w:t>
      </w:r>
      <w:r>
        <w:t xml:space="preserve"> </w:t>
      </w:r>
      <w:r>
        <w:t xml:space="preserve">financial assets, in particular regarding investment,</w:t>
      </w:r>
      <w:r>
        <w:t xml:space="preserve"> </w:t>
      </w:r>
      <w:r>
        <w:t xml:space="preserve">insurance and pension funds. By contrast, they hold</w:t>
      </w:r>
      <w:r>
        <w:t xml:space="preserve"> </w:t>
      </w:r>
      <w:r>
        <w:t xml:space="preserve">more unlisted shares compared to other EU</w:t>
      </w:r>
      <w:r>
        <w:t xml:space="preserve"> </w:t>
      </w:r>
      <w:r>
        <w:t xml:space="preserve">countries. The share of households’ financial assets</w:t>
      </w:r>
      <w:r>
        <w:t xml:space="preserve"> </w:t>
      </w:r>
      <w:r>
        <w:t xml:space="preserve">held in pension and insurance funds or directly in</w:t>
      </w:r>
      <w:r>
        <w:t xml:space="preserve"> </w:t>
      </w:r>
      <w:r>
        <w:t xml:space="preserve">financial investment instruments in total financial</w:t>
      </w:r>
      <w:r>
        <w:t xml:space="preserve"> </w:t>
      </w:r>
      <w:r>
        <w:t xml:space="preserve">assets has risen from 13.5% in 2015 to 19.3% in 2023</w:t>
      </w:r>
      <w:r>
        <w:t xml:space="preserve"> </w:t>
      </w:r>
      <w:r>
        <w:t xml:space="preserve">but still falls substantially short of the EU average of</w:t>
      </w:r>
      <w:r>
        <w:t xml:space="preserve"> </w:t>
      </w:r>
      <w:r>
        <w:t xml:space="preserve">45.4%. By contrast, they have more unlisted shares743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742 Data and surveys - SAFE - European Commission, 2024, Results</w:t>
      </w:r>
      <w:r>
        <w:t xml:space="preserve"> </w:t>
      </w:r>
      <w:r>
        <w:t xml:space="preserve">by country, T20.</w:t>
      </w:r>
      <w:r>
        <w:t xml:space="preserve"> </w:t>
      </w:r>
      <w:r>
        <w:t xml:space="preserve">743 Unlisted shares in Lithuania, also known as private limited</w:t>
      </w:r>
      <w:r>
        <w:t xml:space="preserve"> </w:t>
      </w:r>
      <w:r>
        <w:t xml:space="preserve">company shares (UAB) or public limited company shares (AB)</w:t>
      </w:r>
      <w:r>
        <w:t xml:space="preserve"> </w:t>
      </w:r>
      <w:r>
        <w:t xml:space="preserve">that are not traded on a stock exchange, can be bought and sold,</w:t>
      </w:r>
      <w:r>
        <w:t xml:space="preserve"> </w:t>
      </w:r>
      <w:r>
        <w:t xml:space="preserve">but not through traditional exchanges. These transactions</w:t>
      </w:r>
      <w:r>
        <w:t xml:space="preserve"> </w:t>
      </w:r>
      <w:r>
        <w:t xml:space="preserve">typically occur through over-the-counter (OTC) markets or</w:t>
      </w:r>
      <w:r>
        <w:t xml:space="preserve"> </w:t>
      </w:r>
      <w:r>
        <w:t xml:space="preserve">private placements, often facilitated by intermediaries or</w:t>
      </w:r>
      <w:r>
        <w:t xml:space="preserve"> </w:t>
      </w:r>
      <w:r>
        <w:t xml:space="preserve">investment platforms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janv-yy=100</w:t>
      </w:r>
      <w:r>
        <w:t xml:space="preserve"> </w:t>
      </w:r>
      <w:r>
        <w:t xml:space="preserve">LT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OMX VILNIUS (OMXV) - TOT RETURN IND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3.0</w:t>
      </w:r>
      <w:r>
        <w:t xml:space="preserve"> </w:t>
      </w:r>
      <w:r>
        <w:t xml:space="preserve">3.5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470</w:t>
      </w:r>
      <w:r>
        <w:t xml:space="preserve"> </w:t>
      </w:r>
      <w:r>
        <w:t xml:space="preserve">compared to other EU countries. These investments</w:t>
      </w:r>
      <w:r>
        <w:t xml:space="preserve"> </w:t>
      </w:r>
      <w:r>
        <w:t xml:space="preserve">offer the chance to participate in companies before they</w:t>
      </w:r>
      <w:r>
        <w:t xml:space="preserve"> </w:t>
      </w:r>
      <w:r>
        <w:t xml:space="preserve">go public (pre-IPO), potentially at lower valuations</w:t>
      </w:r>
      <w:r>
        <w:t xml:space="preserve"> </w:t>
      </w:r>
      <w:r>
        <w:t xml:space="preserve">than they might later achieve on the stock market.</w:t>
      </w:r>
      <w:r>
        <w:t xml:space="preserve"> </w:t>
      </w:r>
      <w:r>
        <w:t xml:space="preserve">However, unlisted shares also carry significant risks,</w:t>
      </w:r>
      <w:r>
        <w:t xml:space="preserve"> </w:t>
      </w:r>
      <w:r>
        <w:t xml:space="preserve">including lower liquidity and limited information,</w:t>
      </w:r>
      <w:r>
        <w:t xml:space="preserve"> </w:t>
      </w:r>
      <w:r>
        <w:t xml:space="preserve">requiring careful consideration and a long-term</w:t>
      </w:r>
      <w:r>
        <w:t xml:space="preserve"> </w:t>
      </w:r>
      <w:r>
        <w:t xml:space="preserve">investment horizon.</w:t>
      </w:r>
      <w:r>
        <w:t xml:space="preserve"> </w:t>
      </w:r>
      <w:r>
        <w:t xml:space="preserve">The recently decided pension reform allowing opt-</w:t>
      </w:r>
      <w:r>
        <w:t xml:space="preserve"> </w:t>
      </w:r>
      <w:r>
        <w:t xml:space="preserve">outs and withdrawals from private funds is likely to</w:t>
      </w:r>
      <w:r>
        <w:t xml:space="preserve"> </w:t>
      </w:r>
      <w:r>
        <w:t xml:space="preserve">reduce the level of savings in Lithuania. Under the</w:t>
      </w:r>
      <w:r>
        <w:t xml:space="preserve"> </w:t>
      </w:r>
      <w:r>
        <w:t xml:space="preserve">changes, proposed by the Lithuanian Ministry of Social</w:t>
      </w:r>
      <w:r>
        <w:t xml:space="preserve"> </w:t>
      </w:r>
      <w:r>
        <w:t xml:space="preserve">Security and Labour, automatic enrolment in the</w:t>
      </w:r>
      <w:r>
        <w:t xml:space="preserve"> </w:t>
      </w:r>
      <w:r>
        <w:t xml:space="preserve">second-pillar pension accumulation system will be</w:t>
      </w:r>
      <w:r>
        <w:t xml:space="preserve"> </w:t>
      </w:r>
      <w:r>
        <w:t xml:space="preserve">eliminated, thus moving towards an</w:t>
      </w:r>
      <w:r>
        <w:t xml:space="preserve"> </w:t>
      </w:r>
      <w:r>
        <w:t xml:space="preserve">‘opt-in’</w:t>
      </w:r>
      <w:r>
        <w:t xml:space="preserve"> </w:t>
      </w:r>
      <w:r>
        <w:t xml:space="preserve">model, and</w:t>
      </w:r>
      <w:r>
        <w:t xml:space="preserve"> </w:t>
      </w:r>
      <w:r>
        <w:t xml:space="preserve">enabling far-reaching withdrawal options with loose</w:t>
      </w:r>
      <w:r>
        <w:t xml:space="preserve"> </w:t>
      </w:r>
      <w:r>
        <w:t xml:space="preserve">conditions (individuals will be allowed to fully exit the</w:t>
      </w:r>
      <w:r>
        <w:t xml:space="preserve"> </w:t>
      </w:r>
      <w:r>
        <w:t xml:space="preserve">system or make a one-time withdrawal of 25% of their</w:t>
      </w:r>
      <w:r>
        <w:t xml:space="preserve"> </w:t>
      </w:r>
      <w:r>
        <w:t xml:space="preserve">savings). At present, the Lithuanian second-pillar funds</w:t>
      </w:r>
      <w:r>
        <w:t xml:space="preserve"> </w:t>
      </w:r>
      <w:r>
        <w:t xml:space="preserve">have accumulated around EUR 9.1 billion (11.6% of</w:t>
      </w:r>
      <w:r>
        <w:t xml:space="preserve"> </w:t>
      </w:r>
      <w:r>
        <w:t xml:space="preserve">GDP) in savings, around EUR 1 billion of which is</w:t>
      </w:r>
      <w:r>
        <w:t xml:space="preserve"> </w:t>
      </w:r>
      <w:r>
        <w:t xml:space="preserve">invested in the national market. An ‘opt-in’ model</w:t>
      </w:r>
      <w:r>
        <w:t xml:space="preserve"> </w:t>
      </w:r>
      <w:r>
        <w:t xml:space="preserve">combined with a withdrawal option is likely to reduce</w:t>
      </w:r>
      <w:r>
        <w:t xml:space="preserve"> </w:t>
      </w:r>
      <w:r>
        <w:t xml:space="preserve">the level of savings in Lithuania, further undermining</w:t>
      </w:r>
      <w:r>
        <w:t xml:space="preserve"> </w:t>
      </w:r>
      <w:r>
        <w:t xml:space="preserve">capital market development and complicating access to</w:t>
      </w:r>
      <w:r>
        <w:t xml:space="preserve"> </w:t>
      </w:r>
      <w:r>
        <w:t xml:space="preserve">finance.</w:t>
      </w:r>
      <w:r>
        <w:br/>
      </w:r>
      <w:r>
        <w:t xml:space="preserve">1.19.7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Recent policy initiatives are aimed at promoting the</w:t>
      </w:r>
      <w:r>
        <w:t xml:space="preserve"> </w:t>
      </w:r>
      <w:r>
        <w:t xml:space="preserve">level of retail participation. The Ministry of Finance</w:t>
      </w:r>
      <w:r>
        <w:t xml:space="preserve"> </w:t>
      </w:r>
      <w:r>
        <w:t xml:space="preserve">recently approved a financial education plan (2024-</w:t>
      </w:r>
      <w:r>
        <w:t xml:space="preserve"> </w:t>
      </w:r>
      <w:r>
        <w:t xml:space="preserve">2028) with particular attention dedicated to challenges</w:t>
      </w:r>
      <w:r>
        <w:t xml:space="preserve"> </w:t>
      </w:r>
      <w:r>
        <w:t xml:space="preserve">for consumers and retail investors and also covering</w:t>
      </w:r>
      <w:r>
        <w:t xml:space="preserve"> </w:t>
      </w:r>
      <w:r>
        <w:t xml:space="preserve">SMEs. Moreover, in an effort to boost household</w:t>
      </w:r>
      <w:r>
        <w:t xml:space="preserve"> </w:t>
      </w:r>
      <w:r>
        <w:t xml:space="preserve">investment in capital markets, a long-term investment</w:t>
      </w:r>
      <w:r>
        <w:t xml:space="preserve"> </w:t>
      </w:r>
      <w:r>
        <w:t xml:space="preserve">product has been operational since the beginning of this</w:t>
      </w:r>
      <w:r>
        <w:t xml:space="preserve"> </w:t>
      </w:r>
      <w:r>
        <w:t xml:space="preserve">year that offers an alternative to other tax-supported</w:t>
      </w:r>
      <w:r>
        <w:t xml:space="preserve"> </w:t>
      </w:r>
      <w:r>
        <w:t xml:space="preserve">long-term savings products (i.e. pension funds and life</w:t>
      </w:r>
      <w:r>
        <w:t xml:space="preserve"> </w:t>
      </w:r>
      <w:r>
        <w:t xml:space="preserve">insurance products). This investment and savings</w:t>
      </w:r>
      <w:r>
        <w:t xml:space="preserve"> </w:t>
      </w:r>
      <w:r>
        <w:t xml:space="preserve">account allows Lithuanian residents to invest more</w:t>
      </w:r>
      <w:r>
        <w:t xml:space="preserve"> </w:t>
      </w:r>
      <w:r>
        <w:t xml:space="preserve">conveniently in different financial products that will be</w:t>
      </w:r>
      <w:r>
        <w:t xml:space="preserve"> </w:t>
      </w:r>
      <w:r>
        <w:t xml:space="preserve">subject to tax only on the profits withdrawn, rather than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income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reinvestment. The initiatives also provide for a gradual</w:t>
      </w:r>
      <w:r>
        <w:t xml:space="preserve"> </w:t>
      </w:r>
      <w:r>
        <w:t xml:space="preserve">phase-out of tax incentives related to long-term life</w:t>
      </w:r>
      <w:r>
        <w:t xml:space="preserve"> </w:t>
      </w:r>
      <w:r>
        <w:t xml:space="preserve">insurance and third-pillar pension contributions, which</w:t>
      </w:r>
      <w:r>
        <w:t xml:space="preserve"> </w:t>
      </w:r>
      <w:r>
        <w:t xml:space="preserve">will be applied over the next 10 years, and to contracts</w:t>
      </w:r>
      <w:r>
        <w:t xml:space="preserve"> </w:t>
      </w:r>
      <w:r>
        <w:t xml:space="preserve">concluded by the end of 2024. Encouraging the build-</w:t>
      </w:r>
      <w:r>
        <w:t xml:space="preserve"> </w:t>
      </w:r>
      <w:r>
        <w:t xml:space="preserve">up of universal funded supplementary pension schemes</w:t>
      </w:r>
      <w:r>
        <w:t xml:space="preserve"> </w:t>
      </w:r>
      <w:r>
        <w:t xml:space="preserve">would positively contribute to (i) the sustainability and</w:t>
      </w:r>
      <w:r>
        <w:t xml:space="preserve"> </w:t>
      </w:r>
      <w:r>
        <w:t xml:space="preserve">adequacy of pension benefits; (ii) investment in equity;</w:t>
      </w:r>
      <w:r>
        <w:t xml:space="preserve"> </w:t>
      </w:r>
      <w:r>
        <w:t xml:space="preserve">(iii) access to finance; (iv) growth; and (v) innovation.</w:t>
      </w:r>
    </w:p>
    <w:p>
      <w:pPr>
        <w:pStyle w:val="BodyText"/>
      </w:pPr>
      <w:r>
        <w:t xml:space="preserve">1.20 Luxembourg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economy of Luxembourg displays a moderate</w:t>
      </w:r>
      <w:r>
        <w:t xml:space="preserve"> </w:t>
      </w:r>
      <w:r>
        <w:t xml:space="preserve">net private savings ratio, with considerable</w:t>
      </w:r>
      <w:r>
        <w:t xml:space="preserve"> </w:t>
      </w:r>
      <w:r>
        <w:t xml:space="preserve">fluctuations over the past decade. Net of fixed capital</w:t>
      </w:r>
      <w:r>
        <w:t xml:space="preserve"> </w:t>
      </w:r>
      <w:r>
        <w:t xml:space="preserve">consumption, private savings averaged 3.7% of GDP</w:t>
      </w:r>
      <w:r>
        <w:t xml:space="preserve"> </w:t>
      </w:r>
      <w:r>
        <w:t xml:space="preserve">between 2014 and 2023, peaking at 9.7% in 2014 and</w:t>
      </w:r>
      <w:r>
        <w:t xml:space="preserve"> </w:t>
      </w:r>
      <w:r>
        <w:t xml:space="preserve">dropping to –2.9% in 2022. In contrast, the net private</w:t>
      </w:r>
      <w:r>
        <w:t xml:space="preserve"> </w:t>
      </w:r>
      <w:r>
        <w:t xml:space="preserve">investment ratio was somewhat higher on average</w:t>
      </w:r>
      <w:r>
        <w:t xml:space="preserve"> </w:t>
      </w:r>
      <w:r>
        <w:t xml:space="preserve">(4.8% of GDP), but also volatile, ranging from –0.4%</w:t>
      </w:r>
      <w:r>
        <w:t xml:space="preserve"> </w:t>
      </w:r>
      <w:r>
        <w:t xml:space="preserve">in 2024 to 8.0% in 2019. The government budget</w:t>
      </w:r>
      <w:r>
        <w:t xml:space="preserve"> </w:t>
      </w:r>
      <w:r>
        <w:t xml:space="preserve">balance over the same period showed a small average</w:t>
      </w:r>
      <w:r>
        <w:t xml:space="preserve"> </w:t>
      </w:r>
      <w:r>
        <w:t xml:space="preserve">deficit of 0.9% of GDP, with notable surpluses in some</w:t>
      </w:r>
      <w:r>
        <w:t xml:space="preserve"> </w:t>
      </w:r>
      <w:r>
        <w:t xml:space="preserve">years (e.g. 2020) and larger deficits in others (e.g. </w:t>
      </w:r>
      <w:r>
        <w:t xml:space="preserve"> </w:t>
      </w:r>
      <w:r>
        <w:t xml:space="preserve">2018). This combination of relatively modest net</w:t>
      </w:r>
      <w:r>
        <w:t xml:space="preserve"> </w:t>
      </w:r>
      <w:r>
        <w:t xml:space="preserve">savings and relatively high investment means that</w:t>
      </w:r>
      <w:r>
        <w:t xml:space="preserve"> </w:t>
      </w:r>
      <w:r>
        <w:t xml:space="preserve">Luxembourg has often been a net borrower from the</w:t>
      </w:r>
      <w:r>
        <w:t xml:space="preserve"> </w:t>
      </w:r>
      <w:r>
        <w:t xml:space="preserve">rest of the world. On average, net borrowing stood at</w:t>
      </w:r>
      <w:r>
        <w:t xml:space="preserve"> </w:t>
      </w:r>
      <w:r>
        <w:t xml:space="preserve">0.2% of GDP between 2014 and 2023, although in</w:t>
      </w:r>
      <w:r>
        <w:t xml:space="preserve"> </w:t>
      </w:r>
      <w:r>
        <w:t xml:space="preserve">some years the country was a net lender. Gross private</w:t>
      </w:r>
      <w:r>
        <w:t xml:space="preserve"> </w:t>
      </w:r>
      <w:r>
        <w:t xml:space="preserve">savings remain structurally high, averaging 13.4% of</w:t>
      </w:r>
      <w:r>
        <w:t xml:space="preserve"> </w:t>
      </w:r>
      <w:r>
        <w:t xml:space="preserve">GDP.</w:t>
      </w:r>
      <w:r>
        <w:br/>
      </w:r>
      <w:r>
        <w:t xml:space="preserve">1.20.1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Consistent with its status as a leading international</w:t>
      </w:r>
      <w:r>
        <w:t xml:space="preserve"> </w:t>
      </w:r>
      <w:r>
        <w:t xml:space="preserve">investment funds hub, the Luxembourg economy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LT</w:t>
      </w:r>
      <w:r>
        <w:t xml:space="preserve"> </w:t>
      </w:r>
      <w:r>
        <w:t xml:space="preserve">EU</w:t>
      </w:r>
      <w:r>
        <w:t xml:space="preserve"> </w:t>
      </w:r>
      <w:r>
        <w:t xml:space="preserve">LT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471</w:t>
      </w:r>
      <w:r>
        <w:t xml:space="preserve"> </w:t>
      </w:r>
      <w:r>
        <w:t xml:space="preserve">has accumulated substantial foreign assets and</w:t>
      </w:r>
      <w:r>
        <w:t xml:space="preserve"> </w:t>
      </w:r>
      <w:r>
        <w:t xml:space="preserve">maintains a positive net international investment</w:t>
      </w:r>
      <w:r>
        <w:t xml:space="preserve"> </w:t>
      </w:r>
      <w:r>
        <w:t xml:space="preserve">position (NIIP). As of Q4 2024, total foreign assets</w:t>
      </w:r>
      <w:r>
        <w:t xml:space="preserve"> </w:t>
      </w:r>
      <w:r>
        <w:t xml:space="preserve">amounted to approximately 14 600% of GDP, while</w:t>
      </w:r>
      <w:r>
        <w:t xml:space="preserve"> </w:t>
      </w:r>
      <w:r>
        <w:t xml:space="preserve">liabilities</w:t>
      </w:r>
      <w:r>
        <w:t xml:space="preserve"> </w:t>
      </w:r>
      <w:r>
        <w:t xml:space="preserve">to</w:t>
      </w:r>
      <w:r>
        <w:t xml:space="preserve"> </w:t>
      </w:r>
      <w:r>
        <w:t xml:space="preserve">foreigners</w:t>
      </w:r>
      <w:r>
        <w:t xml:space="preserve"> </w:t>
      </w:r>
      <w:r>
        <w:t xml:space="preserve">stood</w:t>
      </w:r>
      <w:r>
        <w:t xml:space="preserve"> </w:t>
      </w:r>
      <w:r>
        <w:t xml:space="preserve">at</w:t>
      </w:r>
      <w:r>
        <w:t xml:space="preserve"> </w:t>
      </w:r>
      <w:r>
        <w:t xml:space="preserve">about</w:t>
      </w:r>
      <w:r>
        <w:t xml:space="preserve"> </w:t>
      </w:r>
      <w:r>
        <w:t xml:space="preserve">14 100% of GDP, resulting in a net international</w:t>
      </w:r>
      <w:r>
        <w:t xml:space="preserve"> </w:t>
      </w:r>
      <w:r>
        <w:t xml:space="preserve">investment position of roughly 500% of GDP. The</w:t>
      </w:r>
      <w:r>
        <w:t xml:space="preserve"> </w:t>
      </w:r>
      <w:r>
        <w:t xml:space="preserve">accumulated net foreign direct investment assets</w:t>
      </w:r>
      <w:r>
        <w:t xml:space="preserve"> </w:t>
      </w:r>
      <w:r>
        <w:t xml:space="preserve">reached around 1 204% of GDP. The portfolio</w:t>
      </w:r>
      <w:r>
        <w:t xml:space="preserve"> </w:t>
      </w:r>
      <w:r>
        <w:t xml:space="preserve">investment balance remains a net liability due to the</w:t>
      </w:r>
      <w:r>
        <w:t xml:space="preserve"> </w:t>
      </w:r>
      <w:r>
        <w:t xml:space="preserve">higher value of foreign portfolio investment liabilities</w:t>
      </w:r>
      <w:r>
        <w:t xml:space="preserve"> </w:t>
      </w:r>
      <w:r>
        <w:t xml:space="preserve">compared to Luxembourg’s portfolio assets, with net</w:t>
      </w:r>
      <w:r>
        <w:t xml:space="preserve"> </w:t>
      </w:r>
      <w:r>
        <w:t xml:space="preserve">liabilities of approximately 1 473% of GDP. The stock</w:t>
      </w:r>
      <w:r>
        <w:t xml:space="preserve"> </w:t>
      </w:r>
      <w:r>
        <w:t xml:space="preserve">of official foreign reserve assets is negligible in this</w:t>
      </w:r>
      <w:r>
        <w:t xml:space="preserve"> </w:t>
      </w:r>
      <w:r>
        <w:t xml:space="preserve">context. Hence, while Luxembourg is deeply integrated</w:t>
      </w:r>
      <w:r>
        <w:t xml:space="preserve"> </w:t>
      </w:r>
      <w:r>
        <w:t xml:space="preserve">in international capital flows and acts as a significant</w:t>
      </w:r>
      <w:r>
        <w:t xml:space="preserve"> </w:t>
      </w:r>
      <w:r>
        <w:t xml:space="preserve">hub for foreign capital, it remains a strong net capital</w:t>
      </w:r>
      <w:r>
        <w:t xml:space="preserve"> </w:t>
      </w:r>
      <w:r>
        <w:t xml:space="preserve">exporter, especially through direct and portfolio</w:t>
      </w:r>
      <w:r>
        <w:t xml:space="preserve"> </w:t>
      </w:r>
      <w:r>
        <w:t xml:space="preserve">investments abroad.</w:t>
      </w:r>
      <w:r>
        <w:t xml:space="preserve"> </w:t>
      </w:r>
      <w:r>
        <w:t xml:space="preserve">1.20.2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ECB, Eurostat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Luxembourg’s small economy is dominated by its</w:t>
      </w:r>
      <w:r>
        <w:t xml:space="preserve"> </w:t>
      </w:r>
      <w:r>
        <w:t xml:space="preserve">financial sector, which is therefore larger in terms</w:t>
      </w:r>
      <w:r>
        <w:t xml:space="preserve"> </w:t>
      </w:r>
      <w:r>
        <w:t xml:space="preserve">of employees and share in value added than in other</w:t>
      </w:r>
      <w:r>
        <w:t xml:space="preserve"> </w:t>
      </w:r>
      <w:r>
        <w:t xml:space="preserve">countries. The value of shares issued by financial</w:t>
      </w:r>
      <w:r>
        <w:t xml:space="preserve"> </w:t>
      </w:r>
      <w:r>
        <w:t xml:space="preserve">corporations listed in Luxembourg is extremely high</w:t>
      </w:r>
      <w:r>
        <w:t xml:space="preserve"> </w:t>
      </w:r>
      <w:r>
        <w:t xml:space="preserve">relative to GDP at 213.7% versus EU average of</w:t>
      </w:r>
      <w:r>
        <w:t xml:space="preserve"> </w:t>
      </w:r>
      <w:r>
        <w:t xml:space="preserve">15.3%. On the other hand, the non-financial corporate</w:t>
      </w:r>
      <w:r>
        <w:t xml:space="preserve"> </w:t>
      </w:r>
      <w:r>
        <w:t xml:space="preserve">sector is smaller, compared to other countries, with</w:t>
      </w:r>
    </w:p>
    <w:p>
      <w:pPr>
        <w:pStyle w:val="BodyText"/>
      </w:pPr>
      <w:r>
        <w:t xml:space="preserve">744 The ECB defines Other Financial Intermediaries (OFIs) as a</w:t>
      </w:r>
      <w:r>
        <w:t xml:space="preserve"> </w:t>
      </w:r>
      <w:r>
        <w:t xml:space="preserve">corporation or quasi-corporation other than an insurance</w:t>
      </w:r>
      <w:r>
        <w:t xml:space="preserve"> </w:t>
      </w:r>
      <w:r>
        <w:t xml:space="preserve">corporation and pension fund that is engaged mainly in financial</w:t>
      </w:r>
      <w:r>
        <w:t xml:space="preserve"> </w:t>
      </w:r>
      <w:r>
        <w:t xml:space="preserve">intermediation by incurring liabilities in forms other than</w:t>
      </w:r>
      <w:r>
        <w:t xml:space="preserve"> </w:t>
      </w:r>
      <w:r>
        <w:t xml:space="preserve">currency, deposits and/or close substitutes for deposits from</w:t>
      </w:r>
      <w:r>
        <w:t xml:space="preserve"> </w:t>
      </w:r>
      <w:r>
        <w:t xml:space="preserve">institutional entities other than MFIs, in particular those engaged</w:t>
      </w:r>
      <w:r>
        <w:t xml:space="preserve"> </w:t>
      </w:r>
      <w:r>
        <w:t xml:space="preserve">outstanding shares worth 34.3% of GDP, compared to</w:t>
      </w:r>
      <w:r>
        <w:t xml:space="preserve"> </w:t>
      </w:r>
      <w:r>
        <w:t xml:space="preserve">EU average of 51.1%. The dominance of the financial</w:t>
      </w:r>
      <w:r>
        <w:t xml:space="preserve"> </w:t>
      </w:r>
      <w:r>
        <w:t xml:space="preserve">sector is also reflected in the outstanding value of debt</w:t>
      </w:r>
      <w:r>
        <w:t xml:space="preserve"> </w:t>
      </w:r>
      <w:r>
        <w:t xml:space="preserve">securities. While non-financial corporations issued</w:t>
      </w:r>
      <w:r>
        <w:t xml:space="preserve"> </w:t>
      </w:r>
      <w:r>
        <w:t xml:space="preserve">bonds valuated at 27.8 of GDP at end-2024, this is</w:t>
      </w:r>
      <w:r>
        <w:t xml:space="preserve"> </w:t>
      </w:r>
      <w:r>
        <w:t xml:space="preserve">dwarfed by bonds issued by other financial</w:t>
      </w:r>
      <w:r>
        <w:t xml:space="preserve"> </w:t>
      </w:r>
      <w:r>
        <w:t xml:space="preserve">intermediaries. These other financial intermediaries</w:t>
      </w:r>
      <w:r>
        <w:t xml:space="preserve"> </w:t>
      </w:r>
      <w:r>
        <w:t xml:space="preserve">comprise Special Purpose Entities (SPEs), leasing</w:t>
      </w:r>
      <w:r>
        <w:t xml:space="preserve"> </w:t>
      </w:r>
      <w:r>
        <w:t xml:space="preserve">companies, securities dealers financial holdings ,</w:t>
      </w:r>
      <w:r>
        <w:t xml:space="preserve"> </w:t>
      </w:r>
      <w:r>
        <w:t xml:space="preserve">Venture Capital corporations.744</w:t>
      </w:r>
      <w:r>
        <w:br/>
      </w:r>
      <w:r>
        <w:t xml:space="preserve">Luxembourg is a major European hub for</w:t>
      </w:r>
      <w:r>
        <w:t xml:space="preserve"> </w:t>
      </w:r>
      <w:r>
        <w:t xml:space="preserve">investment funds and money market funds. It is the</w:t>
      </w:r>
      <w:r>
        <w:t xml:space="preserve"> </w:t>
      </w:r>
      <w:r>
        <w:t xml:space="preserve">largest domicile for investment funds in the EU with</w:t>
      </w:r>
      <w:r>
        <w:t xml:space="preserve"> </w:t>
      </w:r>
      <w:r>
        <w:t xml:space="preserve">EUR 7.3 trillion of assets (85-times the size of the</w:t>
      </w:r>
      <w:r>
        <w:t xml:space="preserve"> </w:t>
      </w:r>
      <w:r>
        <w:t xml:space="preserve">economy). Luxembourg is the second largest domicile</w:t>
      </w:r>
      <w:r>
        <w:t xml:space="preserve"> </w:t>
      </w:r>
      <w:r>
        <w:t xml:space="preserve">for MMFs in the EU, after Ireland. Luxembourg’s</w:t>
      </w:r>
      <w:r>
        <w:t xml:space="preserve"> </w:t>
      </w:r>
      <w:r>
        <w:t xml:space="preserve">MMFs hold EUR 608 billion in total assets. Its banking</w:t>
      </w:r>
      <w:r>
        <w:t xml:space="preserve"> </w:t>
      </w:r>
      <w:r>
        <w:t xml:space="preserve">sector with assets worth EUR 960 billion, is the 8th</w:t>
      </w:r>
      <w:r>
        <w:t xml:space="preserve"> </w:t>
      </w:r>
      <w:r>
        <w:t xml:space="preserve">largest by assets but huge relative to the size of the</w:t>
      </w:r>
      <w:r>
        <w:t xml:space="preserve"> </w:t>
      </w:r>
      <w:r>
        <w:t xml:space="preserve">economy. The MFI sector, that is banks and money</w:t>
      </w:r>
      <w:r>
        <w:t xml:space="preserve"> </w:t>
      </w:r>
      <w:r>
        <w:t xml:space="preserve">market funds together, have assets of 18 times the size</w:t>
      </w:r>
      <w:r>
        <w:t xml:space="preserve"> </w:t>
      </w:r>
      <w:r>
        <w:t xml:space="preserve">of the economy.</w:t>
      </w:r>
      <w:r>
        <w:t xml:space="preserve"> </w:t>
      </w:r>
      <w:r>
        <w:t xml:space="preserve">1.20.3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Luxembourg is also a hub for the European life</w:t>
      </w:r>
      <w:r>
        <w:t xml:space="preserve"> </w:t>
      </w:r>
      <w:r>
        <w:t xml:space="preserve">insurance business. Insurance corporations domiciled</w:t>
      </w:r>
      <w:r>
        <w:t xml:space="preserve"> </w:t>
      </w:r>
      <w:r>
        <w:t xml:space="preserve">in Luxembourg held assets equivalent to 382.3% of</w:t>
      </w:r>
      <w:r>
        <w:t xml:space="preserve"> </w:t>
      </w:r>
      <w:r>
        <w:t xml:space="preserve">GDP at end-2024, dominated by life insurers that work</w:t>
      </w:r>
      <w:r>
        <w:t xml:space="preserve"> </w:t>
      </w:r>
      <w:r>
        <w:t xml:space="preserve">across Europe, far exceeding the EU average of 55% of</w:t>
      </w:r>
      <w:r>
        <w:t xml:space="preserve"> </w:t>
      </w:r>
      <w:r>
        <w:t xml:space="preserve">GDP. Luxembourg’s pension funds sector is small and</w:t>
      </w:r>
      <w:r>
        <w:t xml:space="preserve"> </w:t>
      </w:r>
      <w:r>
        <w:t xml:space="preserve">domestically focussed, with total assets of only 2.3%</w:t>
      </w:r>
      <w:r>
        <w:t xml:space="preserve"> </w:t>
      </w:r>
      <w:r>
        <w:t xml:space="preserve">of GDP at end-2024 (see Graph 2.18.3).</w:t>
      </w:r>
      <w:r>
        <w:t xml:space="preserve"> </w:t>
      </w:r>
      <w:r>
        <w:t xml:space="preserve">primarily in long-term financing, such as corporations engaged</w:t>
      </w:r>
      <w:r>
        <w:t xml:space="preserve"> </w:t>
      </w:r>
      <w:r>
        <w:t xml:space="preserve">in financial leasing, financial vehicle corporations created to be</w:t>
      </w:r>
      <w:r>
        <w:t xml:space="preserve"> </w:t>
      </w:r>
      <w:r>
        <w:t xml:space="preserve">holders of securitised assets, financial holding corporations,</w:t>
      </w:r>
      <w:r>
        <w:t xml:space="preserve"> </w:t>
      </w:r>
      <w:r>
        <w:t xml:space="preserve">dealers in securities and derivatives (when dealing for their own</w:t>
      </w:r>
      <w:r>
        <w:t xml:space="preserve"> </w:t>
      </w:r>
      <w:r>
        <w:t xml:space="preserve">account), venture capital corporations and development capital</w:t>
      </w:r>
      <w:r>
        <w:t xml:space="preserve"> </w:t>
      </w:r>
      <w:r>
        <w:t xml:space="preserve">companies. (see ECB.europa.eu )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-30000</w:t>
      </w:r>
      <w:r>
        <w:t xml:space="preserve"> </w:t>
      </w:r>
      <w:r>
        <w:t xml:space="preserve">-20000</w:t>
      </w:r>
      <w:r>
        <w:t xml:space="preserve"> </w:t>
      </w:r>
      <w:r>
        <w:t xml:space="preserve">-10000</w:t>
      </w:r>
      <w:r>
        <w:t xml:space="preserve"> </w:t>
      </w:r>
      <w:r>
        <w:t xml:space="preserve">0</w:t>
      </w:r>
      <w:r>
        <w:t xml:space="preserve"> </w:t>
      </w:r>
      <w:r>
        <w:t xml:space="preserve">10000</w:t>
      </w:r>
      <w:r>
        <w:t xml:space="preserve"> </w:t>
      </w:r>
      <w:r>
        <w:t xml:space="preserve">20000</w:t>
      </w:r>
      <w:r>
        <w:t xml:space="preserve"> </w:t>
      </w:r>
      <w:r>
        <w:t xml:space="preserve">30000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5000</w:t>
      </w:r>
      <w:r>
        <w:t xml:space="preserve"> </w:t>
      </w:r>
      <w:r>
        <w:t xml:space="preserve">6000</w:t>
      </w:r>
      <w:r>
        <w:t xml:space="preserve"> </w:t>
      </w:r>
      <w:r>
        <w:t xml:space="preserve">7000</w:t>
      </w:r>
      <w:r>
        <w:t xml:space="preserve"> </w:t>
      </w:r>
      <w:r>
        <w:t xml:space="preserve">8000</w:t>
      </w:r>
      <w:r>
        <w:t xml:space="preserve"> </w:t>
      </w:r>
      <w:r>
        <w:t xml:space="preserve">9000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472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Luxembourg’s NFC sector has an unusually large</w:t>
      </w:r>
      <w:r>
        <w:t xml:space="preserve"> </w:t>
      </w:r>
      <w:r>
        <w:t xml:space="preserve">balance sheet driven by the use of its financial</w:t>
      </w:r>
      <w:r>
        <w:t xml:space="preserve"> </w:t>
      </w:r>
      <w:r>
        <w:t xml:space="preserve">centre for global financing. Large NFCs take</w:t>
      </w:r>
      <w:r>
        <w:t xml:space="preserve"> </w:t>
      </w:r>
      <w:r>
        <w:t xml:space="preserve">advantage of Luxembourg’s financial centre by</w:t>
      </w:r>
      <w:r>
        <w:t xml:space="preserve"> </w:t>
      </w:r>
      <w:r>
        <w:t xml:space="preserve">establishing subsidiaries that issue debt or obtain bank</w:t>
      </w:r>
      <w:r>
        <w:t xml:space="preserve"> </w:t>
      </w:r>
      <w:r>
        <w:t xml:space="preserve">loans in Luxembourg for their global operations. This</w:t>
      </w:r>
      <w:r>
        <w:t xml:space="preserve"> </w:t>
      </w:r>
      <w:r>
        <w:t xml:space="preserve">explains the NFC sector’s large balance sheet</w:t>
      </w:r>
      <w:r>
        <w:t xml:space="preserve"> </w:t>
      </w:r>
      <w:r>
        <w:t xml:space="preserve">amounting to the equivalent of 468% of GDP in 2024,</w:t>
      </w:r>
      <w:r>
        <w:t xml:space="preserve"> </w:t>
      </w:r>
      <w:r>
        <w:t xml:space="preserve">exceeding by more than double the EU average of</w:t>
      </w:r>
      <w:r>
        <w:t xml:space="preserve"> </w:t>
      </w:r>
      <w:r>
        <w:t xml:space="preserve">about 225%. Moreover, Luxembourg NFCs show a</w:t>
      </w:r>
      <w:r>
        <w:t xml:space="preserve"> </w:t>
      </w:r>
      <w:r>
        <w:t xml:space="preserve">relatively high share of financial loans in their funding</w:t>
      </w:r>
      <w:r>
        <w:t xml:space="preserve"> </w:t>
      </w:r>
      <w:r>
        <w:t xml:space="preserve">structure (51%), nearly twice the EU average (27.2%).</w:t>
      </w:r>
      <w:r>
        <w:t xml:space="preserve"> </w:t>
      </w:r>
      <w:r>
        <w:t xml:space="preserve">In fact, to finance their investments, Luxembourg</w:t>
      </w:r>
      <w:r>
        <w:t xml:space="preserve"> </w:t>
      </w:r>
      <w:r>
        <w:t xml:space="preserve">companies rely less on internal resources than their EU</w:t>
      </w:r>
      <w:r>
        <w:t xml:space="preserve"> </w:t>
      </w:r>
      <w:r>
        <w:t xml:space="preserve">peers, which is also confirmed by their relatively high</w:t>
      </w:r>
      <w:r>
        <w:t xml:space="preserve"> </w:t>
      </w:r>
      <w:r>
        <w:t xml:space="preserve">aggregate reliance on bonds, trade credit, and</w:t>
      </w:r>
      <w:r>
        <w:t xml:space="preserve"> </w:t>
      </w:r>
      <w:r>
        <w:t xml:space="preserve">advances.</w:t>
      </w:r>
      <w:r>
        <w:t xml:space="preserve"> </w:t>
      </w:r>
      <w:r>
        <w:t xml:space="preserve">1.20.4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Luxembourg Stock Exchange (LuxSE) is one of</w:t>
      </w:r>
      <w:r>
        <w:t xml:space="preserve"> </w:t>
      </w:r>
      <w:r>
        <w:t xml:space="preserve">the</w:t>
      </w:r>
      <w:r>
        <w:t xml:space="preserve"> </w:t>
      </w:r>
      <w:r>
        <w:t xml:space="preserve">world’s</w:t>
      </w:r>
      <w:r>
        <w:t xml:space="preserve"> </w:t>
      </w:r>
      <w:r>
        <w:t xml:space="preserve">leading</w:t>
      </w:r>
      <w:r>
        <w:t xml:space="preserve"> </w:t>
      </w:r>
      <w:r>
        <w:t xml:space="preserve">exchanges</w:t>
      </w:r>
      <w:r>
        <w:t xml:space="preserve"> </w:t>
      </w:r>
      <w:r>
        <w:t xml:space="preserve">for</w:t>
      </w:r>
      <w:r>
        <w:t xml:space="preserve"> </w:t>
      </w:r>
      <w:r>
        <w:t xml:space="preserve">listing</w:t>
      </w:r>
      <w:r>
        <w:t xml:space="preserve"> </w:t>
      </w:r>
      <w:r>
        <w:t xml:space="preserve">international debt securities. In addition to its</w:t>
      </w:r>
      <w:r>
        <w:t xml:space="preserve"> </w:t>
      </w:r>
      <w:r>
        <w:t xml:space="preserve">prominent investment fund industry, Luxembourg</w:t>
      </w:r>
      <w:r>
        <w:t xml:space="preserve"> </w:t>
      </w:r>
      <w:r>
        <w:t xml:space="preserve">boasts one of the largest secondary bond markets</w:t>
      </w:r>
      <w:r>
        <w:t xml:space="preserve"> </w:t>
      </w:r>
      <w:r>
        <w:t xml:space="preserve">globally, having established itself as the preferred</w:t>
      </w:r>
      <w:r>
        <w:t xml:space="preserve"> </w:t>
      </w:r>
      <w:r>
        <w:t xml:space="preserve">listing venue for bonds issued by Public International</w:t>
      </w:r>
      <w:r>
        <w:t xml:space="preserve"> </w:t>
      </w:r>
      <w:r>
        <w:t xml:space="preserve">Bodies, sovereigns, and public agencies. By contrast,</w:t>
      </w:r>
      <w:r>
        <w:t xml:space="preserve"> </w:t>
      </w:r>
      <w:r>
        <w:t xml:space="preserve">Luxembourg’s equity market is relatively small by EU</w:t>
      </w:r>
      <w:r>
        <w:t xml:space="preserve"> </w:t>
      </w:r>
      <w:r>
        <w:t xml:space="preserve">standards, with only 18 companies listed, making it the</w:t>
      </w:r>
      <w:r>
        <w:t xml:space="preserve"> </w:t>
      </w:r>
      <w:r>
        <w:t xml:space="preserve">8th largest stock exchange in the EU by market</w:t>
      </w:r>
      <w:r>
        <w:t xml:space="preserve"> </w:t>
      </w:r>
      <w:r>
        <w:t xml:space="preserve">capitalization. LuxSE operates two distinct markets:</w:t>
      </w:r>
      <w:r>
        <w:t xml:space="preserve"> </w:t>
      </w:r>
      <w:r>
        <w:t xml:space="preserve">the regulated European market known as the Bourse de</w:t>
      </w:r>
      <w:r>
        <w:t xml:space="preserve"> </w:t>
      </w:r>
      <w:r>
        <w:t xml:space="preserve">Luxembourg (Bourse), and the Euro MTF (MTF), a</w:t>
      </w:r>
      <w:r>
        <w:t xml:space="preserve"> </w:t>
      </w:r>
      <w:r>
        <w:t xml:space="preserve">multilateral trading facility. In September 2016, LuxSE</w:t>
      </w:r>
      <w:r>
        <w:t xml:space="preserve"> </w:t>
      </w:r>
      <w:r>
        <w:t xml:space="preserve">became the first stock exchange worldwide to launch a</w:t>
      </w:r>
      <w:r>
        <w:t xml:space="preserve"> </w:t>
      </w:r>
      <w:r>
        <w:t xml:space="preserve">platform dedicated exclusively to green financial</w:t>
      </w:r>
      <w:r>
        <w:t xml:space="preserve"> </w:t>
      </w:r>
      <w:r>
        <w:t xml:space="preserve">instruments — the Luxembourg Green Exchange</w:t>
      </w:r>
      <w:r>
        <w:t xml:space="preserve"> </w:t>
      </w:r>
      <w:r>
        <w:t xml:space="preserve">(LGX). LGX features issuers who allocate 100% of</w:t>
      </w:r>
      <w:r>
        <w:t xml:space="preserve"> </w:t>
      </w:r>
      <w:r>
        <w:t xml:space="preserve">their raised funds to green investments and requires</w:t>
      </w:r>
      <w:r>
        <w:t xml:space="preserve"> </w:t>
      </w:r>
      <w:r>
        <w:t xml:space="preserve">green securities to meet strict eligibility criteria. As of</w:t>
      </w:r>
      <w:r>
        <w:t xml:space="preserve"> </w:t>
      </w:r>
      <w:r>
        <w:t xml:space="preserve">2024, there are over 2 100 green, social sustainability</w:t>
      </w:r>
      <w:r>
        <w:t xml:space="preserve"> </w:t>
      </w:r>
      <w:r>
        <w:t xml:space="preserve">and sustainability-linked bonds listed on on LGX</w:t>
      </w:r>
      <w:r>
        <w:t xml:space="preserve"> </w:t>
      </w:r>
      <w:r>
        <w:t xml:space="preserve">worth € 1.2 trn.</w:t>
      </w:r>
      <w:r>
        <w:br/>
      </w:r>
      <w:r>
        <w:t xml:space="preserve">Debt finance continues to be a significant source of</w:t>
      </w:r>
      <w:r>
        <w:t xml:space="preserve"> </w:t>
      </w:r>
      <w:r>
        <w:t xml:space="preserve">market funding for companies in Luxembourg. In</w:t>
      </w:r>
      <w:r>
        <w:t xml:space="preserve"> </w:t>
      </w:r>
      <w:r>
        <w:t xml:space="preserve">the first quarter of 2025 alone, NFCs issued EUR 41 bn</w:t>
      </w:r>
      <w:r>
        <w:t xml:space="preserve"> </w:t>
      </w:r>
      <w:r>
        <w:t xml:space="preserve">of debt securities, which is more than half of the total</w:t>
      </w:r>
      <w:r>
        <w:t xml:space="preserve"> </w:t>
      </w:r>
      <w:r>
        <w:t xml:space="preserve">amount issued in total over 2024. The increased</w:t>
      </w:r>
      <w:r>
        <w:t xml:space="preserve"> </w:t>
      </w:r>
      <w:r>
        <w:t xml:space="preserve">momentum for bond financing may be related to the</w:t>
      </w:r>
      <w:r>
        <w:t xml:space="preserve"> </w:t>
      </w:r>
      <w:r>
        <w:t xml:space="preserve">generally lower level of interest rates. In contrast, MFIs</w:t>
      </w:r>
      <w:r>
        <w:t xml:space="preserve"> </w:t>
      </w:r>
      <w:r>
        <w:t xml:space="preserve">issued a negligible amount of debt in Q1 2025,</w:t>
      </w:r>
      <w:r>
        <w:t xml:space="preserve"> </w:t>
      </w:r>
      <w:r>
        <w:t xml:space="preserve">suggesting that debt issuance plays a very limited role</w:t>
      </w:r>
      <w:r>
        <w:t xml:space="preserve"> </w:t>
      </w:r>
      <w:r>
        <w:t xml:space="preserve">in the funding structure of banks, as opposed to</w:t>
      </w:r>
      <w:r>
        <w:t xml:space="preserve"> </w:t>
      </w:r>
      <w:r>
        <w:t xml:space="preserve">deposits form other financial institutions and other</w:t>
      </w:r>
      <w:r>
        <w:t xml:space="preserve"> </w:t>
      </w:r>
      <w:r>
        <w:t xml:space="preserve">funding means. The issuance of debt by the</w:t>
      </w:r>
      <w:r>
        <w:t xml:space="preserve"> </w:t>
      </w:r>
      <w:r>
        <w:t xml:space="preserve">government was marginal over the last years, but is</w:t>
      </w:r>
      <w:r>
        <w:t xml:space="preserve"> </w:t>
      </w:r>
      <w:r>
        <w:t xml:space="preserve">expected to pick up given that the general government</w:t>
      </w:r>
      <w:r>
        <w:t xml:space="preserve"> </w:t>
      </w:r>
      <w:r>
        <w:t xml:space="preserve">balance is projected to turn to a deficit of 0.4% of GDP</w:t>
      </w:r>
      <w:r>
        <w:t xml:space="preserve"> </w:t>
      </w:r>
      <w:r>
        <w:t xml:space="preserve">this year.</w:t>
      </w:r>
      <w:r>
        <w:t xml:space="preserve"> </w:t>
      </w:r>
      <w:r>
        <w:t xml:space="preserve">1.20.5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Luxembourg households are among the wealthiest</w:t>
      </w:r>
      <w:r>
        <w:t xml:space="preserve"> </w:t>
      </w:r>
      <w:r>
        <w:t xml:space="preserve">in the EU and they favour direct market</w:t>
      </w:r>
      <w:r>
        <w:t xml:space="preserve"> </w:t>
      </w:r>
      <w:r>
        <w:t xml:space="preserve">investments over insurance and pension funds.</w:t>
      </w:r>
      <w:r>
        <w:t xml:space="preserve"> </w:t>
      </w:r>
      <w:r>
        <w:t xml:space="preserve">Average financial household wealth in Luxembourg is</w:t>
      </w:r>
      <w:r>
        <w:t xml:space="preserve"> </w:t>
      </w:r>
      <w:r>
        <w:t xml:space="preserve">estimated at EUR 186 100, making it one of the highest</w:t>
      </w:r>
      <w:r>
        <w:t xml:space="preserve"> </w:t>
      </w:r>
      <w:r>
        <w:t xml:space="preserve">in the EU. Although Luxembourg households carry</w:t>
      </w:r>
      <w:r>
        <w:t xml:space="preserve"> </w:t>
      </w:r>
      <w:r>
        <w:t xml:space="preserve">high debt levels (61% of GDP), these are offset in</w:t>
      </w:r>
      <w:r>
        <w:t xml:space="preserve"> </w:t>
      </w:r>
      <w:r>
        <w:t xml:space="preserve">aggregate by equally large cash holdings (63.7% of</w:t>
      </w:r>
      <w:r>
        <w:t xml:space="preserve"> </w:t>
      </w:r>
      <w:r>
        <w:t xml:space="preserve">GDP). In fact, most of households’ gross wealth is held</w:t>
      </w:r>
      <w:r>
        <w:t xml:space="preserve"> </w:t>
      </w:r>
      <w:r>
        <w:t xml:space="preserve">in deposits. Households show less interest in insurance</w:t>
      </w:r>
      <w:r>
        <w:t xml:space="preserve"> </w:t>
      </w:r>
      <w:r>
        <w:t xml:space="preserve">and pension funds, which account for only 21.2% of</w:t>
      </w:r>
      <w:r>
        <w:t xml:space="preserve"> </w:t>
      </w:r>
      <w:r>
        <w:t xml:space="preserve">their financial assets compared to an EU average of</w:t>
      </w:r>
      <w:r>
        <w:t xml:space="preserve"> </w:t>
      </w:r>
      <w:r>
        <w:t xml:space="preserve">59.2%. This suggests a preference for direct</w:t>
      </w:r>
      <w:r>
        <w:t xml:space="preserve"> </w:t>
      </w:r>
      <w:r>
        <w:t xml:space="preserve">participation in financial markets rather than relying on</w:t>
      </w:r>
      <w:r>
        <w:t xml:space="preserve"> </w:t>
      </w:r>
      <w:r>
        <w:t xml:space="preserve">intermediaries such as pension providers and insurance</w:t>
      </w:r>
      <w:r>
        <w:t xml:space="preserve"> </w:t>
      </w:r>
      <w:r>
        <w:t xml:space="preserve">companies.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LU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-20.0</w:t>
      </w:r>
      <w:r>
        <w:t xml:space="preserve"> </w:t>
      </w:r>
      <w:r>
        <w:t xml:space="preserve">0.0</w:t>
      </w:r>
      <w:r>
        <w:t xml:space="preserve"> </w:t>
      </w:r>
      <w:r>
        <w:t xml:space="preserve">20.0</w:t>
      </w:r>
      <w:r>
        <w:t xml:space="preserve"> </w:t>
      </w:r>
      <w:r>
        <w:t xml:space="preserve">40.0</w:t>
      </w:r>
      <w:r>
        <w:t xml:space="preserve"> </w:t>
      </w:r>
      <w:r>
        <w:t xml:space="preserve">60.0</w:t>
      </w:r>
      <w:r>
        <w:t xml:space="preserve"> </w:t>
      </w:r>
      <w:r>
        <w:t xml:space="preserve">80.0</w:t>
      </w:r>
      <w:r>
        <w:t xml:space="preserve"> </w:t>
      </w:r>
      <w:r>
        <w:t xml:space="preserve">100.0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473</w:t>
      </w:r>
      <w:r>
        <w:t xml:space="preserve"> </w:t>
      </w:r>
      <w:r>
        <w:t xml:space="preserve">1.20.6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1.21 Malta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Maltese economy maintains its comparatively</w:t>
      </w:r>
      <w:r>
        <w:t xml:space="preserve"> </w:t>
      </w:r>
      <w:r>
        <w:t xml:space="preserve">high net private savings and positive net external</w:t>
      </w:r>
      <w:r>
        <w:t xml:space="preserve"> </w:t>
      </w:r>
      <w:r>
        <w:t xml:space="preserve">lending position. As of end-2024, the private savings</w:t>
      </w:r>
      <w:r>
        <w:t xml:space="preserve"> </w:t>
      </w:r>
      <w:r>
        <w:t xml:space="preserve">ratio, net of fixed capital consumption, which has been</w:t>
      </w:r>
      <w:r>
        <w:t xml:space="preserve"> </w:t>
      </w:r>
      <w:r>
        <w:t xml:space="preserve">historically very high, reached 10.3% of GDP, below</w:t>
      </w:r>
      <w:r>
        <w:t xml:space="preserve"> </w:t>
      </w:r>
      <w:r>
        <w:t xml:space="preserve">its ten-year average of 15.7% of GDP (see Graph</w:t>
      </w:r>
      <w:r>
        <w:t xml:space="preserve"> </w:t>
      </w:r>
      <w:r>
        <w:t xml:space="preserve">2.19.1). The net private investment ratio, which</w:t>
      </w:r>
      <w:r>
        <w:t xml:space="preserve"> </w:t>
      </w:r>
      <w:r>
        <w:t xml:space="preserve">measures the net contribution of the private sector to</w:t>
      </w:r>
      <w:r>
        <w:t xml:space="preserve"> </w:t>
      </w:r>
      <w:r>
        <w:t xml:space="preserve">capital accumulation in the country, fell to 3.7% of</w:t>
      </w:r>
      <w:r>
        <w:t xml:space="preserve"> </w:t>
      </w:r>
      <w:r>
        <w:t xml:space="preserve">GDP as of end-2024, significantly below its ten-year</w:t>
      </w:r>
      <w:r>
        <w:t xml:space="preserve"> </w:t>
      </w:r>
      <w:r>
        <w:t xml:space="preserve">average of 7.1%. Since 2020 the government has</w:t>
      </w:r>
      <w:r>
        <w:t xml:space="preserve"> </w:t>
      </w:r>
      <w:r>
        <w:t xml:space="preserve">started running deficits again, thereby absorbing</w:t>
      </w:r>
      <w:r>
        <w:t xml:space="preserve"> </w:t>
      </w:r>
      <w:r>
        <w:t xml:space="preserve">private savings that averaged the equivalent of 2.3% of</w:t>
      </w:r>
      <w:r>
        <w:t xml:space="preserve"> </w:t>
      </w:r>
      <w:r>
        <w:t xml:space="preserve">GDP in the period 2015-2024. As a result of these</w:t>
      </w:r>
      <w:r>
        <w:t xml:space="preserve"> </w:t>
      </w:r>
      <w:r>
        <w:t xml:space="preserve">trends and structural changes, the Maltese economy has</w:t>
      </w:r>
      <w:r>
        <w:t xml:space="preserve"> </w:t>
      </w:r>
      <w:r>
        <w:t xml:space="preserve">been a net creditor to the rest of the world for the</w:t>
      </w:r>
      <w:r>
        <w:t xml:space="preserve"> </w:t>
      </w:r>
      <w:r>
        <w:t xml:space="preserve">equivalent of 6.3% of GDP per year over the last</w:t>
      </w:r>
      <w:r>
        <w:t xml:space="preserve"> </w:t>
      </w:r>
      <w:r>
        <w:t xml:space="preserve">decade, with the notable exception of 2020, when it</w:t>
      </w:r>
      <w:r>
        <w:t xml:space="preserve"> </w:t>
      </w:r>
      <w:r>
        <w:t xml:space="preserve">borrowed about 0.6% of GDP from abroad.</w:t>
      </w:r>
      <w:r>
        <w:br/>
      </w:r>
      <w:r>
        <w:t xml:space="preserve">2.19.1: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Consistent with Malta’s annual positive lending to</w:t>
      </w:r>
      <w:r>
        <w:t xml:space="preserve"> </w:t>
      </w:r>
      <w:r>
        <w:t xml:space="preserve">the rest of the world, Malta maintained its position</w:t>
      </w:r>
      <w:r>
        <w:t xml:space="preserve"> </w:t>
      </w:r>
      <w:r>
        <w:t xml:space="preserve">of a net annual creditor to the rest of the world.</w:t>
      </w:r>
      <w:r>
        <w:br/>
      </w:r>
      <w:r>
        <w:t xml:space="preserve">Malta’s net international investment position (NIIP)</w:t>
      </w:r>
      <w:r>
        <w:t xml:space="preserve"> </w:t>
      </w:r>
      <w:r>
        <w:t xml:space="preserve">increased from 67.3% in 2017 to 84.6% of GDP as of</w:t>
      </w:r>
      <w:r>
        <w:t xml:space="preserve"> </w:t>
      </w:r>
      <w:r>
        <w:t xml:space="preserve">Q4 2024. NIIP peaked in 2020 at 113.6% of GDP and</w:t>
      </w:r>
      <w:r>
        <w:t xml:space="preserve"> </w:t>
      </w:r>
      <w:r>
        <w:t xml:space="preserve">since then is gradually decreasing. Malta has an</w:t>
      </w:r>
      <w:r>
        <w:t xml:space="preserve"> </w:t>
      </w:r>
      <w:r>
        <w:t xml:space="preserve">established international reputation as a jurisdiction</w:t>
      </w:r>
      <w:r>
        <w:t xml:space="preserve"> </w:t>
      </w:r>
      <w:r>
        <w:t xml:space="preserve">that provides legal protection for establishing</w:t>
      </w:r>
      <w:r>
        <w:t xml:space="preserve"> </w:t>
      </w:r>
      <w:r>
        <w:t xml:space="preserve">businesses and rerouting investments. Due to that</w:t>
      </w:r>
      <w:r>
        <w:t xml:space="preserve"> </w:t>
      </w:r>
      <w:r>
        <w:t xml:space="preserve">national particularity, as of Q4 2024, total assets on</w:t>
      </w:r>
      <w:r>
        <w:t xml:space="preserve"> </w:t>
      </w:r>
      <w:r>
        <w:t xml:space="preserve">foreigners reached the equivalent of 3100% of GDP,</w:t>
      </w:r>
      <w:r>
        <w:t xml:space="preserve"> </w:t>
      </w:r>
      <w:r>
        <w:t xml:space="preserve">down from 3268% in 2017, while liabilities to</w:t>
      </w:r>
      <w:r>
        <w:t xml:space="preserve"> </w:t>
      </w:r>
      <w:r>
        <w:t xml:space="preserve">foreigners stood at 3016% of GDP, down from 3201%</w:t>
      </w:r>
      <w:r>
        <w:t xml:space="preserve"> </w:t>
      </w:r>
      <w:r>
        <w:t xml:space="preserve">in 2017 (see Graph 2.19.2). Though lately gross</w:t>
      </w:r>
      <w:r>
        <w:t xml:space="preserve"> </w:t>
      </w:r>
      <w:r>
        <w:t xml:space="preserve">outstanding volumes of foreign assets and foreign</w:t>
      </w:r>
      <w:r>
        <w:t xml:space="preserve"> </w:t>
      </w:r>
      <w:r>
        <w:t xml:space="preserve">liabilities declined, the Maltese economy remained</w:t>
      </w:r>
      <w:r>
        <w:t xml:space="preserve"> </w:t>
      </w:r>
      <w:r>
        <w:t xml:space="preserve">exceptionally well-integrated in international capital</w:t>
      </w:r>
      <w:r>
        <w:t xml:space="preserve"> </w:t>
      </w:r>
      <w:r>
        <w:t xml:space="preserve">flow, successfully increasing its net foreign wealth.</w:t>
      </w:r>
      <w:r>
        <w:t xml:space="preserve"> </w:t>
      </w:r>
      <w:r>
        <w:t xml:space="preserve">2.19.2: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LU</w:t>
      </w:r>
      <w:r>
        <w:t xml:space="preserve"> </w:t>
      </w:r>
      <w:r>
        <w:t xml:space="preserve">EU</w:t>
      </w:r>
      <w:r>
        <w:t xml:space="preserve"> </w:t>
      </w:r>
      <w:r>
        <w:t xml:space="preserve">LU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Other equity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Bonds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-6000</w:t>
      </w:r>
      <w:r>
        <w:t xml:space="preserve"> </w:t>
      </w:r>
      <w:r>
        <w:t xml:space="preserve">-4000</w:t>
      </w:r>
      <w:r>
        <w:t xml:space="preserve"> </w:t>
      </w:r>
      <w:r>
        <w:t xml:space="preserve">-2000</w:t>
      </w:r>
      <w:r>
        <w:t xml:space="preserve"> </w:t>
      </w:r>
      <w:r>
        <w:t xml:space="preserve">0</w:t>
      </w:r>
      <w:r>
        <w:t xml:space="preserve"> </w:t>
      </w:r>
      <w:r>
        <w:t xml:space="preserve">2000</w:t>
      </w:r>
      <w:r>
        <w:t xml:space="preserve"> </w:t>
      </w:r>
      <w:r>
        <w:t xml:space="preserve">4000</w:t>
      </w:r>
      <w:r>
        <w:t xml:space="preserve"> </w:t>
      </w:r>
      <w:r>
        <w:t xml:space="preserve">6000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474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The capital markets in Malta appear as relatively</w:t>
      </w:r>
      <w:r>
        <w:t xml:space="preserve"> </w:t>
      </w:r>
      <w:r>
        <w:t xml:space="preserve">underdeveloped, characterized by small market</w:t>
      </w:r>
      <w:r>
        <w:t xml:space="preserve"> </w:t>
      </w:r>
      <w:r>
        <w:t xml:space="preserve">capitalization and a limited bond market. The</w:t>
      </w:r>
      <w:r>
        <w:t xml:space="preserve"> </w:t>
      </w:r>
      <w:r>
        <w:t xml:space="preserve">market capitalisation of listed equity reached 40.8% of</w:t>
      </w:r>
      <w:r>
        <w:t xml:space="preserve"> </w:t>
      </w:r>
      <w:r>
        <w:t xml:space="preserve">GDP at end-2024 (see Graph 2.19.3). Banks dominate</w:t>
      </w:r>
      <w:r>
        <w:t xml:space="preserve"> </w:t>
      </w:r>
      <w:r>
        <w:t xml:space="preserve">in the share of market capitalization, as non-financial</w:t>
      </w:r>
      <w:r>
        <w:t xml:space="preserve"> </w:t>
      </w:r>
      <w:r>
        <w:t xml:space="preserve">corporations accounted for only 21%, a sign of the high</w:t>
      </w:r>
      <w:r>
        <w:t xml:space="preserve"> </w:t>
      </w:r>
      <w:r>
        <w:t xml:space="preserve">degree of financialisation of the Maltese economy. The</w:t>
      </w:r>
      <w:r>
        <w:t xml:space="preserve"> </w:t>
      </w:r>
      <w:r>
        <w:t xml:space="preserve">domestic capital market is primarily composed of the</w:t>
      </w:r>
      <w:r>
        <w:t xml:space="preserve"> </w:t>
      </w:r>
      <w:r>
        <w:t xml:space="preserve">equities market and the bonds market. The outstanding</w:t>
      </w:r>
      <w:r>
        <w:t xml:space="preserve"> </w:t>
      </w:r>
      <w:r>
        <w:t xml:space="preserve">volume of debt securities reached 76.9% of GDP at</w:t>
      </w:r>
      <w:r>
        <w:t xml:space="preserve"> </w:t>
      </w:r>
      <w:r>
        <w:t xml:space="preserve">end-2024. General government bonds accounted for</w:t>
      </w:r>
      <w:r>
        <w:t xml:space="preserve"> </w:t>
      </w:r>
      <w:r>
        <w:t xml:space="preserve">56% of the outstanding amounts. The remainder was</w:t>
      </w:r>
      <w:r>
        <w:t xml:space="preserve"> </w:t>
      </w:r>
      <w:r>
        <w:t xml:space="preserve">distributed</w:t>
      </w:r>
      <w:r>
        <w:t xml:space="preserve"> </w:t>
      </w:r>
      <w:r>
        <w:t xml:space="preserve">between</w:t>
      </w:r>
      <w:r>
        <w:t xml:space="preserve"> </w:t>
      </w:r>
      <w:r>
        <w:t xml:space="preserve">banks</w:t>
      </w:r>
      <w:r>
        <w:t xml:space="preserve"> </w:t>
      </w:r>
      <w:r>
        <w:t xml:space="preserve">(4%),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 (7%) and other financial intermediaries</w:t>
      </w:r>
      <w:r>
        <w:t xml:space="preserve"> </w:t>
      </w:r>
      <w:r>
        <w:t xml:space="preserve">(32%). Thus, the contribution of capital markets in</w:t>
      </w:r>
      <w:r>
        <w:t xml:space="preserve"> </w:t>
      </w:r>
      <w:r>
        <w:t xml:space="preserve">Malta to the financing of the domestic economy, and</w:t>
      </w:r>
      <w:r>
        <w:t xml:space="preserve"> </w:t>
      </w:r>
      <w:r>
        <w:t xml:space="preserve">especially of the private non-financial sector, appears</w:t>
      </w:r>
      <w:r>
        <w:t xml:space="preserve"> </w:t>
      </w:r>
      <w:r>
        <w:t xml:space="preserve">to be very limited.</w:t>
      </w:r>
      <w:r>
        <w:br/>
      </w:r>
      <w:r>
        <w:t xml:space="preserve">2.19.3: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Banks continue to dominate the financial sector in</w:t>
      </w:r>
      <w:r>
        <w:t xml:space="preserve"> </w:t>
      </w:r>
      <w:r>
        <w:t xml:space="preserve">Malta, but non-bank financial intermediaries have</w:t>
      </w:r>
      <w:r>
        <w:t xml:space="preserve"> </w:t>
      </w:r>
      <w:r>
        <w:t xml:space="preserve">significant size as well. As of end-2023, banks’ total</w:t>
      </w:r>
      <w:r>
        <w:t xml:space="preserve"> </w:t>
      </w:r>
      <w:r>
        <w:t xml:space="preserve">assets, stood at of 209.5% of GDP, much lower than</w:t>
      </w:r>
      <w:r>
        <w:t xml:space="preserve"> </w:t>
      </w:r>
      <w:r>
        <w:t xml:space="preserve">their 2020 size of 281% of GDP. Foreign banks, which</w:t>
      </w:r>
      <w:r>
        <w:t xml:space="preserve"> </w:t>
      </w:r>
      <w:r>
        <w:t xml:space="preserve">were attracted by the special jurisdictional status of</w:t>
      </w:r>
      <w:r>
        <w:t xml:space="preserve"> </w:t>
      </w:r>
      <w:r>
        <w:t xml:space="preserve">Malta but do not operate locally, significantly reduced</w:t>
      </w:r>
      <w:r>
        <w:t xml:space="preserve"> </w:t>
      </w:r>
      <w:r>
        <w:t xml:space="preserve">their presence from 81% of total assets in 2020 to 58%</w:t>
      </w:r>
      <w:r>
        <w:t xml:space="preserve"> </w:t>
      </w:r>
      <w:r>
        <w:t xml:space="preserve">as of end-2024. The insurance sector remains well</w:t>
      </w:r>
      <w:r>
        <w:t xml:space="preserve"> </w:t>
      </w:r>
      <w:r>
        <w:t xml:space="preserve">developed with its total assets at the equivalent of</w:t>
      </w:r>
      <w:r>
        <w:t xml:space="preserve"> </w:t>
      </w:r>
      <w:r>
        <w:t xml:space="preserve">65.6% of GDP at end-2024. Investment funds are also</w:t>
      </w:r>
      <w:r>
        <w:t xml:space="preserve"> </w:t>
      </w:r>
      <w:r>
        <w:t xml:space="preserve">very prominent in Malta, with total assets equivalent to</w:t>
      </w:r>
      <w:r>
        <w:t xml:space="preserve"> </w:t>
      </w:r>
      <w:r>
        <w:t xml:space="preserve">133% of GDP in 2024. However, most of the non-bank</w:t>
      </w:r>
      <w:r>
        <w:t xml:space="preserve"> </w:t>
      </w:r>
      <w:r>
        <w:t xml:space="preserve">financial intermediaries use Malta as a registration</w:t>
      </w:r>
      <w:r>
        <w:t xml:space="preserve"> </w:t>
      </w:r>
      <w:r>
        <w:t xml:space="preserve">jurisdiction and do not have local business ties.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Firms in Malta rely more on funding from banks</w:t>
      </w:r>
      <w:r>
        <w:t xml:space="preserve"> </w:t>
      </w:r>
      <w:r>
        <w:t xml:space="preserve">and less on funding from capital markets than the</w:t>
      </w:r>
      <w:r>
        <w:t xml:space="preserve"> </w:t>
      </w:r>
      <w:r>
        <w:t xml:space="preserve">EU peers. At the end of 2024, bank finance through</w:t>
      </w:r>
      <w:r>
        <w:t xml:space="preserve"> </w:t>
      </w:r>
      <w:r>
        <w:t xml:space="preserve">loans constituted 41.7% of all funding sources for</w:t>
      </w:r>
      <w:r>
        <w:t xml:space="preserve"> </w:t>
      </w:r>
      <w:r>
        <w:t xml:space="preserve">Maltese non-financial corporations (NFCs), while</w:t>
      </w:r>
      <w:r>
        <w:t xml:space="preserve"> </w:t>
      </w:r>
      <w:r>
        <w:t xml:space="preserve">listed shares and bonds represented only 5.4% of the</w:t>
      </w:r>
      <w:r>
        <w:t xml:space="preserve"> </w:t>
      </w:r>
      <w:r>
        <w:t xml:space="preserve">aggregate funding sources. The equivalent figures for</w:t>
      </w:r>
      <w:r>
        <w:t xml:space="preserve"> </w:t>
      </w:r>
      <w:r>
        <w:t xml:space="preserve">the EU average are 27.0% and 23.8%, with the overall</w:t>
      </w:r>
      <w:r>
        <w:t xml:space="preserve"> </w:t>
      </w:r>
      <w:r>
        <w:t xml:space="preserve">levels also substantially higher as a percentage of GDP</w:t>
      </w:r>
      <w:r>
        <w:t xml:space="preserve"> </w:t>
      </w:r>
      <w:r>
        <w:t xml:space="preserve">(as the overall level of NFC funding was 148.3% of</w:t>
      </w:r>
      <w:r>
        <w:t xml:space="preserve"> </w:t>
      </w:r>
      <w:r>
        <w:t xml:space="preserve">GDP in Malta and 225.6% of GDP for the EU average,</w:t>
      </w:r>
      <w:r>
        <w:t xml:space="preserve"> </w:t>
      </w:r>
      <w:r>
        <w:t xml:space="preserve">see 2.19.4).</w:t>
      </w:r>
      <w:r>
        <w:t xml:space="preserve"> </w:t>
      </w:r>
      <w:r>
        <w:t xml:space="preserve">2.19.4: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End-2023.</w:t>
      </w:r>
      <w:r>
        <w:t xml:space="preserve"> </w:t>
      </w:r>
      <w:r>
        <w:t xml:space="preserve">Businesses in Malta depend more on internal</w:t>
      </w:r>
      <w:r>
        <w:t xml:space="preserve"> </w:t>
      </w:r>
      <w:r>
        <w:t xml:space="preserve">financing than their European peers. According to</w:t>
      </w:r>
      <w:r>
        <w:t xml:space="preserve"> </w:t>
      </w:r>
      <w:r>
        <w:t xml:space="preserve">the 2024 EIB Investment Survey, 79% of Maltese firms</w:t>
      </w:r>
      <w:r>
        <w:t xml:space="preserve"> </w:t>
      </w:r>
      <w:r>
        <w:t xml:space="preserve">reported that their investment needs are covered by</w:t>
      </w:r>
      <w:r>
        <w:t xml:space="preserve"> </w:t>
      </w:r>
      <w:r>
        <w:t xml:space="preserve">internal funding, compared to an EU average of 66%.</w:t>
      </w:r>
      <w:r>
        <w:t xml:space="preserve"> </w:t>
      </w:r>
      <w:r>
        <w:t xml:space="preserve">At the same time, 83% of Maltese firms believed that</w:t>
      </w:r>
      <w:r>
        <w:t xml:space="preserve"> </w:t>
      </w:r>
      <w:r>
        <w:t xml:space="preserve">their investment activities over the last three years were</w:t>
      </w:r>
      <w:r>
        <w:t xml:space="preserve"> </w:t>
      </w:r>
      <w:r>
        <w:t xml:space="preserve">about the right amount, higher than the EU average of</w:t>
      </w:r>
      <w:r>
        <w:t xml:space="preserve"> </w:t>
      </w:r>
      <w:r>
        <w:t xml:space="preserve">80%, suggesting that there is no material financing gap</w:t>
      </w:r>
      <w:r>
        <w:t xml:space="preserve"> </w:t>
      </w:r>
      <w:r>
        <w:t xml:space="preserve">relative to investment demand. However, this may not</w:t>
      </w:r>
      <w:r>
        <w:t xml:space="preserve"> </w:t>
      </w:r>
      <w:r>
        <w:t xml:space="preserve">be the case for firms with no or limited capacity for</w:t>
      </w:r>
      <w:r>
        <w:t xml:space="preserve"> </w:t>
      </w:r>
      <w:r>
        <w:t xml:space="preserve">internal funding, such as innovative start-up firms.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Malta’s capital markets are insufficiently deep and</w:t>
      </w:r>
      <w:r>
        <w:t xml:space="preserve"> </w:t>
      </w:r>
      <w:r>
        <w:t xml:space="preserve">play a limited role in financing domestic firms. The</w:t>
      </w:r>
      <w:r>
        <w:t xml:space="preserve"> </w:t>
      </w:r>
      <w:r>
        <w:t xml:space="preserve">Malta Stock Exchange (MSE) is the country’s only</w:t>
      </w:r>
      <w:r>
        <w:t xml:space="preserve"> </w:t>
      </w:r>
      <w:r>
        <w:t xml:space="preserve">regulated exchange and facilitates equity and bond</w:t>
      </w:r>
      <w:r>
        <w:t xml:space="preserve"> </w:t>
      </w:r>
      <w:r>
        <w:t xml:space="preserve">trading and also provides clearing, settlement,</w:t>
      </w:r>
      <w:r>
        <w:t xml:space="preserve"> </w:t>
      </w:r>
      <w:r>
        <w:t xml:space="preserve">depository and other security-related services. Traded</w:t>
      </w:r>
      <w:r>
        <w:t xml:space="preserve"> </w:t>
      </w:r>
      <w:r>
        <w:t xml:space="preserve">volumes at the MSE are very low, at EUR 368 mn in</w:t>
      </w:r>
      <w:r>
        <w:t xml:space="preserve"> </w:t>
      </w:r>
      <w:r>
        <w:t xml:space="preserve">2024, including bonds, equity, exchange-traded funds</w:t>
      </w:r>
      <w:r>
        <w:t xml:space="preserve"> </w:t>
      </w:r>
      <w:r>
        <w:t xml:space="preserve">(ETFs) and treasury bills, with trade in government</w:t>
      </w:r>
      <w:r>
        <w:t xml:space="preserve"> </w:t>
      </w:r>
      <w:r>
        <w:t xml:space="preserve">bonds representing about half of the turnover. In terms</w:t>
      </w:r>
      <w:r>
        <w:t xml:space="preserve"> </w:t>
      </w:r>
      <w:r>
        <w:t xml:space="preserve">of performance, the general stock market index in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MT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475</w:t>
      </w:r>
      <w:r>
        <w:t xml:space="preserve"> </w:t>
      </w:r>
      <w:r>
        <w:t xml:space="preserve">Malta heavily underperformed the Stoxx Europe 600</w:t>
      </w:r>
      <w:r>
        <w:t xml:space="preserve"> </w:t>
      </w:r>
      <w:r>
        <w:t xml:space="preserve">index, in particular after 2020 (see Graph 2.19.5). On</w:t>
      </w:r>
      <w:r>
        <w:t xml:space="preserve"> </w:t>
      </w:r>
      <w:r>
        <w:t xml:space="preserve">the other hand, Maltese bank index kept the pace with</w:t>
      </w:r>
      <w:r>
        <w:t xml:space="preserve"> </w:t>
      </w:r>
      <w:r>
        <w:t xml:space="preserve">relevant Stoxx Europe bank index.</w:t>
      </w:r>
      <w:r>
        <w:br/>
      </w:r>
      <w:r>
        <w:t xml:space="preserve">2.19.5:</w:t>
      </w:r>
      <w:r>
        <w:t xml:space="preserve"> </w:t>
      </w:r>
      <w:r>
        <w:t xml:space="preserve">Stock market performance</w:t>
      </w:r>
    </w:p>
    <w:p>
      <w:pPr>
        <w:pStyle w:val="BodyText"/>
      </w:pPr>
      <w:r>
        <w:t xml:space="preserve">Source: London Stock Exchange Group745.</w:t>
      </w:r>
      <w:r>
        <w:t xml:space="preserve"> </w:t>
      </w:r>
      <w:r>
        <w:t xml:space="preserve">Maltese companies are using capital markets less</w:t>
      </w:r>
      <w:r>
        <w:t xml:space="preserve"> </w:t>
      </w:r>
      <w:r>
        <w:t xml:space="preserve">than their EU peers. Maltese NFCs have a higher</w:t>
      </w:r>
      <w:r>
        <w:t xml:space="preserve"> </w:t>
      </w:r>
      <w:r>
        <w:t xml:space="preserve">share of unlisted equity compared to their euro area</w:t>
      </w:r>
      <w:r>
        <w:t xml:space="preserve"> </w:t>
      </w:r>
      <w:r>
        <w:t xml:space="preserve">peers, which suggests that a large portion of corporate</w:t>
      </w:r>
      <w:r>
        <w:t xml:space="preserve"> </w:t>
      </w:r>
      <w:r>
        <w:t xml:space="preserve">ownership remains private and that many businesses do</w:t>
      </w:r>
      <w:r>
        <w:t xml:space="preserve"> </w:t>
      </w:r>
      <w:r>
        <w:t xml:space="preserve">not need or want to access capital by going public.</w:t>
      </w:r>
      <w:r>
        <w:t xml:space="preserve"> </w:t>
      </w:r>
      <w:r>
        <w:t xml:space="preserve">Bond issuances are used more commonly as an</w:t>
      </w:r>
      <w:r>
        <w:t xml:space="preserve"> </w:t>
      </w:r>
      <w:r>
        <w:t xml:space="preserve">instrument for raising funds than initial public</w:t>
      </w:r>
      <w:r>
        <w:t xml:space="preserve"> </w:t>
      </w:r>
      <w:r>
        <w:t xml:space="preserve">offerings (IPOs) or stock listings. Over 2020-2023,</w:t>
      </w:r>
      <w:r>
        <w:t xml:space="preserve"> </w:t>
      </w:r>
      <w:r>
        <w:t xml:space="preserve">Malta had the highest rate among all EU countries of</w:t>
      </w:r>
      <w:r>
        <w:t xml:space="preserve"> </w:t>
      </w:r>
      <w:r>
        <w:t xml:space="preserve">NFC bond issuances as a percentage of total NFC</w:t>
      </w:r>
      <w:r>
        <w:t xml:space="preserve"> </w:t>
      </w:r>
      <w:r>
        <w:t xml:space="preserve">financing, due to few large bond issuances.746 In</w:t>
      </w:r>
      <w:r>
        <w:t xml:space="preserve"> </w:t>
      </w:r>
      <w:r>
        <w:t xml:space="preserve">addition, Malta is a less capital-intensive economy than</w:t>
      </w:r>
      <w:r>
        <w:t xml:space="preserve"> </w:t>
      </w:r>
      <w:r>
        <w:t xml:space="preserve">the EU average, which, when combined with the</w:t>
      </w:r>
      <w:r>
        <w:t xml:space="preserve"> </w:t>
      </w:r>
      <w:r>
        <w:t xml:space="preserve">predominantly small size of its companies, creates less</w:t>
      </w:r>
      <w:r>
        <w:t xml:space="preserve"> </w:t>
      </w:r>
      <w:r>
        <w:t xml:space="preserve">demand for capital market instruments. The use of</w:t>
      </w:r>
      <w:r>
        <w:t xml:space="preserve"> </w:t>
      </w:r>
      <w:r>
        <w:t xml:space="preserve">equity by small and medium-sized enterprises (SMEs)</w:t>
      </w:r>
      <w:r>
        <w:t xml:space="preserve"> </w:t>
      </w:r>
      <w:r>
        <w:t xml:space="preserve">is low, despite 13% of SMEs having indicated in the</w:t>
      </w:r>
      <w:r>
        <w:t xml:space="preserve"> </w:t>
      </w:r>
      <w:r>
        <w:t xml:space="preserve">2024 SAFE survey that equity was relevant for them,</w:t>
      </w:r>
      <w:r>
        <w:t xml:space="preserve"> </w:t>
      </w:r>
      <w:r>
        <w:t xml:space="preserve">compared to an EU average of 11.7%.747</w:t>
      </w:r>
    </w:p>
    <w:p>
      <w:pPr>
        <w:pStyle w:val="BodyText"/>
      </w:pPr>
      <w:r>
        <w:t xml:space="preserve">745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2.19.6: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Maltese households favour holding their financial</w:t>
      </w:r>
      <w:r>
        <w:t xml:space="preserve"> </w:t>
      </w:r>
      <w:r>
        <w:t xml:space="preserve">assets in deposits and bonds. Compared to the EU</w:t>
      </w:r>
      <w:r>
        <w:t xml:space="preserve"> </w:t>
      </w:r>
      <w:r>
        <w:t xml:space="preserve">average, Maltese households keep a much larger share</w:t>
      </w:r>
      <w:r>
        <w:t xml:space="preserve"> </w:t>
      </w:r>
      <w:r>
        <w:t xml:space="preserve">of their assets in currency and deposits as well as bonds</w:t>
      </w:r>
      <w:r>
        <w:t xml:space="preserve"> </w:t>
      </w:r>
      <w:r>
        <w:t xml:space="preserve">(see Graph 2.19.7) than EU average, which suggests a</w:t>
      </w:r>
      <w:r>
        <w:t xml:space="preserve"> </w:t>
      </w:r>
      <w:r>
        <w:t xml:space="preserve">conservative approach to managing wealth. Also, their</w:t>
      </w:r>
      <w:r>
        <w:t xml:space="preserve"> </w:t>
      </w:r>
      <w:r>
        <w:t xml:space="preserve">second largest exposure, around 20%, is in unlisted</w:t>
      </w:r>
      <w:r>
        <w:t xml:space="preserve"> </w:t>
      </w:r>
      <w:r>
        <w:t xml:space="preserve">shares, which indicates presence of private or family-</w:t>
      </w:r>
      <w:r>
        <w:t xml:space="preserve"> </w:t>
      </w:r>
      <w:r>
        <w:t xml:space="preserve">owned businesses. Maltese also keep a smaller part of</w:t>
      </w:r>
      <w:r>
        <w:t xml:space="preserve"> </w:t>
      </w:r>
      <w:r>
        <w:t xml:space="preserve">their financial assets, in comparison to other EU</w:t>
      </w:r>
      <w:r>
        <w:t xml:space="preserve"> </w:t>
      </w:r>
      <w:r>
        <w:t xml:space="preserve">countries, in insurance and pension funds. Two factors</w:t>
      </w:r>
      <w:r>
        <w:t xml:space="preserve"> </w:t>
      </w:r>
      <w:r>
        <w:t xml:space="preserve">explain this outcome. First, despite a large insurance</w:t>
      </w:r>
      <w:r>
        <w:t xml:space="preserve"> </w:t>
      </w:r>
      <w:r>
        <w:t xml:space="preserve">sector, given Malta’s special jurisdictional status, the</w:t>
      </w:r>
      <w:r>
        <w:t xml:space="preserve"> </w:t>
      </w:r>
      <w:r>
        <w:t xml:space="preserve">part of it that is relevant for residents is small. Second,</w:t>
      </w:r>
      <w:r>
        <w:t xml:space="preserve"> </w:t>
      </w:r>
      <w:r>
        <w:t xml:space="preserve">the country does not have second-pilar pension scheme</w:t>
      </w:r>
      <w:r>
        <w:t xml:space="preserve"> </w:t>
      </w:r>
      <w:r>
        <w:t xml:space="preserve">and about 85% of the members of third pillar pension</w:t>
      </w:r>
      <w:r>
        <w:t xml:space="preserve"> </w:t>
      </w:r>
      <w:r>
        <w:t xml:space="preserve">funds are non-residents at the end of 2023, even though</w:t>
      </w:r>
      <w:r>
        <w:t xml:space="preserve"> </w:t>
      </w:r>
      <w:r>
        <w:t xml:space="preserve">the number of domestic participants has risen rapidly</w:t>
      </w:r>
      <w:r>
        <w:t xml:space="preserve"> </w:t>
      </w:r>
      <w:r>
        <w:t xml:space="preserve">since 2019.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746 AFME, CMU Key Performance Indicators, 2023.</w:t>
      </w:r>
      <w:r>
        <w:t xml:space="preserve"> </w:t>
      </w:r>
      <w:r>
        <w:t xml:space="preserve">747 Data and surveys - SAFE - European Commission, 2024,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MT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MALTA SE MSE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3.0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476</w:t>
      </w:r>
      <w:r>
        <w:t xml:space="preserve"> </w:t>
      </w:r>
      <w:r>
        <w:t xml:space="preserve">2.19.7: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End-2023.</w:t>
      </w:r>
      <w:r>
        <w:t xml:space="preserve"> </w:t>
      </w:r>
      <w:r>
        <w:t xml:space="preserve">There is significant scope to increase the level of</w:t>
      </w:r>
      <w:r>
        <w:t xml:space="preserve"> </w:t>
      </w:r>
      <w:r>
        <w:t xml:space="preserve">direct or indirect retail investment in Malta. Cash</w:t>
      </w:r>
      <w:r>
        <w:t xml:space="preserve"> </w:t>
      </w:r>
      <w:r>
        <w:t xml:space="preserve">and deposits represent a much higher share of</w:t>
      </w:r>
      <w:r>
        <w:t xml:space="preserve"> </w:t>
      </w:r>
      <w:r>
        <w:t xml:space="preserve">households’ assets compared to the EU average (51.9%</w:t>
      </w:r>
      <w:r>
        <w:t xml:space="preserve"> </w:t>
      </w:r>
      <w:r>
        <w:t xml:space="preserve">vs 31.7%), which gives an opportunity to develop and</w:t>
      </w:r>
      <w:r>
        <w:t xml:space="preserve"> </w:t>
      </w:r>
      <w:r>
        <w:t xml:space="preserve">use other types of saving and investment options that</w:t>
      </w:r>
      <w:r>
        <w:t xml:space="preserve"> </w:t>
      </w:r>
      <w:r>
        <w:t xml:space="preserve">may bring higher yield.</w:t>
      </w:r>
    </w:p>
    <w:p>
      <w:pPr>
        <w:pStyle w:val="BodyText"/>
      </w:pPr>
      <w:r>
        <w:t xml:space="preserve">1.22 Netherlands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Dutch economy invests the largest part of its</w:t>
      </w:r>
      <w:r>
        <w:t xml:space="preserve"> </w:t>
      </w:r>
      <w:r>
        <w:t xml:space="preserve">relatively high net savings abroad. In the last decade,</w:t>
      </w:r>
      <w:r>
        <w:t xml:space="preserve"> </w:t>
      </w:r>
      <w:r>
        <w:t xml:space="preserve">the private savings ratio, net of fixed capital</w:t>
      </w:r>
      <w:r>
        <w:t xml:space="preserve"> </w:t>
      </w:r>
      <w:r>
        <w:t xml:space="preserve">consumption, persistently fluctuated around its ten-</w:t>
      </w:r>
      <w:r>
        <w:t xml:space="preserve"> </w:t>
      </w:r>
      <w:r>
        <w:t xml:space="preserve">year average of 12.8% of GDP, reaching a maximum</w:t>
      </w:r>
      <w:r>
        <w:t xml:space="preserve"> </w:t>
      </w:r>
      <w:r>
        <w:t xml:space="preserve">of 17.6% in 2021 (see Graph 2.20.1). The net private</w:t>
      </w:r>
      <w:r>
        <w:t xml:space="preserve"> </w:t>
      </w:r>
      <w:r>
        <w:t xml:space="preserve">investment ratio, which measures the net contribution</w:t>
      </w:r>
      <w:r>
        <w:t xml:space="preserve"> </w:t>
      </w:r>
      <w:r>
        <w:t xml:space="preserve">of the private sector to capital accumulation in the</w:t>
      </w:r>
      <w:r>
        <w:t xml:space="preserve"> </w:t>
      </w:r>
      <w:r>
        <w:t xml:space="preserve">country, was significantly more volatile, exhibited a</w:t>
      </w:r>
      <w:r>
        <w:t xml:space="preserve"> </w:t>
      </w:r>
      <w:r>
        <w:t xml:space="preserve">ten-year average of 4.0% of GDP and reached a</w:t>
      </w:r>
      <w:r>
        <w:t xml:space="preserve"> </w:t>
      </w:r>
      <w:r>
        <w:t xml:space="preserve">maximum of 8.3% in 2015. In the last decade, the</w:t>
      </w:r>
      <w:r>
        <w:t xml:space="preserve"> </w:t>
      </w:r>
      <w:r>
        <w:t xml:space="preserve">government budget balance, which showed quite some</w:t>
      </w:r>
      <w:r>
        <w:t xml:space="preserve"> </w:t>
      </w:r>
      <w:r>
        <w:t xml:space="preserve">volatility, resulted in a comparatively low average</w:t>
      </w:r>
      <w:r>
        <w:t xml:space="preserve"> </w:t>
      </w:r>
      <w:r>
        <w:t xml:space="preserve">deficit of 0.4% of GDP. Thus, the high positive balance</w:t>
      </w:r>
      <w:r>
        <w:t xml:space="preserve"> </w:t>
      </w:r>
      <w:r>
        <w:t xml:space="preserve">between net domestic savings and net investment,</w:t>
      </w:r>
      <w:r>
        <w:t xml:space="preserve"> </w:t>
      </w:r>
      <w:r>
        <w:t xml:space="preserve">together with the low government deficit, led to a</w:t>
      </w:r>
      <w:r>
        <w:t xml:space="preserve"> </w:t>
      </w:r>
      <w:r>
        <w:t xml:space="preserve">structurally high net lending by the Dutch economy to</w:t>
      </w:r>
      <w:r>
        <w:t xml:space="preserve"> </w:t>
      </w:r>
      <w:r>
        <w:t xml:space="preserve">foreigners that averaged 8.4% of GDP, with an</w:t>
      </w:r>
      <w:r>
        <w:t xml:space="preserve"> </w:t>
      </w:r>
      <w:r>
        <w:t xml:space="preserve">exceptional peak of 17.2% in 2022, due to a capital</w:t>
      </w:r>
      <w:r>
        <w:t xml:space="preserve"> </w:t>
      </w:r>
      <w:r>
        <w:t xml:space="preserve">account inflow triggered by the sale of intellectual</w:t>
      </w:r>
      <w:r>
        <w:t xml:space="preserve"> </w:t>
      </w:r>
      <w:r>
        <w:t xml:space="preserve">property rights for about EUR 90 bn. Hence, most of</w:t>
      </w:r>
      <w:r>
        <w:t xml:space="preserve"> </w:t>
      </w:r>
      <w:r>
        <w:t xml:space="preserve">Dutch net savings, i.e. after accounting for the</w:t>
      </w:r>
      <w:r>
        <w:t xml:space="preserve"> </w:t>
      </w:r>
      <w:r>
        <w:t xml:space="preserve">investments that are necessary to merely maintain the</w:t>
      </w:r>
      <w:r>
        <w:t xml:space="preserve"> </w:t>
      </w:r>
      <w:r>
        <w:t xml:space="preserve">existing capital stock in the economy, are used to</w:t>
      </w:r>
      <w:r>
        <w:t xml:space="preserve"> </w:t>
      </w:r>
      <w:r>
        <w:t xml:space="preserve">finance projects abroad.</w:t>
      </w:r>
      <w:r>
        <w:t xml:space="preserve"> </w:t>
      </w:r>
      <w:r>
        <w:t xml:space="preserve">1.22.1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Consistent with its regular position of a net creditor</w:t>
      </w:r>
      <w:r>
        <w:t xml:space="preserve"> </w:t>
      </w:r>
      <w:r>
        <w:t xml:space="preserve">to the rest of the world, the Dutch economy has</w:t>
      </w:r>
      <w:r>
        <w:t xml:space="preserve"> </w:t>
      </w:r>
      <w:r>
        <w:t xml:space="preserve">accumulated significant foreign assets and shows a</w:t>
      </w:r>
      <w:r>
        <w:t xml:space="preserve"> </w:t>
      </w:r>
      <w:r>
        <w:t xml:space="preserve">positive net international investment position. As of</w:t>
      </w:r>
      <w:r>
        <w:t xml:space="preserve"> </w:t>
      </w:r>
      <w:r>
        <w:t xml:space="preserve">end-2024, total assets on foreigners equated to 840% of</w:t>
      </w:r>
      <w:r>
        <w:t xml:space="preserve"> </w:t>
      </w:r>
      <w:r>
        <w:t xml:space="preserve">GDP, while liabilities to foreigners stood at 777% of</w:t>
      </w:r>
      <w:r>
        <w:t xml:space="preserve"> </w:t>
      </w:r>
      <w:r>
        <w:t xml:space="preserve">GDP, resulting in a net international investment</w:t>
      </w:r>
      <w:r>
        <w:t xml:space="preserve"> </w:t>
      </w:r>
      <w:r>
        <w:t xml:space="preserve">position (NIIP) equivalent to 63% of GDP (see Graph</w:t>
      </w:r>
      <w:r>
        <w:t xml:space="preserve"> </w:t>
      </w:r>
      <w:r>
        <w:t xml:space="preserve">2.20.2). At the same time, the accumulated net foreign</w:t>
      </w:r>
      <w:r>
        <w:t xml:space="preserve"> </w:t>
      </w:r>
      <w:r>
        <w:t xml:space="preserve">direct investment reached 70% of GDP, while the net</w:t>
      </w:r>
      <w:r>
        <w:t xml:space="preserve"> </w:t>
      </w:r>
      <w:r>
        <w:t xml:space="preserve">stock of other investments rose to 35% of GDP. Due to</w:t>
      </w:r>
      <w:r>
        <w:t xml:space="preserve"> </w:t>
      </w:r>
      <w:r>
        <w:t xml:space="preserve">the higher value of foreigners’ investments in the</w:t>
      </w:r>
      <w:r>
        <w:t xml:space="preserve"> </w:t>
      </w:r>
      <w:r>
        <w:t xml:space="preserve">Dutch capital markets than Dutch portfolio investments</w:t>
      </w:r>
      <w:r>
        <w:t xml:space="preserve"> </w:t>
      </w:r>
      <w:r>
        <w:t xml:space="preserve">abroad, the portfolio balance showed a net liability</w:t>
      </w:r>
      <w:r>
        <w:t xml:space="preserve"> </w:t>
      </w:r>
      <w:r>
        <w:t xml:space="preserve">equivalent to 49% of GDP as of end-2024. The stock</w:t>
      </w:r>
      <w:r>
        <w:t xml:space="preserve"> </w:t>
      </w:r>
      <w:r>
        <w:t xml:space="preserve">of official foreign exchange reserves contributed</w:t>
      </w:r>
      <w:r>
        <w:t xml:space="preserve"> </w:t>
      </w:r>
      <w:r>
        <w:t xml:space="preserve">almost 7 percentage points of GDP to the aggregate</w:t>
      </w:r>
      <w:r>
        <w:t xml:space="preserve"> </w:t>
      </w:r>
      <w:r>
        <w:t xml:space="preserve">positive NIIP. Thus, while the Dutch economy appears</w:t>
      </w:r>
      <w:r>
        <w:t xml:space="preserve"> </w:t>
      </w:r>
      <w:r>
        <w:t xml:space="preserve">to be deeply integrated in international capital flows,</w:t>
      </w:r>
      <w:r>
        <w:t xml:space="preserve"> </w:t>
      </w:r>
      <w:r>
        <w:t xml:space="preserve">including as a major recipient of foreign capital, it</w:t>
      </w:r>
      <w:r>
        <w:t xml:space="preserve"> </w:t>
      </w:r>
      <w:r>
        <w:t xml:space="preserve">remains nevertheless a net capital exporter, notably by</w:t>
      </w:r>
      <w:r>
        <w:t xml:space="preserve"> </w:t>
      </w:r>
      <w:r>
        <w:t xml:space="preserve">means of direct and other investments abroad.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MT</w:t>
      </w:r>
      <w:r>
        <w:t xml:space="preserve"> </w:t>
      </w:r>
      <w:r>
        <w:t xml:space="preserve">EU</w:t>
      </w:r>
      <w:r>
        <w:t xml:space="preserve"> </w:t>
      </w:r>
      <w:r>
        <w:t xml:space="preserve">MT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-20</w:t>
      </w:r>
      <w:r>
        <w:t xml:space="preserve"> </w:t>
      </w:r>
      <w:r>
        <w:t xml:space="preserve">-10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477</w:t>
      </w:r>
      <w:r>
        <w:t xml:space="preserve"> </w:t>
      </w:r>
      <w:r>
        <w:t xml:space="preserve">1.22.2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and size of the financial sector</w:t>
      </w:r>
      <w:r>
        <w:t xml:space="preserve"> </w:t>
      </w:r>
      <w:r>
        <w:t xml:space="preserve">The Dutch economy stands out with one of the</w:t>
      </w:r>
      <w:r>
        <w:t xml:space="preserve"> </w:t>
      </w:r>
      <w:r>
        <w:t xml:space="preserve">deepest domestic capital markets in Europe. Based</w:t>
      </w:r>
      <w:r>
        <w:t xml:space="preserve"> </w:t>
      </w:r>
      <w:r>
        <w:t xml:space="preserve">on ECB data, the market capitalisation of listed equity</w:t>
      </w:r>
      <w:r>
        <w:t xml:space="preserve"> </w:t>
      </w:r>
      <w:r>
        <w:t xml:space="preserve">issued by Dutch companies748 reached 122% of GDP at</w:t>
      </w:r>
      <w:r>
        <w:t xml:space="preserve"> </w:t>
      </w:r>
      <w:r>
        <w:t xml:space="preserve">end-2024 (see Graph 2.20.3), which is the fourth</w:t>
      </w:r>
      <w:r>
        <w:t xml:space="preserve"> </w:t>
      </w:r>
      <w:r>
        <w:t xml:space="preserve">highest among member states, after Ireland, Denmark</w:t>
      </w:r>
      <w:r>
        <w:t xml:space="preserve"> </w:t>
      </w:r>
      <w:r>
        <w:t xml:space="preserve">and Sweden. Characteristically, the total market</w:t>
      </w:r>
      <w:r>
        <w:t xml:space="preserve"> </w:t>
      </w:r>
      <w:r>
        <w:t xml:space="preserve">capitalisation is split almost equally between non-</w:t>
      </w:r>
      <w:r>
        <w:t xml:space="preserve"> </w:t>
      </w:r>
      <w:r>
        <w:t xml:space="preserve">financial and financial corporations, which reflects the</w:t>
      </w:r>
      <w:r>
        <w:t xml:space="preserve"> </w:t>
      </w:r>
      <w:r>
        <w:t xml:space="preserve">strong role that finance plays in the Dutch economy.</w:t>
      </w:r>
      <w:r>
        <w:t xml:space="preserve"> </w:t>
      </w:r>
      <w:r>
        <w:t xml:space="preserve">Interestingly, while the general stock market index in</w:t>
      </w:r>
      <w:r>
        <w:t xml:space="preserve"> </w:t>
      </w:r>
      <w:r>
        <w:t xml:space="preserve">the Netherlands surpassed the EU average, the index of</w:t>
      </w:r>
      <w:r>
        <w:t xml:space="preserve"> </w:t>
      </w:r>
      <w:r>
        <w:t xml:space="preserve">Dutch banks plummeted and never recovered from the</w:t>
      </w:r>
      <w:r>
        <w:t xml:space="preserve"> </w:t>
      </w:r>
      <w:r>
        <w:t xml:space="preserve">post-GFC crash (see Graph 2.20.4). The Netherlands</w:t>
      </w:r>
      <w:r>
        <w:t xml:space="preserve"> </w:t>
      </w:r>
      <w:r>
        <w:t xml:space="preserve">are also home to the ICE Endex, which is a leading</w:t>
      </w:r>
      <w:r>
        <w:t xml:space="preserve"> </w:t>
      </w:r>
      <w:r>
        <w:t xml:space="preserve">energy exchange in continental Europe, including for</w:t>
      </w:r>
      <w:r>
        <w:t xml:space="preserve"> </w:t>
      </w:r>
      <w:r>
        <w:t xml:space="preserve">TTF derivatives and EU emission allowances.749</w:t>
      </w:r>
      <w:r>
        <w:t xml:space="preserve"> </w:t>
      </w:r>
      <w:r>
        <w:t xml:space="preserve">The outstanding volume of debt securities reached</w:t>
      </w:r>
      <w:r>
        <w:t xml:space="preserve"> </w:t>
      </w:r>
      <w:r>
        <w:t xml:space="preserve">193% of GDP at end-2024, which is also among the</w:t>
      </w:r>
      <w:r>
        <w:t xml:space="preserve"> </w:t>
      </w:r>
      <w:r>
        <w:t xml:space="preserve">most sizable national debt markets in the EU. Bonds</w:t>
      </w:r>
      <w:r>
        <w:t xml:space="preserve"> </w:t>
      </w:r>
      <w:r>
        <w:t xml:space="preserve">issued by other financial institutions that are neither</w:t>
      </w:r>
      <w:r>
        <w:t xml:space="preserve"> </w:t>
      </w:r>
      <w:r>
        <w:t xml:space="preserve">banks nor pension funds or insurance corporations</w:t>
      </w:r>
      <w:r>
        <w:t xml:space="preserve"> </w:t>
      </w:r>
      <w:r>
        <w:t xml:space="preserve">represented the highest share with 47% of the total,</w:t>
      </w:r>
      <w:r>
        <w:t xml:space="preserve"> </w:t>
      </w:r>
      <w:r>
        <w:t xml:space="preserve">followed by debt securities issued by banks (26%) and</w:t>
      </w:r>
      <w:r>
        <w:t xml:space="preserve"> </w:t>
      </w:r>
      <w:r>
        <w:t xml:space="preserve">by the government (18%). The structure of the debt</w:t>
      </w:r>
      <w:r>
        <w:t xml:space="preserve"> </w:t>
      </w:r>
      <w:r>
        <w:t xml:space="preserve">securities market in the Netherlands has been relatively</w:t>
      </w:r>
      <w:r>
        <w:t xml:space="preserve"> </w:t>
      </w:r>
      <w:r>
        <w:t xml:space="preserve">stable over the last years, except for bonds issued by</w:t>
      </w:r>
    </w:p>
    <w:p>
      <w:pPr>
        <w:pStyle w:val="BodyText"/>
      </w:pPr>
      <w:r>
        <w:t xml:space="preserve">748 This figure is a proxy for the degree of development of the Dutch</w:t>
      </w:r>
      <w:r>
        <w:t xml:space="preserve"> </w:t>
      </w:r>
      <w:r>
        <w:t xml:space="preserve">stock exchange, given that i) Dutch companies could be listed</w:t>
      </w:r>
      <w:r>
        <w:t xml:space="preserve"> </w:t>
      </w:r>
      <w:r>
        <w:t xml:space="preserve">abroad and ii) foreign companies could be listed in the</w:t>
      </w:r>
      <w:r>
        <w:t xml:space="preserve"> </w:t>
      </w:r>
      <w:r>
        <w:t xml:space="preserve">Netherlands as well.</w:t>
      </w:r>
      <w:r>
        <w:t xml:space="preserve"> </w:t>
      </w:r>
      <w:r>
        <w:t xml:space="preserve">749 Fore further details, consult the ICE Endex institutional website.</w:t>
      </w:r>
      <w:r>
        <w:t xml:space="preserve"> </w:t>
      </w:r>
      <w:r>
        <w:t xml:space="preserve">750 The Dutch pension funds sector, where occupational pension</w:t>
      </w:r>
      <w:r>
        <w:t xml:space="preserve"> </w:t>
      </w:r>
      <w:r>
        <w:t xml:space="preserve">providers are set up under the IORP Directive, unlike in</w:t>
      </w:r>
      <w:r>
        <w:t xml:space="preserve"> </w:t>
      </w:r>
      <w:r>
        <w:t xml:space="preserve">non-financial corporations, the share of which</w:t>
      </w:r>
      <w:r>
        <w:t xml:space="preserve"> </w:t>
      </w:r>
      <w:r>
        <w:t xml:space="preserve">increased from 8% to 10% of the total.</w:t>
      </w:r>
      <w:r>
        <w:t xml:space="preserve"> </w:t>
      </w:r>
      <w:r>
        <w:t xml:space="preserve">1.22.3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End-2023.</w:t>
      </w:r>
      <w:r>
        <w:t xml:space="preserve"> </w:t>
      </w:r>
      <w:r>
        <w:t xml:space="preserve">Even though the financial sector in the Netherlands</w:t>
      </w:r>
      <w:r>
        <w:t xml:space="preserve"> </w:t>
      </w:r>
      <w:r>
        <w:t xml:space="preserve">remains dominated by banks, non-bank financial</w:t>
      </w:r>
      <w:r>
        <w:t xml:space="preserve"> </w:t>
      </w:r>
      <w:r>
        <w:t xml:space="preserve">intermediation is very much developed along all</w:t>
      </w:r>
      <w:r>
        <w:t xml:space="preserve"> </w:t>
      </w:r>
      <w:r>
        <w:t xml:space="preserve">segments. After peaking at 311% of GDP in 2020, the</w:t>
      </w:r>
      <w:r>
        <w:t xml:space="preserve"> </w:t>
      </w:r>
      <w:r>
        <w:t xml:space="preserve">size of the banking sector decreased to 250% of GDP</w:t>
      </w:r>
      <w:r>
        <w:t xml:space="preserve"> </w:t>
      </w:r>
      <w:r>
        <w:t xml:space="preserve">as of end-2024, which is in line with the EU average of</w:t>
      </w:r>
      <w:r>
        <w:t xml:space="preserve"> </w:t>
      </w:r>
      <w:r>
        <w:t xml:space="preserve">251% and slightly below the EA average of 268%.</w:t>
      </w:r>
      <w:r>
        <w:t xml:space="preserve"> </w:t>
      </w:r>
      <w:r>
        <w:t xml:space="preserve">Foreign presence is limited and accounts for about 10%</w:t>
      </w:r>
      <w:r>
        <w:t xml:space="preserve"> </w:t>
      </w:r>
      <w:r>
        <w:t xml:space="preserve">in terms of assets. With the top five MFIs representing</w:t>
      </w:r>
      <w:r>
        <w:t xml:space="preserve"> </w:t>
      </w:r>
      <w:r>
        <w:t xml:space="preserve">81% of the sector, banking concentration appears to be</w:t>
      </w:r>
      <w:r>
        <w:t xml:space="preserve"> </w:t>
      </w:r>
      <w:r>
        <w:t xml:space="preserve">significantly higher than the EU average of 51%, which</w:t>
      </w:r>
      <w:r>
        <w:t xml:space="preserve"> </w:t>
      </w:r>
      <w:r>
        <w:t xml:space="preserve">is also reflected in significantly lower inter-bank</w:t>
      </w:r>
      <w:r>
        <w:t xml:space="preserve"> </w:t>
      </w:r>
      <w:r>
        <w:t xml:space="preserve">lending in the Netherlands than elsewhere in the EU.</w:t>
      </w:r>
      <w:r>
        <w:t xml:space="preserve"> </w:t>
      </w:r>
      <w:r>
        <w:t xml:space="preserve">The pension funds sector, with total assets of 152% of</w:t>
      </w:r>
      <w:r>
        <w:t xml:space="preserve"> </w:t>
      </w:r>
      <w:r>
        <w:t xml:space="preserve">GDP at end-2024, dominates non-bank intermediation</w:t>
      </w:r>
      <w:r>
        <w:t xml:space="preserve"> </w:t>
      </w:r>
      <w:r>
        <w:t xml:space="preserve">and, together with Denmark, is among the largest750 in</w:t>
      </w:r>
      <w:r>
        <w:t xml:space="preserve"> </w:t>
      </w:r>
      <w:r>
        <w:t xml:space="preserve">the EU (see Graph 2.20.3). Investment funds, though</w:t>
      </w:r>
      <w:r>
        <w:t xml:space="preserve"> </w:t>
      </w:r>
      <w:r>
        <w:t xml:space="preserve">their total assets dropped by almost 50 percentage</w:t>
      </w:r>
      <w:r>
        <w:t xml:space="preserve"> </w:t>
      </w:r>
      <w:r>
        <w:t xml:space="preserve">points to 82% of GDP between 2020 and 2024, remain</w:t>
      </w:r>
      <w:r>
        <w:t xml:space="preserve"> </w:t>
      </w:r>
      <w:r>
        <w:t xml:space="preserve">significant. Insurance corporations, whose assets were</w:t>
      </w:r>
      <w:r>
        <w:t xml:space="preserve"> </w:t>
      </w:r>
      <w:r>
        <w:t xml:space="preserve">equivalent to 40% of GDP as of end-2024, are relevant</w:t>
      </w:r>
      <w:r>
        <w:t xml:space="preserve"> </w:t>
      </w:r>
      <w:r>
        <w:t xml:space="preserve">as well, even if they appear less developed than the EU</w:t>
      </w:r>
      <w:r>
        <w:t xml:space="preserve"> </w:t>
      </w:r>
      <w:r>
        <w:t xml:space="preserve">average of 55% of GDP.</w:t>
      </w:r>
      <w:r>
        <w:t xml:space="preserve"> </w:t>
      </w:r>
      <w:r>
        <w:t xml:space="preserve">Denmark where they are set up under the Solvency II Directive,</w:t>
      </w:r>
      <w:r>
        <w:t xml:space="preserve"> </w:t>
      </w:r>
      <w:r>
        <w:t xml:space="preserve">is sometimes reported as the fifth largest in the world. Such a</w:t>
      </w:r>
      <w:r>
        <w:t xml:space="preserve"> </w:t>
      </w:r>
      <w:r>
        <w:t xml:space="preserve">country comparison is, however, highly inaccurate because of</w:t>
      </w:r>
      <w:r>
        <w:t xml:space="preserve"> </w:t>
      </w:r>
      <w:r>
        <w:t xml:space="preserve">important structural differences in contributors’ ownership</w:t>
      </w:r>
      <w:r>
        <w:t xml:space="preserve"> </w:t>
      </w:r>
      <w:r>
        <w:t xml:space="preserve">rights across national regimes.</w:t>
      </w:r>
      <w:r>
        <w:br/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-1500</w:t>
      </w:r>
      <w:r>
        <w:t xml:space="preserve"> </w:t>
      </w:r>
      <w:r>
        <w:t xml:space="preserve">-1000</w:t>
      </w:r>
      <w:r>
        <w:t xml:space="preserve"> </w:t>
      </w:r>
      <w:r>
        <w:t xml:space="preserve">-500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478</w:t>
      </w:r>
      <w:r>
        <w:t xml:space="preserve"> </w:t>
      </w:r>
      <w:r>
        <w:t xml:space="preserve">1.22.4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Group751.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Dutch capital markets, which offer a high</w:t>
      </w:r>
      <w:r>
        <w:t xml:space="preserve"> </w:t>
      </w:r>
      <w:r>
        <w:t xml:space="preserve">investment protection environment752, experienced</w:t>
      </w:r>
      <w:r>
        <w:t xml:space="preserve"> </w:t>
      </w:r>
      <w:r>
        <w:t xml:space="preserve">positive developments, and investors continue to be</w:t>
      </w:r>
      <w:r>
        <w:t xml:space="preserve"> </w:t>
      </w:r>
      <w:r>
        <w:t xml:space="preserve">optimistic about the future. Between December 2022</w:t>
      </w:r>
      <w:r>
        <w:t xml:space="preserve"> </w:t>
      </w:r>
      <w:r>
        <w:t xml:space="preserve">and mid-September 2025, the Amsterdam Exchange</w:t>
      </w:r>
      <w:r>
        <w:t xml:space="preserve"> </w:t>
      </w:r>
      <w:r>
        <w:t xml:space="preserve">Index (AEX) increased by 32.8%, mainly thanks to</w:t>
      </w:r>
      <w:r>
        <w:t xml:space="preserve"> </w:t>
      </w:r>
      <w:r>
        <w:t xml:space="preserve">improved valuations of technology companies753 and</w:t>
      </w:r>
      <w:r>
        <w:t xml:space="preserve"> </w:t>
      </w:r>
      <w:r>
        <w:t xml:space="preserve">high AI expectations. So far capital markets have</w:t>
      </w:r>
      <w:r>
        <w:t xml:space="preserve"> </w:t>
      </w:r>
      <w:r>
        <w:t xml:space="preserve">weathered well the global geopolitical turmoil</w:t>
      </w:r>
      <w:r>
        <w:t xml:space="preserve"> </w:t>
      </w:r>
      <w:r>
        <w:t xml:space="preserve">generated by the Gaza conflict and the energy crisis.</w:t>
      </w:r>
      <w:r>
        <w:t xml:space="preserve"> </w:t>
      </w:r>
      <w:r>
        <w:t xml:space="preserve">However,</w:t>
      </w:r>
      <w:r>
        <w:t xml:space="preserve"> </w:t>
      </w:r>
      <w:r>
        <w:t xml:space="preserve">risks</w:t>
      </w:r>
      <w:r>
        <w:t xml:space="preserve"> </w:t>
      </w:r>
      <w:r>
        <w:t xml:space="preserve">still</w:t>
      </w:r>
      <w:r>
        <w:t xml:space="preserve"> </w:t>
      </w:r>
      <w:r>
        <w:t xml:space="preserve">exist,</w:t>
      </w:r>
      <w:r>
        <w:t xml:space="preserve"> </w:t>
      </w:r>
      <w:r>
        <w:t xml:space="preserve">and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interconnectedness of markets and the increased</w:t>
      </w:r>
      <w:r>
        <w:t xml:space="preserve"> </w:t>
      </w:r>
      <w:r>
        <w:t xml:space="preserve">trading of crypto assets warrant cautiousness.</w:t>
      </w:r>
      <w:r>
        <w:t xml:space="preserve"> </w:t>
      </w:r>
      <w:r>
        <w:t xml:space="preserve">Debt finance continues to be a significant source of</w:t>
      </w:r>
      <w:r>
        <w:t xml:space="preserve"> </w:t>
      </w:r>
      <w:r>
        <w:t xml:space="preserve">market funding for banks and financial companies</w:t>
      </w:r>
      <w:r>
        <w:t xml:space="preserve"> </w:t>
      </w:r>
      <w:r>
        <w:t xml:space="preserve">in the Netherlands. In the first quarter of 2025, banks</w:t>
      </w:r>
      <w:r>
        <w:t xml:space="preserve"> </w:t>
      </w:r>
      <w:r>
        <w:t xml:space="preserve">issued almost EUR 35 bn of debt securities, which</w:t>
      </w:r>
      <w:r>
        <w:t xml:space="preserve"> </w:t>
      </w:r>
      <w:r>
        <w:t xml:space="preserve">compares favourably to only EUR 8 bn for the whole</w:t>
      </w:r>
      <w:r>
        <w:t xml:space="preserve"> </w:t>
      </w:r>
      <w:r>
        <w:t xml:space="preserve">of 2024 (see Graph 2.20.5). The other financial</w:t>
      </w:r>
      <w:r>
        <w:t xml:space="preserve"> </w:t>
      </w:r>
      <w:r>
        <w:t xml:space="preserve">companies issued EUR 7.3 bn in Q1 2025, in line with</w:t>
      </w:r>
      <w:r>
        <w:t xml:space="preserve"> </w:t>
      </w:r>
      <w:r>
        <w:t xml:space="preserve">the 2024 total of EUR 38 bn. The net issuance by non-</w:t>
      </w:r>
      <w:r>
        <w:t xml:space="preserve"> </w:t>
      </w:r>
      <w:r>
        <w:t xml:space="preserve">financial corporations turned out negative, at – EUR</w:t>
      </w:r>
      <w:r>
        <w:t xml:space="preserve"> </w:t>
      </w:r>
      <w:r>
        <w:t xml:space="preserve">1.7 bn in Q1 2025, consistent with the 2024 negative</w:t>
      </w:r>
      <w:r>
        <w:t xml:space="preserve"> </w:t>
      </w:r>
      <w:r>
        <w:t xml:space="preserve">total and the relatively low positive volumes from</w:t>
      </w:r>
      <w:r>
        <w:t xml:space="preserve"> </w:t>
      </w:r>
      <w:r>
        <w:t xml:space="preserve">previous years. Hence, debt market finance appears as</w:t>
      </w:r>
    </w:p>
    <w:p>
      <w:pPr>
        <w:pStyle w:val="BodyText"/>
      </w:pPr>
      <w:r>
        <w:t xml:space="preserve">751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a minor source of funding for Dutch non-financial</w:t>
      </w:r>
      <w:r>
        <w:t xml:space="preserve"> </w:t>
      </w:r>
      <w:r>
        <w:t xml:space="preserve">corporations.</w:t>
      </w:r>
      <w:r>
        <w:t xml:space="preserve"> </w:t>
      </w:r>
      <w:r>
        <w:t xml:space="preserve">1.22.5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Companies’ funding and households’ assets</w:t>
      </w:r>
      <w:r>
        <w:t xml:space="preserve"> </w:t>
      </w:r>
      <w:r>
        <w:t xml:space="preserve">Even though Dutch companies are more indebted</w:t>
      </w:r>
      <w:r>
        <w:t xml:space="preserve"> </w:t>
      </w:r>
      <w:r>
        <w:t xml:space="preserve">than their EU peers on average, they rely relatively</w:t>
      </w:r>
      <w:r>
        <w:t xml:space="preserve"> </w:t>
      </w:r>
      <w:r>
        <w:t xml:space="preserve">moderately on debt finance to fund their activities.</w:t>
      </w:r>
      <w:r>
        <w:t xml:space="preserve"> </w:t>
      </w:r>
      <w:r>
        <w:t xml:space="preserve">Financial borrowing by non-financial corporations</w:t>
      </w:r>
      <w:r>
        <w:t xml:space="preserve"> </w:t>
      </w:r>
      <w:r>
        <w:t xml:space="preserve">(NFCs) in the Netherlands reached 108.6% of GDP in</w:t>
      </w:r>
      <w:r>
        <w:t xml:space="preserve"> </w:t>
      </w:r>
      <w:r>
        <w:t xml:space="preserve">2024, which is significantly higher than the EU average</w:t>
      </w:r>
      <w:r>
        <w:t xml:space="preserve"> </w:t>
      </w:r>
      <w:r>
        <w:t xml:space="preserve">of 71.6% (see Graph 2.20.6). However, given the</w:t>
      </w:r>
      <w:r>
        <w:t xml:space="preserve"> </w:t>
      </w:r>
      <w:r>
        <w:t xml:space="preserve">overall much larger size of the aggregate balance sheet</w:t>
      </w:r>
      <w:r>
        <w:t xml:space="preserve"> </w:t>
      </w:r>
      <w:r>
        <w:t xml:space="preserve">of Dutch NFCs, which reached 352.6% of GDP at end-</w:t>
      </w:r>
      <w:r>
        <w:t xml:space="preserve"> </w:t>
      </w:r>
      <w:r>
        <w:t xml:space="preserve">2024 (versus an EU average of 225.6%), the relative</w:t>
      </w:r>
      <w:r>
        <w:t xml:space="preserve"> </w:t>
      </w:r>
      <w:r>
        <w:t xml:space="preserve">share of financial loans in their funding structure</w:t>
      </w:r>
      <w:r>
        <w:t xml:space="preserve"> </w:t>
      </w:r>
      <w:r>
        <w:t xml:space="preserve">(30.8%) is slightly lower than the EU average (31.7%).</w:t>
      </w:r>
      <w:r>
        <w:t xml:space="preserve"> </w:t>
      </w:r>
      <w:r>
        <w:t xml:space="preserve">To fund their investments, Dutch companies rely on</w:t>
      </w:r>
      <w:r>
        <w:t xml:space="preserve"> </w:t>
      </w:r>
      <w:r>
        <w:t xml:space="preserve">internal resources more than their EU peers, which</w:t>
      </w:r>
      <w:r>
        <w:t xml:space="preserve"> </w:t>
      </w:r>
      <w:r>
        <w:t xml:space="preserve">is also confirmed by the high aggregate reliance on</w:t>
      </w:r>
      <w:r>
        <w:t xml:space="preserve"> </w:t>
      </w:r>
      <w:r>
        <w:t xml:space="preserve">unlisted equity. In 2023, Dutch NFCs financed almost</w:t>
      </w:r>
      <w:r>
        <w:t xml:space="preserve"> </w:t>
      </w:r>
      <w:r>
        <w:t xml:space="preserve">four fifths (78%) of their investments with internal</w:t>
      </w:r>
      <w:r>
        <w:t xml:space="preserve"> </w:t>
      </w:r>
      <w:r>
        <w:t xml:space="preserve">resources, well above the two thirds (66%) equivalent</w:t>
      </w:r>
      <w:r>
        <w:t xml:space="preserve"> </w:t>
      </w:r>
      <w:r>
        <w:t xml:space="preserve">share of the average EU company. At the same time,</w:t>
      </w:r>
      <w:r>
        <w:t xml:space="preserve"> </w:t>
      </w:r>
      <w:r>
        <w:t xml:space="preserve">only 8% of companies in the Netherlands believe they</w:t>
      </w:r>
      <w:r>
        <w:t xml:space="preserve"> </w:t>
      </w:r>
      <w:r>
        <w:t xml:space="preserve">invested too little in the last three years, as opposed to</w:t>
      </w:r>
      <w:r>
        <w:t xml:space="preserve"> </w:t>
      </w:r>
      <w:r>
        <w:t xml:space="preserve">14% in the EU.754 This suggests that there is a low</w:t>
      </w:r>
      <w:r>
        <w:t xml:space="preserve"> </w:t>
      </w:r>
      <w:r>
        <w:t xml:space="preserve">overall investment gap. However, this may not be the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752 According to the Overview of CMU Indicators, the investment</w:t>
      </w:r>
      <w:r>
        <w:t xml:space="preserve"> </w:t>
      </w:r>
      <w:r>
        <w:t xml:space="preserve">protection index for the Netherlands stood at 68 in 2024, versus</w:t>
      </w:r>
      <w:r>
        <w:t xml:space="preserve"> </w:t>
      </w:r>
      <w:r>
        <w:t xml:space="preserve">an EU average of 54.</w:t>
      </w:r>
      <w:r>
        <w:t xml:space="preserve"> </w:t>
      </w:r>
      <w:r>
        <w:t xml:space="preserve">753 The Amsterdam stock market is home to several tech companies,</w:t>
      </w:r>
      <w:r>
        <w:t xml:space="preserve"> </w:t>
      </w:r>
      <w:r>
        <w:t xml:space="preserve">specialised in semi-conductors and science materials, e.g. </w:t>
      </w:r>
      <w:r>
        <w:t xml:space="preserve"> </w:t>
      </w:r>
      <w:r>
        <w:t xml:space="preserve">ASML Holding, BE Semiconductor Industries, and ASM</w:t>
      </w:r>
      <w:r>
        <w:t xml:space="preserve"> </w:t>
      </w:r>
      <w:r>
        <w:t xml:space="preserve">International. Techs account for about one third of the total</w:t>
      </w:r>
      <w:r>
        <w:t xml:space="preserve"> </w:t>
      </w:r>
      <w:r>
        <w:t xml:space="preserve">market capitalisation of the 25 companies that compose the</w:t>
      </w:r>
      <w:r>
        <w:t xml:space="preserve"> </w:t>
      </w:r>
      <w:r>
        <w:t xml:space="preserve">AEX.</w:t>
      </w:r>
      <w:r>
        <w:t xml:space="preserve"> </w:t>
      </w:r>
      <w:r>
        <w:t xml:space="preserve">754 For further details, see the 2024 EIB Investment Survey.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NL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AEX INDEX (AEX)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-60.0</w:t>
      </w:r>
      <w:r>
        <w:t xml:space="preserve"> </w:t>
      </w:r>
      <w:r>
        <w:t xml:space="preserve">-40.0</w:t>
      </w:r>
      <w:r>
        <w:t xml:space="preserve"> </w:t>
      </w:r>
      <w:r>
        <w:t xml:space="preserve">-20.0</w:t>
      </w:r>
      <w:r>
        <w:t xml:space="preserve"> </w:t>
      </w:r>
      <w:r>
        <w:t xml:space="preserve">0.0</w:t>
      </w:r>
      <w:r>
        <w:t xml:space="preserve"> </w:t>
      </w:r>
      <w:r>
        <w:t xml:space="preserve">20.0</w:t>
      </w:r>
      <w:r>
        <w:t xml:space="preserve"> </w:t>
      </w:r>
      <w:r>
        <w:t xml:space="preserve">40.0</w:t>
      </w:r>
      <w:r>
        <w:t xml:space="preserve"> </w:t>
      </w:r>
      <w:r>
        <w:t xml:space="preserve">60.0</w:t>
      </w:r>
      <w:r>
        <w:t xml:space="preserve"> </w:t>
      </w:r>
      <w:r>
        <w:t xml:space="preserve">80.0</w:t>
      </w:r>
      <w:r>
        <w:t xml:space="preserve"> </w:t>
      </w:r>
      <w:r>
        <w:t xml:space="preserve">100.0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479</w:t>
      </w:r>
      <w:r>
        <w:t xml:space="preserve"> </w:t>
      </w:r>
      <w:r>
        <w:t xml:space="preserve">case for all firms, especially for the 4% of companies</w:t>
      </w:r>
      <w:r>
        <w:t xml:space="preserve"> </w:t>
      </w:r>
      <w:r>
        <w:t xml:space="preserve">that consider themselves financially constrained.</w:t>
      </w:r>
      <w:r>
        <w:t xml:space="preserve"> </w:t>
      </w:r>
      <w:r>
        <w:t xml:space="preserve">1.22.6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Thanks to their large and mandatory contributions</w:t>
      </w:r>
      <w:r>
        <w:t xml:space="preserve"> </w:t>
      </w:r>
      <w:r>
        <w:t xml:space="preserve">to asset-backed pension schemes, Dutch households</w:t>
      </w:r>
      <w:r>
        <w:t xml:space="preserve"> </w:t>
      </w:r>
      <w:r>
        <w:t xml:space="preserve">hold high volumes of financial assets. As of end-</w:t>
      </w:r>
      <w:r>
        <w:t xml:space="preserve"> </w:t>
      </w:r>
      <w:r>
        <w:t xml:space="preserve">2024, households’ aggregate financial assets equated to</w:t>
      </w:r>
      <w:r>
        <w:t xml:space="preserve"> </w:t>
      </w:r>
      <w:r>
        <w:t xml:space="preserve">293% of GDP, which is above the EU average of</w:t>
      </w:r>
      <w:r>
        <w:t xml:space="preserve"> </w:t>
      </w:r>
      <w:r>
        <w:t xml:space="preserve">212%, but significantly behind the US average of</w:t>
      </w:r>
      <w:r>
        <w:t xml:space="preserve"> </w:t>
      </w:r>
      <w:r>
        <w:t xml:space="preserve">437%. Investments in insurance and pension funds</w:t>
      </w:r>
      <w:r>
        <w:t xml:space="preserve"> </w:t>
      </w:r>
      <w:r>
        <w:t xml:space="preserve">(164% of GDP) are almost three times larger than the</w:t>
      </w:r>
      <w:r>
        <w:t xml:space="preserve"> </w:t>
      </w:r>
      <w:r>
        <w:t xml:space="preserve">EU average (59% of GDP). However, direct holdings</w:t>
      </w:r>
      <w:r>
        <w:t xml:space="preserve"> </w:t>
      </w:r>
      <w:r>
        <w:t xml:space="preserve">of bonds and equity are significantly lower, both in</w:t>
      </w:r>
      <w:r>
        <w:t xml:space="preserve"> </w:t>
      </w:r>
      <w:r>
        <w:t xml:space="preserve">nominal amounts per capita and relative to GDP (see</w:t>
      </w:r>
      <w:r>
        <w:t xml:space="preserve"> </w:t>
      </w:r>
      <w:r>
        <w:t xml:space="preserve">Graph 2.20.7). As of end-2024, Dutch households held</w:t>
      </w:r>
      <w:r>
        <w:t xml:space="preserve"> </w:t>
      </w:r>
      <w:r>
        <w:t xml:space="preserve">less than 20% of their financial wealth in cash and bank</w:t>
      </w:r>
      <w:r>
        <w:t xml:space="preserve"> </w:t>
      </w:r>
      <w:r>
        <w:t xml:space="preserve">deposits, as opposed to 32% on average in the EU.</w:t>
      </w:r>
      <w:r>
        <w:br/>
      </w:r>
      <w:r>
        <w:t xml:space="preserve">1.22.7</w:t>
      </w:r>
      <w:r>
        <w:t xml:space="preserve"> </w:t>
      </w:r>
      <w:r>
        <w:t xml:space="preserve">Composition of HHs’ financial assets</w:t>
      </w:r>
    </w:p>
    <w:p>
      <w:pPr>
        <w:pStyle w:val="BodyText"/>
      </w:pPr>
      <w:r>
        <w:t xml:space="preserve">Source: Eurostat. End-2024.</w:t>
      </w:r>
    </w:p>
    <w:p>
      <w:pPr>
        <w:pStyle w:val="BodyText"/>
      </w:pPr>
      <w:r>
        <w:t xml:space="preserve">1.23 Poland</w:t>
      </w:r>
    </w:p>
    <w:p>
      <w:pPr>
        <w:pStyle w:val="BodyText"/>
      </w:pPr>
      <w:r>
        <w:t xml:space="preserve">Availability and use of domestic savings</w:t>
      </w:r>
      <w:r>
        <w:t xml:space="preserve"> </w:t>
      </w:r>
      <w:r>
        <w:t xml:space="preserve">Poland’s economy channels a growing share of its</w:t>
      </w:r>
      <w:r>
        <w:t xml:space="preserve"> </w:t>
      </w:r>
      <w:r>
        <w:t xml:space="preserve">net savings into domestic investment. The private</w:t>
      </w:r>
      <w:r>
        <w:t xml:space="preserve"> </w:t>
      </w:r>
      <w:r>
        <w:t xml:space="preserve">savings ratio, net of fixed capital consumption, has</w:t>
      </w:r>
      <w:r>
        <w:t xml:space="preserve"> </w:t>
      </w:r>
      <w:r>
        <w:t xml:space="preserve">steadily climbed over the past decade, averaging 9.3%</w:t>
      </w:r>
      <w:r>
        <w:t xml:space="preserve"> </w:t>
      </w:r>
      <w:r>
        <w:t xml:space="preserve">of GDP from 2014 to 2024, with a peak of 14.2% in</w:t>
      </w:r>
      <w:r>
        <w:t xml:space="preserve"> </w:t>
      </w:r>
      <w:r>
        <w:t xml:space="preserve">2020 amid pandemic-induced caution (see Graph</w:t>
      </w:r>
      <w:r>
        <w:t xml:space="preserve"> </w:t>
      </w:r>
      <w:r>
        <w:t xml:space="preserve">2.21.1). The net private investment ratio, more volatile,</w:t>
      </w:r>
      <w:r>
        <w:t xml:space="preserve"> </w:t>
      </w:r>
      <w:r>
        <w:t xml:space="preserve">averaged 5.8% of GDP over the same period and stood</w:t>
      </w:r>
      <w:r>
        <w:t xml:space="preserve"> </w:t>
      </w:r>
      <w:r>
        <w:t xml:space="preserve">at 3.8% in 2024 as EU recovery and resilience funds</w:t>
      </w:r>
      <w:r>
        <w:t xml:space="preserve"> </w:t>
      </w:r>
      <w:r>
        <w:t xml:space="preserve">spurred infrastructure spending. The 2025 and 2026</w:t>
      </w:r>
      <w:r>
        <w:t xml:space="preserve"> </w:t>
      </w:r>
      <w:r>
        <w:t xml:space="preserve">forecast points to a further rebound towards 3.5% and</w:t>
      </w:r>
      <w:r>
        <w:t xml:space="preserve"> </w:t>
      </w:r>
      <w:r>
        <w:t xml:space="preserve">4% respectively. As mentioned, government budget</w:t>
      </w:r>
      <w:r>
        <w:t xml:space="preserve"> </w:t>
      </w:r>
      <w:r>
        <w:t xml:space="preserve">deficits have been on the rise, consequently the private</w:t>
      </w:r>
      <w:r>
        <w:t xml:space="preserve"> </w:t>
      </w:r>
      <w:r>
        <w:t xml:space="preserve">sector’s net lending to the government reached 6.6% of</w:t>
      </w:r>
      <w:r>
        <w:t xml:space="preserve"> </w:t>
      </w:r>
      <w:r>
        <w:t xml:space="preserve">GDP in 2024. It is forecast to continue at a pace above</w:t>
      </w:r>
      <w:r>
        <w:t xml:space="preserve"> </w:t>
      </w:r>
      <w:r>
        <w:t xml:space="preserve">6% of GDP in both 2025 and 2026. Borrowing from</w:t>
      </w:r>
      <w:r>
        <w:t xml:space="preserve"> </w:t>
      </w:r>
      <w:r>
        <w:t xml:space="preserve">the rest of the world remained slightly negative over</w:t>
      </w:r>
      <w:r>
        <w:t xml:space="preserve"> </w:t>
      </w:r>
      <w:r>
        <w:t xml:space="preserve">the past decade at -0.3%. This points to a slowly</w:t>
      </w:r>
      <w:r>
        <w:t xml:space="preserve"> </w:t>
      </w:r>
      <w:r>
        <w:t xml:space="preserve">changing positive net savings-investment balance</w:t>
      </w:r>
      <w:r>
        <w:t xml:space="preserve"> </w:t>
      </w:r>
      <w:r>
        <w:t xml:space="preserve">which fuels some lending abroad.</w:t>
      </w:r>
      <w:r>
        <w:br/>
      </w:r>
      <w:r>
        <w:t xml:space="preserve">1.23.1</w:t>
      </w:r>
      <w:r>
        <w:t xml:space="preserve"> </w:t>
      </w:r>
      <w:r>
        <w:t xml:space="preserve">Net savings-investment balance</w:t>
      </w:r>
    </w:p>
    <w:p>
      <w:pPr>
        <w:pStyle w:val="BodyText"/>
      </w:pPr>
      <w:r>
        <w:t xml:space="preserve">Source: AMECO.</w:t>
      </w:r>
      <w:r>
        <w:t xml:space="preserve"> </w:t>
      </w:r>
      <w:r>
        <w:t xml:space="preserve">Between 2017 and 2024 the economy halved its</w:t>
      </w:r>
      <w:r>
        <w:t xml:space="preserve"> </w:t>
      </w:r>
      <w:r>
        <w:t xml:space="preserve">position as a net debtor to the global market. As of</w:t>
      </w:r>
      <w:r>
        <w:t xml:space="preserve"> </w:t>
      </w:r>
      <w:r>
        <w:t xml:space="preserve">end-2024, total assets held by Polish residents abroad</w:t>
      </w:r>
      <w:r>
        <w:t xml:space="preserve"> </w:t>
      </w:r>
      <w:r>
        <w:t xml:space="preserve">reached 60% of GDP, while liabilities to foreigners</w:t>
      </w:r>
      <w:r>
        <w:t xml:space="preserve"> </w:t>
      </w:r>
      <w:r>
        <w:t xml:space="preserve">were equivalent to 90% of GDP, yielding a net</w:t>
      </w:r>
      <w:r>
        <w:t xml:space="preserve"> </w:t>
      </w:r>
      <w:r>
        <w:t xml:space="preserve">international investment position (NIIP) of -30% of</w:t>
      </w:r>
      <w:r>
        <w:t xml:space="preserve"> </w:t>
      </w:r>
      <w:r>
        <w:t xml:space="preserve">GDP (see Graph 2.21.2). Foreign direct investment</w:t>
      </w:r>
      <w:r>
        <w:t xml:space="preserve"> </w:t>
      </w:r>
      <w:r>
        <w:t xml:space="preserve">liabilities, standing at 46.6% of GDP, dwarf direct</w:t>
      </w:r>
      <w:r>
        <w:t xml:space="preserve"> </w:t>
      </w:r>
      <w:r>
        <w:t xml:space="preserve">investment assets at 12% of GDP, underscoring the</w:t>
      </w:r>
      <w:r>
        <w:t xml:space="preserve"> </w:t>
      </w:r>
      <w:r>
        <w:t xml:space="preserve">country’s heavy reliance on foreign capital inflows.</w:t>
      </w:r>
      <w:r>
        <w:t xml:space="preserve"> </w:t>
      </w:r>
      <w:r>
        <w:t xml:space="preserve">Portfolio investment liabilities, kept on decreasing over</w:t>
      </w:r>
      <w:r>
        <w:t xml:space="preserve"> </w:t>
      </w:r>
      <w:r>
        <w:t xml:space="preserve">the years and stood at 18.4% of GDP in 2024, down</w:t>
      </w:r>
      <w:r>
        <w:t xml:space="preserve"> </w:t>
      </w:r>
      <w:r>
        <w:t xml:space="preserve">from over 30% in 2017. Polish portfolio assets stood at</w:t>
      </w:r>
      <w:r>
        <w:t xml:space="preserve"> </w:t>
      </w:r>
      <w:r>
        <w:t xml:space="preserve">8.2% of GDP in 2024, contributing to the negative</w:t>
      </w:r>
      <w:r>
        <w:t xml:space="preserve"> </w:t>
      </w:r>
      <w:r>
        <w:t xml:space="preserve">balance in Poland’s NIIP. Official reserve assets</w:t>
      </w:r>
      <w:r>
        <w:t xml:space="preserve"> </w:t>
      </w:r>
      <w:r>
        <w:t xml:space="preserve">remained at 25.3% of GDP in 2024, offering a safety</w:t>
      </w:r>
      <w:r>
        <w:t xml:space="preserve"> </w:t>
      </w:r>
      <w:r>
        <w:t xml:space="preserve">buffer against external shocks. Other investment</w:t>
      </w:r>
      <w:r>
        <w:t xml:space="preserve"> </w:t>
      </w:r>
      <w:r>
        <w:t xml:space="preserve">liabilities, at 25.1% of GDP, outweigh assets (14.5%),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NL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NL</w:t>
      </w:r>
      <w:r>
        <w:t xml:space="preserve"> </w:t>
      </w:r>
      <w:r>
        <w:t xml:space="preserve">EU</w:t>
      </w:r>
      <w:r>
        <w:t xml:space="preserve"> </w:t>
      </w:r>
      <w:r>
        <w:t xml:space="preserve">NL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Other equity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Bonds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480</w:t>
      </w:r>
      <w:r>
        <w:t xml:space="preserve"> </w:t>
      </w:r>
      <w:r>
        <w:t xml:space="preserve">further deepening the NIIP deficit. This configuration</w:t>
      </w:r>
      <w:r>
        <w:t xml:space="preserve"> </w:t>
      </w:r>
      <w:r>
        <w:t xml:space="preserve">highlights the economy’s deep integration into</w:t>
      </w:r>
      <w:r>
        <w:t xml:space="preserve"> </w:t>
      </w:r>
      <w:r>
        <w:t xml:space="preserve">international capital flows, predominantly as a</w:t>
      </w:r>
      <w:r>
        <w:t xml:space="preserve"> </w:t>
      </w:r>
      <w:r>
        <w:t xml:space="preserve">recipient of foreign direct investment, supporting</w:t>
      </w:r>
      <w:r>
        <w:t xml:space="preserve"> </w:t>
      </w:r>
      <w:r>
        <w:t xml:space="preserve">domestic growth while keeping Poland’s persistent net</w:t>
      </w:r>
      <w:r>
        <w:t xml:space="preserve"> </w:t>
      </w:r>
      <w:r>
        <w:t xml:space="preserve">debtor status.</w:t>
      </w:r>
      <w:r>
        <w:br/>
      </w:r>
      <w:r>
        <w:t xml:space="preserve">1.23.2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The domestic capital market is relatively modest in</w:t>
      </w:r>
      <w:r>
        <w:t xml:space="preserve"> </w:t>
      </w:r>
      <w:r>
        <w:t xml:space="preserve">European comparison. The Warsaw Stock Exchange</w:t>
      </w:r>
      <w:r>
        <w:t xml:space="preserve"> </w:t>
      </w:r>
      <w:r>
        <w:t xml:space="preserve">(WSE) is the primary platform for equity trading in</w:t>
      </w:r>
      <w:r>
        <w:t xml:space="preserve"> </w:t>
      </w:r>
      <w:r>
        <w:t xml:space="preserve">Poland. The market capitalisation remained fairly</w:t>
      </w:r>
      <w:r>
        <w:t xml:space="preserve"> </w:t>
      </w:r>
      <w:r>
        <w:t xml:space="preserve">stable in 2023 and 2024 at 19.2% of the GDP (see</w:t>
      </w:r>
      <w:r>
        <w:t xml:space="preserve"> </w:t>
      </w:r>
      <w:r>
        <w:t xml:space="preserve">Graph 2.21.3), around a third of the European average</w:t>
      </w:r>
      <w:r>
        <w:t xml:space="preserve"> </w:t>
      </w:r>
      <w:r>
        <w:t xml:space="preserve">of 68% the GDP. Non-financial corporations (NFC)</w:t>
      </w:r>
      <w:r>
        <w:t xml:space="preserve"> </w:t>
      </w:r>
      <w:r>
        <w:t xml:space="preserve">account for approximately 57% of the capitalisation,</w:t>
      </w:r>
      <w:r>
        <w:t xml:space="preserve"> </w:t>
      </w:r>
      <w:r>
        <w:t xml:space="preserve">underscoring the stock market’s role in supporting</w:t>
      </w:r>
      <w:r>
        <w:t xml:space="preserve"> </w:t>
      </w:r>
      <w:r>
        <w:t xml:space="preserve">mostly some of the largest Polish NFC. The</w:t>
      </w:r>
      <w:r>
        <w:t xml:space="preserve"> </w:t>
      </w:r>
      <w:r>
        <w:t xml:space="preserve">outstanding volume of private sector debt securities</w:t>
      </w:r>
      <w:r>
        <w:t xml:space="preserve"> </w:t>
      </w:r>
      <w:r>
        <w:t xml:space="preserve">stood at 12.7% of GDP in 2024, with monetary</w:t>
      </w:r>
      <w:r>
        <w:t xml:space="preserve"> </w:t>
      </w:r>
      <w:r>
        <w:t xml:space="preserve">financial institutions (MFIs) contributing around 72%</w:t>
      </w:r>
      <w:r>
        <w:t xml:space="preserve"> </w:t>
      </w:r>
      <w:r>
        <w:t xml:space="preserve">of this total, driven by a banking sector that plays a</w:t>
      </w:r>
      <w:r>
        <w:t xml:space="preserve"> </w:t>
      </w:r>
      <w:r>
        <w:t xml:space="preserve">central role in providing financing for local households</w:t>
      </w:r>
      <w:r>
        <w:t xml:space="preserve"> </w:t>
      </w:r>
      <w:r>
        <w:t xml:space="preserve">and corporate clients. General government bonds</w:t>
      </w:r>
      <w:r>
        <w:t xml:space="preserve"> </w:t>
      </w:r>
      <w:r>
        <w:t xml:space="preserve">dwarf the rest of the bond market and account for</w:t>
      </w:r>
      <w:r>
        <w:t xml:space="preserve"> </w:t>
      </w:r>
      <w:r>
        <w:t xml:space="preserve">38.1% of GDP in 2024, influenced by increased public</w:t>
      </w:r>
      <w:r>
        <w:t xml:space="preserve"> </w:t>
      </w:r>
      <w:r>
        <w:t xml:space="preserve">borrowing to fund infrastructure projects, energy</w:t>
      </w:r>
      <w:r>
        <w:t xml:space="preserve"> </w:t>
      </w:r>
      <w:r>
        <w:t xml:space="preserve">transition initiatives and investments into defence amid</w:t>
      </w:r>
      <w:r>
        <w:t xml:space="preserve"> </w:t>
      </w:r>
      <w:r>
        <w:t xml:space="preserve">geopolitical tensions.</w:t>
      </w:r>
      <w:r>
        <w:t xml:space="preserve"> </w:t>
      </w:r>
      <w:r>
        <w:t xml:space="preserve">1.23.3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Poland’s financial sector remains predominantly</w:t>
      </w:r>
      <w:r>
        <w:t xml:space="preserve"> </w:t>
      </w:r>
      <w:r>
        <w:t xml:space="preserve">bank-driven</w:t>
      </w:r>
      <w:r>
        <w:t xml:space="preserve"> </w:t>
      </w:r>
      <w:r>
        <w:t xml:space="preserve">with</w:t>
      </w:r>
      <w:r>
        <w:t xml:space="preserve"> </w:t>
      </w:r>
      <w:r>
        <w:t xml:space="preserve">non-bank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 gradually expanding their footprint.</w:t>
      </w:r>
      <w:r>
        <w:t xml:space="preserve"> </w:t>
      </w:r>
      <w:r>
        <w:t xml:space="preserve">By end-2024 the banking sector’s assets reached 95.1%</w:t>
      </w:r>
      <w:r>
        <w:t xml:space="preserve"> </w:t>
      </w:r>
      <w:r>
        <w:t xml:space="preserve">of GDP, far below the EU average of 253.2% but well</w:t>
      </w:r>
      <w:r>
        <w:t xml:space="preserve"> </w:t>
      </w:r>
      <w:r>
        <w:t xml:space="preserve">above any other part of the Polish financial system. The</w:t>
      </w:r>
      <w:r>
        <w:t xml:space="preserve"> </w:t>
      </w:r>
      <w:r>
        <w:t xml:space="preserve">banking system is moderately concentrated with the</w:t>
      </w:r>
      <w:r>
        <w:t xml:space="preserve"> </w:t>
      </w:r>
      <w:r>
        <w:t xml:space="preserve">top five lenders owning 58.5% of total assets. 58.6% of</w:t>
      </w:r>
      <w:r>
        <w:t xml:space="preserve"> </w:t>
      </w:r>
      <w:r>
        <w:t xml:space="preserve">the sector is domestically owned with a large share</w:t>
      </w:r>
      <w:r>
        <w:t xml:space="preserve"> </w:t>
      </w:r>
      <w:r>
        <w:t xml:space="preserve">(49.6%) of state-owned banks in the system. The</w:t>
      </w:r>
      <w:r>
        <w:t xml:space="preserve"> </w:t>
      </w:r>
      <w:r>
        <w:t xml:space="preserve">insurance sector, with assets below 6.1% of GDP in</w:t>
      </w:r>
      <w:r>
        <w:t xml:space="preserve"> </w:t>
      </w:r>
      <w:r>
        <w:t xml:space="preserve">2024 is relatively small but it is a rapidly growing</w:t>
      </w:r>
      <w:r>
        <w:t xml:space="preserve"> </w:t>
      </w:r>
      <w:r>
        <w:t xml:space="preserve">market segment of the domestic financial market.</w:t>
      </w:r>
      <w:r>
        <w:t xml:space="preserve"> </w:t>
      </w:r>
      <w:r>
        <w:t xml:space="preserve">Pension funds are a mix between second pillar legacy</w:t>
      </w:r>
      <w:r>
        <w:t xml:space="preserve"> </w:t>
      </w:r>
      <w:r>
        <w:t xml:space="preserve">funds (known as OFE) and third-pillar employee</w:t>
      </w:r>
      <w:r>
        <w:t xml:space="preserve"> </w:t>
      </w:r>
      <w:r>
        <w:t xml:space="preserve">capital plans (PPK), which are slowly getting traction.</w:t>
      </w:r>
      <w:r>
        <w:t xml:space="preserve"> </w:t>
      </w:r>
      <w:r>
        <w:t xml:space="preserve">Altogether pension assets represent about 6% of the</w:t>
      </w:r>
      <w:r>
        <w:t xml:space="preserve"> </w:t>
      </w:r>
      <w:r>
        <w:t xml:space="preserve">GDP, whereas local asset managers have under</w:t>
      </w:r>
      <w:r>
        <w:t xml:space="preserve"> </w:t>
      </w:r>
      <w:r>
        <w:t xml:space="preserve">management assets worth about 11.2% of the GDP.</w:t>
      </w:r>
    </w:p>
    <w:p>
      <w:pPr>
        <w:pStyle w:val="BodyText"/>
      </w:pPr>
      <w:r>
        <w:t xml:space="preserve">-70</w:t>
      </w:r>
      <w:r>
        <w:t xml:space="preserve"> </w:t>
      </w:r>
      <w:r>
        <w:t xml:space="preserve">-60</w:t>
      </w:r>
      <w:r>
        <w:t xml:space="preserve"> </w:t>
      </w:r>
      <w:r>
        <w:t xml:space="preserve">-50</w:t>
      </w:r>
      <w:r>
        <w:t xml:space="preserve"> </w:t>
      </w:r>
      <w:r>
        <w:t xml:space="preserve">-40</w:t>
      </w:r>
      <w:r>
        <w:t xml:space="preserve"> </w:t>
      </w:r>
      <w:r>
        <w:t xml:space="preserve">-30</w:t>
      </w:r>
      <w:r>
        <w:t xml:space="preserve"> </w:t>
      </w:r>
      <w:r>
        <w:t xml:space="preserve">-20</w:t>
      </w:r>
      <w:r>
        <w:t xml:space="preserve"> </w:t>
      </w:r>
      <w:r>
        <w:t xml:space="preserve">-10</w:t>
      </w:r>
      <w:r>
        <w:t xml:space="preserve"> </w:t>
      </w:r>
      <w:r>
        <w:t xml:space="preserve">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481</w:t>
      </w:r>
      <w:r>
        <w:t xml:space="preserve"> </w:t>
      </w:r>
      <w:r>
        <w:t xml:space="preserve">1.23.4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Group755.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Poland’s capital market continues to draw</w:t>
      </w:r>
      <w:r>
        <w:t xml:space="preserve"> </w:t>
      </w:r>
      <w:r>
        <w:t xml:space="preserve">substantial foreign interest. International investors</w:t>
      </w:r>
      <w:r>
        <w:t xml:space="preserve"> </w:t>
      </w:r>
      <w:r>
        <w:t xml:space="preserve">account for about 65% of the equity turnover on the</w:t>
      </w:r>
      <w:r>
        <w:t xml:space="preserve"> </w:t>
      </w:r>
      <w:r>
        <w:t xml:space="preserve">main market in 2023-2024. Domestic institutional</w:t>
      </w:r>
      <w:r>
        <w:t xml:space="preserve"> </w:t>
      </w:r>
      <w:r>
        <w:t xml:space="preserve">players generated an aggregate 19% of turnover</w:t>
      </w:r>
      <w:r>
        <w:t xml:space="preserve"> </w:t>
      </w:r>
      <w:r>
        <w:t xml:space="preserve">whereas retail investors share stood at 16%. The main</w:t>
      </w:r>
      <w:r>
        <w:t xml:space="preserve"> </w:t>
      </w:r>
      <w:r>
        <w:t xml:space="preserve">market is dominated by blue-chip firms in banking,</w:t>
      </w:r>
      <w:r>
        <w:t xml:space="preserve"> </w:t>
      </w:r>
      <w:r>
        <w:t xml:space="preserve">energy, and retail. The Initial Public Offerings (IPO)</w:t>
      </w:r>
      <w:r>
        <w:t xml:space="preserve"> </w:t>
      </w:r>
      <w:r>
        <w:t xml:space="preserve">activity of the WSE remains overall rather subdued,</w:t>
      </w:r>
      <w:r>
        <w:t xml:space="preserve"> </w:t>
      </w:r>
      <w:r>
        <w:t xml:space="preserve">with only a handful of companies listing on the main</w:t>
      </w:r>
      <w:r>
        <w:t xml:space="preserve"> </w:t>
      </w:r>
      <w:r>
        <w:t xml:space="preserve">market in the years 2023 and 2024. 2024 saw in total</w:t>
      </w:r>
      <w:r>
        <w:t xml:space="preserve"> </w:t>
      </w:r>
      <w:r>
        <w:t xml:space="preserve">nine listings on the main market totalling about</w:t>
      </w:r>
      <w:r>
        <w:t xml:space="preserve"> </w:t>
      </w:r>
      <w:r>
        <w:t xml:space="preserve">EUR 1.53 bn in value, largely driven by the high-</w:t>
      </w:r>
      <w:r>
        <w:t xml:space="preserve"> </w:t>
      </w:r>
      <w:r>
        <w:t xml:space="preserve">profile debut of convenience store giant Zabka Group</w:t>
      </w:r>
      <w:r>
        <w:t xml:space="preserve"> </w:t>
      </w:r>
      <w:r>
        <w:t xml:space="preserve">at EUR 1.5 bn, alongside eight transfers from the</w:t>
      </w:r>
      <w:r>
        <w:t xml:space="preserve"> </w:t>
      </w:r>
      <w:r>
        <w:t xml:space="preserve">NewConnect segment. The much smaller NewConnect</w:t>
      </w:r>
      <w:r>
        <w:t xml:space="preserve"> </w:t>
      </w:r>
      <w:r>
        <w:t xml:space="preserve">(the SME market) is more dynamic but small and</w:t>
      </w:r>
      <w:r>
        <w:t xml:space="preserve"> </w:t>
      </w:r>
      <w:r>
        <w:t xml:space="preserve">highly illiquid. The Polish government has launched</w:t>
      </w:r>
      <w:r>
        <w:t xml:space="preserve"> </w:t>
      </w:r>
      <w:r>
        <w:t xml:space="preserve">several measures to bolster the capital market. The</w:t>
      </w:r>
      <w:r>
        <w:t xml:space="preserve"> </w:t>
      </w:r>
      <w:r>
        <w:t xml:space="preserve">main one was the 2019 Capital Market Development</w:t>
      </w:r>
      <w:r>
        <w:t xml:space="preserve"> </w:t>
      </w:r>
      <w:r>
        <w:t xml:space="preserve">Strategy, developed jointly with the EBRD and</w:t>
      </w:r>
      <w:r>
        <w:t xml:space="preserve"> </w:t>
      </w:r>
      <w:r>
        <w:t xml:space="preserve">financed largely from EU funds. The strategy covered</w:t>
      </w:r>
      <w:r>
        <w:t xml:space="preserve"> </w:t>
      </w:r>
      <w:r>
        <w:t xml:space="preserve">the period 2019-2023 and aimed to increase market</w:t>
      </w:r>
      <w:r>
        <w:t xml:space="preserve"> </w:t>
      </w:r>
      <w:r>
        <w:t xml:space="preserve">liquidity and the role of capital market instruments in</w:t>
      </w:r>
      <w:r>
        <w:t xml:space="preserve"> </w:t>
      </w:r>
      <w:r>
        <w:t xml:space="preserve">financing local NFCs. Overall, the equity market is</w:t>
      </w:r>
      <w:r>
        <w:t xml:space="preserve"> </w:t>
      </w:r>
      <w:r>
        <w:t xml:space="preserve">underutilised in Poland and is hardly an alternative to</w:t>
      </w:r>
      <w:r>
        <w:t xml:space="preserve"> </w:t>
      </w:r>
      <w:r>
        <w:t xml:space="preserve">bank loans. It mainly serves a handful of bluechip</w:t>
      </w:r>
      <w:r>
        <w:t xml:space="preserve"> </w:t>
      </w:r>
      <w:r>
        <w:t xml:space="preserve">companies.</w:t>
      </w:r>
      <w:r>
        <w:t xml:space="preserve"> </w:t>
      </w:r>
      <w:r>
        <w:t xml:space="preserve">Poland’s debt market is predominantly funding the</w:t>
      </w:r>
      <w:r>
        <w:t xml:space="preserve"> </w:t>
      </w:r>
      <w:r>
        <w:t xml:space="preserve">public sector. The general government net issuance</w:t>
      </w:r>
    </w:p>
    <w:p>
      <w:pPr>
        <w:pStyle w:val="BodyText"/>
      </w:pPr>
      <w:r>
        <w:t xml:space="preserve">755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surged to EUR 55 bn in 2024, equivalent to 6.5% of</w:t>
      </w:r>
      <w:r>
        <w:t xml:space="preserve"> </w:t>
      </w:r>
      <w:r>
        <w:t xml:space="preserve">GDP amid fiscal expansion to finance defence and</w:t>
      </w:r>
      <w:r>
        <w:t xml:space="preserve"> </w:t>
      </w:r>
      <w:r>
        <w:t xml:space="preserve">social spending. 2025 will see most probably a record</w:t>
      </w:r>
      <w:r>
        <w:t xml:space="preserve"> </w:t>
      </w:r>
      <w:r>
        <w:t xml:space="preserve">high level debt issuance by the government with</w:t>
      </w:r>
      <w:r>
        <w:t xml:space="preserve"> </w:t>
      </w:r>
      <w:r>
        <w:t xml:space="preserve">EUR 28.4 bn in the first quarter of 2025 alone.</w:t>
      </w:r>
      <w:r>
        <w:t xml:space="preserve"> </w:t>
      </w:r>
      <w:r>
        <w:t xml:space="preserve">Financial corporations, including MFIs issued in total</w:t>
      </w:r>
      <w:r>
        <w:t xml:space="preserve"> </w:t>
      </w:r>
      <w:r>
        <w:t xml:space="preserve">some EUR 17.3 bn net in 2024, with non-MFI</w:t>
      </w:r>
      <w:r>
        <w:t xml:space="preserve"> </w:t>
      </w:r>
      <w:r>
        <w:t xml:space="preserve">financials recording a negative net issuance of EUR -</w:t>
      </w:r>
      <w:r>
        <w:t xml:space="preserve"> </w:t>
      </w:r>
      <w:r>
        <w:t xml:space="preserve">1.6 bn in 2024. NFC posted modest positive net</w:t>
      </w:r>
      <w:r>
        <w:t xml:space="preserve"> </w:t>
      </w:r>
      <w:r>
        <w:t xml:space="preserve">issuance of EUR 0.8 bn in 2024 but rising to</w:t>
      </w:r>
      <w:r>
        <w:t xml:space="preserve"> </w:t>
      </w:r>
      <w:r>
        <w:t xml:space="preserve">EUR 1.9 bn in Q1 2025, hinting at a nascent revival in</w:t>
      </w:r>
      <w:r>
        <w:t xml:space="preserve"> </w:t>
      </w:r>
      <w:r>
        <w:t xml:space="preserve">corporate bond activity as benchmark interest rates</w:t>
      </w:r>
      <w:r>
        <w:t xml:space="preserve"> </w:t>
      </w:r>
      <w:r>
        <w:t xml:space="preserve">started a descending trend. However, at the current</w:t>
      </w:r>
      <w:r>
        <w:t xml:space="preserve"> </w:t>
      </w:r>
      <w:r>
        <w:t xml:space="preserve">juncture, Poland’s debt market can be hardly perceived</w:t>
      </w:r>
      <w:r>
        <w:t xml:space="preserve"> </w:t>
      </w:r>
      <w:r>
        <w:t xml:space="preserve">as a true alternative to banks loans. The debt market’s</w:t>
      </w:r>
      <w:r>
        <w:t xml:space="preserve"> </w:t>
      </w:r>
      <w:r>
        <w:t xml:space="preserve">depth lags EU averages and policymakers are eyeing</w:t>
      </w:r>
      <w:r>
        <w:t xml:space="preserve"> </w:t>
      </w:r>
      <w:r>
        <w:t xml:space="preserve">some reforms to boost liquidity and green bond</w:t>
      </w:r>
      <w:r>
        <w:t xml:space="preserve"> </w:t>
      </w:r>
      <w:r>
        <w:t xml:space="preserve">issuance.</w:t>
      </w:r>
      <w:r>
        <w:t xml:space="preserve"> </w:t>
      </w:r>
      <w:r>
        <w:t xml:space="preserve">1.23.5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Polish firms are heavily reliant on internal funding.</w:t>
      </w:r>
      <w:r>
        <w:t xml:space="preserve"> </w:t>
      </w:r>
      <w:r>
        <w:t xml:space="preserve">According to the 2024 EIB Investment Survey, 72% of</w:t>
      </w:r>
      <w:r>
        <w:t xml:space="preserve"> </w:t>
      </w:r>
      <w:r>
        <w:t xml:space="preserve">Polish firms’ investment needs are covered through</w:t>
      </w:r>
      <w:r>
        <w:t xml:space="preserve"> </w:t>
      </w:r>
      <w:r>
        <w:t xml:space="preserve">internal financing, against an EU average of 66%. This</w:t>
      </w:r>
      <w:r>
        <w:t xml:space="preserve"> </w:t>
      </w:r>
      <w:r>
        <w:t xml:space="preserve">reliance on internal funds highlights on the one hand a</w:t>
      </w:r>
      <w:r>
        <w:t xml:space="preserve"> </w:t>
      </w:r>
      <w:r>
        <w:t xml:space="preserve">rather cautious approach towards external funding</w:t>
      </w:r>
      <w:r>
        <w:t xml:space="preserve"> </w:t>
      </w:r>
      <w:r>
        <w:t xml:space="preserve">overall, on the other hand it points out to some possible</w:t>
      </w:r>
      <w:r>
        <w:t xml:space="preserve"> </w:t>
      </w:r>
      <w:r>
        <w:t xml:space="preserve">difficulties that the relatively small Polish firms (the</w:t>
      </w:r>
      <w:r>
        <w:t xml:space="preserve"> </w:t>
      </w:r>
      <w:r>
        <w:t xml:space="preserve">vast majority being microenterprises) might have in</w:t>
      </w:r>
      <w:r>
        <w:t xml:space="preserve"> </w:t>
      </w:r>
      <w:r>
        <w:t xml:space="preserve">accessing external financing. Notwithstanding these</w:t>
      </w:r>
      <w:r>
        <w:t xml:space="preserve"> </w:t>
      </w:r>
      <w:r>
        <w:t xml:space="preserve">figures, 85% of Polish entrepreneurs believe that they</w:t>
      </w:r>
      <w:r>
        <w:t xml:space="preserve"> </w:t>
      </w:r>
      <w:r>
        <w:t xml:space="preserve">have made adequate investments to meet market needs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PL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WARSAW GENERAL INDEX - TOT RETURN IND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-10.0</w:t>
      </w:r>
      <w:r>
        <w:t xml:space="preserve"> </w:t>
      </w:r>
      <w:r>
        <w:t xml:space="preserve">0.0</w:t>
      </w:r>
      <w:r>
        <w:t xml:space="preserve"> </w:t>
      </w:r>
      <w:r>
        <w:t xml:space="preserve">10.0</w:t>
      </w:r>
      <w:r>
        <w:t xml:space="preserve"> </w:t>
      </w:r>
      <w:r>
        <w:t xml:space="preserve">20.0</w:t>
      </w:r>
      <w:r>
        <w:t xml:space="preserve"> </w:t>
      </w:r>
      <w:r>
        <w:t xml:space="preserve">30.0</w:t>
      </w:r>
      <w:r>
        <w:t xml:space="preserve"> </w:t>
      </w:r>
      <w:r>
        <w:t xml:space="preserve">40.0</w:t>
      </w:r>
      <w:r>
        <w:t xml:space="preserve"> </w:t>
      </w:r>
      <w:r>
        <w:t xml:space="preserve">50.0</w:t>
      </w:r>
      <w:r>
        <w:t xml:space="preserve"> </w:t>
      </w:r>
      <w:r>
        <w:t xml:space="preserve">60.0</w:t>
      </w:r>
      <w:r>
        <w:t xml:space="preserve"> </w:t>
      </w:r>
      <w:r>
        <w:t xml:space="preserve">70.0</w:t>
      </w:r>
      <w:r>
        <w:t xml:space="preserve"> </w:t>
      </w:r>
      <w:r>
        <w:t xml:space="preserve">80.0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482</w:t>
      </w:r>
      <w:r>
        <w:t xml:space="preserve"> </w:t>
      </w:r>
      <w:r>
        <w:t xml:space="preserve">over the past three years756, compared to the EU</w:t>
      </w:r>
      <w:r>
        <w:t xml:space="preserve"> </w:t>
      </w:r>
      <w:r>
        <w:t xml:space="preserve">average of 80%.</w:t>
      </w:r>
      <w:r>
        <w:t xml:space="preserve"> </w:t>
      </w:r>
      <w:r>
        <w:t xml:space="preserve">External NFC funding is mostly synonym of</w:t>
      </w:r>
      <w:r>
        <w:t xml:space="preserve"> </w:t>
      </w:r>
      <w:r>
        <w:t xml:space="preserve">owners’ equity and loans. The overall external NFC</w:t>
      </w:r>
      <w:r>
        <w:t xml:space="preserve"> </w:t>
      </w:r>
      <w:r>
        <w:t xml:space="preserve">funding in Poland stood at 93.6% of the GDP in 2024</w:t>
      </w:r>
      <w:r>
        <w:t xml:space="preserve"> </w:t>
      </w:r>
      <w:r>
        <w:t xml:space="preserve">(see Graph 2.21.6), way less than the EU average of</w:t>
      </w:r>
      <w:r>
        <w:t xml:space="preserve"> </w:t>
      </w:r>
      <w:r>
        <w:t xml:space="preserve">225.6% the GDP. Not surprisingly, given the small size</w:t>
      </w:r>
      <w:r>
        <w:t xml:space="preserve"> </w:t>
      </w:r>
      <w:r>
        <w:t xml:space="preserve">of Polish NFCs, firms’ owners’ equity remains the</w:t>
      </w:r>
      <w:r>
        <w:t xml:space="preserve"> </w:t>
      </w:r>
      <w:r>
        <w:t xml:space="preserve">most significant item in the funding mix with over</w:t>
      </w:r>
      <w:r>
        <w:t xml:space="preserve"> </w:t>
      </w:r>
      <w:r>
        <w:t xml:space="preserve">33.7% of total external funding. This is followed</w:t>
      </w:r>
      <w:r>
        <w:t xml:space="preserve"> </w:t>
      </w:r>
      <w:r>
        <w:t xml:space="preserve">closely by bank loans, the second main source of</w:t>
      </w:r>
      <w:r>
        <w:t xml:space="preserve"> </w:t>
      </w:r>
      <w:r>
        <w:t xml:space="preserve">external financing representing 31.3% of the funding</w:t>
      </w:r>
      <w:r>
        <w:t xml:space="preserve"> </w:t>
      </w:r>
      <w:r>
        <w:t xml:space="preserve">mix, a few percentage points above the EU’s average</w:t>
      </w:r>
      <w:r>
        <w:t xml:space="preserve"> </w:t>
      </w:r>
      <w:r>
        <w:t xml:space="preserve">of 27%. Market equity financing, through listed shares</w:t>
      </w:r>
      <w:r>
        <w:t xml:space="preserve"> </w:t>
      </w:r>
      <w:r>
        <w:t xml:space="preserve">and bonds, represented a modest 12.5% of the funding</w:t>
      </w:r>
      <w:r>
        <w:t xml:space="preserve"> </w:t>
      </w:r>
      <w:r>
        <w:t xml:space="preserve">mix, significantly lower than the EU’s average of</w:t>
      </w:r>
      <w:r>
        <w:t xml:space="preserve"> </w:t>
      </w:r>
      <w:r>
        <w:t xml:space="preserve">23.8%. This pattern underscores the strong reliance of</w:t>
      </w:r>
      <w:r>
        <w:t xml:space="preserve"> </w:t>
      </w:r>
      <w:r>
        <w:t xml:space="preserve">firms in Poland on traditional bank financing over</w:t>
      </w:r>
      <w:r>
        <w:t xml:space="preserve"> </w:t>
      </w:r>
      <w:r>
        <w:t xml:space="preserve">capital market related funding, which given the small</w:t>
      </w:r>
      <w:r>
        <w:t xml:space="preserve"> </w:t>
      </w:r>
      <w:r>
        <w:t xml:space="preserve">size of local firms is not surprising.</w:t>
      </w:r>
      <w:r>
        <w:t xml:space="preserve"> </w:t>
      </w:r>
      <w:r>
        <w:t xml:space="preserve">1.23.6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Polish households are conservative when managing</w:t>
      </w:r>
      <w:r>
        <w:t xml:space="preserve"> </w:t>
      </w:r>
      <w:r>
        <w:t xml:space="preserve">their financial assets. About 59% of the households’</w:t>
      </w:r>
      <w:r>
        <w:t xml:space="preserve"> </w:t>
      </w:r>
      <w:r>
        <w:t xml:space="preserve">financial assets are held on current accounts and bank</w:t>
      </w:r>
      <w:r>
        <w:t xml:space="preserve"> </w:t>
      </w:r>
      <w:r>
        <w:t xml:space="preserve">deposits, almost twice as the European average of ca.</w:t>
      </w:r>
      <w:r>
        <w:t xml:space="preserve"> </w:t>
      </w:r>
      <w:r>
        <w:t xml:space="preserve">32% (see Graph 2.21.7). The capital market</w:t>
      </w:r>
      <w:r>
        <w:t xml:space="preserve"> </w:t>
      </w:r>
      <w:r>
        <w:t xml:space="preserve">participation of households trails other EU Member</w:t>
      </w:r>
      <w:r>
        <w:t xml:space="preserve"> </w:t>
      </w:r>
      <w:r>
        <w:t xml:space="preserve">States. Polish households have about a quarter of their</w:t>
      </w:r>
      <w:r>
        <w:t xml:space="preserve"> </w:t>
      </w:r>
      <w:r>
        <w:t xml:space="preserve">financial wealth invested in listed stocks, bonds,</w:t>
      </w:r>
      <w:r>
        <w:t xml:space="preserve"> </w:t>
      </w:r>
      <w:r>
        <w:t xml:space="preserve">pension and investment funds. That figure is low when</w:t>
      </w:r>
      <w:r>
        <w:t xml:space="preserve"> </w:t>
      </w:r>
      <w:r>
        <w:t xml:space="preserve">compared to the EU average of around 46.6% and</w:t>
      </w:r>
      <w:r>
        <w:t xml:space="preserve"> </w:t>
      </w:r>
      <w:r>
        <w:t xml:space="preserve">reflects on the one hand the cautious behaviour of local</w:t>
      </w:r>
      <w:r>
        <w:t xml:space="preserve"> </w:t>
      </w:r>
      <w:r>
        <w:t xml:space="preserve">households and, on the other hand their relatively low</w:t>
      </w:r>
      <w:r>
        <w:t xml:space="preserve"> </w:t>
      </w:r>
      <w:r>
        <w:t xml:space="preserve">financial wealth compared to the EU average. In</w:t>
      </w:r>
      <w:r>
        <w:t xml:space="preserve"> </w:t>
      </w:r>
      <w:r>
        <w:t xml:space="preserve">aggregate, Polish households have financial assets</w:t>
      </w:r>
      <w:r>
        <w:t xml:space="preserve"> </w:t>
      </w:r>
      <w:r>
        <w:t xml:space="preserve">equivalent to 83.3% of the Polish GDP, whereas the EU</w:t>
      </w:r>
      <w:r>
        <w:t xml:space="preserve"> </w:t>
      </w:r>
      <w:r>
        <w:t xml:space="preserve">average stands at 212.2% of the GDP. In 2023, the</w:t>
      </w:r>
    </w:p>
    <w:p>
      <w:pPr>
        <w:pStyle w:val="BodyText"/>
      </w:pPr>
      <w:r>
        <w:t xml:space="preserve">756 2024 EIB Investment Survey</w:t>
      </w:r>
      <w:r>
        <w:t xml:space="preserve"> </w:t>
      </w:r>
      <w:r>
        <w:t xml:space="preserve">average monthly available income per capita in Poland</w:t>
      </w:r>
      <w:r>
        <w:t xml:space="preserve"> </w:t>
      </w:r>
      <w:r>
        <w:t xml:space="preserve">stood at PLN 2917 (about EUR 677) and remains quite</w:t>
      </w:r>
      <w:r>
        <w:t xml:space="preserve"> </w:t>
      </w:r>
      <w:r>
        <w:t xml:space="preserve">modest by European standards, whereas the savings</w:t>
      </w:r>
      <w:r>
        <w:t xml:space="preserve"> </w:t>
      </w:r>
      <w:r>
        <w:t xml:space="preserve">rate in 2023 stood at 13.5%, similar level as the EU</w:t>
      </w:r>
      <w:r>
        <w:t xml:space="preserve"> </w:t>
      </w:r>
      <w:r>
        <w:t xml:space="preserve">average according to Eurostat.</w:t>
      </w:r>
      <w:r>
        <w:t xml:space="preserve"> </w:t>
      </w:r>
      <w:r>
        <w:t xml:space="preserve">1.23.7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1.24 Portugal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Since 2017, Portugal’s private sector maintained</w:t>
      </w:r>
      <w:r>
        <w:t xml:space="preserve"> </w:t>
      </w:r>
      <w:r>
        <w:t xml:space="preserve">high gross savings but low net savings and modest</w:t>
      </w:r>
      <w:r>
        <w:t xml:space="preserve"> </w:t>
      </w:r>
      <w:r>
        <w:t xml:space="preserve">net</w:t>
      </w:r>
      <w:r>
        <w:t xml:space="preserve"> </w:t>
      </w:r>
      <w:r>
        <w:t xml:space="preserve">investment,</w:t>
      </w:r>
      <w:r>
        <w:t xml:space="preserve"> </w:t>
      </w:r>
      <w:r>
        <w:t xml:space="preserve">reflecting</w:t>
      </w:r>
      <w:r>
        <w:t xml:space="preserve"> </w:t>
      </w:r>
      <w:r>
        <w:t xml:space="preserve">subdued</w:t>
      </w:r>
      <w:r>
        <w:t xml:space="preserve"> </w:t>
      </w:r>
      <w:r>
        <w:t xml:space="preserve">capital</w:t>
      </w:r>
      <w:r>
        <w:t xml:space="preserve"> </w:t>
      </w:r>
      <w:r>
        <w:t xml:space="preserve">accumulation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continued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deleveraging. Over the past decade, the gross private</w:t>
      </w:r>
      <w:r>
        <w:t xml:space="preserve"> </w:t>
      </w:r>
      <w:r>
        <w:t xml:space="preserve">savings rate remained high and stable, averaging</w:t>
      </w:r>
      <w:r>
        <w:t xml:space="preserve"> </w:t>
      </w:r>
      <w:r>
        <w:t xml:space="preserve">around 17.7% of GDP between 2014 and 2023, with a</w:t>
      </w:r>
      <w:r>
        <w:t xml:space="preserve"> </w:t>
      </w:r>
      <w:r>
        <w:t xml:space="preserve">temporary increase above 20% in 2020–2021 and a</w:t>
      </w:r>
      <w:r>
        <w:t xml:space="preserve"> </w:t>
      </w:r>
      <w:r>
        <w:t xml:space="preserve">moderate rise again in 2024 (18.6% of GDP). In</w:t>
      </w:r>
      <w:r>
        <w:t xml:space="preserve"> </w:t>
      </w:r>
      <w:r>
        <w:t xml:space="preserve">contrast, net private savings were considerably lower,</w:t>
      </w:r>
      <w:r>
        <w:t xml:space="preserve"> </w:t>
      </w:r>
      <w:r>
        <w:t xml:space="preserve">averaging just 2.6% of GDP over the same period. In a</w:t>
      </w:r>
      <w:r>
        <w:t xml:space="preserve"> </w:t>
      </w:r>
      <w:r>
        <w:t xml:space="preserve">similar vein, private net investment, which measures</w:t>
      </w:r>
      <w:r>
        <w:t xml:space="preserve"> </w:t>
      </w:r>
      <w:r>
        <w:t xml:space="preserve">the net contribution of the private sector to capital</w:t>
      </w:r>
      <w:r>
        <w:t xml:space="preserve"> </w:t>
      </w:r>
      <w:r>
        <w:t xml:space="preserve">accumulation in the country, remained subdued but</w:t>
      </w:r>
      <w:r>
        <w:t xml:space="preserve"> </w:t>
      </w:r>
      <w:r>
        <w:t xml:space="preserve">positive in most years since 2018, with a notable dip</w:t>
      </w:r>
      <w:r>
        <w:t xml:space="preserve"> </w:t>
      </w:r>
      <w:r>
        <w:t xml:space="preserve">during the pandemic. It averaged just 0.9% of GDP</w:t>
      </w:r>
      <w:r>
        <w:t xml:space="preserve"> </w:t>
      </w:r>
      <w:r>
        <w:t xml:space="preserve">between 2014 and 2023, indicating limited net capital</w:t>
      </w:r>
      <w:r>
        <w:t xml:space="preserve"> </w:t>
      </w:r>
      <w:r>
        <w:t xml:space="preserve">accumulation by the private sector, partly reflecting a</w:t>
      </w:r>
      <w:r>
        <w:t xml:space="preserve"> </w:t>
      </w:r>
      <w:r>
        <w:t xml:space="preserve">focus on deleveraging.</w:t>
      </w:r>
      <w:r>
        <w:t xml:space="preserve"> </w:t>
      </w:r>
      <w:r>
        <w:t xml:space="preserve">Since 2012, Portugal has maintained a positive net</w:t>
      </w:r>
      <w:r>
        <w:t xml:space="preserve"> </w:t>
      </w:r>
      <w:r>
        <w:t xml:space="preserve">external lending position. The difference between</w:t>
      </w:r>
      <w:r>
        <w:t xml:space="preserve"> </w:t>
      </w:r>
      <w:r>
        <w:t xml:space="preserve">private net savings and investment, combined with</w:t>
      </w:r>
      <w:r>
        <w:t xml:space="preserve"> </w:t>
      </w:r>
      <w:r>
        <w:t xml:space="preserve">consistent public sector fiscal surpluses in recent years</w:t>
      </w:r>
      <w:r>
        <w:t xml:space="preserve"> </w:t>
      </w:r>
      <w:r>
        <w:t xml:space="preserve">except during the pandemic years, helps explain why</w:t>
      </w:r>
      <w:r>
        <w:t xml:space="preserve"> </w:t>
      </w:r>
      <w:r>
        <w:t xml:space="preserve">Portugal has remained a net external lender since 2012.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PL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PL</w:t>
      </w:r>
      <w:r>
        <w:t xml:space="preserve"> </w:t>
      </w:r>
      <w:r>
        <w:t xml:space="preserve">EU</w:t>
      </w:r>
      <w:r>
        <w:t xml:space="preserve"> </w:t>
      </w:r>
      <w:r>
        <w:t xml:space="preserve">PL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Other equity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Bonds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483</w:t>
      </w:r>
      <w:r>
        <w:t xml:space="preserve"> </w:t>
      </w:r>
      <w:r>
        <w:t xml:space="preserve">This surplus ranged from 0.1 percent of GDP in 2020</w:t>
      </w:r>
      <w:r>
        <w:t xml:space="preserve"> </w:t>
      </w:r>
      <w:r>
        <w:t xml:space="preserve">to 2.9 percent in 2024.</w:t>
      </w:r>
      <w:r>
        <w:t xml:space="preserve"> </w:t>
      </w:r>
      <w:r>
        <w:t xml:space="preserve">1.24.1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Consistent with its regular role of a net creditor to</w:t>
      </w:r>
      <w:r>
        <w:t xml:space="preserve"> </w:t>
      </w:r>
      <w:r>
        <w:t xml:space="preserve">the rest of the world, the Portuguese net</w:t>
      </w:r>
      <w:r>
        <w:t xml:space="preserve"> </w:t>
      </w:r>
      <w:r>
        <w:t xml:space="preserve">international investment position (NIIP) has</w:t>
      </w:r>
      <w:r>
        <w:t xml:space="preserve"> </w:t>
      </w:r>
      <w:r>
        <w:t xml:space="preserve">steadily improved, although it remains in negative</w:t>
      </w:r>
      <w:r>
        <w:t xml:space="preserve"> </w:t>
      </w:r>
      <w:r>
        <w:t xml:space="preserve">territory. Following Portugal’s entry into the</w:t>
      </w:r>
      <w:r>
        <w:t xml:space="preserve"> </w:t>
      </w:r>
      <w:r>
        <w:t xml:space="preserve">Economic and Monetary Union (EMU) in 1999,</w:t>
      </w:r>
      <w:r>
        <w:t xml:space="preserve"> </w:t>
      </w:r>
      <w:r>
        <w:t xml:space="preserve">Portugal’s NIIP deteriorated sharply driven by a</w:t>
      </w:r>
      <w:r>
        <w:t xml:space="preserve"> </w:t>
      </w:r>
      <w:r>
        <w:t xml:space="preserve">domestic demand boom financed through external</w:t>
      </w:r>
      <w:r>
        <w:t xml:space="preserve"> </w:t>
      </w:r>
      <w:r>
        <w:t xml:space="preserve">borrowing, particularly by financial institutions</w:t>
      </w:r>
      <w:r>
        <w:t xml:space="preserve"> </w:t>
      </w:r>
      <w:r>
        <w:t xml:space="preserve">channelling funds into housing and consumption. The</w:t>
      </w:r>
      <w:r>
        <w:t xml:space="preserve"> </w:t>
      </w:r>
      <w:r>
        <w:t xml:space="preserve">adjustment started taking place during the sovereign</w:t>
      </w:r>
      <w:r>
        <w:t xml:space="preserve"> </w:t>
      </w:r>
      <w:r>
        <w:t xml:space="preserve">debt crisis when debt servicing costs reached 4% of</w:t>
      </w:r>
      <w:r>
        <w:t xml:space="preserve"> </w:t>
      </w:r>
      <w:r>
        <w:t xml:space="preserve">GDP. Between end-2017 and end-2024, the NIIP</w:t>
      </w:r>
      <w:r>
        <w:t xml:space="preserve"> </w:t>
      </w:r>
      <w:r>
        <w:t xml:space="preserve">further improved from –110% to –59% of GDP, a</w:t>
      </w:r>
      <w:r>
        <w:t xml:space="preserve"> </w:t>
      </w:r>
      <w:r>
        <w:t xml:space="preserve">remarkable adjustment reflecting consistent current</w:t>
      </w:r>
      <w:r>
        <w:t xml:space="preserve"> </w:t>
      </w:r>
      <w:r>
        <w:t xml:space="preserve">account surpluses since 2013. In particular, foreign</w:t>
      </w:r>
      <w:r>
        <w:t xml:space="preserve"> </w:t>
      </w:r>
      <w:r>
        <w:t xml:space="preserve">direct investment liabilities have remained stable at</w:t>
      </w:r>
      <w:r>
        <w:t xml:space="preserve"> </w:t>
      </w:r>
      <w:r>
        <w:t xml:space="preserve">around –80% of GDP, while assets declined slightly</w:t>
      </w:r>
      <w:r>
        <w:t xml:space="preserve"> </w:t>
      </w:r>
      <w:r>
        <w:t xml:space="preserve">from 42.4% in 2017 to 35.0% in 2024. As a result,</w:t>
      </w:r>
      <w:r>
        <w:t xml:space="preserve"> </w:t>
      </w:r>
      <w:r>
        <w:t xml:space="preserve">Portugal’s net FDI position deteriorated modestly over</w:t>
      </w:r>
      <w:r>
        <w:t xml:space="preserve"> </w:t>
      </w:r>
      <w:r>
        <w:t xml:space="preserve">the period. And in the category of “Other investment</w:t>
      </w:r>
      <w:r>
        <w:t xml:space="preserve"> </w:t>
      </w:r>
      <w:r>
        <w:t xml:space="preserve">liabilities”, the gross stock of liabilities fell sharply</w:t>
      </w:r>
      <w:r>
        <w:t xml:space="preserve"> </w:t>
      </w:r>
      <w:r>
        <w:t xml:space="preserve">from –126.7% of GDP in 2017 to –94.2% in 2024,</w:t>
      </w:r>
      <w:r>
        <w:t xml:space="preserve"> </w:t>
      </w:r>
      <w:r>
        <w:t xml:space="preserve">while assets also declined slightly, leading to a gradual</w:t>
      </w:r>
      <w:r>
        <w:t xml:space="preserve"> </w:t>
      </w:r>
      <w:r>
        <w:t xml:space="preserve">improvement in the net position. Consequently, by</w:t>
      </w:r>
      <w:r>
        <w:t xml:space="preserve"> </w:t>
      </w:r>
      <w:r>
        <w:t xml:space="preserve">end-2024, Portugal’s NIIP stood at –58.8% of GDP, a</w:t>
      </w:r>
      <w:r>
        <w:t xml:space="preserve"> </w:t>
      </w:r>
      <w:r>
        <w:t xml:space="preserve">notable improvement despite still being a net debtor</w:t>
      </w:r>
      <w:r>
        <w:t xml:space="preserve"> </w:t>
      </w:r>
      <w:r>
        <w:t xml:space="preserve">economy in global financial flows.</w:t>
      </w:r>
      <w:r>
        <w:t xml:space="preserve"> </w:t>
      </w:r>
      <w:r>
        <w:t xml:space="preserve">1.24.2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and size of the financial sector</w:t>
      </w:r>
      <w:r>
        <w:t xml:space="preserve"> </w:t>
      </w:r>
      <w:r>
        <w:t xml:space="preserve">Portugal’s domestic capital markets are moderately</w:t>
      </w:r>
      <w:r>
        <w:t xml:space="preserve"> </w:t>
      </w:r>
      <w:r>
        <w:t xml:space="preserve">developed within the European context. The market</w:t>
      </w:r>
      <w:r>
        <w:t xml:space="preserve"> </w:t>
      </w:r>
      <w:r>
        <w:t xml:space="preserve">capitalisation of listed equity reached 20.7% of GDP at</w:t>
      </w:r>
      <w:r>
        <w:t xml:space="preserve"> </w:t>
      </w:r>
      <w:r>
        <w:t xml:space="preserve">the end of 2024. Of this, non-financial corporations</w:t>
      </w:r>
      <w:r>
        <w:t xml:space="preserve"> </w:t>
      </w:r>
      <w:r>
        <w:t xml:space="preserve">accounted for 18.2%, while financial corporations</w:t>
      </w:r>
      <w:r>
        <w:t xml:space="preserve"> </w:t>
      </w:r>
      <w:r>
        <w:t xml:space="preserve">represented</w:t>
      </w:r>
      <w:r>
        <w:t xml:space="preserve"> </w:t>
      </w:r>
      <w:r>
        <w:t xml:space="preserve">only</w:t>
      </w:r>
      <w:r>
        <w:t xml:space="preserve"> </w:t>
      </w:r>
      <w:r>
        <w:t xml:space="preserve">2.5%.</w:t>
      </w:r>
      <w:r>
        <w:t xml:space="preserve"> </w:t>
      </w:r>
      <w:r>
        <w:t xml:space="preserve">This</w:t>
      </w:r>
      <w:r>
        <w:t xml:space="preserve"> </w:t>
      </w:r>
      <w:r>
        <w:t xml:space="preserve">relative</w:t>
      </w:r>
      <w:r>
        <w:t xml:space="preserve"> </w:t>
      </w:r>
      <w:r>
        <w:t xml:space="preserve">underdevelopment places Portugal’s equity market</w:t>
      </w:r>
      <w:r>
        <w:t xml:space="preserve"> </w:t>
      </w:r>
      <w:r>
        <w:t xml:space="preserve">among the smaller ones in the European Union. In</w:t>
      </w:r>
      <w:r>
        <w:t xml:space="preserve"> </w:t>
      </w:r>
      <w:r>
        <w:t xml:space="preserve">contrast, the debt securities market plays a more</w:t>
      </w:r>
      <w:r>
        <w:t xml:space="preserve"> </w:t>
      </w:r>
      <w:r>
        <w:t xml:space="preserve">prominent role, with an outstanding volume of 102.8%</w:t>
      </w:r>
      <w:r>
        <w:t xml:space="preserve"> </w:t>
      </w:r>
      <w:r>
        <w:t xml:space="preserve">of GDP. Government-issued bonds dominate the</w:t>
      </w:r>
      <w:r>
        <w:t xml:space="preserve"> </w:t>
      </w:r>
      <w:r>
        <w:t xml:space="preserve">market, accounting for 62.4% of GDP, followed by</w:t>
      </w:r>
      <w:r>
        <w:t xml:space="preserve"> </w:t>
      </w:r>
      <w:r>
        <w:t xml:space="preserve">bonds issued by banks with 20.4% and by non-</w:t>
      </w:r>
      <w:r>
        <w:t xml:space="preserve"> </w:t>
      </w:r>
      <w:r>
        <w:t xml:space="preserve">financial corporations with 14.1%. The remaining</w:t>
      </w:r>
      <w:r>
        <w:t xml:space="preserve"> </w:t>
      </w:r>
      <w:r>
        <w:t xml:space="preserve">5.4% consists of debt securities issued by other</w:t>
      </w:r>
      <w:r>
        <w:t xml:space="preserve"> </w:t>
      </w:r>
      <w:r>
        <w:t xml:space="preserve">financial intermediaries. This structure underlines the</w:t>
      </w:r>
      <w:r>
        <w:t xml:space="preserve"> </w:t>
      </w:r>
      <w:r>
        <w:t xml:space="preserve">importance of public debt in Portugal, with corporate</w:t>
      </w:r>
      <w:r>
        <w:t xml:space="preserve"> </w:t>
      </w:r>
      <w:r>
        <w:t xml:space="preserve">and bank debt playing a secondary role. The financial</w:t>
      </w:r>
      <w:r>
        <w:t xml:space="preserve"> </w:t>
      </w:r>
      <w:r>
        <w:t xml:space="preserve">sector in Portugal remains predominantly bank-based.</w:t>
      </w:r>
      <w:r>
        <w:t xml:space="preserve"> </w:t>
      </w:r>
      <w:r>
        <w:t xml:space="preserve">The assets of the banking sector reached 155.6% of</w:t>
      </w:r>
      <w:r>
        <w:t xml:space="preserve"> </w:t>
      </w:r>
      <w:r>
        <w:t xml:space="preserve">GDP in 2024, well above those of other segments.</w:t>
      </w:r>
      <w:r>
        <w:t xml:space="preserve"> </w:t>
      </w:r>
      <w:r>
        <w:t xml:space="preserve">Insurance corporations held assets equivalent to 19.5%</w:t>
      </w:r>
      <w:r>
        <w:t xml:space="preserve"> </w:t>
      </w:r>
      <w:r>
        <w:t xml:space="preserve">of GDP, and pension funds accounted for just 5.7%,</w:t>
      </w:r>
      <w:r>
        <w:t xml:space="preserve"> </w:t>
      </w:r>
      <w:r>
        <w:t xml:space="preserve">pointing to a relatively modest role for institutional</w:t>
      </w:r>
      <w:r>
        <w:t xml:space="preserve"> </w:t>
      </w:r>
      <w:r>
        <w:t xml:space="preserve">investors and suggesting room for growth in long-term</w:t>
      </w:r>
      <w:r>
        <w:t xml:space="preserve"> </w:t>
      </w:r>
      <w:r>
        <w:t xml:space="preserve">investment. By contrast, investment funds have gained</w:t>
      </w:r>
      <w:r>
        <w:t xml:space="preserve"> </w:t>
      </w:r>
      <w:r>
        <w:t xml:space="preserve">traction, with total assets reaching 18.3% of GDP by</w:t>
      </w:r>
      <w:r>
        <w:t xml:space="preserve"> </w:t>
      </w:r>
      <w:r>
        <w:t xml:space="preserve">the end of 2024, reflecting increased investor interest</w:t>
      </w:r>
      <w:r>
        <w:t xml:space="preserve"> </w:t>
      </w:r>
      <w:r>
        <w:t xml:space="preserve">in capital markets.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-120</w:t>
      </w:r>
      <w:r>
        <w:t xml:space="preserve"> </w:t>
      </w:r>
      <w:r>
        <w:t xml:space="preserve">-100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-400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484</w:t>
      </w:r>
      <w:r>
        <w:t xml:space="preserve"> </w:t>
      </w:r>
      <w:r>
        <w:t xml:space="preserve">1.24.3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Portugal’s stock market is small and shrinking,</w:t>
      </w:r>
      <w:r>
        <w:t xml:space="preserve"> </w:t>
      </w:r>
      <w:r>
        <w:t xml:space="preserve">with few listed companies and limited use of equity</w:t>
      </w:r>
      <w:r>
        <w:t xml:space="preserve"> </w:t>
      </w:r>
      <w:r>
        <w:t xml:space="preserve">financing by firms. Portugal’s only regulated market,</w:t>
      </w:r>
      <w:r>
        <w:t xml:space="preserve"> </w:t>
      </w:r>
      <w:r>
        <w:t xml:space="preserve">the Lisbon stock exchange (LSE), is owned and</w:t>
      </w:r>
      <w:r>
        <w:t xml:space="preserve"> </w:t>
      </w:r>
      <w:r>
        <w:t xml:space="preserve">operated by Euronext, the largest stock exchange</w:t>
      </w:r>
      <w:r>
        <w:t xml:space="preserve"> </w:t>
      </w:r>
      <w:r>
        <w:t xml:space="preserve">operator in the EU. The LSE is relatively small and</w:t>
      </w:r>
      <w:r>
        <w:t xml:space="preserve"> </w:t>
      </w:r>
      <w:r>
        <w:t xml:space="preserve">currently lists only 47 companies (53 in 2024). In fact,</w:t>
      </w:r>
      <w:r>
        <w:t xml:space="preserve"> </w:t>
      </w:r>
      <w:r>
        <w:t xml:space="preserve">most Portuguese firms do not rely on capital markets to</w:t>
      </w:r>
      <w:r>
        <w:t xml:space="preserve"> </w:t>
      </w:r>
      <w:r>
        <w:t xml:space="preserve">cover their financing needs. This explains why</w:t>
      </w:r>
      <w:r>
        <w:t xml:space="preserve"> </w:t>
      </w:r>
      <w:r>
        <w:t xml:space="preserve">Portugal has one of the lowest share of SMEs</w:t>
      </w:r>
      <w:r>
        <w:t xml:space="preserve"> </w:t>
      </w:r>
      <w:r>
        <w:t xml:space="preserve">indicating “equity” as a relevant mean of financing</w:t>
      </w:r>
      <w:r>
        <w:t xml:space="preserve"> </w:t>
      </w:r>
      <w:r>
        <w:t xml:space="preserve">their business activity (in the ECB’s “Survey on Access</w:t>
      </w:r>
      <w:r>
        <w:t xml:space="preserve"> </w:t>
      </w:r>
      <w:r>
        <w:t xml:space="preserve">to Finance”). As a matter of fact, the Lisbon stock</w:t>
      </w:r>
      <w:r>
        <w:t xml:space="preserve"> </w:t>
      </w:r>
      <w:r>
        <w:t xml:space="preserve">exchange had only 1 IPO in 2024 (one REIT). More</w:t>
      </w:r>
      <w:r>
        <w:t xml:space="preserve"> </w:t>
      </w:r>
      <w:r>
        <w:t xml:space="preserve">importantly, Portugal has lost two-thirds of its listed</w:t>
      </w:r>
      <w:r>
        <w:t xml:space="preserve"> </w:t>
      </w:r>
      <w:r>
        <w:t xml:space="preserve">companies over the last two decades.</w:t>
      </w:r>
      <w:r>
        <w:t xml:space="preserve"> </w:t>
      </w:r>
      <w:r>
        <w:t xml:space="preserve">The performance of Portugal’s stock market has</w:t>
      </w:r>
      <w:r>
        <w:t xml:space="preserve"> </w:t>
      </w:r>
      <w:r>
        <w:t xml:space="preserve">lagged behind broader European benchmarks such</w:t>
      </w:r>
      <w:r>
        <w:t xml:space="preserve"> </w:t>
      </w:r>
      <w:r>
        <w:t xml:space="preserve">as the Eurostoxx Price Index. The PSI-20 Index,</w:t>
      </w:r>
      <w:r>
        <w:t xml:space="preserve"> </w:t>
      </w:r>
      <w:r>
        <w:t xml:space="preserve">Portugal’s main stock index, has shown some</w:t>
      </w:r>
      <w:r>
        <w:t xml:space="preserve"> </w:t>
      </w:r>
      <w:r>
        <w:t xml:space="preserve">resilience since the euro area crisis, but its recovery</w:t>
      </w:r>
      <w:r>
        <w:t xml:space="preserve"> </w:t>
      </w:r>
      <w:r>
        <w:t xml:space="preserve">remains incomplete, as it has not yet returned to levels</w:t>
      </w:r>
      <w:r>
        <w:t xml:space="preserve"> </w:t>
      </w:r>
      <w:r>
        <w:t xml:space="preserve">seen before the global financial crisis. The index</w:t>
      </w:r>
      <w:r>
        <w:t xml:space="preserve"> </w:t>
      </w:r>
      <w:r>
        <w:t xml:space="preserve">continues to be affected by market volatility and</w:t>
      </w:r>
      <w:r>
        <w:t xml:space="preserve"> </w:t>
      </w:r>
      <w:r>
        <w:t xml:space="preserve">broader macroeconomic uncertainty. The Portuguese</w:t>
      </w:r>
      <w:r>
        <w:t xml:space="preserve"> </w:t>
      </w:r>
      <w:r>
        <w:t xml:space="preserve">banking sector index has also faced persistent</w:t>
      </w:r>
      <w:r>
        <w:t xml:space="preserve"> </w:t>
      </w:r>
      <w:r>
        <w:t xml:space="preserve">difficulties. It declined sharply during the financial</w:t>
      </w:r>
      <w:r>
        <w:t xml:space="preserve"> </w:t>
      </w:r>
      <w:r>
        <w:t xml:space="preserve">crisis and has yet to regain pre-crisis levels, despite</w:t>
      </w:r>
    </w:p>
    <w:p>
      <w:pPr>
        <w:pStyle w:val="BodyText"/>
      </w:pPr>
      <w:r>
        <w:t xml:space="preserve">757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having almost tripled its value since June 2023</w:t>
      </w:r>
      <w:r>
        <w:t xml:space="preserve"> </w:t>
      </w:r>
      <w:r>
        <w:t xml:space="preserve">Structural challenges such as legacy non-performing</w:t>
      </w:r>
      <w:r>
        <w:t xml:space="preserve"> </w:t>
      </w:r>
      <w:r>
        <w:t xml:space="preserve">loans continue to weigh on the sector.</w:t>
      </w:r>
      <w:r>
        <w:br/>
      </w:r>
      <w:r>
        <w:t xml:space="preserve">1.24.4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Group757.</w:t>
      </w:r>
      <w:r>
        <w:t xml:space="preserve"> </w:t>
      </w:r>
      <w:r>
        <w:t xml:space="preserve">Companies’ funding and households’ assets</w:t>
      </w:r>
      <w:r>
        <w:t xml:space="preserve"> </w:t>
      </w:r>
      <w:r>
        <w:t xml:space="preserve">Debt financing remains a modest but stable source</w:t>
      </w:r>
      <w:r>
        <w:t xml:space="preserve"> </w:t>
      </w:r>
      <w:r>
        <w:t xml:space="preserve">of market funding for Portuguese banks and, to a</w:t>
      </w:r>
      <w:r>
        <w:t xml:space="preserve"> </w:t>
      </w:r>
      <w:r>
        <w:t xml:space="preserve">lesser extent, for companies. In the first quarter of</w:t>
      </w:r>
      <w:r>
        <w:t xml:space="preserve"> </w:t>
      </w:r>
      <w:r>
        <w:t xml:space="preserve">2025, monetary financial institutions (MFIs) reported</w:t>
      </w:r>
      <w:r>
        <w:t xml:space="preserve"> </w:t>
      </w:r>
      <w:r>
        <w:t xml:space="preserve">net debt issuance of negative EUR 0.5 bn, a reversal</w:t>
      </w:r>
      <w:r>
        <w:t xml:space="preserve"> </w:t>
      </w:r>
      <w:r>
        <w:t xml:space="preserve">from the EUR 2.5 bn issued in 2024, suggesting a</w:t>
      </w:r>
      <w:r>
        <w:t xml:space="preserve"> </w:t>
      </w:r>
      <w:r>
        <w:t xml:space="preserve">slowdown in market-based funding. Other financial</w:t>
      </w:r>
      <w:r>
        <w:t xml:space="preserve"> </w:t>
      </w:r>
      <w:r>
        <w:t xml:space="preserve">corporations (non-MFIs) also showed negative</w:t>
      </w:r>
      <w:r>
        <w:t xml:space="preserve"> </w:t>
      </w:r>
      <w:r>
        <w:t xml:space="preserve">issuance of negative EUR 0.3 bn in Q1 2025, compared</w:t>
      </w:r>
      <w:r>
        <w:t xml:space="preserve"> </w:t>
      </w:r>
      <w:r>
        <w:t xml:space="preserve">to a modest EUR 0.6 bn in 2024. In contrast, non-</w:t>
      </w:r>
      <w:r>
        <w:t xml:space="preserve"> </w:t>
      </w:r>
      <w:r>
        <w:t xml:space="preserve">financial corporations continued to make moderate use</w:t>
      </w:r>
      <w:r>
        <w:t xml:space="preserve"> </w:t>
      </w:r>
      <w:r>
        <w:t xml:space="preserve">of market debt, issuing EUR 1.2 bn in Q1 2025,</w:t>
      </w:r>
      <w:r>
        <w:t xml:space="preserve"> </w:t>
      </w:r>
      <w:r>
        <w:t xml:space="preserve">following a total of EUR 3.2 bn in 2024. These modest</w:t>
      </w:r>
      <w:r>
        <w:t xml:space="preserve"> </w:t>
      </w:r>
      <w:r>
        <w:t xml:space="preserve">figures confirm the limited role of bond markets in</w:t>
      </w:r>
      <w:r>
        <w:t xml:space="preserve"> </w:t>
      </w:r>
      <w:r>
        <w:t xml:space="preserve">corporate</w:t>
      </w:r>
      <w:r>
        <w:t xml:space="preserve"> </w:t>
      </w:r>
      <w:r>
        <w:t xml:space="preserve">financing</w:t>
      </w:r>
      <w:r>
        <w:t xml:space="preserve"> </w:t>
      </w:r>
      <w:r>
        <w:t xml:space="preserve">in</w:t>
      </w:r>
      <w:r>
        <w:t xml:space="preserve"> </w:t>
      </w:r>
      <w:r>
        <w:t xml:space="preserve">Portugal.</w:t>
      </w:r>
      <w:r>
        <w:t xml:space="preserve"> </w:t>
      </w:r>
      <w:r>
        <w:t xml:space="preserve">Meanwhile,</w:t>
      </w:r>
      <w:r>
        <w:t xml:space="preserve"> </w:t>
      </w:r>
      <w:r>
        <w:t xml:space="preserve">government debt issuance remained significant, with</w:t>
      </w:r>
      <w:r>
        <w:t xml:space="preserve"> </w:t>
      </w:r>
      <w:r>
        <w:t xml:space="preserve">EUR 6 bn in net issuance in Q1 2025, following EUR</w:t>
      </w:r>
      <w:r>
        <w:t xml:space="preserve"> </w:t>
      </w:r>
      <w:r>
        <w:t xml:space="preserve">11.8 bn in 2024, confirming the public sector’s</w:t>
      </w:r>
      <w:r>
        <w:t xml:space="preserve"> </w:t>
      </w:r>
      <w:r>
        <w:t xml:space="preserve">dominant role in the domestic debt market.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PT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PORTUGAL PSI-20 -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485</w:t>
      </w:r>
      <w:r>
        <w:t xml:space="preserve"> </w:t>
      </w:r>
      <w:r>
        <w:t xml:space="preserve">1.24.5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</w:p>
    <w:p>
      <w:pPr>
        <w:pStyle w:val="BodyText"/>
      </w:pPr>
      <w:r>
        <w:t xml:space="preserve">1.24.6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Portuguese households strongly favor liquidity,</w:t>
      </w:r>
      <w:r>
        <w:t xml:space="preserve"> </w:t>
      </w:r>
      <w:r>
        <w:t xml:space="preserve">with currency and deposits well above the EU</w:t>
      </w:r>
      <w:r>
        <w:t xml:space="preserve"> </w:t>
      </w:r>
      <w:r>
        <w:t xml:space="preserve">average while their investments in capital markets,</w:t>
      </w:r>
      <w:r>
        <w:t xml:space="preserve"> </w:t>
      </w:r>
      <w:r>
        <w:t xml:space="preserve">including insurance, pension funds, bonds, and</w:t>
      </w:r>
      <w:r>
        <w:t xml:space="preserve"> </w:t>
      </w:r>
      <w:r>
        <w:t xml:space="preserve">listed shares, remain significantly below EU</w:t>
      </w:r>
      <w:r>
        <w:t xml:space="preserve"> </w:t>
      </w:r>
      <w:r>
        <w:t xml:space="preserve">averages. Portuguese households exhibit a strong</w:t>
      </w:r>
      <w:r>
        <w:t xml:space="preserve"> </w:t>
      </w:r>
      <w:r>
        <w:t xml:space="preserve">preference for liquidity, with their holdings in currency</w:t>
      </w:r>
      <w:r>
        <w:t xml:space="preserve"> </w:t>
      </w:r>
      <w:r>
        <w:t xml:space="preserve">and deposits reaching 90.7% of GDP, well above the</w:t>
      </w:r>
      <w:r>
        <w:t xml:space="preserve"> </w:t>
      </w:r>
      <w:r>
        <w:t xml:space="preserve">EU average of 67.6%. This contrasts sharply with their</w:t>
      </w:r>
      <w:r>
        <w:t xml:space="preserve"> </w:t>
      </w:r>
      <w:r>
        <w:t xml:space="preserve">limited exposure to capital markets. Household</w:t>
      </w:r>
      <w:r>
        <w:t xml:space="preserve"> </w:t>
      </w:r>
      <w:r>
        <w:t xml:space="preserve">investments in insurance and pension funds amount to</w:t>
      </w:r>
      <w:r>
        <w:t xml:space="preserve"> </w:t>
      </w:r>
      <w:r>
        <w:t xml:space="preserve">21.3% of GDP, less than half the EU average of 58.3%.</w:t>
      </w:r>
      <w:r>
        <w:t xml:space="preserve"> </w:t>
      </w:r>
      <w:r>
        <w:t xml:space="preserve">Direct holdings of bonds (2.3% of GDP) and listed</w:t>
      </w:r>
      <w:r>
        <w:t xml:space="preserve"> </w:t>
      </w:r>
      <w:r>
        <w:t xml:space="preserve">shares (3.0% of GDP) also fall significantly short of</w:t>
      </w:r>
      <w:r>
        <w:t xml:space="preserve"> </w:t>
      </w:r>
      <w:r>
        <w:t xml:space="preserve">EU averages (5.6% and 10.0%, respectively).</w:t>
      </w:r>
      <w:r>
        <w:t xml:space="preserve"> </w:t>
      </w:r>
      <w:r>
        <w:t xml:space="preserve">Similarly, investment fund allocations (12.5% of GDP)</w:t>
      </w:r>
      <w:r>
        <w:t xml:space="preserve"> </w:t>
      </w:r>
      <w:r>
        <w:t xml:space="preserve">lag behind the EU (21.0%), while unlisted shares</w:t>
      </w:r>
      <w:r>
        <w:t xml:space="preserve"> </w:t>
      </w:r>
      <w:r>
        <w:t xml:space="preserve">(22.7% of GDP) align closely with the EU average</w:t>
      </w:r>
      <w:r>
        <w:t xml:space="preserve"> </w:t>
      </w:r>
      <w:r>
        <w:t xml:space="preserve">(22.6%). In per capita terms, Portuguese households</w:t>
      </w:r>
      <w:r>
        <w:t xml:space="preserve"> </w:t>
      </w:r>
      <w:r>
        <w:t xml:space="preserve">allocate significantly less money to financial assets</w:t>
      </w:r>
      <w:r>
        <w:t xml:space="preserve"> </w:t>
      </w:r>
      <w:r>
        <w:t xml:space="preserve">than the EU average, which is a natural consequence of</w:t>
      </w:r>
      <w:r>
        <w:t xml:space="preserve"> </w:t>
      </w:r>
      <w:r>
        <w:t xml:space="preserve">the lower average savings rate and average disposable</w:t>
      </w:r>
      <w:r>
        <w:t xml:space="preserve"> </w:t>
      </w:r>
      <w:r>
        <w:t xml:space="preserve">income.</w:t>
      </w:r>
      <w:r>
        <w:t xml:space="preserve"> </w:t>
      </w:r>
      <w:r>
        <w:t xml:space="preserve">1.24.7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1.25 Romania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Romanian economy invests its net savings</w:t>
      </w:r>
      <w:r>
        <w:t xml:space="preserve"> </w:t>
      </w:r>
      <w:r>
        <w:t xml:space="preserve">domestically and also sources funding from abroad.</w:t>
      </w:r>
      <w:r>
        <w:t xml:space="preserve"> </w:t>
      </w:r>
      <w:r>
        <w:t xml:space="preserve">From 2015 until 2024, the private savings ratio, net of</w:t>
      </w:r>
      <w:r>
        <w:t xml:space="preserve"> </w:t>
      </w:r>
      <w:r>
        <w:t xml:space="preserve">fixed capital consumption, stood on average at 6.6% of</w:t>
      </w:r>
      <w:r>
        <w:t xml:space="preserve"> </w:t>
      </w:r>
      <w:r>
        <w:t xml:space="preserve">GDP, peaking at 11.7% in 2023 and 2024 (see Graph</w:t>
      </w:r>
      <w:r>
        <w:t xml:space="preserve"> </w:t>
      </w:r>
      <w:r>
        <w:t xml:space="preserve">2.23.1). The net private investment ratio, which</w:t>
      </w:r>
      <w:r>
        <w:t xml:space="preserve"> </w:t>
      </w:r>
      <w:r>
        <w:t xml:space="preserve">denotes the net contribution of the private sector to</w:t>
      </w:r>
      <w:r>
        <w:t xml:space="preserve"> </w:t>
      </w:r>
      <w:r>
        <w:t xml:space="preserve">capital accumulation in the economy, recorded an</w:t>
      </w:r>
      <w:r>
        <w:t xml:space="preserve"> </w:t>
      </w:r>
      <w:r>
        <w:t xml:space="preserve">average of 5% of GDP during the reference ten-year</w:t>
      </w:r>
      <w:r>
        <w:t xml:space="preserve"> </w:t>
      </w:r>
      <w:r>
        <w:t xml:space="preserve">period and reached 10.2% in 2023. At the same time,</w:t>
      </w:r>
      <w:r>
        <w:t xml:space="preserve"> </w:t>
      </w:r>
      <w:r>
        <w:t xml:space="preserve">during the same period the government has been</w:t>
      </w:r>
      <w:r>
        <w:t xml:space="preserve"> </w:t>
      </w:r>
      <w:r>
        <w:t xml:space="preserve">running very sizable budgetary deficits, which during</w:t>
      </w:r>
      <w:r>
        <w:t xml:space="preserve"> </w:t>
      </w:r>
      <w:r>
        <w:t xml:space="preserve">2015-2024 on average amounted to a budgetary deficit</w:t>
      </w:r>
      <w:r>
        <w:t xml:space="preserve"> </w:t>
      </w:r>
      <w:r>
        <w:t xml:space="preserve">of 5.1%. These recurrent and large general government</w:t>
      </w:r>
      <w:r>
        <w:t xml:space="preserve"> </w:t>
      </w:r>
      <w:r>
        <w:t xml:space="preserve">budgetary deficits, combined with only a small positive</w:t>
      </w:r>
      <w:r>
        <w:t xml:space="preserve"> </w:t>
      </w:r>
      <w:r>
        <w:t xml:space="preserve">difference between net domestic savings and net</w:t>
      </w:r>
      <w:r>
        <w:t xml:space="preserve"> </w:t>
      </w:r>
      <w:r>
        <w:t xml:space="preserve">investment, resulted in structural net borrowing by</w:t>
      </w:r>
      <w:r>
        <w:t xml:space="preserve"> </w:t>
      </w:r>
      <w:r>
        <w:t xml:space="preserve">Romania from foreign economies that averaged 3.5%</w:t>
      </w:r>
      <w:r>
        <w:t xml:space="preserve"> </w:t>
      </w:r>
      <w:r>
        <w:t xml:space="preserve">of GDP, with a peak of 7.5% in 2022. Thus, the net</w:t>
      </w:r>
      <w:r>
        <w:t xml:space="preserve"> </w:t>
      </w:r>
      <w:r>
        <w:t xml:space="preserve">savings in Romania have been invested domestically</w:t>
      </w:r>
      <w:r>
        <w:t xml:space="preserve"> </w:t>
      </w:r>
      <w:r>
        <w:t xml:space="preserve">(to finance private investment or borrowing by the</w:t>
      </w:r>
      <w:r>
        <w:t xml:space="preserve"> </w:t>
      </w:r>
      <w:r>
        <w:t xml:space="preserve">government), while they were also complemented by a</w:t>
      </w:r>
      <w:r>
        <w:t xml:space="preserve"> </w:t>
      </w:r>
      <w:r>
        <w:t xml:space="preserve">substantial share of financing from abroad.</w:t>
      </w:r>
      <w:r>
        <w:t xml:space="preserve"> </w:t>
      </w:r>
      <w:r>
        <w:t xml:space="preserve">-10.0</w:t>
      </w:r>
      <w:r>
        <w:t xml:space="preserve"> </w:t>
      </w:r>
      <w:r>
        <w:t xml:space="preserve">-5.0</w:t>
      </w:r>
      <w:r>
        <w:t xml:space="preserve"> </w:t>
      </w:r>
      <w:r>
        <w:t xml:space="preserve">0.0</w:t>
      </w:r>
      <w:r>
        <w:t xml:space="preserve"> </w:t>
      </w:r>
      <w:r>
        <w:t xml:space="preserve">5.0</w:t>
      </w:r>
      <w:r>
        <w:t xml:space="preserve"> </w:t>
      </w:r>
      <w:r>
        <w:t xml:space="preserve">10.0</w:t>
      </w:r>
      <w:r>
        <w:t xml:space="preserve"> </w:t>
      </w:r>
      <w:r>
        <w:t xml:space="preserve">15.0</w:t>
      </w:r>
      <w:r>
        <w:t xml:space="preserve"> </w:t>
      </w:r>
      <w:r>
        <w:t xml:space="preserve">20.0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PT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PT</w:t>
      </w:r>
      <w:r>
        <w:t xml:space="preserve"> </w:t>
      </w:r>
      <w:r>
        <w:t xml:space="preserve">EU</w:t>
      </w:r>
      <w:r>
        <w:t xml:space="preserve"> </w:t>
      </w:r>
      <w:r>
        <w:t xml:space="preserve">PT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Other equity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Bonds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486</w:t>
      </w:r>
      <w:r>
        <w:t xml:space="preserve"> </w:t>
      </w:r>
      <w:r>
        <w:t xml:space="preserve">1.25.1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As a net borrower from the rest of the world, the</w:t>
      </w:r>
      <w:r>
        <w:t xml:space="preserve"> </w:t>
      </w:r>
      <w:r>
        <w:t xml:space="preserve">Romanian</w:t>
      </w:r>
      <w:r>
        <w:t xml:space="preserve"> </w:t>
      </w:r>
      <w:r>
        <w:t xml:space="preserve">economy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recording</w:t>
      </w:r>
      <w:r>
        <w:t xml:space="preserve"> </w:t>
      </w:r>
      <w:r>
        <w:t xml:space="preserve">a</w:t>
      </w:r>
      <w:r>
        <w:t xml:space="preserve"> </w:t>
      </w:r>
      <w:r>
        <w:t xml:space="preserve">persistently negative net international investment</w:t>
      </w:r>
      <w:r>
        <w:t xml:space="preserve"> </w:t>
      </w:r>
      <w:r>
        <w:t xml:space="preserve">position. As of Q4 2024, total assets on foreigners</w:t>
      </w:r>
      <w:r>
        <w:t xml:space="preserve"> </w:t>
      </w:r>
      <w:r>
        <w:t xml:space="preserve">stood at around 42% of GDP, while liabilities to</w:t>
      </w:r>
      <w:r>
        <w:t xml:space="preserve"> </w:t>
      </w:r>
      <w:r>
        <w:t xml:space="preserve">foreigners amounted to just above 84% of GDP,</w:t>
      </w:r>
      <w:r>
        <w:t xml:space="preserve"> </w:t>
      </w:r>
      <w:r>
        <w:t xml:space="preserve">resulting in a net international investment position</w:t>
      </w:r>
      <w:r>
        <w:t xml:space="preserve"> </w:t>
      </w:r>
      <w:r>
        <w:t xml:space="preserve">(NIIP) equivalent to 42.4% of GDP (see Graph 2.23.2).</w:t>
      </w:r>
      <w:r>
        <w:t xml:space="preserve"> </w:t>
      </w:r>
      <w:r>
        <w:t xml:space="preserve">The only factor with a net positive contribution to the</w:t>
      </w:r>
      <w:r>
        <w:t xml:space="preserve"> </w:t>
      </w:r>
      <w:r>
        <w:t xml:space="preserve">NIIP was the significant stock of official foreign</w:t>
      </w:r>
      <w:r>
        <w:t xml:space="preserve"> </w:t>
      </w:r>
      <w:r>
        <w:t xml:space="preserve">reserve assets (at 19.9% of GDP), which reflects the</w:t>
      </w:r>
      <w:r>
        <w:t xml:space="preserve"> </w:t>
      </w:r>
      <w:r>
        <w:t xml:space="preserve">central bank’s focus on a relatively steady exchange</w:t>
      </w:r>
      <w:r>
        <w:t xml:space="preserve"> </w:t>
      </w:r>
      <w:r>
        <w:t xml:space="preserve">rate of the leu, particularly against the euro. The</w:t>
      </w:r>
      <w:r>
        <w:t xml:space="preserve"> </w:t>
      </w:r>
      <w:r>
        <w:t xml:space="preserve">incoming net foreign direct investment (-33.8% of</w:t>
      </w:r>
      <w:r>
        <w:t xml:space="preserve"> </w:t>
      </w:r>
      <w:r>
        <w:t xml:space="preserve">GDP as of Q4 2024) accounted for most of the NIIP.</w:t>
      </w:r>
      <w:r>
        <w:t xml:space="preserve"> </w:t>
      </w:r>
      <w:r>
        <w:t xml:space="preserve">The net portfolio investments, which are directly</w:t>
      </w:r>
      <w:r>
        <w:t xml:space="preserve"> </w:t>
      </w:r>
      <w:r>
        <w:t xml:space="preserve">affected by the price volatility of equity valuations,</w:t>
      </w:r>
      <w:r>
        <w:t xml:space="preserve"> </w:t>
      </w:r>
      <w:r>
        <w:t xml:space="preserve">have also been negative (at -19.8% of GDP as of Q4</w:t>
      </w:r>
      <w:r>
        <w:t xml:space="preserve"> </w:t>
      </w:r>
      <w:r>
        <w:t xml:space="preserve">2024), similarly to the net stock of other investments</w:t>
      </w:r>
      <w:r>
        <w:t xml:space="preserve"> </w:t>
      </w:r>
      <w:r>
        <w:t xml:space="preserve">(at almost -9% of GDP). Thus, the Romanian economy</w:t>
      </w:r>
      <w:r>
        <w:t xml:space="preserve"> </w:t>
      </w:r>
      <w:r>
        <w:t xml:space="preserve">seems well integrated in international capital flows as</w:t>
      </w:r>
      <w:r>
        <w:t xml:space="preserve"> </w:t>
      </w:r>
      <w:r>
        <w:t xml:space="preserve">a recipient of foreign capital, remaining a net capital</w:t>
      </w:r>
      <w:r>
        <w:t xml:space="preserve"> </w:t>
      </w:r>
      <w:r>
        <w:t xml:space="preserve">importer, notably in terms of direct investments.</w:t>
      </w:r>
      <w:r>
        <w:t xml:space="preserve"> </w:t>
      </w:r>
      <w:r>
        <w:t xml:space="preserve">1.25.2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The Romanian economy stands out with one of the</w:t>
      </w:r>
      <w:r>
        <w:t xml:space="preserve"> </w:t>
      </w:r>
      <w:r>
        <w:t xml:space="preserve">most underdeveloped domestic capital markets in</w:t>
      </w:r>
      <w:r>
        <w:t xml:space="preserve"> </w:t>
      </w:r>
      <w:r>
        <w:t xml:space="preserve">the EU. The market capitalisation of listed equity</w:t>
      </w:r>
      <w:r>
        <w:t xml:space="preserve"> </w:t>
      </w:r>
      <w:r>
        <w:t xml:space="preserve">reached 12.7% of GDP at the end of 2024 (see Graph</w:t>
      </w:r>
      <w:r>
        <w:t xml:space="preserve"> </w:t>
      </w:r>
      <w:r>
        <w:t xml:space="preserve">2.23.3), which is well below the EU average of 66.8%</w:t>
      </w:r>
      <w:r>
        <w:t xml:space="preserve"> </w:t>
      </w:r>
      <w:r>
        <w:t xml:space="preserve">of GDP. At the same time, non-financial corporations</w:t>
      </w:r>
      <w:r>
        <w:t xml:space="preserve"> </w:t>
      </w:r>
      <w:r>
        <w:t xml:space="preserve">(NFCs) accounted for 83% of that capitalisation, which</w:t>
      </w:r>
      <w:r>
        <w:t xml:space="preserve"> </w:t>
      </w:r>
      <w:r>
        <w:t xml:space="preserve">implies that the stock market in Romania is</w:t>
      </w:r>
      <w:r>
        <w:t xml:space="preserve"> </w:t>
      </w:r>
      <w:r>
        <w:t xml:space="preserve">predominantly geared towards funding the non-</w:t>
      </w:r>
      <w:r>
        <w:t xml:space="preserve"> </w:t>
      </w:r>
      <w:r>
        <w:t xml:space="preserve">financial segment of the real economy. The outstanding</w:t>
      </w:r>
      <w:r>
        <w:t xml:space="preserve"> </w:t>
      </w:r>
      <w:r>
        <w:t xml:space="preserve">volume of debt securities reached almost 46% of GDP</w:t>
      </w:r>
      <w:r>
        <w:t xml:space="preserve"> </w:t>
      </w:r>
      <w:r>
        <w:t xml:space="preserve">at end-2024, which is significantly below the EU</w:t>
      </w:r>
      <w:r>
        <w:t xml:space="preserve"> </w:t>
      </w:r>
      <w:r>
        <w:t xml:space="preserve">average. Bonds issued by the government accounted</w:t>
      </w:r>
      <w:r>
        <w:t xml:space="preserve"> </w:t>
      </w:r>
      <w:r>
        <w:t xml:space="preserve">for 95% of the total.</w:t>
      </w:r>
      <w:r>
        <w:t xml:space="preserve"> </w:t>
      </w:r>
      <w:r>
        <w:t xml:space="preserve">1.25.3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Romania has the smallest banking sector in the EU.</w:t>
      </w:r>
      <w:r>
        <w:t xml:space="preserve"> </w:t>
      </w:r>
      <w:r>
        <w:t xml:space="preserve">Starting from 56% of GDP in 2020, the size of the</w:t>
      </w:r>
      <w:r>
        <w:t xml:space="preserve"> </w:t>
      </w:r>
      <w:r>
        <w:t xml:space="preserve">banking sector declined to 52% of GDP in 2024 (with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-50</w:t>
      </w:r>
      <w:r>
        <w:t xml:space="preserve"> </w:t>
      </w:r>
      <w:r>
        <w:t xml:space="preserve">-48</w:t>
      </w:r>
      <w:r>
        <w:t xml:space="preserve"> </w:t>
      </w:r>
      <w:r>
        <w:t xml:space="preserve">-46</w:t>
      </w:r>
      <w:r>
        <w:t xml:space="preserve"> </w:t>
      </w:r>
      <w:r>
        <w:t xml:space="preserve">-44</w:t>
      </w:r>
      <w:r>
        <w:t xml:space="preserve"> </w:t>
      </w:r>
      <w:r>
        <w:t xml:space="preserve">-42</w:t>
      </w:r>
      <w:r>
        <w:t xml:space="preserve"> </w:t>
      </w:r>
      <w:r>
        <w:t xml:space="preserve">-40</w:t>
      </w:r>
      <w:r>
        <w:t xml:space="preserve"> </w:t>
      </w:r>
      <w:r>
        <w:t xml:space="preserve">-38</w:t>
      </w:r>
      <w:r>
        <w:t xml:space="preserve"> </w:t>
      </w:r>
      <w:r>
        <w:t xml:space="preserve">-36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​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487</w:t>
      </w:r>
      <w:r>
        <w:t xml:space="preserve"> </w:t>
      </w:r>
      <w:r>
        <w:t xml:space="preserve">the EU average at 251%), which constituted the lowest</w:t>
      </w:r>
      <w:r>
        <w:t xml:space="preserve"> </w:t>
      </w:r>
      <w:r>
        <w:t xml:space="preserve">ratio in the EU. The overall low degree of financial</w:t>
      </w:r>
      <w:r>
        <w:t xml:space="preserve"> </w:t>
      </w:r>
      <w:r>
        <w:t xml:space="preserve">intermediation in Romania could be explained by:</w:t>
      </w:r>
      <w:r>
        <w:br/>
      </w:r>
      <w:r>
        <w:t xml:space="preserve">(i) the large share of non-bankable NFCs that continue</w:t>
      </w:r>
      <w:r>
        <w:t xml:space="preserve"> </w:t>
      </w:r>
      <w:r>
        <w:t xml:space="preserve">to have significant capitalisation weaknesses, and</w:t>
      </w:r>
      <w:r>
        <w:t xml:space="preserve"> </w:t>
      </w:r>
      <w:r>
        <w:t xml:space="preserve">therefore have less access to finance;</w:t>
      </w:r>
      <w:r>
        <w:br/>
      </w:r>
      <w:r>
        <w:t xml:space="preserve">(ii) weak payment discipline in the economy;</w:t>
      </w:r>
      <w:r>
        <w:br/>
      </w:r>
      <w:r>
        <w:t xml:space="preserve">(iii) companies’ reliance mainly on loans from</w:t>
      </w:r>
      <w:r>
        <w:t xml:space="preserve"> </w:t>
      </w:r>
      <w:r>
        <w:t xml:space="preserve">suppliers and shareholders, rather than loans from</w:t>
      </w:r>
      <w:r>
        <w:t xml:space="preserve"> </w:t>
      </w:r>
      <w:r>
        <w:t xml:space="preserve">financial institutions;</w:t>
      </w:r>
      <w:r>
        <w:br/>
      </w:r>
      <w:r>
        <w:t xml:space="preserve">(iv) low rates of bank account ownership, with low-</w:t>
      </w:r>
      <w:r>
        <w:t xml:space="preserve"> </w:t>
      </w:r>
      <w:r>
        <w:t xml:space="preserve">income individuals and adults outside the labour force</w:t>
      </w:r>
      <w:r>
        <w:t xml:space="preserve"> </w:t>
      </w:r>
      <w:r>
        <w:t xml:space="preserve">among those least likely to have a bank account; and</w:t>
      </w:r>
      <w:r>
        <w:br/>
      </w:r>
      <w:r>
        <w:t xml:space="preserve">(v) the modest degree of financial literacy.</w:t>
      </w:r>
      <w:r>
        <w:br/>
      </w:r>
      <w:r>
        <w:t xml:space="preserve">While the financial sector in Romania remains</w:t>
      </w:r>
      <w:r>
        <w:t xml:space="preserve"> </w:t>
      </w:r>
      <w:r>
        <w:t xml:space="preserve">dominated</w:t>
      </w:r>
      <w:r>
        <w:t xml:space="preserve"> </w:t>
      </w:r>
      <w:r>
        <w:t xml:space="preserve">by</w:t>
      </w:r>
      <w:r>
        <w:t xml:space="preserve"> </w:t>
      </w:r>
      <w:r>
        <w:t xml:space="preserve">banks,</w:t>
      </w:r>
      <w:r>
        <w:t xml:space="preserve"> </w:t>
      </w:r>
      <w:r>
        <w:t xml:space="preserve">non-bank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 also play an important role. Foreign</w:t>
      </w:r>
      <w:r>
        <w:t xml:space="preserve"> </w:t>
      </w:r>
      <w:r>
        <w:t xml:space="preserve">presence is predominant and accounts for almost 63%</w:t>
      </w:r>
      <w:r>
        <w:t xml:space="preserve"> </w:t>
      </w:r>
      <w:r>
        <w:t xml:space="preserve">in terms of bank assets. The consolidation in the</w:t>
      </w:r>
      <w:r>
        <w:t xml:space="preserve"> </w:t>
      </w:r>
      <w:r>
        <w:t xml:space="preserve">banking sector has been ongoing in recent years</w:t>
      </w:r>
      <w:r>
        <w:t xml:space="preserve"> </w:t>
      </w:r>
      <w:r>
        <w:t xml:space="preserve">through the acquisition of smaller, less profitable banks</w:t>
      </w:r>
      <w:r>
        <w:t xml:space="preserve"> </w:t>
      </w:r>
      <w:r>
        <w:t xml:space="preserve">with weaker capital positions by larger credit</w:t>
      </w:r>
      <w:r>
        <w:t xml:space="preserve"> </w:t>
      </w:r>
      <w:r>
        <w:t xml:space="preserve">institutions. Currently, banking concentration appears</w:t>
      </w:r>
      <w:r>
        <w:t xml:space="preserve"> </w:t>
      </w:r>
      <w:r>
        <w:t xml:space="preserve">to be slightly higher than on average in the EU, with</w:t>
      </w:r>
      <w:r>
        <w:t xml:space="preserve"> </w:t>
      </w:r>
      <w:r>
        <w:t xml:space="preserve">the top five MFIs representing around 63% of total</w:t>
      </w:r>
      <w:r>
        <w:t xml:space="preserve"> </w:t>
      </w:r>
      <w:r>
        <w:t xml:space="preserve">bank assets. The insurance and pension funds sectors,</w:t>
      </w:r>
      <w:r>
        <w:t xml:space="preserve"> </w:t>
      </w:r>
      <w:r>
        <w:t xml:space="preserve">as well as investment funds (with total assets of almost</w:t>
      </w:r>
      <w:r>
        <w:t xml:space="preserve"> </w:t>
      </w:r>
      <w:r>
        <w:t xml:space="preserve">2.1% of GDP and 2.5% of GDP at end-2024), play a</w:t>
      </w:r>
      <w:r>
        <w:t xml:space="preserve"> </w:t>
      </w:r>
      <w:r>
        <w:t xml:space="preserve">very limited role in the financial intermediation.</w:t>
      </w:r>
    </w:p>
    <w:p>
      <w:pPr>
        <w:pStyle w:val="BodyText"/>
      </w:pPr>
      <w:r>
        <w:t xml:space="preserve">758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1.25.4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Group758.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corporate funding</w:t>
      </w:r>
      <w:r>
        <w:t xml:space="preserve"> </w:t>
      </w:r>
      <w:r>
        <w:t xml:space="preserve">The Romanian corporate sector is heavily reliant on</w:t>
      </w:r>
      <w:r>
        <w:t xml:space="preserve"> </w:t>
      </w:r>
      <w:r>
        <w:t xml:space="preserve">internal financing. According to the 2024 EIB</w:t>
      </w:r>
      <w:r>
        <w:t xml:space="preserve"> </w:t>
      </w:r>
      <w:r>
        <w:t xml:space="preserve">Investment Survey759, for firms in Romania internal</w:t>
      </w:r>
      <w:r>
        <w:t xml:space="preserve"> </w:t>
      </w:r>
      <w:r>
        <w:t xml:space="preserve">sources accounted for the largest share of investment</w:t>
      </w:r>
      <w:r>
        <w:t xml:space="preserve"> </w:t>
      </w:r>
      <w:r>
        <w:t xml:space="preserve">finance (73%), followed by external finance (26%),</w:t>
      </w:r>
      <w:r>
        <w:t xml:space="preserve"> </w:t>
      </w:r>
      <w:r>
        <w:t xml:space="preserve">with the remainder (1%) coming from intra-group</w:t>
      </w:r>
      <w:r>
        <w:t xml:space="preserve"> </w:t>
      </w:r>
      <w:r>
        <w:t xml:space="preserve">financing. On average, in the EU, internal financing</w:t>
      </w:r>
      <w:r>
        <w:t xml:space="preserve"> </w:t>
      </w:r>
      <w:r>
        <w:t xml:space="preserve">accounted for 66% of investment finance, followed by</w:t>
      </w:r>
      <w:r>
        <w:t xml:space="preserve"> </w:t>
      </w:r>
      <w:r>
        <w:t xml:space="preserve">external finance (25%) and intra-group financing (9%).</w:t>
      </w:r>
      <w:r>
        <w:t xml:space="preserve"> </w:t>
      </w:r>
      <w:r>
        <w:t xml:space="preserve">According to the 2024 EIB Investment Survey, many</w:t>
      </w:r>
      <w:r>
        <w:t xml:space="preserve"> </w:t>
      </w:r>
      <w:r>
        <w:t xml:space="preserve">Romanian firms (66%) were satisfied with their overall</w:t>
      </w:r>
      <w:r>
        <w:t xml:space="preserve"> </w:t>
      </w:r>
      <w:r>
        <w:t xml:space="preserve">level of investment over the last three years, but 30%</w:t>
      </w:r>
      <w:r>
        <w:t xml:space="preserve"> </w:t>
      </w:r>
      <w:r>
        <w:t xml:space="preserve">reported investment gaps, twice as many as EU firms</w:t>
      </w:r>
      <w:r>
        <w:t xml:space="preserve"> </w:t>
      </w:r>
      <w:r>
        <w:t xml:space="preserve">(14%). Romanian firms continue to focus their</w:t>
      </w:r>
      <w:r>
        <w:t xml:space="preserve"> </w:t>
      </w:r>
      <w:r>
        <w:t xml:space="preserve">investments on replacement rather than capacity</w:t>
      </w:r>
      <w:r>
        <w:t xml:space="preserve"> </w:t>
      </w:r>
      <w:r>
        <w:t xml:space="preserve">expansion, a focus that intensified in recent years.</w:t>
      </w:r>
      <w:r>
        <w:t xml:space="preserve"> </w:t>
      </w:r>
      <w:r>
        <w:t xml:space="preserve">Romanian companies rely relatively moderately on</w:t>
      </w:r>
      <w:r>
        <w:t xml:space="preserve"> </w:t>
      </w:r>
      <w:r>
        <w:t xml:space="preserve">debt finance to fund their activities. Borrowing by</w:t>
      </w:r>
      <w:r>
        <w:t xml:space="preserve"> </w:t>
      </w:r>
      <w:r>
        <w:t xml:space="preserve">non-financial corporations (NFCs) in Romania</w:t>
      </w:r>
      <w:r>
        <w:t xml:space="preserve"> </w:t>
      </w:r>
      <w:r>
        <w:t xml:space="preserve">(including bank loans, trade credit and bonds) reached</w:t>
      </w:r>
      <w:r>
        <w:t xml:space="preserve"> </w:t>
      </w:r>
      <w:r>
        <w:t xml:space="preserve">just 37% of GDP in 2024, which is significantly below</w:t>
      </w:r>
      <w:r>
        <w:t xml:space="preserve"> </w:t>
      </w:r>
      <w:r>
        <w:t xml:space="preserve">the EU average of about 81% (see Graph 2.23.4). In</w:t>
      </w:r>
      <w:r>
        <w:t xml:space="preserve"> </w:t>
      </w:r>
      <w:r>
        <w:t xml:space="preserve">particular, as a percentage of GDP bank loans and bond</w:t>
      </w:r>
      <w:r>
        <w:t xml:space="preserve"> </w:t>
      </w:r>
      <w:r>
        <w:t xml:space="preserve">issuances by companies in Romania were considerably</w:t>
      </w:r>
      <w:r>
        <w:t xml:space="preserve"> </w:t>
      </w:r>
      <w:r>
        <w:t xml:space="preserve">lower than for the average EU company. However,</w:t>
      </w:r>
      <w:r>
        <w:t xml:space="preserve"> </w:t>
      </w:r>
      <w:r>
        <w:t xml:space="preserve">given the overall much smaller size of the aggregate</w:t>
      </w:r>
      <w:r>
        <w:t xml:space="preserve"> </w:t>
      </w:r>
      <w:r>
        <w:t xml:space="preserve">balance sheet of Romanian NFCs, which reached only</w:t>
      </w:r>
      <w:r>
        <w:t xml:space="preserve"> </w:t>
      </w:r>
      <w:r>
        <w:t xml:space="preserve">61.3% of GDP at end-2024 (versus an EU average of</w:t>
      </w:r>
      <w:r>
        <w:t xml:space="preserve"> </w:t>
      </w:r>
      <w:r>
        <w:t xml:space="preserve">225.6%), the relative share of borrowing in their</w:t>
      </w:r>
      <w:r>
        <w:t xml:space="preserve"> </w:t>
      </w:r>
      <w:r>
        <w:t xml:space="preserve">funding structure (41.9%) is slightly higher than the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759 See EIB Investment Survey 2024.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RO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ROMANIA BET (L)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488</w:t>
      </w:r>
      <w:r>
        <w:t xml:space="preserve"> </w:t>
      </w:r>
      <w:r>
        <w:t xml:space="preserve">EU average (35.7%). Trade credit and advances</w:t>
      </w:r>
      <w:r>
        <w:t xml:space="preserve"> </w:t>
      </w:r>
      <w:r>
        <w:t xml:space="preserve">represent an important part of non-financial sector</w:t>
      </w:r>
      <w:r>
        <w:t xml:space="preserve"> </w:t>
      </w:r>
      <w:r>
        <w:t xml:space="preserve">liabilities (almost 11% of NFC funding in Romania, as</w:t>
      </w:r>
      <w:r>
        <w:t xml:space="preserve"> </w:t>
      </w:r>
      <w:r>
        <w:t xml:space="preserve">compared with just under 4% on average in the EU),</w:t>
      </w:r>
      <w:r>
        <w:t xml:space="preserve"> </w:t>
      </w:r>
      <w:r>
        <w:t xml:space="preserve">which</w:t>
      </w:r>
      <w:r>
        <w:t xml:space="preserve"> </w:t>
      </w:r>
      <w:r>
        <w:t xml:space="preserve">creates</w:t>
      </w:r>
      <w:r>
        <w:t xml:space="preserve"> </w:t>
      </w:r>
      <w:r>
        <w:t xml:space="preserve">liability</w:t>
      </w:r>
      <w:r>
        <w:t xml:space="preserve"> </w:t>
      </w:r>
      <w:r>
        <w:t xml:space="preserve">interlinkages</w:t>
      </w:r>
      <w:r>
        <w:t xml:space="preserve"> </w:t>
      </w:r>
      <w:r>
        <w:t xml:space="preserve">between</w:t>
      </w:r>
      <w:r>
        <w:t xml:space="preserve"> </w:t>
      </w:r>
      <w:r>
        <w:t xml:space="preserve">companies and exposure to the risk of non-payment by</w:t>
      </w:r>
      <w:r>
        <w:t xml:space="preserve"> </w:t>
      </w:r>
      <w:r>
        <w:t xml:space="preserve">customers. One of the reasons behind this type of</w:t>
      </w:r>
      <w:r>
        <w:t xml:space="preserve"> </w:t>
      </w:r>
      <w:r>
        <w:t xml:space="preserve">financing is the large share of NFCs that have</w:t>
      </w:r>
      <w:r>
        <w:t xml:space="preserve"> </w:t>
      </w:r>
      <w:r>
        <w:t xml:space="preserve">significant capitalisation weaknesses, and therefore</w:t>
      </w:r>
      <w:r>
        <w:t xml:space="preserve"> </w:t>
      </w:r>
      <w:r>
        <w:t xml:space="preserve">have only limited access to external finance. Payment</w:t>
      </w:r>
      <w:r>
        <w:t xml:space="preserve"> </w:t>
      </w:r>
      <w:r>
        <w:t xml:space="preserve">discipline in the economy remains weak.</w:t>
      </w:r>
      <w:r>
        <w:t xml:space="preserve"> </w:t>
      </w:r>
      <w:r>
        <w:t xml:space="preserve">1.25.5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Romania’s capital markets have significant room</w:t>
      </w:r>
      <w:r>
        <w:t xml:space="preserve"> </w:t>
      </w:r>
      <w:r>
        <w:t xml:space="preserve">for growth. The Romanian stock market – the</w:t>
      </w:r>
      <w:r>
        <w:t xml:space="preserve"> </w:t>
      </w:r>
      <w:r>
        <w:t xml:space="preserve">Bucharest Stock Exchange (BVB) – is characterised by</w:t>
      </w:r>
      <w:r>
        <w:t xml:space="preserve"> </w:t>
      </w:r>
      <w:r>
        <w:t xml:space="preserve">a lack of dynamism, low capitalisation and low levels</w:t>
      </w:r>
      <w:r>
        <w:t xml:space="preserve"> </w:t>
      </w:r>
      <w:r>
        <w:t xml:space="preserve">of liquidity, driven by a large number of inactive shares</w:t>
      </w:r>
      <w:r>
        <w:t xml:space="preserve"> </w:t>
      </w:r>
      <w:r>
        <w:t xml:space="preserve">and low levels of companies’ free-float.760 Moreover,</w:t>
      </w:r>
      <w:r>
        <w:t xml:space="preserve"> </w:t>
      </w:r>
      <w:r>
        <w:t xml:space="preserve">Romania does not yet have its own fully operational</w:t>
      </w:r>
      <w:r>
        <w:t xml:space="preserve"> </w:t>
      </w:r>
      <w:r>
        <w:t xml:space="preserve">domestic central clearing counterparty (CCP). The</w:t>
      </w:r>
      <w:r>
        <w:t xml:space="preserve"> </w:t>
      </w:r>
      <w:r>
        <w:t xml:space="preserve">underdeveloped stock market is partly a reflection of</w:t>
      </w:r>
      <w:r>
        <w:t xml:space="preserve"> </w:t>
      </w:r>
      <w:r>
        <w:t xml:space="preserve">the Romanian corporate sector, with many companies</w:t>
      </w:r>
      <w:r>
        <w:t xml:space="preserve"> </w:t>
      </w:r>
      <w:r>
        <w:t xml:space="preserve">showing low financial strength and negative equity.</w:t>
      </w:r>
      <w:r>
        <w:t xml:space="preserve"> </w:t>
      </w:r>
      <w:r>
        <w:t xml:space="preserve">Despite these structural weaknesses, the trend in recent</w:t>
      </w:r>
      <w:r>
        <w:t xml:space="preserve"> </w:t>
      </w:r>
      <w:r>
        <w:t xml:space="preserve">years has been very positive. Bucharest’s BET stock</w:t>
      </w:r>
      <w:r>
        <w:t xml:space="preserve"> </w:t>
      </w:r>
      <w:r>
        <w:t xml:space="preserve">index was among the world’s best performers in 2024.</w:t>
      </w:r>
      <w:r>
        <w:t xml:space="preserve"> </w:t>
      </w:r>
      <w:r>
        <w:t xml:space="preserve">This was mainly driven by the successful initial public</w:t>
      </w:r>
      <w:r>
        <w:t xml:space="preserve"> </w:t>
      </w:r>
      <w:r>
        <w:t xml:space="preserve">offering (IPO) of Hidroelectrica in 2023, which revived</w:t>
      </w:r>
      <w:r>
        <w:t xml:space="preserve"> </w:t>
      </w:r>
      <w:r>
        <w:t xml:space="preserve">the interest of domestic and foreign investors in the</w:t>
      </w:r>
      <w:r>
        <w:t xml:space="preserve"> </w:t>
      </w:r>
      <w:r>
        <w:t xml:space="preserve">stock exchange. This IPO could be followed by the</w:t>
      </w:r>
      <w:r>
        <w:t xml:space="preserve"> </w:t>
      </w:r>
      <w:r>
        <w:t xml:space="preserve">listing of other state-owned companies.</w:t>
      </w:r>
    </w:p>
    <w:p>
      <w:pPr>
        <w:pStyle w:val="BodyText"/>
      </w:pPr>
      <w:r>
        <w:t xml:space="preserve">760 See Capital Market Review of Romania: Towards a National</w:t>
      </w:r>
      <w:r>
        <w:t xml:space="preserve"> </w:t>
      </w:r>
      <w:r>
        <w:t xml:space="preserve">Strategy, 2022, OECD.</w:t>
      </w:r>
      <w:r>
        <w:t xml:space="preserve"> </w:t>
      </w:r>
      <w:r>
        <w:t xml:space="preserve">1.25.6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bond</w:t>
      </w:r>
      <w:r>
        <w:t xml:space="preserve"> </w:t>
      </w:r>
      <w:r>
        <w:t xml:space="preserve">market</w:t>
      </w:r>
      <w:r>
        <w:t xml:space="preserve"> </w:t>
      </w:r>
      <w:r>
        <w:t xml:space="preserve">remains</w:t>
      </w:r>
      <w:r>
        <w:t xml:space="preserve"> </w:t>
      </w:r>
      <w:r>
        <w:t xml:space="preserve">underdeveloped. Although the domestic equities</w:t>
      </w:r>
      <w:r>
        <w:t xml:space="preserve"> </w:t>
      </w:r>
      <w:r>
        <w:t xml:space="preserve">market is somewhat more advanced and active, the</w:t>
      </w:r>
      <w:r>
        <w:t xml:space="preserve"> </w:t>
      </w:r>
      <w:r>
        <w:t xml:space="preserve">corporate bond market is among the least liquid in the</w:t>
      </w:r>
      <w:r>
        <w:t xml:space="preserve"> </w:t>
      </w:r>
      <w:r>
        <w:t xml:space="preserve">region, with a relatively small number of outstanding</w:t>
      </w:r>
      <w:r>
        <w:t xml:space="preserve"> </w:t>
      </w:r>
      <w:r>
        <w:t xml:space="preserve">bond issues (see Graph 2.23.6). This underperformance</w:t>
      </w:r>
      <w:r>
        <w:t xml:space="preserve"> </w:t>
      </w:r>
      <w:r>
        <w:t xml:space="preserve">has not only significantly limited access to financing</w:t>
      </w:r>
      <w:r>
        <w:t xml:space="preserve"> </w:t>
      </w:r>
      <w:r>
        <w:t xml:space="preserve">for large segments of the Romanian corporate sector, it</w:t>
      </w:r>
      <w:r>
        <w:t xml:space="preserve"> </w:t>
      </w:r>
      <w:r>
        <w:t xml:space="preserve">has also increased institutional investors’ reliance on</w:t>
      </w:r>
      <w:r>
        <w:t xml:space="preserve"> </w:t>
      </w:r>
      <w:r>
        <w:t xml:space="preserve">Romanian government securities.</w:t>
      </w:r>
      <w:r>
        <w:t xml:space="preserve"> </w:t>
      </w:r>
      <w:r>
        <w:t xml:space="preserve">Romania has developed a comprehensive strategy</w:t>
      </w:r>
      <w:r>
        <w:t xml:space="preserve"> </w:t>
      </w:r>
      <w:r>
        <w:t xml:space="preserve">to boost its capital markets: the national strategy</w:t>
      </w:r>
      <w:r>
        <w:t xml:space="preserve"> </w:t>
      </w:r>
      <w:r>
        <w:t xml:space="preserve">for the development of the capital markets 2023-</w:t>
      </w:r>
      <w:r>
        <w:t xml:space="preserve"> </w:t>
      </w:r>
      <w:r>
        <w:t xml:space="preserve">2026.</w:t>
      </w:r>
      <w:r>
        <w:t xml:space="preserve"> </w:t>
      </w:r>
      <w:r>
        <w:t xml:space="preserve">This</w:t>
      </w:r>
      <w:r>
        <w:t xml:space="preserve"> </w:t>
      </w:r>
      <w:r>
        <w:t xml:space="preserve">strategy</w:t>
      </w:r>
      <w:r>
        <w:t xml:space="preserve"> </w:t>
      </w:r>
      <w:r>
        <w:t xml:space="preserve">sets</w:t>
      </w:r>
      <w:r>
        <w:t xml:space="preserve"> </w:t>
      </w:r>
      <w:r>
        <w:t xml:space="preserve">out</w:t>
      </w:r>
      <w:r>
        <w:t xml:space="preserve"> </w:t>
      </w:r>
      <w:r>
        <w:t xml:space="preserve">a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recommendations that focus on improving the</w:t>
      </w:r>
      <w:r>
        <w:t xml:space="preserve"> </w:t>
      </w:r>
      <w:r>
        <w:t xml:space="preserve">institutional, legal and regulatory framework, to</w:t>
      </w:r>
      <w:r>
        <w:t xml:space="preserve"> </w:t>
      </w:r>
      <w:r>
        <w:t xml:space="preserve">enhance opportunities to develop the domestic</w:t>
      </w:r>
      <w:r>
        <w:t xml:space="preserve"> </w:t>
      </w:r>
      <w:r>
        <w:t xml:space="preserve">market.761 Certain key measures in this strategy have</w:t>
      </w:r>
      <w:r>
        <w:t xml:space="preserve"> </w:t>
      </w:r>
      <w:r>
        <w:t xml:space="preserve">been adopted but not all have fully matured yet.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One of the main obstacles to the expansion of</w:t>
      </w:r>
      <w:r>
        <w:t xml:space="preserve"> </w:t>
      </w:r>
      <w:r>
        <w:t xml:space="preserve">Romania’s capital markets is the limited levels of</w:t>
      </w:r>
      <w:r>
        <w:t xml:space="preserve"> </w:t>
      </w:r>
      <w:r>
        <w:t xml:space="preserve">household savings and their low allocation to capital</w:t>
      </w:r>
      <w:r>
        <w:t xml:space="preserve"> </w:t>
      </w:r>
      <w:r>
        <w:t xml:space="preserve">products. Retail investment remains relatively modest</w:t>
      </w:r>
      <w:r>
        <w:t xml:space="preserve"> </w:t>
      </w:r>
      <w:r>
        <w:t xml:space="preserve">compared to other EU countries, partly due to limited</w:t>
      </w:r>
      <w:r>
        <w:t xml:space="preserve"> </w:t>
      </w:r>
      <w:r>
        <w:t xml:space="preserve">disposable income and a cultural preference for</w:t>
      </w:r>
      <w:r>
        <w:t xml:space="preserve"> </w:t>
      </w:r>
      <w:r>
        <w:t xml:space="preserve">traditional savings methods, such as bank deposits. As</w:t>
      </w:r>
      <w:r>
        <w:t xml:space="preserve"> </w:t>
      </w:r>
      <w:r>
        <w:t xml:space="preserve">of end-2024, Romanian households almost 44% of</w:t>
      </w:r>
      <w:r>
        <w:t xml:space="preserve"> </w:t>
      </w:r>
      <w:r>
        <w:t xml:space="preserve">their financial wealth in cash and bank deposits, as</w:t>
      </w:r>
      <w:r>
        <w:t xml:space="preserve"> </w:t>
      </w:r>
      <w:r>
        <w:t xml:space="preserve">opposed to 32% on average in the EU (see Graph</w:t>
      </w:r>
      <w:r>
        <w:t xml:space="preserve"> </w:t>
      </w:r>
      <w:r>
        <w:t xml:space="preserve">2.23.7). Households’ aggregate financial assets stood</w:t>
      </w:r>
      <w:r>
        <w:t xml:space="preserve"> </w:t>
      </w:r>
      <w:r>
        <w:t xml:space="preserve">at 63% of GDP, which is below the EU average of</w:t>
      </w:r>
      <w:r>
        <w:t xml:space="preserve"> </w:t>
      </w:r>
      <w:r>
        <w:t xml:space="preserve">212%. Romanian households’ investments across all</w:t>
      </w:r>
      <w:r>
        <w:t xml:space="preserve"> </w:t>
      </w:r>
      <w:r>
        <w:t xml:space="preserve">categories are significantly below the EU average. For</w:t>
      </w:r>
      <w:r>
        <w:t xml:space="preserve"> </w:t>
      </w:r>
      <w:r>
        <w:t xml:space="preserve">761 See Decision No. 506/2023 approving the National Strategy for</w:t>
      </w:r>
      <w:r>
        <w:t xml:space="preserve"> </w:t>
      </w:r>
      <w:r>
        <w:t xml:space="preserve">the Development of the Romanian Capital Market for the period</w:t>
      </w:r>
      <w:r>
        <w:t xml:space="preserve"> </w:t>
      </w:r>
      <w:r>
        <w:t xml:space="preserve">2023-2026, Official Journal, Part I, No. 478, 30 May 2023.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RO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-5.0</w:t>
      </w:r>
      <w:r>
        <w:t xml:space="preserve"> </w:t>
      </w:r>
      <w:r>
        <w:t xml:space="preserve">0.0</w:t>
      </w:r>
      <w:r>
        <w:t xml:space="preserve"> </w:t>
      </w:r>
      <w:r>
        <w:t xml:space="preserve">5.0</w:t>
      </w:r>
      <w:r>
        <w:t xml:space="preserve"> </w:t>
      </w:r>
      <w:r>
        <w:t xml:space="preserve">10.0</w:t>
      </w:r>
      <w:r>
        <w:t xml:space="preserve"> </w:t>
      </w:r>
      <w:r>
        <w:t xml:space="preserve">15.0</w:t>
      </w:r>
      <w:r>
        <w:t xml:space="preserve"> </w:t>
      </w:r>
      <w:r>
        <w:t xml:space="preserve">20.0</w:t>
      </w:r>
      <w:r>
        <w:t xml:space="preserve"> </w:t>
      </w:r>
      <w:r>
        <w:t xml:space="preserve">25.0</w:t>
      </w:r>
      <w:r>
        <w:t xml:space="preserve"> </w:t>
      </w:r>
      <w:r>
        <w:t xml:space="preserve">30.0</w:t>
      </w:r>
      <w:r>
        <w:t xml:space="preserve"> </w:t>
      </w:r>
      <w:r>
        <w:t xml:space="preserve">35.0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489</w:t>
      </w:r>
      <w:r>
        <w:t xml:space="preserve"> </w:t>
      </w:r>
      <w:r>
        <w:t xml:space="preserve">example, investments in insurance and pension funds,</w:t>
      </w:r>
      <w:r>
        <w:t xml:space="preserve"> </w:t>
      </w:r>
      <w:r>
        <w:t xml:space="preserve">relative to GDP, are almost six times smaller than the</w:t>
      </w:r>
      <w:r>
        <w:t xml:space="preserve"> </w:t>
      </w:r>
      <w:r>
        <w:t xml:space="preserve">EU average. Direct holdings of bonds and listed equity</w:t>
      </w:r>
      <w:r>
        <w:t xml:space="preserve"> </w:t>
      </w:r>
      <w:r>
        <w:t xml:space="preserve">are also significantly lower, both in nominal amounts</w:t>
      </w:r>
      <w:r>
        <w:t xml:space="preserve"> </w:t>
      </w:r>
      <w:r>
        <w:t xml:space="preserve">per capita and relative to GDP. One of the objectives</w:t>
      </w:r>
      <w:r>
        <w:t xml:space="preserve"> </w:t>
      </w:r>
      <w:r>
        <w:t xml:space="preserve">of the national strategy for the development of the</w:t>
      </w:r>
      <w:r>
        <w:t xml:space="preserve"> </w:t>
      </w:r>
      <w:r>
        <w:t xml:space="preserve">capital markets 2023-2026 is to increase the</w:t>
      </w:r>
      <w:r>
        <w:t xml:space="preserve"> </w:t>
      </w:r>
      <w:r>
        <w:t xml:space="preserve">participation of individual investors in capital markets.</w:t>
      </w:r>
      <w:r>
        <w:t xml:space="preserve"> </w:t>
      </w:r>
      <w:r>
        <w:t xml:space="preserve">Financial inclusion in Romania is still lagging behind</w:t>
      </w:r>
      <w:r>
        <w:t xml:space="preserve"> </w:t>
      </w:r>
      <w:r>
        <w:t xml:space="preserve">EU peers.</w:t>
      </w:r>
      <w:r>
        <w:t xml:space="preserve"> </w:t>
      </w:r>
      <w:r>
        <w:t xml:space="preserve">1.25.7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1.26 Slovakia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growing net private savings of the Slovak</w:t>
      </w:r>
      <w:r>
        <w:t xml:space="preserve"> </w:t>
      </w:r>
      <w:r>
        <w:t xml:space="preserve">economy have been supporting domestic private</w:t>
      </w:r>
      <w:r>
        <w:t xml:space="preserve"> </w:t>
      </w:r>
      <w:r>
        <w:t xml:space="preserve">investment and public finances. In the last decade,</w:t>
      </w:r>
      <w:r>
        <w:t xml:space="preserve"> </w:t>
      </w:r>
      <w:r>
        <w:t xml:space="preserve">the private savings ratio, net of fixed capital</w:t>
      </w:r>
      <w:r>
        <w:t xml:space="preserve"> </w:t>
      </w:r>
      <w:r>
        <w:t xml:space="preserve">consumption, fluctuated around its ten-year average of</w:t>
      </w:r>
      <w:r>
        <w:t xml:space="preserve"> </w:t>
      </w:r>
      <w:r>
        <w:t xml:space="preserve">4.3% of GDP, reaching a maximum of 8.1% in 2024</w:t>
      </w:r>
      <w:r>
        <w:t xml:space="preserve"> </w:t>
      </w:r>
      <w:r>
        <w:t xml:space="preserve">(see Graph 2.24.1). The net private investment ratio,</w:t>
      </w:r>
      <w:r>
        <w:t xml:space="preserve"> </w:t>
      </w:r>
      <w:r>
        <w:t xml:space="preserve">which measures the net contribution of the private</w:t>
      </w:r>
      <w:r>
        <w:t xml:space="preserve"> </w:t>
      </w:r>
      <w:r>
        <w:t xml:space="preserve">sector to capital accumulation in the country, exhibited</w:t>
      </w:r>
      <w:r>
        <w:t xml:space="preserve"> </w:t>
      </w:r>
      <w:r>
        <w:t xml:space="preserve">a ten-year average of 3.9% of GDP and reached a</w:t>
      </w:r>
      <w:r>
        <w:t xml:space="preserve"> </w:t>
      </w:r>
      <w:r>
        <w:t xml:space="preserve">maximum of 5.8% in 2016. During the same period,</w:t>
      </w:r>
      <w:r>
        <w:t xml:space="preserve"> </w:t>
      </w:r>
      <w:r>
        <w:t xml:space="preserve">lending to the government showed an average deficit</w:t>
      </w:r>
      <w:r>
        <w:t xml:space="preserve"> </w:t>
      </w:r>
      <w:r>
        <w:t xml:space="preserve">equivalent to 3.1% of GDP. Thus, the slightly positive</w:t>
      </w:r>
      <w:r>
        <w:t xml:space="preserve"> </w:t>
      </w:r>
      <w:r>
        <w:t xml:space="preserve">balance between net domestic savings and net</w:t>
      </w:r>
      <w:r>
        <w:t xml:space="preserve"> </w:t>
      </w:r>
      <w:r>
        <w:t xml:space="preserve">investment, together with the substantial government</w:t>
      </w:r>
      <w:r>
        <w:t xml:space="preserve"> </w:t>
      </w:r>
      <w:r>
        <w:t xml:space="preserve">deficit, resulted in net borrowing by Slovakia from</w:t>
      </w:r>
      <w:r>
        <w:t xml:space="preserve"> </w:t>
      </w:r>
      <w:r>
        <w:t xml:space="preserve">foreign economies that averaged 2.7% of GDP, with a</w:t>
      </w:r>
      <w:r>
        <w:t xml:space="preserve"> </w:t>
      </w:r>
      <w:r>
        <w:t xml:space="preserve">peak of 9.7% in 2022. Hence, Slovak private</w:t>
      </w:r>
      <w:r>
        <w:t xml:space="preserve"> </w:t>
      </w:r>
      <w:r>
        <w:t xml:space="preserve">investment and public spending are partially financed</w:t>
      </w:r>
      <w:r>
        <w:t xml:space="preserve"> </w:t>
      </w:r>
      <w:r>
        <w:t xml:space="preserve">by foreign savings.</w:t>
      </w:r>
      <w:r>
        <w:br/>
      </w:r>
      <w:r>
        <w:t xml:space="preserve">1.26.1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Slovakia has a negative net international investment</w:t>
      </w:r>
      <w:r>
        <w:t xml:space="preserve"> </w:t>
      </w:r>
      <w:r>
        <w:t xml:space="preserve">position</w:t>
      </w:r>
      <w:r>
        <w:t xml:space="preserve"> </w:t>
      </w:r>
      <w:r>
        <w:t xml:space="preserve">(NIIP)</w:t>
      </w:r>
      <w:r>
        <w:t xml:space="preserve"> </w:t>
      </w:r>
      <w:r>
        <w:t xml:space="preserve">despite</w:t>
      </w:r>
      <w:r>
        <w:t xml:space="preserve"> </w:t>
      </w:r>
      <w:r>
        <w:t xml:space="preserve">some</w:t>
      </w:r>
      <w:r>
        <w:t xml:space="preserve"> </w:t>
      </w:r>
      <w:r>
        <w:t xml:space="preserve">rebalancing</w:t>
      </w:r>
      <w:r>
        <w:t xml:space="preserve"> </w:t>
      </w:r>
      <w:r>
        <w:t xml:space="preserve">throughout the last years. As of Q4 2024, total</w:t>
      </w:r>
      <w:r>
        <w:t xml:space="preserve"> </w:t>
      </w:r>
      <w:r>
        <w:t xml:space="preserve">foreign assets reached 92.2% of GDP, while liabilities</w:t>
      </w:r>
      <w:r>
        <w:t xml:space="preserve"> </w:t>
      </w:r>
      <w:r>
        <w:t xml:space="preserve">to foreigners stood at 142.8% of GDP, resulting in a net</w:t>
      </w:r>
      <w:r>
        <w:t xml:space="preserve"> </w:t>
      </w:r>
      <w:r>
        <w:t xml:space="preserve">international investment position (NIIP) equivalent to -</w:t>
      </w:r>
      <w:r>
        <w:t xml:space="preserve"> </w:t>
      </w:r>
      <w:r>
        <w:t xml:space="preserve">50.6% of GDP (see Graph 2.24.2). This is a reduction</w:t>
      </w:r>
      <w:r>
        <w:t xml:space="preserve"> </w:t>
      </w:r>
      <w:r>
        <w:t xml:space="preserve">compared to previous three years, owing to strong</w:t>
      </w:r>
      <w:r>
        <w:t xml:space="preserve"> </w:t>
      </w:r>
      <w:r>
        <w:t xml:space="preserve">nominal GDP growth. At the same time, the net stock</w:t>
      </w:r>
      <w:r>
        <w:t xml:space="preserve"> </w:t>
      </w:r>
      <w:r>
        <w:t xml:space="preserve">of foreign direct investment (FDI) stood at -40.8% of</w:t>
      </w:r>
      <w:r>
        <w:t xml:space="preserve"> </w:t>
      </w:r>
      <w:r>
        <w:t xml:space="preserve">GDP as of Q4 2024. The net portfolio investments</w:t>
      </w:r>
      <w:r>
        <w:t xml:space="preserve"> </w:t>
      </w:r>
      <w:r>
        <w:t xml:space="preserve">turned positive to 8.8% of GDP as of Q4 2024. The net</w:t>
      </w:r>
      <w:r>
        <w:t xml:space="preserve"> </w:t>
      </w:r>
      <w:r>
        <w:t xml:space="preserve">stock of other investments amounted to -29.2% of</w:t>
      </w:r>
      <w:r>
        <w:t xml:space="preserve"> </w:t>
      </w:r>
      <w:r>
        <w:t xml:space="preserve">GDP. The stock of official foreign reserve assets</w:t>
      </w:r>
      <w:r>
        <w:t xml:space="preserve"> </w:t>
      </w:r>
      <w:r>
        <w:t xml:space="preserve">increased to 10.6% of GDP at the end of 2024,</w:t>
      </w:r>
      <w:r>
        <w:t xml:space="preserve"> </w:t>
      </w:r>
      <w:r>
        <w:t xml:space="preserve">compared to 3.6% of GDP at the end of 2017. Thus, the</w:t>
      </w:r>
      <w:r>
        <w:t xml:space="preserve"> </w:t>
      </w:r>
      <w:r>
        <w:t xml:space="preserve">Slovak economy appears to be well integrated in</w:t>
      </w:r>
      <w:r>
        <w:t xml:space="preserve"> </w:t>
      </w:r>
      <w:r>
        <w:t xml:space="preserve">international capital flows, notably as a stable recipient</w:t>
      </w:r>
      <w:r>
        <w:t xml:space="preserve"> </w:t>
      </w:r>
      <w:r>
        <w:t xml:space="preserve">of FDI and other investments.</w:t>
      </w:r>
      <w:r>
        <w:t xml:space="preserve"> </w:t>
      </w:r>
      <w:r>
        <w:t xml:space="preserve">1.26.2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RO</w:t>
      </w:r>
      <w:r>
        <w:t xml:space="preserve"> </w:t>
      </w:r>
      <w:r>
        <w:t xml:space="preserve">EU</w:t>
      </w:r>
      <w:r>
        <w:t xml:space="preserve"> </w:t>
      </w:r>
      <w:r>
        <w:t xml:space="preserve">RO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490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Banks dominate the financial sector in Slovakia and</w:t>
      </w:r>
      <w:r>
        <w:t xml:space="preserve"> </w:t>
      </w:r>
      <w:r>
        <w:t xml:space="preserve">there is scope for the future development of all non-</w:t>
      </w:r>
      <w:r>
        <w:t xml:space="preserve"> </w:t>
      </w:r>
      <w:r>
        <w:t xml:space="preserve">bank intermediaries. The banking sector is the largest</w:t>
      </w:r>
      <w:r>
        <w:t xml:space="preserve"> </w:t>
      </w:r>
      <w:r>
        <w:t xml:space="preserve">segment of the financial services, accounting for 95.8%</w:t>
      </w:r>
      <w:r>
        <w:t xml:space="preserve"> </w:t>
      </w:r>
      <w:r>
        <w:t xml:space="preserve">of GDP in 2024, which remains however significantly</w:t>
      </w:r>
      <w:r>
        <w:t xml:space="preserve"> </w:t>
      </w:r>
      <w:r>
        <w:t xml:space="preserve">below the EU average of 251.1%. The assets of Slovak</w:t>
      </w:r>
      <w:r>
        <w:t xml:space="preserve"> </w:t>
      </w:r>
      <w:r>
        <w:t xml:space="preserve">pension funds equated to 16.2% of GDP in 2024, which</w:t>
      </w:r>
      <w:r>
        <w:t xml:space="preserve"> </w:t>
      </w:r>
      <w:r>
        <w:t xml:space="preserve">makes pension funds the second largest segment of the</w:t>
      </w:r>
      <w:r>
        <w:t xml:space="preserve"> </w:t>
      </w:r>
      <w:r>
        <w:t xml:space="preserve">financial system after the banking sector. The total</w:t>
      </w:r>
      <w:r>
        <w:t xml:space="preserve"> </w:t>
      </w:r>
      <w:r>
        <w:t xml:space="preserve">assets of investment funds accounted for 8.6% of GDP</w:t>
      </w:r>
      <w:r>
        <w:t xml:space="preserve"> </w:t>
      </w:r>
      <w:r>
        <w:t xml:space="preserve">in 2024. The insurance sector assets accounted for only</w:t>
      </w:r>
      <w:r>
        <w:t xml:space="preserve"> </w:t>
      </w:r>
      <w:r>
        <w:t xml:space="preserve">4.2% of GDP in 2024 (EU average: 54.8%).</w:t>
      </w:r>
      <w:r>
        <w:br/>
      </w:r>
      <w:r>
        <w:t xml:space="preserve">1.26.3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Capital</w:t>
      </w:r>
      <w:r>
        <w:t xml:space="preserve"> </w:t>
      </w:r>
      <w:r>
        <w:t xml:space="preserve">markets</w:t>
      </w:r>
      <w:r>
        <w:t xml:space="preserve"> </w:t>
      </w:r>
      <w:r>
        <w:t xml:space="preserve">in</w:t>
      </w:r>
      <w:r>
        <w:t xml:space="preserve"> </w:t>
      </w:r>
      <w:r>
        <w:t xml:space="preserve">Slovakia</w:t>
      </w:r>
      <w:r>
        <w:t xml:space="preserve"> </w:t>
      </w:r>
      <w:r>
        <w:t xml:space="preserve">remain</w:t>
      </w:r>
      <w:r>
        <w:t xml:space="preserve"> </w:t>
      </w:r>
      <w:r>
        <w:t xml:space="preserve">underdeveloped. The market capitalisation of listed</w:t>
      </w:r>
      <w:r>
        <w:t xml:space="preserve"> </w:t>
      </w:r>
      <w:r>
        <w:t xml:space="preserve">equity as a share of GDP is very small by EU standards,</w:t>
      </w:r>
      <w:r>
        <w:t xml:space="preserve"> </w:t>
      </w:r>
      <w:r>
        <w:t xml:space="preserve">at 1.7% of GDP as of end-2024 (EU average: 66.8%)</w:t>
      </w:r>
      <w:r>
        <w:t xml:space="preserve"> </w:t>
      </w:r>
      <w:r>
        <w:t xml:space="preserve">(see Graph 2.24.3). Non-financial corporations (NFCs)</w:t>
      </w:r>
      <w:r>
        <w:t xml:space="preserve"> </w:t>
      </w:r>
      <w:r>
        <w:t xml:space="preserve">accounted for only 35.3% of that capitalisation. The</w:t>
      </w:r>
      <w:r>
        <w:t xml:space="preserve"> </w:t>
      </w:r>
      <w:r>
        <w:t xml:space="preserve">outstanding volume of debt securities reached 70.4%</w:t>
      </w:r>
      <w:r>
        <w:t xml:space="preserve"> </w:t>
      </w:r>
      <w:r>
        <w:t xml:space="preserve">of GDP at end-2024. However, marketable debt</w:t>
      </w:r>
      <w:r>
        <w:t xml:space="preserve"> </w:t>
      </w:r>
      <w:r>
        <w:t xml:space="preserve">securities issued by NFCs accounted for only 3.1% of</w:t>
      </w:r>
      <w:r>
        <w:t xml:space="preserve"> </w:t>
      </w:r>
      <w:r>
        <w:t xml:space="preserve">the total. Indeed, the domestic bond market in Slovakia</w:t>
      </w:r>
      <w:r>
        <w:t xml:space="preserve"> </w:t>
      </w:r>
      <w:r>
        <w:t xml:space="preserve">is dominated by government securities, which</w:t>
      </w:r>
      <w:r>
        <w:t xml:space="preserve"> </w:t>
      </w:r>
      <w:r>
        <w:t xml:space="preserve">accounted for almost 70.6% of the total bonds as of</w:t>
      </w:r>
      <w:r>
        <w:t xml:space="preserve"> </w:t>
      </w:r>
      <w:r>
        <w:t xml:space="preserve">end-2024. Financial institutions, whether banks or not,</w:t>
      </w:r>
      <w:r>
        <w:t xml:space="preserve"> </w:t>
      </w:r>
      <w:r>
        <w:t xml:space="preserve">accounted for the remaining 20.2% of the total debt</w:t>
      </w:r>
      <w:r>
        <w:t xml:space="preserve"> </w:t>
      </w:r>
      <w:r>
        <w:t xml:space="preserve">securities.</w:t>
      </w:r>
      <w:r>
        <w:br/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Slovak companies rely a lot more than on average</w:t>
      </w:r>
      <w:r>
        <w:t xml:space="preserve"> </w:t>
      </w:r>
      <w:r>
        <w:t xml:space="preserve">in the EU on funding from banks and much less on</w:t>
      </w:r>
    </w:p>
    <w:p>
      <w:pPr>
        <w:pStyle w:val="BodyText"/>
      </w:pPr>
      <w:r>
        <w:t xml:space="preserve">762 EIB, 2024, 2024 EIB Investment Survey, p.29.</w:t>
      </w:r>
      <w:r>
        <w:t xml:space="preserve"> </w:t>
      </w:r>
      <w:r>
        <w:t xml:space="preserve">funding from capital markets. As a source of finance</w:t>
      </w:r>
      <w:r>
        <w:t xml:space="preserve"> </w:t>
      </w:r>
      <w:r>
        <w:t xml:space="preserve">for Slovak NFCs, loans were equivalent to 39% of</w:t>
      </w:r>
      <w:r>
        <w:t xml:space="preserve"> </w:t>
      </w:r>
      <w:r>
        <w:t xml:space="preserve">GDP as of end-2024, below the EU average of 60.9%.</w:t>
      </w:r>
      <w:r>
        <w:t xml:space="preserve"> </w:t>
      </w:r>
      <w:r>
        <w:t xml:space="preserve">When expressed as a percentage of overall NFCs</w:t>
      </w:r>
      <w:r>
        <w:t xml:space="preserve"> </w:t>
      </w:r>
      <w:r>
        <w:t xml:space="preserve">financing, loans accounted for a large share of all</w:t>
      </w:r>
      <w:r>
        <w:t xml:space="preserve"> </w:t>
      </w:r>
      <w:r>
        <w:t xml:space="preserve">financing (40% versus the EU average of 27% at end-</w:t>
      </w:r>
      <w:r>
        <w:t xml:space="preserve"> </w:t>
      </w:r>
      <w:r>
        <w:t xml:space="preserve">2024). On the other hand, Slovak NFCs’ use of listed</w:t>
      </w:r>
      <w:r>
        <w:t xml:space="preserve"> </w:t>
      </w:r>
      <w:r>
        <w:t xml:space="preserve">shares and bonds was much lower than the EU average,</w:t>
      </w:r>
      <w:r>
        <w:t xml:space="preserve"> </w:t>
      </w:r>
      <w:r>
        <w:t xml:space="preserve">both expressed as a percentage of GDP (2.6 vs 53.8%)</w:t>
      </w:r>
      <w:r>
        <w:t xml:space="preserve"> </w:t>
      </w:r>
      <w:r>
        <w:t xml:space="preserve">and as a percentage of overall NFC financing (2.4% vs</w:t>
      </w:r>
      <w:r>
        <w:t xml:space="preserve"> </w:t>
      </w:r>
      <w:r>
        <w:t xml:space="preserve">23.8%) at end-2024. The overall level of non-financial</w:t>
      </w:r>
      <w:r>
        <w:t xml:space="preserve"> </w:t>
      </w:r>
      <w:r>
        <w:t xml:space="preserve">corporation (NFC) funding in Slovakia was equivalent</w:t>
      </w:r>
      <w:r>
        <w:t xml:space="preserve"> </w:t>
      </w:r>
      <w:r>
        <w:t xml:space="preserve">to 93.5% of GDP, which is substantially lower than the</w:t>
      </w:r>
      <w:r>
        <w:t xml:space="preserve"> </w:t>
      </w:r>
      <w:r>
        <w:t xml:space="preserve">EU average of 225.6% of GDP at end-2024 (see Graph</w:t>
      </w:r>
      <w:r>
        <w:t xml:space="preserve"> </w:t>
      </w:r>
      <w:r>
        <w:t xml:space="preserve">2.24.4).</w:t>
      </w:r>
      <w:r>
        <w:br/>
      </w:r>
      <w:r>
        <w:t xml:space="preserve">1.26.4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Slovak businesses also rely on internal financing, as</w:t>
      </w:r>
      <w:r>
        <w:t xml:space="preserve"> </w:t>
      </w:r>
      <w:r>
        <w:t xml:space="preserve">do their peers in the EU. According to the 2024 EIB</w:t>
      </w:r>
      <w:r>
        <w:t xml:space="preserve"> </w:t>
      </w:r>
      <w:r>
        <w:t xml:space="preserve">Investment Survey, the investment needs of 66% of</w:t>
      </w:r>
      <w:r>
        <w:t xml:space="preserve"> </w:t>
      </w:r>
      <w:r>
        <w:t xml:space="preserve">Slovak firms are covered by internal funding,</w:t>
      </w:r>
      <w:r>
        <w:t xml:space="preserve"> </w:t>
      </w:r>
      <w:r>
        <w:t xml:space="preserve">equivalent to the EU average of 66%.762 At the same</w:t>
      </w:r>
      <w:r>
        <w:t xml:space="preserve"> </w:t>
      </w:r>
      <w:r>
        <w:t xml:space="preserve">time, 82% of Slovak firms believe that their investment</w:t>
      </w:r>
      <w:r>
        <w:t xml:space="preserve"> </w:t>
      </w:r>
      <w:r>
        <w:t xml:space="preserve">activities over the last three years were sufficient (close</w:t>
      </w:r>
      <w:r>
        <w:t xml:space="preserve"> </w:t>
      </w:r>
      <w:r>
        <w:t xml:space="preserve">to the EU average of 80%), suggesting that there is no</w:t>
      </w:r>
      <w:r>
        <w:t xml:space="preserve"> </w:t>
      </w:r>
      <w:r>
        <w:t xml:space="preserve">material financing gap relative to investment</w:t>
      </w:r>
      <w:r>
        <w:t xml:space="preserve"> </w:t>
      </w:r>
      <w:r>
        <w:t xml:space="preserve">demand.763 However, this may not be the case for firms</w:t>
      </w:r>
      <w:r>
        <w:t xml:space="preserve"> </w:t>
      </w:r>
      <w:r>
        <w:t xml:space="preserve">with no or limited capacity for internal funding, such</w:t>
      </w:r>
      <w:r>
        <w:t xml:space="preserve"> </w:t>
      </w:r>
      <w:r>
        <w:t xml:space="preserve">as innovative start-up firms (see further below).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Slovakia’s stock market remains under-developed.</w:t>
      </w:r>
      <w:r>
        <w:t xml:space="preserve"> </w:t>
      </w:r>
      <w:r>
        <w:t xml:space="preserve">As mentioned before, the market capitalisation of listed</w:t>
      </w:r>
      <w:r>
        <w:t xml:space="preserve"> </w:t>
      </w:r>
      <w:r>
        <w:t xml:space="preserve">equity was only 1.7% of GDP in 2024 (EU average:</w:t>
      </w:r>
      <w:r>
        <w:t xml:space="preserve"> </w:t>
      </w:r>
      <w:r>
        <w:t xml:space="preserve">66.8%).</w:t>
      </w:r>
      <w:r>
        <w:t xml:space="preserve"> </w:t>
      </w:r>
      <w:r>
        <w:t xml:space="preserve">When</w:t>
      </w:r>
      <w:r>
        <w:t xml:space="preserve"> </w:t>
      </w:r>
      <w:r>
        <w:t xml:space="preserve">looking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stock</w:t>
      </w:r>
      <w:r>
        <w:t xml:space="preserve"> </w:t>
      </w:r>
      <w:r>
        <w:t xml:space="preserve">market</w:t>
      </w:r>
      <w:r>
        <w:t xml:space="preserve"> </w:t>
      </w:r>
      <w:r>
        <w:t xml:space="preserve">capitalisation of both shares and bonds, bonds</w:t>
      </w:r>
      <w:r>
        <w:t xml:space="preserve"> </w:t>
      </w:r>
      <w:r>
        <w:t xml:space="preserve">763 Ibid, p.7.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SK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</w:p>
    <w:p>
      <w:pPr>
        <w:pStyle w:val="BodyText"/>
      </w:pPr>
      <w:r>
        <w:t xml:space="preserve">491</w:t>
      </w:r>
      <w:r>
        <w:t xml:space="preserve"> </w:t>
      </w:r>
      <w:r>
        <w:t xml:space="preserve">accounted for 97.2% of market funding at the end of</w:t>
      </w:r>
      <w:r>
        <w:t xml:space="preserve"> </w:t>
      </w:r>
      <w:r>
        <w:t xml:space="preserve">2024.764</w:t>
      </w:r>
      <w:r>
        <w:t xml:space="preserve"> </w:t>
      </w:r>
      <w:r>
        <w:t xml:space="preserve">The main stock exchange in Slovakia is the</w:t>
      </w:r>
      <w:r>
        <w:t xml:space="preserve"> </w:t>
      </w:r>
      <w:r>
        <w:t xml:space="preserve">Bratislava Stock Exchange (BSSE), that was</w:t>
      </w:r>
      <w:r>
        <w:t xml:space="preserve"> </w:t>
      </w:r>
      <w:r>
        <w:t xml:space="preserve">established in 1991 and started trading in 1993.765</w:t>
      </w:r>
      <w:r>
        <w:t xml:space="preserve"> </w:t>
      </w:r>
      <w:r>
        <w:t xml:space="preserve">The BSSE operates as a regulated marketplace where</w:t>
      </w:r>
      <w:r>
        <w:t xml:space="preserve"> </w:t>
      </w:r>
      <w:r>
        <w:t xml:space="preserve">investors can trade a variety of financial instruments,</w:t>
      </w:r>
      <w:r>
        <w:t xml:space="preserve"> </w:t>
      </w:r>
      <w:r>
        <w:t xml:space="preserve">including stocks, bonds, investment funds, and other</w:t>
      </w:r>
      <w:r>
        <w:t xml:space="preserve"> </w:t>
      </w:r>
      <w:r>
        <w:t xml:space="preserve">securities. The official stock index for the Bratislava</w:t>
      </w:r>
      <w:r>
        <w:t xml:space="preserve"> </w:t>
      </w:r>
      <w:r>
        <w:t xml:space="preserve">Stock Exchange is the SAX (Slovenský akciový</w:t>
      </w:r>
      <w:r>
        <w:t xml:space="preserve"> </w:t>
      </w:r>
      <w:r>
        <w:t xml:space="preserve">index).766 In terms of stock market performance, the</w:t>
      </w:r>
      <w:r>
        <w:t xml:space="preserve"> </w:t>
      </w:r>
      <w:r>
        <w:t xml:space="preserve">index of the general stock market in Slovakia was</w:t>
      </w:r>
      <w:r>
        <w:t xml:space="preserve"> </w:t>
      </w:r>
      <w:r>
        <w:t xml:space="preserve">below the EU average, while the index of Slovak banks</w:t>
      </w:r>
      <w:r>
        <w:t xml:space="preserve"> </w:t>
      </w:r>
      <w:r>
        <w:t xml:space="preserve">was above the EU average (see Graph 2.24.5). Since</w:t>
      </w:r>
      <w:r>
        <w:t xml:space="preserve"> </w:t>
      </w:r>
      <w:r>
        <w:t xml:space="preserve">1992, the BSSE owns and operates the central</w:t>
      </w:r>
      <w:r>
        <w:t xml:space="preserve"> </w:t>
      </w:r>
      <w:r>
        <w:t xml:space="preserve">securities depository CDCP-SR (Centrálny depozitár</w:t>
      </w:r>
      <w:r>
        <w:t xml:space="preserve"> </w:t>
      </w:r>
      <w:r>
        <w:t xml:space="preserve">cenných papierov Slovenskej republiky).</w:t>
      </w:r>
      <w:r>
        <w:br/>
      </w:r>
      <w:r>
        <w:t xml:space="preserve">1.26.5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Group767.</w:t>
      </w:r>
      <w:r>
        <w:t xml:space="preserve"> </w:t>
      </w:r>
      <w:r>
        <w:t xml:space="preserve">Net bond issuance continues to be dominated by</w:t>
      </w:r>
      <w:r>
        <w:t xml:space="preserve"> </w:t>
      </w:r>
      <w:r>
        <w:t xml:space="preserve">government debt. In Q1 2025, the government issued</w:t>
      </w:r>
      <w:r>
        <w:t xml:space="preserve"> </w:t>
      </w:r>
      <w:r>
        <w:t xml:space="preserve">EUR 5.3 bn of debt securities (91% of total net bonds</w:t>
      </w:r>
      <w:r>
        <w:t xml:space="preserve"> </w:t>
      </w:r>
      <w:r>
        <w:t xml:space="preserve">issuance), compared to EUR 8.7 bn for the whole of</w:t>
      </w:r>
      <w:r>
        <w:t xml:space="preserve"> </w:t>
      </w:r>
      <w:r>
        <w:t xml:space="preserve">2024 (92% of total issued bonds). In Q1 2025, banks</w:t>
      </w:r>
      <w:r>
        <w:t xml:space="preserve"> </w:t>
      </w:r>
      <w:r>
        <w:t xml:space="preserve">issued EUR 0.7 bn of debt securities (12.4% of total net</w:t>
      </w:r>
      <w:r>
        <w:t xml:space="preserve"> </w:t>
      </w:r>
      <w:r>
        <w:t xml:space="preserve">bonds issuance), compared to EUR 0.4 bn for the whole</w:t>
      </w:r>
      <w:r>
        <w:t xml:space="preserve"> </w:t>
      </w:r>
      <w:r>
        <w:t xml:space="preserve">of 2024 (see Graph 2.24.6). The net issuance of other</w:t>
      </w:r>
      <w:r>
        <w:t xml:space="preserve"> </w:t>
      </w:r>
      <w:r>
        <w:t xml:space="preserve">financial companies was negative at EUR -0.2 bn in Q1</w:t>
      </w:r>
      <w:r>
        <w:t xml:space="preserve"> </w:t>
      </w:r>
      <w:r>
        <w:t xml:space="preserve">2025, compared to EUR 0.6 bn in 2024. Hence, debt</w:t>
      </w:r>
    </w:p>
    <w:p>
      <w:pPr>
        <w:pStyle w:val="BodyText"/>
      </w:pPr>
      <w:r>
        <w:t xml:space="preserve">764 NBS, 2024. Financial sector analytical data.</w:t>
      </w:r>
      <w:r>
        <w:t xml:space="preserve"> </w:t>
      </w:r>
      <w:r>
        <w:t xml:space="preserve">765 BSSE, 2024. 2024 Factbook.</w:t>
      </w:r>
      <w:r>
        <w:t xml:space="preserve"> </w:t>
      </w:r>
      <w:r>
        <w:t xml:space="preserve">766 BSSE, 2024. 2024 Factbook, Basket 31/12/24: Biotika</w:t>
      </w:r>
      <w:r>
        <w:t xml:space="preserve"> </w:t>
      </w:r>
      <w:r>
        <w:t xml:space="preserve">(10.22%), Tatry mountain resorts (21.29%), Tatra bank</w:t>
      </w:r>
      <w:r>
        <w:t xml:space="preserve"> </w:t>
      </w:r>
      <w:r>
        <w:t xml:space="preserve">(19.54%), Vipo (8.83%), Gevorkyan (20.86%), Dolkam Suja</w:t>
      </w:r>
      <w:r>
        <w:t xml:space="preserve"> </w:t>
      </w:r>
      <w:r>
        <w:t xml:space="preserve">(19.26%).</w:t>
      </w:r>
      <w:r>
        <w:t xml:space="preserve"> </w:t>
      </w:r>
      <w:r>
        <w:t xml:space="preserve">767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market finance does not appear to be a major source of</w:t>
      </w:r>
      <w:r>
        <w:t xml:space="preserve"> </w:t>
      </w:r>
      <w:r>
        <w:t xml:space="preserve">funding for Slovak non-financial corporations (NFCs).</w:t>
      </w:r>
      <w:r>
        <w:t xml:space="preserve"> </w:t>
      </w:r>
      <w:r>
        <w:t xml:space="preserve">1.26.6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In the past, Slovakia prepared a concept report on</w:t>
      </w:r>
      <w:r>
        <w:t xml:space="preserve"> </w:t>
      </w:r>
      <w:r>
        <w:t xml:space="preserve">the development of capital markets, but this has not</w:t>
      </w:r>
      <w:r>
        <w:t xml:space="preserve"> </w:t>
      </w:r>
      <w:r>
        <w:t xml:space="preserve">been updated. In April 2014, the Ministry of Finance,</w:t>
      </w:r>
      <w:r>
        <w:t xml:space="preserve"> </w:t>
      </w:r>
      <w:r>
        <w:t xml:space="preserve">together with the Ministry of Economy, the NBS, the</w:t>
      </w:r>
      <w:r>
        <w:t xml:space="preserve"> </w:t>
      </w:r>
      <w:r>
        <w:t xml:space="preserve">BSSE and the Central Securities Depository of the</w:t>
      </w:r>
      <w:r>
        <w:t xml:space="preserve"> </w:t>
      </w:r>
      <w:r>
        <w:t xml:space="preserve">Slovak Republic (CDCP), developed a concept report</w:t>
      </w:r>
      <w:r>
        <w:t xml:space="preserve"> </w:t>
      </w:r>
      <w:r>
        <w:t xml:space="preserve">for the development of the capital markets768, which</w:t>
      </w:r>
      <w:r>
        <w:t xml:space="preserve"> </w:t>
      </w:r>
      <w:r>
        <w:t xml:space="preserve">put forward a number of measures to modernise the</w:t>
      </w:r>
      <w:r>
        <w:t xml:space="preserve"> </w:t>
      </w:r>
      <w:r>
        <w:t xml:space="preserve">capital market infrastructure. Moreover, in 2023 the</w:t>
      </w:r>
      <w:r>
        <w:t xml:space="preserve"> </w:t>
      </w:r>
      <w:r>
        <w:t xml:space="preserve">Slovak Business Association prepared an analysis on</w:t>
      </w:r>
      <w:r>
        <w:t xml:space="preserve"> </w:t>
      </w:r>
      <w:r>
        <w:t xml:space="preserve">how to promote alternative forms of raising capital for</w:t>
      </w:r>
      <w:r>
        <w:t xml:space="preserve"> </w:t>
      </w:r>
      <w:r>
        <w:t xml:space="preserve">SMEs.769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Slovak households hold about half of their financial</w:t>
      </w:r>
      <w:r>
        <w:t xml:space="preserve"> </w:t>
      </w:r>
      <w:r>
        <w:t xml:space="preserve">assets in cash and deposits. Slovak households have a</w:t>
      </w:r>
      <w:r>
        <w:t xml:space="preserve"> </w:t>
      </w:r>
      <w:r>
        <w:t xml:space="preserve">low savings rate (5.9% vs EU average: 14.4% in 2024),</w:t>
      </w:r>
      <w:r>
        <w:t xml:space="preserve"> </w:t>
      </w:r>
      <w:r>
        <w:t xml:space="preserve">with a high share of cash and deposits in households’</w:t>
      </w:r>
      <w:r>
        <w:t xml:space="preserve"> </w:t>
      </w:r>
      <w:r>
        <w:t xml:space="preserve">assets (49.6% vs EU average of 31.7% at end-2024).</w:t>
      </w:r>
      <w:r>
        <w:t xml:space="preserve"> </w:t>
      </w:r>
      <w:r>
        <w:t xml:space="preserve">At end-2024, 40.8% of households’ financial assets</w:t>
      </w:r>
      <w:r>
        <w:t xml:space="preserve"> </w:t>
      </w:r>
      <w:r>
        <w:t xml:space="preserve">were held in pension and investment funds or held</w:t>
      </w:r>
      <w:r>
        <w:t xml:space="preserve"> </w:t>
      </w:r>
      <w:r>
        <w:t xml:space="preserve">directly in financial investment instruments, but this</w:t>
      </w:r>
      <w:r>
        <w:t xml:space="preserve"> </w:t>
      </w:r>
      <w:r>
        <w:t xml:space="preserve">still falls short of the EU average of 46.6%. More</w:t>
      </w:r>
      <w:r>
        <w:t xml:space="preserve"> </w:t>
      </w:r>
      <w:r>
        <w:t xml:space="preserve">specifically, at end-2024, household’s’ direct holdings</w:t>
      </w:r>
      <w:r>
        <w:t xml:space="preserve"> </w:t>
      </w:r>
      <w:r>
        <w:t xml:space="preserve">of investment insurance and pension funds was at</w:t>
      </w:r>
      <w:r>
        <w:t xml:space="preserve"> </w:t>
      </w:r>
      <w:r>
        <w:t xml:space="preserve">23.4% (EU average: 27.9%), investment funds at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768 Ministry of Finance of the Slovak Republic, 2014, Concept for</w:t>
      </w:r>
      <w:r>
        <w:t xml:space="preserve"> </w:t>
      </w:r>
      <w:r>
        <w:t xml:space="preserve">the development of capital market.</w:t>
      </w:r>
      <w:r>
        <w:br/>
      </w:r>
      <w:r>
        <w:t xml:space="preserve">769 BSA, 2023, Alternative forms of raising capital for SMEs</w:t>
      </w:r>
      <w:r>
        <w:t xml:space="preserve"> </w:t>
      </w:r>
      <w:r>
        <w:t xml:space="preserve">through the capital markets.</w:t>
      </w:r>
      <w:r>
        <w:br/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SK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SLOVAKIA SAX 16 - PRICE INDEX</w:t>
      </w:r>
      <w:r>
        <w:t xml:space="preserve"> </w:t>
      </w:r>
      <w:r>
        <w:t xml:space="preserve">STOXX EUROPE 600</w:t>
      </w:r>
      <w:r>
        <w:t xml:space="preserve"> </w:t>
      </w:r>
      <w:r>
        <w:t xml:space="preserve">-2,0</w:t>
      </w:r>
      <w:r>
        <w:t xml:space="preserve"> </w:t>
      </w:r>
      <w:r>
        <w:t xml:space="preserve">0,0</w:t>
      </w:r>
      <w:r>
        <w:t xml:space="preserve"> </w:t>
      </w:r>
      <w:r>
        <w:t xml:space="preserve">2,0</w:t>
      </w:r>
      <w:r>
        <w:t xml:space="preserve"> </w:t>
      </w:r>
      <w:r>
        <w:t xml:space="preserve">4,0</w:t>
      </w:r>
      <w:r>
        <w:t xml:space="preserve"> </w:t>
      </w:r>
      <w:r>
        <w:t xml:space="preserve">6,0</w:t>
      </w:r>
      <w:r>
        <w:t xml:space="preserve"> </w:t>
      </w:r>
      <w:r>
        <w:t xml:space="preserve">8,0</w:t>
      </w:r>
      <w:r>
        <w:t xml:space="preserve"> </w:t>
      </w:r>
      <w:r>
        <w:t xml:space="preserve">10,0</w:t>
      </w:r>
      <w:r>
        <w:t xml:space="preserve"> </w:t>
      </w:r>
      <w:r>
        <w:t xml:space="preserve">12,0</w:t>
      </w:r>
      <w:r>
        <w:t xml:space="preserve"> </w:t>
      </w:r>
      <w:r>
        <w:t xml:space="preserve">14,0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492</w:t>
      </w:r>
      <w:r>
        <w:t xml:space="preserve"> </w:t>
      </w:r>
      <w:r>
        <w:t xml:space="preserve">12.5% (EU average: 11.1%), bonds at 4.1% (EU</w:t>
      </w:r>
      <w:r>
        <w:t xml:space="preserve"> </w:t>
      </w:r>
      <w:r>
        <w:t xml:space="preserve">average: 4.9%), and listed shares at 0.8% (EU average:</w:t>
      </w:r>
      <w:r>
        <w:t xml:space="preserve"> </w:t>
      </w:r>
      <w:r>
        <w:t xml:space="preserve">4.9%) (see Graph 2.24.7). In Slovakia, direct and</w:t>
      </w:r>
      <w:r>
        <w:t xml:space="preserve"> </w:t>
      </w:r>
      <w:r>
        <w:t xml:space="preserve">intermediated retail investment by households was</w:t>
      </w:r>
      <w:r>
        <w:t xml:space="preserve"> </w:t>
      </w:r>
      <w:r>
        <w:t xml:space="preserve">41.9% in 2023 (EU average: 56.2%).770</w:t>
      </w:r>
      <w:r>
        <w:t xml:space="preserve"> </w:t>
      </w:r>
      <w:r>
        <w:t xml:space="preserve">1.26.7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1.27 Slovenia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Slovenian economy is a net creditor to the rest</w:t>
      </w:r>
      <w:r>
        <w:t xml:space="preserve"> </w:t>
      </w:r>
      <w:r>
        <w:t xml:space="preserve">of the world. In the last decade, the private savings</w:t>
      </w:r>
      <w:r>
        <w:t xml:space="preserve"> </w:t>
      </w:r>
      <w:r>
        <w:t xml:space="preserve">ratio, net of fixed capital consumption, persistently</w:t>
      </w:r>
      <w:r>
        <w:t xml:space="preserve"> </w:t>
      </w:r>
      <w:r>
        <w:t xml:space="preserve">fluctuated around its ten-year average of 8.2% of GDP,</w:t>
      </w:r>
      <w:r>
        <w:t xml:space="preserve"> </w:t>
      </w:r>
      <w:r>
        <w:t xml:space="preserve">reaching a maximum of 15.7% in 2020 (see Graph</w:t>
      </w:r>
      <w:r>
        <w:t xml:space="preserve"> </w:t>
      </w:r>
      <w:r>
        <w:t xml:space="preserve">2.25.1). The net private investment ratio, which</w:t>
      </w:r>
      <w:r>
        <w:t xml:space="preserve"> </w:t>
      </w:r>
      <w:r>
        <w:t xml:space="preserve">measures the net contribution of the private sector to</w:t>
      </w:r>
      <w:r>
        <w:t xml:space="preserve"> </w:t>
      </w:r>
      <w:r>
        <w:t xml:space="preserve">capital accumulation in the country, evolved quite</w:t>
      </w:r>
      <w:r>
        <w:t xml:space="preserve"> </w:t>
      </w:r>
      <w:r>
        <w:t xml:space="preserve">differently. It exhibited a ten-year average of 1.3% of</w:t>
      </w:r>
      <w:r>
        <w:t xml:space="preserve"> </w:t>
      </w:r>
      <w:r>
        <w:t xml:space="preserve">GDP, with a phase of negative investment from 2011</w:t>
      </w:r>
      <w:r>
        <w:t xml:space="preserve"> </w:t>
      </w:r>
      <w:r>
        <w:t xml:space="preserve">to 2016 followed by a phase of positive investment</w:t>
      </w:r>
      <w:r>
        <w:t xml:space="preserve"> </w:t>
      </w:r>
      <w:r>
        <w:t xml:space="preserve">until now. During the same period the government</w:t>
      </w:r>
      <w:r>
        <w:t xml:space="preserve"> </w:t>
      </w:r>
      <w:r>
        <w:t xml:space="preserve">budget was in regular deficit (except in 2017-2019) that</w:t>
      </w:r>
      <w:r>
        <w:t xml:space="preserve"> </w:t>
      </w:r>
      <w:r>
        <w:t xml:space="preserve">averaged 2.2% of GDP with a peak at 11.2% of GDP</w:t>
      </w:r>
      <w:r>
        <w:t xml:space="preserve"> </w:t>
      </w:r>
      <w:r>
        <w:t xml:space="preserve">in 2013 (banks’ bail-out). Thus, the high positive</w:t>
      </w:r>
      <w:r>
        <w:t xml:space="preserve"> </w:t>
      </w:r>
      <w:r>
        <w:t xml:space="preserve">balance between net domestic savings and net</w:t>
      </w:r>
      <w:r>
        <w:t xml:space="preserve"> </w:t>
      </w:r>
      <w:r>
        <w:t xml:space="preserve">investment, together with the moderate government</w:t>
      </w:r>
      <w:r>
        <w:t xml:space="preserve"> </w:t>
      </w:r>
      <w:r>
        <w:t xml:space="preserve">deficits, resulted in structural net lending by Slovenia</w:t>
      </w:r>
      <w:r>
        <w:t xml:space="preserve"> </w:t>
      </w:r>
      <w:r>
        <w:t xml:space="preserve">to foreigners (except in 2022) that averaged 4.6% of</w:t>
      </w:r>
      <w:r>
        <w:t xml:space="preserve"> </w:t>
      </w:r>
      <w:r>
        <w:t xml:space="preserve">GDP, with a peak of 7.2% of GDP in 2020.</w:t>
      </w:r>
    </w:p>
    <w:p>
      <w:pPr>
        <w:pStyle w:val="BodyText"/>
      </w:pPr>
      <w:r>
        <w:t xml:space="preserve">770 European Commission, 2024, Overview of CMU Indicators –</w:t>
      </w:r>
      <w:r>
        <w:t xml:space="preserve"> </w:t>
      </w:r>
      <w:r>
        <w:t xml:space="preserve">2024 Update, Indicator 22.</w:t>
      </w:r>
      <w:r>
        <w:t xml:space="preserve"> </w:t>
      </w:r>
      <w:r>
        <w:t xml:space="preserve">1.27.1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</w:p>
    <w:p>
      <w:pPr>
        <w:pStyle w:val="BodyText"/>
      </w:pPr>
      <w:r>
        <w:t xml:space="preserve">1.27.2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Consistent with its regular position of a net creditor</w:t>
      </w:r>
      <w:r>
        <w:t xml:space="preserve"> </w:t>
      </w:r>
      <w:r>
        <w:t xml:space="preserve">to the rest of the world, the Slovenian economy has</w:t>
      </w:r>
      <w:r>
        <w:t xml:space="preserve"> </w:t>
      </w:r>
      <w:r>
        <w:t xml:space="preserve">exhibited a positive and steadily improving net</w:t>
      </w:r>
      <w:r>
        <w:t xml:space="preserve"> </w:t>
      </w:r>
      <w:r>
        <w:t xml:space="preserve">international investment position since 2023. As of</w:t>
      </w:r>
      <w:r>
        <w:t xml:space="preserve"> </w:t>
      </w:r>
      <w:r>
        <w:t xml:space="preserve">Q4-2024, total assets on foreigners reached 133% of</w:t>
      </w:r>
      <w:r>
        <w:t xml:space="preserve"> </w:t>
      </w:r>
      <w:r>
        <w:t xml:space="preserve">GDP, while liabilities to foreigners stood at 126% of</w:t>
      </w:r>
      <w:r>
        <w:t xml:space="preserve"> </w:t>
      </w:r>
      <w:r>
        <w:t xml:space="preserve">GDP, resulting in a net international investment</w:t>
      </w:r>
      <w:r>
        <w:t xml:space="preserve"> </w:t>
      </w:r>
      <w:r>
        <w:t xml:space="preserve">position (NIIP) equivalent to 7% of GDP (see Graph</w:t>
      </w:r>
      <w:r>
        <w:t xml:space="preserve"> </w:t>
      </w:r>
      <w:r>
        <w:t xml:space="preserve">2.25.2). While significantly negative in 2017 (-25%),</w:t>
      </w:r>
      <w:r>
        <w:t xml:space="preserve"> </w:t>
      </w:r>
      <w:r>
        <w:t xml:space="preserve">the NIIP has steadily improved and it became positive</w:t>
      </w:r>
      <w:r>
        <w:t xml:space="preserve"> </w:t>
      </w:r>
      <w:r>
        <w:t xml:space="preserve">for the first time in 2023. The accumulated net portfolio</w:t>
      </w:r>
      <w:r>
        <w:t xml:space="preserve"> </w:t>
      </w:r>
      <w:r>
        <w:t xml:space="preserve">investments and other investments, which respectively</w:t>
      </w:r>
      <w:r>
        <w:t xml:space="preserve"> </w:t>
      </w:r>
      <w:r>
        <w:t xml:space="preserve">reached 13% and 10% of GDP as of Q4-2024,</w:t>
      </w:r>
      <w:r>
        <w:t xml:space="preserve"> </w:t>
      </w:r>
      <w:r>
        <w:t xml:space="preserve">accounted for most of the positive NIIP. In contrast, net</w:t>
      </w:r>
      <w:r>
        <w:t xml:space="preserve"> </w:t>
      </w:r>
      <w:r>
        <w:t xml:space="preserve">foreign direct investments were significantly negative</w:t>
      </w:r>
      <w:r>
        <w:t xml:space="preserve"> </w:t>
      </w:r>
      <w:r>
        <w:t xml:space="preserve">(-19% of GDP). Thus, while the Slovenian economy is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SK</w:t>
      </w:r>
      <w:r>
        <w:t xml:space="preserve"> </w:t>
      </w:r>
      <w:r>
        <w:t xml:space="preserve">EU</w:t>
      </w:r>
      <w:r>
        <w:t xml:space="preserve"> </w:t>
      </w:r>
      <w:r>
        <w:t xml:space="preserve">SK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  <w:r>
        <w:t xml:space="preserve"> </w:t>
      </w:r>
      <w:r>
        <w:t xml:space="preserve">-30</w:t>
      </w:r>
      <w:r>
        <w:t xml:space="preserve"> </w:t>
      </w:r>
      <w:r>
        <w:t xml:space="preserve">-25</w:t>
      </w:r>
      <w:r>
        <w:t xml:space="preserve"> </w:t>
      </w:r>
      <w:r>
        <w:t xml:space="preserve">-20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-200</w:t>
      </w:r>
      <w:r>
        <w:t xml:space="preserve"> </w:t>
      </w:r>
      <w:r>
        <w:t xml:space="preserve">-150</w:t>
      </w:r>
      <w:r>
        <w:t xml:space="preserve"> </w:t>
      </w:r>
      <w:r>
        <w:t xml:space="preserve">-100</w:t>
      </w:r>
      <w:r>
        <w:t xml:space="preserve"> </w:t>
      </w:r>
      <w:r>
        <w:t xml:space="preserve">-50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</w:p>
    <w:p>
      <w:pPr>
        <w:pStyle w:val="BodyText"/>
      </w:pPr>
      <w:r>
        <w:t xml:space="preserve">493</w:t>
      </w:r>
      <w:r>
        <w:t xml:space="preserve"> </w:t>
      </w:r>
      <w:r>
        <w:t xml:space="preserve">a major recipient of foreign direct investment, it has</w:t>
      </w:r>
      <w:r>
        <w:t xml:space="preserve"> </w:t>
      </w:r>
      <w:r>
        <w:t xml:space="preserve">recently become a net capital exporter, notably by</w:t>
      </w:r>
      <w:r>
        <w:t xml:space="preserve"> </w:t>
      </w:r>
      <w:r>
        <w:t xml:space="preserve">means of portfolio and other investments abroad.</w:t>
      </w:r>
      <w:r>
        <w:br/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1.27.3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The Slovenian domestic capital market lacks depth.</w:t>
      </w:r>
      <w:r>
        <w:t xml:space="preserve"> </w:t>
      </w:r>
      <w:r>
        <w:t xml:space="preserve">The market capitalisation of listed equity is quite</w:t>
      </w:r>
      <w:r>
        <w:t xml:space="preserve"> </w:t>
      </w:r>
      <w:r>
        <w:t xml:space="preserve">modest and reached only 18% of GDP at end-2024 (vs</w:t>
      </w:r>
      <w:r>
        <w:t xml:space="preserve"> </w:t>
      </w:r>
      <w:r>
        <w:t xml:space="preserve">67% in the EU) (see Graph 2.25.3). The index of</w:t>
      </w:r>
      <w:r>
        <w:t xml:space="preserve"> </w:t>
      </w:r>
      <w:r>
        <w:t xml:space="preserve">Slovenian banks and the general stock market have</w:t>
      </w:r>
      <w:r>
        <w:t xml:space="preserve"> </w:t>
      </w:r>
      <w:r>
        <w:t xml:space="preserve">both performed well since 2008, and significantly</w:t>
      </w:r>
      <w:r>
        <w:t xml:space="preserve"> </w:t>
      </w:r>
      <w:r>
        <w:t xml:space="preserve">better than their European counterparts (see Graph</w:t>
      </w:r>
      <w:r>
        <w:t xml:space="preserve"> </w:t>
      </w:r>
      <w:r>
        <w:t xml:space="preserve">2.25.4). The outstanding volume of debt securities is</w:t>
      </w:r>
      <w:r>
        <w:t xml:space="preserve"> </w:t>
      </w:r>
      <w:r>
        <w:t xml:space="preserve">very low as well and reached 62% of GDP at end-2024.</w:t>
      </w:r>
      <w:r>
        <w:t xml:space="preserve"> </w:t>
      </w:r>
      <w:r>
        <w:t xml:space="preserve">Bonds issued by the government accounted for 89% of</w:t>
      </w:r>
      <w:r>
        <w:t xml:space="preserve"> </w:t>
      </w:r>
      <w:r>
        <w:t xml:space="preserve">the total. This reflects the very high weight of the gross</w:t>
      </w:r>
      <w:r>
        <w:t xml:space="preserve"> </w:t>
      </w:r>
      <w:r>
        <w:t xml:space="preserve">public debt in the Slovenian bond market.</w:t>
      </w:r>
    </w:p>
    <w:p>
      <w:pPr>
        <w:pStyle w:val="BodyText"/>
      </w:pPr>
      <w:r>
        <w:t xml:space="preserve">771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1.27.4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Group771.</w:t>
      </w:r>
      <w:r>
        <w:t xml:space="preserve"> </w:t>
      </w:r>
      <w:r>
        <w:t xml:space="preserve">All financial intermediaries, and in particular</w:t>
      </w:r>
      <w:r>
        <w:t xml:space="preserve"> </w:t>
      </w:r>
      <w:r>
        <w:t xml:space="preserve">banks, are small in terms of GDP. Banks’ assets</w:t>
      </w:r>
      <w:r>
        <w:t xml:space="preserve"> </w:t>
      </w:r>
      <w:r>
        <w:t xml:space="preserve">represented 84% of GDP in Q4-2024 (vs. 251% in the</w:t>
      </w:r>
      <w:r>
        <w:t xml:space="preserve"> </w:t>
      </w:r>
      <w:r>
        <w:t xml:space="preserve">EU), one of the lowest in the EU, sharply down from</w:t>
      </w:r>
      <w:r>
        <w:t xml:space="preserve"> </w:t>
      </w:r>
      <w:r>
        <w:t xml:space="preserve">150% in 2012. The insurance sector, with total assets</w:t>
      </w:r>
      <w:r>
        <w:t xml:space="preserve"> </w:t>
      </w:r>
      <w:r>
        <w:t xml:space="preserve">of 15% of GDP at Q4-2024, dominates non-bank</w:t>
      </w:r>
      <w:r>
        <w:t xml:space="preserve"> </w:t>
      </w:r>
      <w:r>
        <w:t xml:space="preserve">intermediation but much below the EU average (55%</w:t>
      </w:r>
      <w:r>
        <w:t xml:space="preserve"> </w:t>
      </w:r>
      <w:r>
        <w:t xml:space="preserve">of GDP). The pension funds’ assets are much smaller:</w:t>
      </w:r>
      <w:r>
        <w:t xml:space="preserve"> </w:t>
      </w:r>
      <w:r>
        <w:t xml:space="preserve">they only represent 3% of GDP (vs 23% in the EU).</w:t>
      </w:r>
      <w:r>
        <w:t xml:space="preserve"> </w:t>
      </w:r>
      <w:r>
        <w:t xml:space="preserve">Investment funds represent a relatively small share of</w:t>
      </w:r>
      <w:r>
        <w:t xml:space="preserve"> </w:t>
      </w:r>
      <w:r>
        <w:t xml:space="preserve">9% of GDP, below the EU median.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Firms in Slovenia rely on funding from banks</w:t>
      </w:r>
      <w:r>
        <w:t xml:space="preserve"> </w:t>
      </w:r>
      <w:r>
        <w:t xml:space="preserve">rather than on funding from capital markets. More</w:t>
      </w:r>
      <w:r>
        <w:t xml:space="preserve"> </w:t>
      </w:r>
      <w:r>
        <w:t xml:space="preserve">specifically, at the end of 2024, bank finance through</w:t>
      </w:r>
      <w:r>
        <w:t xml:space="preserve"> </w:t>
      </w:r>
      <w:r>
        <w:t xml:space="preserve">loans constituted 26% (vs 27% in the EU) of all</w:t>
      </w:r>
      <w:r>
        <w:t xml:space="preserve"> </w:t>
      </w:r>
      <w:r>
        <w:t xml:space="preserve">funding</w:t>
      </w:r>
      <w:r>
        <w:t xml:space="preserve"> </w:t>
      </w:r>
      <w:r>
        <w:t xml:space="preserve">sources</w:t>
      </w:r>
      <w:r>
        <w:t xml:space="preserve"> </w:t>
      </w:r>
      <w:r>
        <w:t xml:space="preserve">for</w:t>
      </w:r>
      <w:r>
        <w:t xml:space="preserve"> </w:t>
      </w:r>
      <w:r>
        <w:t xml:space="preserve">Slovenian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 (NFCs), while listed shares and bonds</w:t>
      </w:r>
      <w:r>
        <w:t xml:space="preserve"> </w:t>
      </w:r>
      <w:r>
        <w:t xml:space="preserve">represented only 9% (vs 24% in the EU) of funding</w:t>
      </w:r>
      <w:r>
        <w:t xml:space="preserve"> </w:t>
      </w:r>
      <w:r>
        <w:t xml:space="preserve">sources. When expressed in terms of GDP, the overall</w:t>
      </w:r>
      <w:r>
        <w:t xml:space="preserve"> </w:t>
      </w:r>
      <w:r>
        <w:t xml:space="preserve">level of NFC funding was lower in Slovenia (124% of</w:t>
      </w:r>
      <w:r>
        <w:t xml:space="preserve"> </w:t>
      </w:r>
      <w:r>
        <w:t xml:space="preserve">GDP) than in the EU (226%), see Graph 2.25.5.</w:t>
      </w:r>
      <w:r>
        <w:t xml:space="preserve"> </w:t>
      </w:r>
      <w:r>
        <w:t xml:space="preserve">As a result, Slovenian businesses depend more on</w:t>
      </w:r>
      <w:r>
        <w:t xml:space="preserve"> </w:t>
      </w:r>
      <w:r>
        <w:t xml:space="preserve">internal financing than their European peers.</w:t>
      </w:r>
      <w:r>
        <w:t xml:space="preserve"> </w:t>
      </w:r>
      <w:r>
        <w:t xml:space="preserve">According to the 2024 EIB Investment Survey, 74% of</w:t>
      </w:r>
      <w:r>
        <w:t xml:space="preserve"> </w:t>
      </w:r>
      <w:r>
        <w:t xml:space="preserve">investment needs of Slovenian firms are covered by</w:t>
      </w:r>
      <w:r>
        <w:t xml:space="preserve"> </w:t>
      </w:r>
      <w:r>
        <w:t xml:space="preserve">internal funding, compared to an EU average of 66%.</w:t>
      </w:r>
      <w:r>
        <w:t xml:space="preserve"> </w:t>
      </w:r>
      <w:r>
        <w:t xml:space="preserve">At the same time, 81% of Slovenian firms believe that</w:t>
      </w:r>
      <w:r>
        <w:t xml:space="preserve"> </w:t>
      </w:r>
      <w:r>
        <w:t xml:space="preserve">their investment activities over the last three years were</w:t>
      </w:r>
      <w:r>
        <w:t xml:space="preserve"> </w:t>
      </w:r>
      <w:r>
        <w:t xml:space="preserve">about the right amount, in line with the EU average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2018</w:t>
      </w:r>
      <w:r>
        <w:t xml:space="preserve"> </w:t>
      </w:r>
      <w:r>
        <w:t xml:space="preserve">2021</w:t>
      </w:r>
      <w:r>
        <w:t xml:space="preserve"> </w:t>
      </w:r>
      <w:r>
        <w:t xml:space="preserve">2024</w:t>
      </w:r>
      <w:r>
        <w:t xml:space="preserve"> </w:t>
      </w:r>
      <w:r>
        <w:t xml:space="preserve">Dec-18=100</w:t>
      </w:r>
      <w:r>
        <w:t xml:space="preserve"> </w:t>
      </w:r>
      <w:r>
        <w:t xml:space="preserve">SI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SLOVENIAN BLUE CHIP (SBI TOP)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494</w:t>
      </w:r>
      <w:r>
        <w:t xml:space="preserve"> </w:t>
      </w:r>
      <w:r>
        <w:t xml:space="preserve">(80%), suggesting that there is no material financing</w:t>
      </w:r>
      <w:r>
        <w:t xml:space="preserve"> </w:t>
      </w:r>
      <w:r>
        <w:t xml:space="preserve">gap relative to investment demand. However, this may</w:t>
      </w:r>
      <w:r>
        <w:t xml:space="preserve"> </w:t>
      </w:r>
      <w:r>
        <w:t xml:space="preserve">not be the case for firms with no or limited capacity for</w:t>
      </w:r>
      <w:r>
        <w:t xml:space="preserve"> </w:t>
      </w:r>
      <w:r>
        <w:t xml:space="preserve">internal funding, such as innovative start-up firms (see</w:t>
      </w:r>
      <w:r>
        <w:t xml:space="preserve"> </w:t>
      </w:r>
      <w:r>
        <w:t xml:space="preserve">further below).</w:t>
      </w:r>
      <w:r>
        <w:t xml:space="preserve"> </w:t>
      </w:r>
      <w:r>
        <w:t xml:space="preserve">1.27.5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Slovenia’s capital markets are under-developed.</w:t>
      </w:r>
      <w:r>
        <w:t xml:space="preserve"> </w:t>
      </w:r>
      <w:r>
        <w:t xml:space="preserve">The main stock exchange in Slovenia is the Ljubljana</w:t>
      </w:r>
      <w:r>
        <w:t xml:space="preserve"> </w:t>
      </w:r>
      <w:r>
        <w:t xml:space="preserve">Stock Exchange. The equity market is very small in</w:t>
      </w:r>
      <w:r>
        <w:t xml:space="preserve"> </w:t>
      </w:r>
      <w:r>
        <w:t xml:space="preserve">terms of capitalisation (17.9% of GDP vs an EU</w:t>
      </w:r>
      <w:r>
        <w:t xml:space="preserve"> </w:t>
      </w:r>
      <w:r>
        <w:t xml:space="preserve">average of 67% as of end-2024) and volumes traded,</w:t>
      </w:r>
      <w:r>
        <w:t xml:space="preserve"> </w:t>
      </w:r>
      <w:r>
        <w:t xml:space="preserve">and even more so when compared with the US (213%).</w:t>
      </w:r>
      <w:r>
        <w:t xml:space="preserve"> </w:t>
      </w:r>
      <w:r>
        <w:t xml:space="preserve">The market breadth of bond markets has steadily</w:t>
      </w:r>
      <w:r>
        <w:t xml:space="preserve"> </w:t>
      </w:r>
      <w:r>
        <w:t xml:space="preserve">decreased since 2018 and is largely below the EU</w:t>
      </w:r>
      <w:r>
        <w:t xml:space="preserve"> </w:t>
      </w:r>
      <w:r>
        <w:t xml:space="preserve">average (0.6 vs 1.5). The bid-ask spread on equity</w:t>
      </w:r>
      <w:r>
        <w:t xml:space="preserve"> </w:t>
      </w:r>
      <w:r>
        <w:t xml:space="preserve">markets is much higher than the EU average (12.6 vs</w:t>
      </w:r>
      <w:r>
        <w:t xml:space="preserve"> </w:t>
      </w:r>
      <w:r>
        <w:t xml:space="preserve">1.6). The use of equity by SMEs is relatively high, as</w:t>
      </w:r>
      <w:r>
        <w:t xml:space="preserve"> </w:t>
      </w:r>
      <w:r>
        <w:t xml:space="preserve">23% of SMEs indicated in the 2023 SAFE survey that</w:t>
      </w:r>
      <w:r>
        <w:t xml:space="preserve"> </w:t>
      </w:r>
      <w:r>
        <w:t xml:space="preserve">equity was relevant for them, compared to an EU</w:t>
      </w:r>
      <w:r>
        <w:t xml:space="preserve"> </w:t>
      </w:r>
      <w:r>
        <w:t xml:space="preserve">average of 12%.772</w:t>
      </w:r>
      <w:r>
        <w:t xml:space="preserve"> </w:t>
      </w:r>
      <w:r>
        <w:t xml:space="preserve">Some reforms are underway. The recovery and</w:t>
      </w:r>
      <w:r>
        <w:t xml:space="preserve"> </w:t>
      </w:r>
      <w:r>
        <w:t xml:space="preserve">resilience plan included two reforms aimed at</w:t>
      </w:r>
      <w:r>
        <w:t xml:space="preserve"> </w:t>
      </w:r>
      <w:r>
        <w:t xml:space="preserve">strengthening capital markets in Slovenia, namely (i)</w:t>
      </w:r>
      <w:r>
        <w:t xml:space="preserve"> </w:t>
      </w:r>
      <w:r>
        <w:t xml:space="preserve">the adoption of a new act on forms of alternative</w:t>
      </w:r>
      <w:r>
        <w:t xml:space="preserve"> </w:t>
      </w:r>
      <w:r>
        <w:t xml:space="preserve">investment funds and (ii) the implementation of a new</w:t>
      </w:r>
      <w:r>
        <w:t xml:space="preserve"> </w:t>
      </w:r>
      <w:r>
        <w:t xml:space="preserve">strategy for Slovenian capital markets, setting out</w:t>
      </w:r>
      <w:r>
        <w:t xml:space="preserve"> </w:t>
      </w:r>
      <w:r>
        <w:t xml:space="preserve">specific measures for further development.</w:t>
      </w:r>
      <w:r>
        <w:t xml:space="preserve"> </w:t>
      </w:r>
      <w:r>
        <w:t xml:space="preserve">Debt finance is a minor but increasing source of</w:t>
      </w:r>
      <w:r>
        <w:t xml:space="preserve"> </w:t>
      </w:r>
      <w:r>
        <w:t xml:space="preserve">funding for financial companies in Slovenia. In</w:t>
      </w:r>
      <w:r>
        <w:t xml:space="preserve"> </w:t>
      </w:r>
      <w:r>
        <w:t xml:space="preserve">2024, banks issued EUR 0.4 bn of debt securities,</w:t>
      </w:r>
      <w:r>
        <w:t xml:space="preserve"> </w:t>
      </w:r>
      <w:r>
        <w:t xml:space="preserve">down from EUR 1 bn in 2023 (see Graph 2.25.6), but</w:t>
      </w:r>
      <w:r>
        <w:t xml:space="preserve"> </w:t>
      </w:r>
      <w:r>
        <w:t xml:space="preserve">the issuance observed in Q1-2025 (EUR 0.5 bn) seems</w:t>
      </w:r>
      <w:r>
        <w:t xml:space="preserve"> </w:t>
      </w:r>
      <w:r>
        <w:t xml:space="preserve">to reverse this declining trend. The other financial</w:t>
      </w:r>
      <w:r>
        <w:t xml:space="preserve"> </w:t>
      </w:r>
      <w:r>
        <w:t xml:space="preserve">companies issued EUR 0.14 bn in 2024, up from</w:t>
      </w:r>
    </w:p>
    <w:p>
      <w:pPr>
        <w:pStyle w:val="BodyText"/>
      </w:pPr>
      <w:r>
        <w:t xml:space="preserve">772 Data and surveys - SAFE - European Commission, 2023,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EU 0.09 bn in 2023, but no issuance yet in Q1-2025.</w:t>
      </w:r>
      <w:r>
        <w:t xml:space="preserve"> </w:t>
      </w:r>
      <w:r>
        <w:t xml:space="preserve">The</w:t>
      </w:r>
      <w:r>
        <w:t xml:space="preserve"> </w:t>
      </w:r>
      <w:r>
        <w:t xml:space="preserve">(negative)</w:t>
      </w:r>
      <w:r>
        <w:t xml:space="preserve"> </w:t>
      </w:r>
      <w:r>
        <w:t xml:space="preserve">net</w:t>
      </w:r>
      <w:r>
        <w:t xml:space="preserve"> </w:t>
      </w:r>
      <w:r>
        <w:t xml:space="preserve">issuance</w:t>
      </w:r>
      <w:r>
        <w:t xml:space="preserve"> </w:t>
      </w:r>
      <w:r>
        <w:t xml:space="preserve">by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 steeply decreased from EUR -0.05 bn in</w:t>
      </w:r>
      <w:r>
        <w:t xml:space="preserve"> </w:t>
      </w:r>
      <w:r>
        <w:t xml:space="preserve">2023 to EUR -0.10 bn in 2024, with no substantial</w:t>
      </w:r>
      <w:r>
        <w:t xml:space="preserve"> </w:t>
      </w:r>
      <w:r>
        <w:t xml:space="preserve">issuance in Q1-2025. Hence, debt market finance</w:t>
      </w:r>
      <w:r>
        <w:t xml:space="preserve"> </w:t>
      </w:r>
      <w:r>
        <w:t xml:space="preserve">appears as a minor and decreasing source of funding</w:t>
      </w:r>
      <w:r>
        <w:t xml:space="preserve"> </w:t>
      </w:r>
      <w:r>
        <w:t xml:space="preserve">for Slovenian non-financial corporations.</w:t>
      </w:r>
      <w:r>
        <w:t xml:space="preserve"> </w:t>
      </w:r>
      <w:r>
        <w:t xml:space="preserve">1.27.6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Retail participation</w:t>
      </w:r>
      <w:r>
        <w:t xml:space="preserve"> </w:t>
      </w:r>
      <w:r>
        <w:t xml:space="preserve">1.27.7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Slovenian households do not invest enough in</w:t>
      </w:r>
      <w:r>
        <w:t xml:space="preserve"> </w:t>
      </w:r>
      <w:r>
        <w:t xml:space="preserve">financial assets and, more importantly, equity.</w:t>
      </w:r>
      <w:r>
        <w:t xml:space="preserve"> </w:t>
      </w:r>
      <w:r>
        <w:t xml:space="preserve">Slovenian households’ financial assets equated to</w:t>
      </w:r>
      <w:r>
        <w:t xml:space="preserve"> </w:t>
      </w:r>
      <w:r>
        <w:t xml:space="preserve">119% of GDP in 2024, less than the EU average</w:t>
      </w:r>
      <w:r>
        <w:t xml:space="preserve"> </w:t>
      </w:r>
      <w:r>
        <w:t xml:space="preserve">(212%) and much less than the US (446%). Worse,</w:t>
      </w:r>
      <w:r>
        <w:t xml:space="preserve"> </w:t>
      </w:r>
      <w:r>
        <w:t xml:space="preserve">assets invested in equity equated to only 52% of GDP,</w:t>
      </w:r>
      <w:r>
        <w:t xml:space="preserve"> </w:t>
      </w:r>
      <w:r>
        <w:t xml:space="preserve">below the EU average (91%) and almost six times</w:t>
      </w:r>
      <w:r>
        <w:t xml:space="preserve"> </w:t>
      </w:r>
      <w:r>
        <w:t xml:space="preserve">below the US (291%). Slovenian households invest</w:t>
      </w:r>
      <w:r>
        <w:t xml:space="preserve"> </w:t>
      </w:r>
      <w:r>
        <w:t xml:space="preserve">relatively little in investment funds, bonds, shares and</w:t>
      </w:r>
      <w:r>
        <w:t xml:space="preserve"> </w:t>
      </w:r>
      <w:r>
        <w:t xml:space="preserve">insurance and pension funds, while allocating a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SI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3.0</w:t>
      </w:r>
      <w:r>
        <w:t xml:space="preserve"> </w:t>
      </w:r>
      <w:r>
        <w:t xml:space="preserve">3.5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SI</w:t>
      </w:r>
      <w:r>
        <w:t xml:space="preserve"> </w:t>
      </w:r>
      <w:r>
        <w:t xml:space="preserve">EU</w:t>
      </w:r>
      <w:r>
        <w:t xml:space="preserve"> </w:t>
      </w:r>
      <w:r>
        <w:t xml:space="preserve">SI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p>
      <w:pPr>
        <w:pStyle w:val="BodyText"/>
      </w:pPr>
      <w:r>
        <w:t xml:space="preserve">495</w:t>
      </w:r>
      <w:r>
        <w:t xml:space="preserve"> </w:t>
      </w:r>
      <w:r>
        <w:t xml:space="preserve">significant portion to deposits, which generate much</w:t>
      </w:r>
      <w:r>
        <w:t xml:space="preserve"> </w:t>
      </w:r>
      <w:r>
        <w:t xml:space="preserve">lower returns than equity.</w:t>
      </w:r>
      <w:r>
        <w:t xml:space="preserve"> </w:t>
      </w:r>
      <w:r>
        <w:t xml:space="preserve">The design of the overall pension system is not</w:t>
      </w:r>
      <w:r>
        <w:t xml:space="preserve"> </w:t>
      </w:r>
      <w:r>
        <w:t xml:space="preserve">geared</w:t>
      </w:r>
      <w:r>
        <w:t xml:space="preserve"> </w:t>
      </w:r>
      <w:r>
        <w:t xml:space="preserve">towards</w:t>
      </w:r>
      <w:r>
        <w:t xml:space="preserve"> </w:t>
      </w:r>
      <w:r>
        <w:t xml:space="preserve">equity investment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capital markets. The pay-as-you-go</w:t>
      </w:r>
      <w:r>
        <w:t xml:space="preserve"> </w:t>
      </w:r>
      <w:r>
        <w:t xml:space="preserve">nature of the public pension system means that only the</w:t>
      </w:r>
      <w:r>
        <w:t xml:space="preserve"> </w:t>
      </w:r>
      <w:r>
        <w:t xml:space="preserve">supplementary private schemes invest in high-return</w:t>
      </w:r>
      <w:r>
        <w:t xml:space="preserve"> </w:t>
      </w:r>
      <w:r>
        <w:t xml:space="preserve">assets like equity. However, the supplementary private</w:t>
      </w:r>
      <w:r>
        <w:t xml:space="preserve"> </w:t>
      </w:r>
      <w:r>
        <w:t xml:space="preserve">schemes are not universal and accumulated rights often</w:t>
      </w:r>
      <w:r>
        <w:t xml:space="preserve"> </w:t>
      </w:r>
      <w:r>
        <w:t xml:space="preserve">remain limited for those covered. As a result, they only</w:t>
      </w:r>
      <w:r>
        <w:t xml:space="preserve"> </w:t>
      </w:r>
      <w:r>
        <w:t xml:space="preserve">contribute to a moderate extent to the total pension</w:t>
      </w:r>
      <w:r>
        <w:t xml:space="preserve"> </w:t>
      </w:r>
      <w:r>
        <w:t xml:space="preserve">income and do not fully foster the development of</w:t>
      </w:r>
      <w:r>
        <w:t xml:space="preserve"> </w:t>
      </w:r>
      <w:r>
        <w:t xml:space="preserve">capital markets. Encouraging the build-up of universal</w:t>
      </w:r>
      <w:r>
        <w:t xml:space="preserve"> </w:t>
      </w:r>
      <w:r>
        <w:t xml:space="preserve">funded</w:t>
      </w:r>
      <w:r>
        <w:t xml:space="preserve"> </w:t>
      </w:r>
      <w:r>
        <w:t xml:space="preserve">supplementary pension</w:t>
      </w:r>
      <w:r>
        <w:t xml:space="preserve"> </w:t>
      </w:r>
      <w:r>
        <w:t xml:space="preserve">schemes</w:t>
      </w:r>
      <w:r>
        <w:t xml:space="preserve"> </w:t>
      </w:r>
      <w:r>
        <w:t xml:space="preserve">would</w:t>
      </w:r>
      <w:r>
        <w:t xml:space="preserve"> </w:t>
      </w:r>
      <w:r>
        <w:t xml:space="preserve">positively contribute to (i) the sustainability and</w:t>
      </w:r>
      <w:r>
        <w:t xml:space="preserve"> </w:t>
      </w:r>
      <w:r>
        <w:t xml:space="preserve">adequacy of pensions benefits; (ii) investment in</w:t>
      </w:r>
      <w:r>
        <w:t xml:space="preserve"> </w:t>
      </w:r>
      <w:r>
        <w:t xml:space="preserve">equity; (iii) access to finance; (iv) growth; and (v)</w:t>
      </w:r>
      <w:r>
        <w:t xml:space="preserve"> </w:t>
      </w:r>
      <w:r>
        <w:t xml:space="preserve">innovation.</w:t>
      </w:r>
      <w:r>
        <w:t xml:space="preserve"> </w:t>
      </w:r>
      <w:r>
        <w:t xml:space="preserve">Slovenia’s new individual investment account</w:t>
      </w:r>
      <w:r>
        <w:t xml:space="preserve"> </w:t>
      </w:r>
      <w:r>
        <w:t xml:space="preserve">discriminates against foreign financial instruments.</w:t>
      </w:r>
      <w:r>
        <w:t xml:space="preserve"> </w:t>
      </w:r>
      <w:r>
        <w:t xml:space="preserve">On 27 May 2025, Slovenia adopted a law introducing</w:t>
      </w:r>
      <w:r>
        <w:t xml:space="preserve"> </w:t>
      </w:r>
      <w:r>
        <w:t xml:space="preserve">individual investment accounts aimed at promoting</w:t>
      </w:r>
      <w:r>
        <w:t xml:space="preserve"> </w:t>
      </w:r>
      <w:r>
        <w:t xml:space="preserve">retail investment in financial instruments. In order to</w:t>
      </w:r>
      <w:r>
        <w:t xml:space="preserve"> </w:t>
      </w:r>
      <w:r>
        <w:t xml:space="preserve">benefit from the preferential scheme, investors may</w:t>
      </w:r>
      <w:r>
        <w:t xml:space="preserve"> </w:t>
      </w:r>
      <w:r>
        <w:t xml:space="preserve">invest up to EUR 5,000 per year, with an additional</w:t>
      </w:r>
      <w:r>
        <w:t xml:space="preserve"> </w:t>
      </w:r>
      <w:r>
        <w:t xml:space="preserve">EUR 5,000 permitted if invested in Slovenian</w:t>
      </w:r>
      <w:r>
        <w:t xml:space="preserve"> </w:t>
      </w:r>
      <w:r>
        <w:t xml:space="preserve">securities. The total outstanding amount on the account</w:t>
      </w:r>
      <w:r>
        <w:t xml:space="preserve"> </w:t>
      </w:r>
      <w:r>
        <w:t xml:space="preserve">is capped at EUR 150,000. This distinction between</w:t>
      </w:r>
      <w:r>
        <w:t xml:space="preserve"> </w:t>
      </w:r>
      <w:r>
        <w:t xml:space="preserve">domestic and foreign financial products effectively</w:t>
      </w:r>
      <w:r>
        <w:t xml:space="preserve"> </w:t>
      </w:r>
      <w:r>
        <w:t xml:space="preserve">incentivizes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Slovenian-issued</w:t>
      </w:r>
      <w:r>
        <w:t xml:space="preserve"> </w:t>
      </w:r>
      <w:r>
        <w:t xml:space="preserve">instruments and puts foreign companies at a</w:t>
      </w:r>
      <w:r>
        <w:t xml:space="preserve"> </w:t>
      </w:r>
      <w:r>
        <w:t xml:space="preserve">disadvantage. It raises concerns about the measure’s</w:t>
      </w:r>
      <w:r>
        <w:t xml:space="preserve"> </w:t>
      </w:r>
      <w:r>
        <w:t xml:space="preserve">compatibility with the EU single market’s fundamental</w:t>
      </w:r>
      <w:r>
        <w:t xml:space="preserve"> </w:t>
      </w:r>
      <w:r>
        <w:t xml:space="preserve">freedoms—particularly the free movement of capital.</w:t>
      </w:r>
      <w:r>
        <w:t xml:space="preserve"> </w:t>
      </w:r>
      <w:r>
        <w:t xml:space="preserve">Consequently, a pilot letter has been sent to Slovenia</w:t>
      </w:r>
      <w:r>
        <w:t xml:space="preserve"> </w:t>
      </w:r>
      <w:r>
        <w:t xml:space="preserve">regarding this issue.</w:t>
      </w:r>
    </w:p>
    <w:p>
      <w:pPr>
        <w:pStyle w:val="BodyText"/>
      </w:pPr>
      <w:r>
        <w:t xml:space="preserve">1.28 Spain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Spanish economy invests the bulk of its net</w:t>
      </w:r>
      <w:r>
        <w:t xml:space="preserve"> </w:t>
      </w:r>
      <w:r>
        <w:t xml:space="preserve">savings domestically. From 2015 until 2024, the</w:t>
      </w:r>
      <w:r>
        <w:t xml:space="preserve"> </w:t>
      </w:r>
      <w:r>
        <w:t xml:space="preserve">private savings ratio, net of fixed capital consumption,</w:t>
      </w:r>
      <w:r>
        <w:t xml:space="preserve"> </w:t>
      </w:r>
      <w:r>
        <w:t xml:space="preserve">stood on average at 11.6% of GDP, reaching a</w:t>
      </w:r>
      <w:r>
        <w:t xml:space="preserve"> </w:t>
      </w:r>
      <w:r>
        <w:t xml:space="preserve">maximum of 14% in 2020 (see Graph 2.26.1). The net</w:t>
      </w:r>
      <w:r>
        <w:t xml:space="preserve"> </w:t>
      </w:r>
      <w:r>
        <w:t xml:space="preserve">private investment ratio, which denotes the net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private</w:t>
      </w:r>
      <w:r>
        <w:t xml:space="preserve"> </w:t>
      </w:r>
      <w:r>
        <w:t xml:space="preserve">sector</w:t>
      </w:r>
      <w:r>
        <w:t xml:space="preserve"> </w:t>
      </w:r>
      <w:r>
        <w:t xml:space="preserve">to</w:t>
      </w:r>
      <w:r>
        <w:t xml:space="preserve"> </w:t>
      </w:r>
      <w:r>
        <w:t xml:space="preserve">capital</w:t>
      </w:r>
      <w:r>
        <w:t xml:space="preserve"> </w:t>
      </w:r>
      <w:r>
        <w:t xml:space="preserve">accumulation in the economy, recorded an average of</w:t>
      </w:r>
      <w:r>
        <w:t xml:space="preserve"> </w:t>
      </w:r>
      <w:r>
        <w:t xml:space="preserve">4.4% of GDP during the reference ten-year period and</w:t>
      </w:r>
      <w:r>
        <w:t xml:space="preserve"> </w:t>
      </w:r>
      <w:r>
        <w:t xml:space="preserve">reached 5.8% in 2019. At the same time, during the</w:t>
      </w:r>
      <w:r>
        <w:t xml:space="preserve"> </w:t>
      </w:r>
      <w:r>
        <w:t xml:space="preserve">same period the government has been running</w:t>
      </w:r>
      <w:r>
        <w:t xml:space="preserve"> </w:t>
      </w:r>
      <w:r>
        <w:t xml:space="preserve">recurrent and sizable budgetary deficits, which during</w:t>
      </w:r>
      <w:r>
        <w:t xml:space="preserve"> </w:t>
      </w:r>
      <w:r>
        <w:t xml:space="preserve">2015-2024 on average amounted to a budgetary deficit</w:t>
      </w:r>
      <w:r>
        <w:t xml:space="preserve"> </w:t>
      </w:r>
      <w:r>
        <w:t xml:space="preserve">of 4.6%. Regardless of these general government</w:t>
      </w:r>
      <w:r>
        <w:t xml:space="preserve"> </w:t>
      </w:r>
      <w:r>
        <w:t xml:space="preserve">budgetary deficits, the sustained and positive</w:t>
      </w:r>
      <w:r>
        <w:t xml:space="preserve"> </w:t>
      </w:r>
      <w:r>
        <w:t xml:space="preserve">difference between net domestic savings and net</w:t>
      </w:r>
      <w:r>
        <w:t xml:space="preserve"> </w:t>
      </w:r>
      <w:r>
        <w:t xml:space="preserve">investment, resulted in structural net lending by Spain</w:t>
      </w:r>
      <w:r>
        <w:t xml:space="preserve"> </w:t>
      </w:r>
      <w:r>
        <w:t xml:space="preserve">to foreign economies that averaged 2.6% of GDP</w:t>
      </w:r>
      <w:r>
        <w:t xml:space="preserve"> </w:t>
      </w:r>
      <w:r>
        <w:t xml:space="preserve">during 2015-2024, with a peak of 3.7% in 2023. Thus,</w:t>
      </w:r>
      <w:r>
        <w:t xml:space="preserve"> </w:t>
      </w:r>
      <w:r>
        <w:t xml:space="preserve">most of the net savings in Spain have been invested</w:t>
      </w:r>
      <w:r>
        <w:t xml:space="preserve"> </w:t>
      </w:r>
      <w:r>
        <w:t xml:space="preserve">domestically (to finance private investment or</w:t>
      </w:r>
      <w:r>
        <w:t xml:space="preserve"> </w:t>
      </w:r>
      <w:r>
        <w:t xml:space="preserve">borrowing by the government), while a comparatively</w:t>
      </w:r>
      <w:r>
        <w:t xml:space="preserve"> </w:t>
      </w:r>
      <w:r>
        <w:t xml:space="preserve">smaller share was used to finance projects abroad.</w:t>
      </w:r>
      <w:r>
        <w:t xml:space="preserve"> </w:t>
      </w:r>
      <w:r>
        <w:t xml:space="preserve">1.28.1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While the Spanish economy has accumulated</w:t>
      </w:r>
      <w:r>
        <w:t xml:space="preserve"> </w:t>
      </w:r>
      <w:r>
        <w:t xml:space="preserve">significant foreign assets, the even more sizable</w:t>
      </w:r>
      <w:r>
        <w:t xml:space="preserve"> </w:t>
      </w:r>
      <w:r>
        <w:t xml:space="preserve">investments from abroad have resulted in a</w:t>
      </w:r>
      <w:r>
        <w:t xml:space="preserve"> </w:t>
      </w:r>
      <w:r>
        <w:t xml:space="preserve">negative net international investment position</w:t>
      </w:r>
      <w:r>
        <w:t xml:space="preserve"> </w:t>
      </w:r>
      <w:r>
        <w:t xml:space="preserve">(NIIP). In 2024, total assets abroad reached 194% of</w:t>
      </w:r>
      <w:r>
        <w:t xml:space="preserve"> </w:t>
      </w:r>
      <w:r>
        <w:t xml:space="preserve">GDP, while liabilities stood at almost 239% of GDP,</w:t>
      </w:r>
      <w:r>
        <w:t xml:space="preserve"> </w:t>
      </w:r>
      <w:r>
        <w:t xml:space="preserve">resulting in a NIIP equivalent to -44.2% of GDP (see</w:t>
      </w:r>
      <w:r>
        <w:t xml:space="preserve"> </w:t>
      </w:r>
      <w:r>
        <w:t xml:space="preserve">Graph 2.26.2). The stock of official foreign reserve</w:t>
      </w:r>
      <w:r>
        <w:t xml:space="preserve"> </w:t>
      </w:r>
      <w:r>
        <w:t xml:space="preserve">assets, which amounted to 6.5% of GDP, was the only</w:t>
      </w:r>
      <w:r>
        <w:t xml:space="preserve"> </w:t>
      </w:r>
      <w:r>
        <w:t xml:space="preserve">factor that contributed positively to the NIIP. All</w:t>
      </w:r>
      <w:r>
        <w:t xml:space="preserve"> </w:t>
      </w:r>
      <w:r>
        <w:t xml:space="preserve">investment categories contributed to a similar extent to</w:t>
      </w:r>
      <w:r>
        <w:t xml:space="preserve"> </w:t>
      </w:r>
      <w:r>
        <w:t xml:space="preserve">the negative NIIP. The net portfolio investments,</w:t>
      </w:r>
      <w:r>
        <w:t xml:space="preserve"> </w:t>
      </w:r>
      <w:r>
        <w:t xml:space="preserve">which are directly affected by the price volatility of</w:t>
      </w:r>
      <w:r>
        <w:t xml:space="preserve"> </w:t>
      </w:r>
      <w:r>
        <w:t xml:space="preserve">equity valuations, stood at almost -16% of GDP in</w:t>
      </w:r>
      <w:r>
        <w:t xml:space="preserve"> </w:t>
      </w:r>
      <w:r>
        <w:t xml:space="preserve">2024, while net foreign direct investment was at 15%.</w:t>
      </w:r>
      <w:r>
        <w:t xml:space="preserve"> </w:t>
      </w:r>
      <w:r>
        <w:t xml:space="preserve">The net stock of other investments amounted to -21%</w:t>
      </w:r>
      <w:r>
        <w:t xml:space="preserve"> </w:t>
      </w:r>
      <w:r>
        <w:t xml:space="preserve">of GDP. While the Spanish economy seems well</w:t>
      </w:r>
      <w:r>
        <w:t xml:space="preserve"> </w:t>
      </w:r>
      <w:r>
        <w:t xml:space="preserve">integrated in international capital flows as a source of</w:t>
      </w:r>
      <w:r>
        <w:t xml:space="preserve"> </w:t>
      </w:r>
      <w:r>
        <w:t xml:space="preserve">foreign capital, it remains a net capital importer across</w:t>
      </w:r>
      <w:r>
        <w:t xml:space="preserve"> </w:t>
      </w:r>
      <w:r>
        <w:t xml:space="preserve">all investment categories.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496</w:t>
      </w:r>
      <w:r>
        <w:t xml:space="preserve"> </w:t>
      </w:r>
      <w:r>
        <w:t xml:space="preserve">1.28.2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capital markets and size of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The Spanish economy stands out with one of the</w:t>
      </w:r>
      <w:r>
        <w:t xml:space="preserve"> </w:t>
      </w:r>
      <w:r>
        <w:t xml:space="preserve">domestic capital markets with potential for further</w:t>
      </w:r>
      <w:r>
        <w:t xml:space="preserve"> </w:t>
      </w:r>
      <w:r>
        <w:t xml:space="preserve">growth in the EU. The market capitalisation of listed</w:t>
      </w:r>
      <w:r>
        <w:t xml:space="preserve"> </w:t>
      </w:r>
      <w:r>
        <w:t xml:space="preserve">equity reached 49% of GDP at the end of 2024 (see</w:t>
      </w:r>
      <w:r>
        <w:t xml:space="preserve"> </w:t>
      </w:r>
      <w:r>
        <w:t xml:space="preserve">Graph 2.26.3), which is well below the EU average. At</w:t>
      </w:r>
      <w:r>
        <w:t xml:space="preserve"> </w:t>
      </w:r>
      <w:r>
        <w:t xml:space="preserve">the same time, non-financial corporations accounted</w:t>
      </w:r>
      <w:r>
        <w:t xml:space="preserve"> </w:t>
      </w:r>
      <w:r>
        <w:t xml:space="preserve">for 71% of that capitalisation, which implies that the</w:t>
      </w:r>
      <w:r>
        <w:t xml:space="preserve"> </w:t>
      </w:r>
      <w:r>
        <w:t xml:space="preserve">stock market in Spain is to a large extent geared</w:t>
      </w:r>
      <w:r>
        <w:t xml:space="preserve"> </w:t>
      </w:r>
      <w:r>
        <w:t xml:space="preserve">towards funding the non-financial segment of the real</w:t>
      </w:r>
      <w:r>
        <w:t xml:space="preserve"> </w:t>
      </w:r>
      <w:r>
        <w:t xml:space="preserve">economy. The outstanding volume of debt securities</w:t>
      </w:r>
      <w:r>
        <w:t xml:space="preserve"> </w:t>
      </w:r>
      <w:r>
        <w:t xml:space="preserve">reached 138% of GDP at end-2024, which is in line</w:t>
      </w:r>
      <w:r>
        <w:t xml:space="preserve"> </w:t>
      </w:r>
      <w:r>
        <w:t xml:space="preserve">with the EU average. Bonds issued by the government</w:t>
      </w:r>
      <w:r>
        <w:t xml:space="preserve"> </w:t>
      </w:r>
      <w:r>
        <w:t xml:space="preserve">and monetary financial institutions (MFIs) accounted</w:t>
      </w:r>
      <w:r>
        <w:t xml:space="preserve"> </w:t>
      </w:r>
      <w:r>
        <w:t xml:space="preserve">for almost 66% and 21% of the total, respectively.</w:t>
      </w:r>
      <w:r>
        <w:t xml:space="preserve"> </w:t>
      </w:r>
      <w:r>
        <w:t xml:space="preserve">While the financial sector in Spain remains</w:t>
      </w:r>
      <w:r>
        <w:t xml:space="preserve"> </w:t>
      </w:r>
      <w:r>
        <w:t xml:space="preserve">dominated</w:t>
      </w:r>
      <w:r>
        <w:t xml:space="preserve"> </w:t>
      </w:r>
      <w:r>
        <w:t xml:space="preserve">by</w:t>
      </w:r>
      <w:r>
        <w:t xml:space="preserve"> </w:t>
      </w:r>
      <w:r>
        <w:t xml:space="preserve">banks,</w:t>
      </w:r>
      <w:r>
        <w:t xml:space="preserve"> </w:t>
      </w:r>
      <w:r>
        <w:t xml:space="preserve">non-bank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 also play an important role. Starting</w:t>
      </w:r>
      <w:r>
        <w:t xml:space="preserve"> </w:t>
      </w:r>
      <w:r>
        <w:t xml:space="preserve">from 256% of GDP in 2020, the size of the banking</w:t>
      </w:r>
      <w:r>
        <w:t xml:space="preserve"> </w:t>
      </w:r>
      <w:r>
        <w:t xml:space="preserve">sector steadily declined to 196% of GDP in 2024,</w:t>
      </w:r>
      <w:r>
        <w:t xml:space="preserve"> </w:t>
      </w:r>
      <w:r>
        <w:t xml:space="preserve">which remains below the EU average of 251%. Several</w:t>
      </w:r>
      <w:r>
        <w:t xml:space="preserve"> </w:t>
      </w:r>
      <w:r>
        <w:t xml:space="preserve">large Spanish banking groups (in particular Santander</w:t>
      </w:r>
      <w:r>
        <w:t xml:space="preserve"> </w:t>
      </w:r>
      <w:r>
        <w:t xml:space="preserve">and Banco Bilbao Vizcaya Argentaria) have substantial</w:t>
      </w:r>
      <w:r>
        <w:t xml:space="preserve"> </w:t>
      </w:r>
      <w:r>
        <w:t xml:space="preserve">international operations, notably in Latin America,</w:t>
      </w:r>
      <w:r>
        <w:t xml:space="preserve"> </w:t>
      </w:r>
      <w:r>
        <w:t xml:space="preserve">United Kingdom and Türkiye. The Spanish banking</w:t>
      </w:r>
      <w:r>
        <w:t xml:space="preserve"> </w:t>
      </w:r>
      <w:r>
        <w:t xml:space="preserve">sector is predominantly domestically owned, with the</w:t>
      </w:r>
      <w:r>
        <w:t xml:space="preserve"> </w:t>
      </w:r>
      <w:r>
        <w:t xml:space="preserve">top five lenders owning almost 68% of total banking</w:t>
      </w:r>
      <w:r>
        <w:t xml:space="preserve"> </w:t>
      </w:r>
      <w:r>
        <w:t xml:space="preserve">sector assets. The insurance and pension funds sectors,</w:t>
      </w:r>
    </w:p>
    <w:p>
      <w:pPr>
        <w:pStyle w:val="BodyText"/>
      </w:pPr>
      <w:r>
        <w:t xml:space="preserve">773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with total assets of almost 21% of GDP and 11% of</w:t>
      </w:r>
      <w:r>
        <w:t xml:space="preserve"> </w:t>
      </w:r>
      <w:r>
        <w:t xml:space="preserve">GDP at end-2024, play a lesser role in the non-bank</w:t>
      </w:r>
      <w:r>
        <w:t xml:space="preserve"> </w:t>
      </w:r>
      <w:r>
        <w:t xml:space="preserve">intermediation (see Graph 2.26.3). Investment funds</w:t>
      </w:r>
      <w:r>
        <w:t xml:space="preserve"> </w:t>
      </w:r>
      <w:r>
        <w:t xml:space="preserve">also play a role, even though their total assets dropped</w:t>
      </w:r>
      <w:r>
        <w:t xml:space="preserve"> </w:t>
      </w:r>
      <w:r>
        <w:t xml:space="preserve">by around 2 percentage points to almost 28% of GDP</w:t>
      </w:r>
      <w:r>
        <w:t xml:space="preserve"> </w:t>
      </w:r>
      <w:r>
        <w:t xml:space="preserve">between 2021 and 2024.</w:t>
      </w:r>
      <w:r>
        <w:t xml:space="preserve"> </w:t>
      </w:r>
      <w:r>
        <w:t xml:space="preserve">1.28.3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1.28.4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Group773.</w:t>
      </w:r>
      <w:r>
        <w:t xml:space="preserve"> </w:t>
      </w:r>
      <w:r>
        <w:t xml:space="preserve">Over the past fifteen years, Spanish companies have</w:t>
      </w:r>
      <w:r>
        <w:t xml:space="preserve"> </w:t>
      </w:r>
      <w:r>
        <w:t xml:space="preserve">gradually moved towards a more balanced</w:t>
      </w:r>
      <w:r>
        <w:t xml:space="preserve"> </w:t>
      </w:r>
      <w:r>
        <w:t xml:space="preserve">financing structure. In 2008, their aggregate funding</w:t>
      </w:r>
      <w:r>
        <w:t xml:space="preserve"> </w:t>
      </w:r>
      <w:r>
        <w:t xml:space="preserve">was composed of 63% debt and 37% equity. By 2024,</w:t>
      </w:r>
      <w:r>
        <w:t xml:space="preserve"> </w:t>
      </w:r>
      <w:r>
        <w:t xml:space="preserve">the split had become nearly even—53% debt and 47%</w:t>
      </w:r>
      <w:r>
        <w:t xml:space="preserve"> </w:t>
      </w:r>
      <w:r>
        <w:t xml:space="preserve">equity—largely driven by “other equity” such as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-100</w:t>
      </w:r>
      <w:r>
        <w:t xml:space="preserve"> </w:t>
      </w:r>
      <w:r>
        <w:t xml:space="preserve">-80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-400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Jan-08=100</w:t>
      </w:r>
      <w:r>
        <w:t xml:space="preserve"> </w:t>
      </w:r>
      <w:r>
        <w:t xml:space="preserve">ES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IBEX 35 -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497</w:t>
      </w:r>
      <w:r>
        <w:t xml:space="preserve"> </w:t>
      </w:r>
      <w:r>
        <w:t xml:space="preserve">limited liability shares. Despite a slowdown in revenue</w:t>
      </w:r>
      <w:r>
        <w:t xml:space="preserve"> </w:t>
      </w:r>
      <w:r>
        <w:t xml:space="preserve">growth in 2024, Spanish firms continued to improve</w:t>
      </w:r>
      <w:r>
        <w:t xml:space="preserve"> </w:t>
      </w:r>
      <w:r>
        <w:t xml:space="preserve">their financial and balance sheet positions. However,</w:t>
      </w:r>
      <w:r>
        <w:t xml:space="preserve"> </w:t>
      </w:r>
      <w:r>
        <w:t xml:space="preserve">this favourable financial standing did not translate into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pickup</w:t>
      </w:r>
      <w:r>
        <w:t xml:space="preserve"> </w:t>
      </w:r>
      <w:r>
        <w:t xml:space="preserve">in</w:t>
      </w:r>
      <w:r>
        <w:t xml:space="preserve"> </w:t>
      </w:r>
      <w:r>
        <w:t xml:space="preserve">investment.</w:t>
      </w:r>
      <w:r>
        <w:t xml:space="preserve"> </w:t>
      </w:r>
      <w:r>
        <w:t xml:space="preserve">Business</w:t>
      </w:r>
      <w:r>
        <w:t xml:space="preserve"> </w:t>
      </w:r>
      <w:r>
        <w:t xml:space="preserve">investment grew by 3.6% compared to the previous</w:t>
      </w:r>
      <w:r>
        <w:t xml:space="preserve"> </w:t>
      </w:r>
      <w:r>
        <w:t xml:space="preserve">year, falling short of nominal GDP growth (6.2%). As</w:t>
      </w:r>
      <w:r>
        <w:t xml:space="preserve"> </w:t>
      </w:r>
      <w:r>
        <w:t xml:space="preserve">of 2024, Spanish non-financial corporations (NFCs)</w:t>
      </w:r>
      <w:r>
        <w:t xml:space="preserve"> </w:t>
      </w:r>
      <w:r>
        <w:t xml:space="preserve">relied slightly less on loans (57.9% of total liabilities)</w:t>
      </w:r>
      <w:r>
        <w:t xml:space="preserve"> </w:t>
      </w:r>
      <w:r>
        <w:t xml:space="preserve">than the EU average (62.7%) and significantly less on</w:t>
      </w:r>
      <w:r>
        <w:t xml:space="preserve"> </w:t>
      </w:r>
      <w:r>
        <w:t xml:space="preserve">market-based instruments such as listed shares (22.0%</w:t>
      </w:r>
      <w:r>
        <w:t xml:space="preserve"> </w:t>
      </w:r>
      <w:r>
        <w:t xml:space="preserve">vs. 43.9%) and bonds (8.2% vs. 10.8%). Trade credit</w:t>
      </w:r>
      <w:r>
        <w:t xml:space="preserve"> </w:t>
      </w:r>
      <w:r>
        <w:t xml:space="preserve">and advances also accounted for a smaller share in</w:t>
      </w:r>
      <w:r>
        <w:t xml:space="preserve"> </w:t>
      </w:r>
      <w:r>
        <w:t xml:space="preserve">Spain (4.9% vs. 8.7%). In contrast, Spanish firms made</w:t>
      </w:r>
      <w:r>
        <w:t xml:space="preserve"> </w:t>
      </w:r>
      <w:r>
        <w:t xml:space="preserve">greater use of other equity (76.4% vs. 47.8%), possibly</w:t>
      </w:r>
      <w:r>
        <w:t xml:space="preserve"> </w:t>
      </w:r>
      <w:r>
        <w:t xml:space="preserve">reflecting the specific legal form of own funds in</w:t>
      </w:r>
      <w:r>
        <w:t xml:space="preserve"> </w:t>
      </w:r>
      <w:r>
        <w:t xml:space="preserve">Spanish SMEs. Overall, this points to a more bank-</w:t>
      </w:r>
      <w:r>
        <w:t xml:space="preserve"> </w:t>
      </w:r>
      <w:r>
        <w:t xml:space="preserve">oriented and less capital market-intensive funding</w:t>
      </w:r>
      <w:r>
        <w:t xml:space="preserve"> </w:t>
      </w:r>
      <w:r>
        <w:t xml:space="preserve">model for Spanish NFCs compared to their EU peers.</w:t>
      </w:r>
      <w:r>
        <w:t xml:space="preserve"> </w:t>
      </w:r>
      <w:r>
        <w:t xml:space="preserve">Corporate funding and households’ assets</w:t>
      </w:r>
      <w:r>
        <w:t xml:space="preserve"> </w:t>
      </w:r>
      <w:r>
        <w:t xml:space="preserve">In 2024, Spanish companies continued to rely</w:t>
      </w:r>
      <w:r>
        <w:t xml:space="preserve"> </w:t>
      </w:r>
      <w:r>
        <w:t xml:space="preserve">primarily on debt issuance to obtain financing from</w:t>
      </w:r>
      <w:r>
        <w:t xml:space="preserve"> </w:t>
      </w:r>
      <w:r>
        <w:t xml:space="preserve">financial markets. Notably, an increasing number of</w:t>
      </w:r>
      <w:r>
        <w:t xml:space="preserve"> </w:t>
      </w:r>
      <w:r>
        <w:t xml:space="preserve">smaller firms accessed alternative markets for the first</w:t>
      </w:r>
      <w:r>
        <w:t xml:space="preserve"> </w:t>
      </w:r>
      <w:r>
        <w:t xml:space="preserve">time to raise funding, both through debt and equity</w:t>
      </w:r>
      <w:r>
        <w:t xml:space="preserve"> </w:t>
      </w:r>
      <w:r>
        <w:t xml:space="preserve">instruments. However, overall private debt issuance by</w:t>
      </w:r>
      <w:r>
        <w:t xml:space="preserve"> </w:t>
      </w:r>
      <w:r>
        <w:t xml:space="preserve">Spanish entities declined in 2024 in gross terms</w:t>
      </w:r>
      <w:r>
        <w:t xml:space="preserve"> </w:t>
      </w:r>
      <w:r>
        <w:t xml:space="preserve">compared to 2023. This decrease was largely driven by</w:t>
      </w:r>
      <w:r>
        <w:t xml:space="preserve"> </w:t>
      </w:r>
      <w:r>
        <w:t xml:space="preserve">the financial sector, whose issuance fell by 16.1% over</w:t>
      </w:r>
      <w:r>
        <w:t xml:space="preserve"> </w:t>
      </w:r>
      <w:r>
        <w:t xml:space="preserve">the year, totalling EUR 151.8 bn. The non-financial</w:t>
      </w:r>
      <w:r>
        <w:t xml:space="preserve"> </w:t>
      </w:r>
      <w:r>
        <w:t xml:space="preserve">sector also saw a reduction, issuing EUR 40.7 bn —</w:t>
      </w:r>
      <w:r>
        <w:t xml:space="preserve"> </w:t>
      </w:r>
      <w:r>
        <w:t xml:space="preserve">7% less than in the previous year.</w:t>
      </w:r>
      <w:r>
        <w:br/>
      </w:r>
      <w:r>
        <w:t xml:space="preserve">1.28.5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At the end of 2024, the number of companies listed</w:t>
      </w:r>
      <w:r>
        <w:t xml:space="preserve"> </w:t>
      </w:r>
      <w:r>
        <w:t xml:space="preserve">on Spanish stock exchanges stood at 129, one more</w:t>
      </w:r>
      <w:r>
        <w:t xml:space="preserve"> </w:t>
      </w:r>
      <w:r>
        <w:t xml:space="preserve">than in 2023, yet remaining at its lowest level in the</w:t>
      </w:r>
      <w:r>
        <w:t xml:space="preserve"> </w:t>
      </w:r>
      <w:r>
        <w:t xml:space="preserve">past 25 years. Notably, the Spanish company Puig</w:t>
      </w:r>
      <w:r>
        <w:t xml:space="preserve"> </w:t>
      </w:r>
      <w:r>
        <w:t xml:space="preserve">Brands led the IPO activity by size in Europe in</w:t>
      </w:r>
      <w:r>
        <w:t xml:space="preserve"> </w:t>
      </w:r>
      <w:r>
        <w:t xml:space="preserve">2024The market capitalization of Spanish stock</w:t>
      </w:r>
      <w:r>
        <w:t xml:space="preserve"> </w:t>
      </w:r>
      <w:r>
        <w:t xml:space="preserve">exchanges increased by 11.8% in 2024, driven by</w:t>
      </w:r>
      <w:r>
        <w:t xml:space="preserve"> </w:t>
      </w:r>
      <w:r>
        <w:t xml:space="preserve">market revaluation, reaching nearly EUR 768 bn, its</w:t>
      </w:r>
      <w:r>
        <w:t xml:space="preserve"> </w:t>
      </w:r>
      <w:r>
        <w:t xml:space="preserve">highest level since 2007. For the second consecutive</w:t>
      </w:r>
      <w:r>
        <w:t xml:space="preserve"> </w:t>
      </w:r>
      <w:r>
        <w:t xml:space="preserve">year, the textile sector recorded the largest market</w:t>
      </w:r>
      <w:r>
        <w:t xml:space="preserve"> </w:t>
      </w:r>
      <w:r>
        <w:t xml:space="preserve">capitalization growth, thanks largely to the revaluation</w:t>
      </w:r>
      <w:r>
        <w:t xml:space="preserve"> </w:t>
      </w:r>
      <w:r>
        <w:t xml:space="preserve">of Inditex, followed by the banking sector. Market</w:t>
      </w:r>
      <w:r>
        <w:t xml:space="preserve"> </w:t>
      </w:r>
      <w:r>
        <w:t xml:space="preserve">concentration continued to rise, surpassing 2023 levels.</w:t>
      </w:r>
      <w:r>
        <w:t xml:space="preserve"> </w:t>
      </w:r>
      <w:r>
        <w:t xml:space="preserve">Only five stocks accounted for more than half of the</w:t>
      </w:r>
      <w:r>
        <w:t xml:space="preserve"> </w:t>
      </w:r>
      <w:r>
        <w:t xml:space="preserve">total market capitalization, repeating the list of the</w:t>
      </w:r>
      <w:r>
        <w:t xml:space="preserve"> </w:t>
      </w:r>
      <w:r>
        <w:t xml:space="preserve">largest stocks seen in previous years. The top three</w:t>
      </w:r>
      <w:r>
        <w:t xml:space="preserve"> </w:t>
      </w:r>
      <w:r>
        <w:t xml:space="preserve">companies increased their share further, representing</w:t>
      </w:r>
      <w:r>
        <w:t xml:space="preserve"> </w:t>
      </w:r>
      <w:r>
        <w:t xml:space="preserve">nearly 40% of the market. Capital market financing by</w:t>
      </w:r>
      <w:r>
        <w:t xml:space="preserve"> </w:t>
      </w:r>
      <w:r>
        <w:t xml:space="preserve">companies recovered compared to the previous two</w:t>
      </w:r>
      <w:r>
        <w:t xml:space="preserve"> </w:t>
      </w:r>
      <w:r>
        <w:t xml:space="preserve">years, with 66 operations amounting to EUR 7.93 bn,</w:t>
      </w:r>
      <w:r>
        <w:t xml:space="preserve"> </w:t>
      </w:r>
      <w:r>
        <w:t xml:space="preserve">though below the average levels over the last decade.</w:t>
      </w:r>
      <w:r>
        <w:br/>
      </w:r>
      <w:r>
        <w:t xml:space="preserve">1.28.6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In 2023, the financial asset portfolio of Spanish</w:t>
      </w:r>
      <w:r>
        <w:t xml:space="preserve"> </w:t>
      </w:r>
      <w:r>
        <w:t xml:space="preserve">households remained notably distinct from the EU</w:t>
      </w:r>
      <w:r>
        <w:t xml:space="preserve"> </w:t>
      </w:r>
      <w:r>
        <w:t xml:space="preserve">average, reflecting both structural and institutional</w:t>
      </w:r>
      <w:r>
        <w:t xml:space="preserve"> </w:t>
      </w:r>
      <w:r>
        <w:t xml:space="preserve">specificities. Spanish households had significantly</w:t>
      </w:r>
      <w:r>
        <w:t xml:space="preserve"> </w:t>
      </w:r>
      <w:r>
        <w:t xml:space="preserve">lower exposure to insurance and pension funds</w:t>
      </w:r>
      <w:r>
        <w:t xml:space="preserve"> </w:t>
      </w:r>
      <w:r>
        <w:t xml:space="preserve">(EUR 7,500 vs. EUR 22,400 per capita, or 24.2% vs. </w:t>
      </w:r>
      <w:r>
        <w:t xml:space="preserve"> </w:t>
      </w:r>
      <w:r>
        <w:t xml:space="preserve">58.3% of GDP), underscoring the relatively modest</w:t>
      </w:r>
      <w:r>
        <w:t xml:space="preserve"> </w:t>
      </w:r>
      <w:r>
        <w:t xml:space="preserve">development of long-term savings instruments in</w:t>
      </w:r>
      <w:r>
        <w:t xml:space="preserve"> </w:t>
      </w:r>
      <w:r>
        <w:t xml:space="preserve">Spain. Conversely, Spanish households allocated a</w:t>
      </w:r>
      <w:r>
        <w:t xml:space="preserve"> </w:t>
      </w:r>
      <w:r>
        <w:t xml:space="preserve">greater share of their wealth to investment funds than</w:t>
      </w:r>
      <w:r>
        <w:t xml:space="preserve"> </w:t>
      </w:r>
      <w:r>
        <w:t xml:space="preserve">the EU average, both per capita (EUR 9,100 vs. </w:t>
      </w:r>
      <w:r>
        <w:t xml:space="preserve"> </w:t>
      </w:r>
      <w:r>
        <w:t xml:space="preserve">EUR 8,100) and as a share of GDP (29.3% vs. 21.0%).</w:t>
      </w:r>
      <w:r>
        <w:t xml:space="preserve"> </w:t>
      </w:r>
      <w:r>
        <w:t xml:space="preserve">They also had higher holdings in “other equity”—often</w:t>
      </w:r>
      <w:r>
        <w:t xml:space="preserve"> </w:t>
      </w:r>
      <w:r>
        <w:t xml:space="preserve">reflecting stakes in SMEs or family-owned businesses</w:t>
      </w:r>
      <w:r>
        <w:t xml:space="preserve"> </w:t>
      </w:r>
      <w:r>
        <w:t xml:space="preserve">at 40.5% of GDP, well above the EU average of 24.1%.</w:t>
      </w:r>
      <w:r>
        <w:t xml:space="preserve"> </w:t>
      </w:r>
      <w:r>
        <w:t xml:space="preserve">Overall, Spanish households show a more conservative</w:t>
      </w:r>
      <w:r>
        <w:t xml:space="preserve"> </w:t>
      </w:r>
      <w:r>
        <w:t xml:space="preserve">and cash-oriented financial profile, with lower reliance</w:t>
      </w:r>
      <w:r>
        <w:t xml:space="preserve"> </w:t>
      </w:r>
      <w:r>
        <w:t xml:space="preserve">on pension funds.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ES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-40.0</w:t>
      </w:r>
      <w:r>
        <w:t xml:space="preserve"> </w:t>
      </w:r>
      <w:r>
        <w:t xml:space="preserve">-20.0</w:t>
      </w:r>
      <w:r>
        <w:t xml:space="preserve"> </w:t>
      </w:r>
      <w:r>
        <w:t xml:space="preserve">0.0</w:t>
      </w:r>
      <w:r>
        <w:t xml:space="preserve"> </w:t>
      </w:r>
      <w:r>
        <w:t xml:space="preserve">20.0</w:t>
      </w:r>
      <w:r>
        <w:t xml:space="preserve"> </w:t>
      </w:r>
      <w:r>
        <w:t xml:space="preserve">40.0</w:t>
      </w:r>
      <w:r>
        <w:t xml:space="preserve"> </w:t>
      </w:r>
      <w:r>
        <w:t xml:space="preserve">60.0</w:t>
      </w:r>
      <w:r>
        <w:t xml:space="preserve"> </w:t>
      </w:r>
      <w:r>
        <w:t xml:space="preserve">80.0</w:t>
      </w:r>
      <w:r>
        <w:t xml:space="preserve"> </w:t>
      </w:r>
      <w:r>
        <w:t xml:space="preserve">100.0</w:t>
      </w:r>
      <w:r>
        <w:t xml:space="preserve"> </w:t>
      </w:r>
      <w:r>
        <w:t xml:space="preserve">120.0</w:t>
      </w:r>
      <w:r>
        <w:t xml:space="preserve"> </w:t>
      </w:r>
      <w:r>
        <w:t xml:space="preserve">140.0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</w:p>
    <w:p>
      <w:pPr>
        <w:pStyle w:val="BodyText"/>
      </w:pPr>
      <w:r>
        <w:t xml:space="preserve">498</w:t>
      </w:r>
      <w:r>
        <w:t xml:space="preserve"> </w:t>
      </w:r>
      <w:r>
        <w:t xml:space="preserve">1.28.7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</w:p>
    <w:p>
      <w:pPr>
        <w:pStyle w:val="BodyText"/>
      </w:pPr>
      <w:r>
        <w:t xml:space="preserve">1.29 Sweden</w:t>
      </w:r>
      <w:r>
        <w:t xml:space="preserve"> </w:t>
      </w:r>
      <w:r>
        <w:t xml:space="preserve">Availability and use of domestic savings</w:t>
      </w:r>
      <w:r>
        <w:t xml:space="preserve"> </w:t>
      </w:r>
      <w:r>
        <w:t xml:space="preserve">The Swedish economy invests the largest part of its</w:t>
      </w:r>
      <w:r>
        <w:t xml:space="preserve"> </w:t>
      </w:r>
      <w:r>
        <w:t xml:space="preserve">relatively high net savings abroad. In the last decade,</w:t>
      </w:r>
      <w:r>
        <w:t xml:space="preserve"> </w:t>
      </w:r>
      <w:r>
        <w:t xml:space="preserve">the private savings ratio, net of fixed capital</w:t>
      </w:r>
      <w:r>
        <w:t xml:space="preserve"> </w:t>
      </w:r>
      <w:r>
        <w:t xml:space="preserve">consumption, persistently fluctuated around its ten-</w:t>
      </w:r>
      <w:r>
        <w:t xml:space="preserve"> </w:t>
      </w:r>
      <w:r>
        <w:t xml:space="preserve">year average of 10.6% of GDP, reaching a maximum</w:t>
      </w:r>
      <w:r>
        <w:t xml:space="preserve"> </w:t>
      </w:r>
      <w:r>
        <w:t xml:space="preserve">of 14.2% in 2020 (see Graph 2.27.1). The net private</w:t>
      </w:r>
      <w:r>
        <w:t xml:space="preserve"> </w:t>
      </w:r>
      <w:r>
        <w:t xml:space="preserve">investment ratio, which measures the net contribution</w:t>
      </w:r>
      <w:r>
        <w:t xml:space="preserve"> </w:t>
      </w:r>
      <w:r>
        <w:t xml:space="preserve">of the private sector to capital accumulation in the</w:t>
      </w:r>
      <w:r>
        <w:t xml:space="preserve"> </w:t>
      </w:r>
      <w:r>
        <w:t xml:space="preserve">country, significantly more volatile, exhibited a ten-</w:t>
      </w:r>
      <w:r>
        <w:t xml:space="preserve"> </w:t>
      </w:r>
      <w:r>
        <w:t xml:space="preserve">year average of 6.6% of GDP and reached a maximum</w:t>
      </w:r>
      <w:r>
        <w:t xml:space="preserve"> </w:t>
      </w:r>
      <w:r>
        <w:t xml:space="preserve">of 7.7% in 2022. At the same time, during the same</w:t>
      </w:r>
      <w:r>
        <w:t xml:space="preserve"> </w:t>
      </w:r>
      <w:r>
        <w:t xml:space="preserve">period the government budget was in regular deficit,</w:t>
      </w:r>
      <w:r>
        <w:t xml:space="preserve"> </w:t>
      </w:r>
      <w:r>
        <w:t xml:space="preserve">averaging 0.2% of GDP. Thus, the high positive</w:t>
      </w:r>
      <w:r>
        <w:t xml:space="preserve"> </w:t>
      </w:r>
      <w:r>
        <w:t xml:space="preserve">balance between net domestic savings and net</w:t>
      </w:r>
      <w:r>
        <w:t xml:space="preserve"> </w:t>
      </w:r>
      <w:r>
        <w:t xml:space="preserve">investment, together with the government deficits,</w:t>
      </w:r>
      <w:r>
        <w:t xml:space="preserve"> </w:t>
      </w:r>
      <w:r>
        <w:t xml:space="preserve">resulted in structural net lending by Sweden to</w:t>
      </w:r>
      <w:r>
        <w:t xml:space="preserve"> </w:t>
      </w:r>
      <w:r>
        <w:t xml:space="preserve">foreigners, averaging 3.9% of GDP, with a peak of</w:t>
      </w:r>
      <w:r>
        <w:t xml:space="preserve"> </w:t>
      </w:r>
      <w:r>
        <w:t xml:space="preserve">6.6% in 2021. Hence, most of Swedish net savings, i.e. </w:t>
      </w:r>
      <w:r>
        <w:t xml:space="preserve"> </w:t>
      </w:r>
      <w:r>
        <w:t xml:space="preserve">after accounting for the investments that are necessary</w:t>
      </w:r>
      <w:r>
        <w:t xml:space="preserve"> </w:t>
      </w:r>
      <w:r>
        <w:t xml:space="preserve">to merely maintain the existing capital structure of the</w:t>
      </w:r>
      <w:r>
        <w:t xml:space="preserve"> </w:t>
      </w:r>
      <w:r>
        <w:t xml:space="preserve">economy, are used to finance projects abroad.</w:t>
      </w:r>
      <w:r>
        <w:t xml:space="preserve"> </w:t>
      </w:r>
      <w:r>
        <w:t xml:space="preserve">1.29.1</w:t>
      </w:r>
      <w:r>
        <w:t xml:space="preserve"> </w:t>
      </w:r>
      <w:r>
        <w:t xml:space="preserve">Net savings-investment balance</w:t>
      </w:r>
      <w:r>
        <w:t xml:space="preserve"> </w:t>
      </w:r>
      <w:r>
        <w:t xml:space="preserve">Source: AMECO.</w:t>
      </w:r>
      <w:r>
        <w:t xml:space="preserve"> </w:t>
      </w:r>
      <w:r>
        <w:t xml:space="preserve">Consistent with its position as a net creditor to the</w:t>
      </w:r>
      <w:r>
        <w:t xml:space="preserve"> </w:t>
      </w:r>
      <w:r>
        <w:t xml:space="preserve">rest of the world, the Swedish economy has</w:t>
      </w:r>
      <w:r>
        <w:t xml:space="preserve"> </w:t>
      </w:r>
      <w:r>
        <w:t xml:space="preserve">accumulated significant foreign assets and exhibits</w:t>
      </w:r>
      <w:r>
        <w:t xml:space="preserve"> </w:t>
      </w:r>
      <w:r>
        <w:t xml:space="preserve">a positive net international investment position. As</w:t>
      </w:r>
      <w:r>
        <w:t xml:space="preserve"> </w:t>
      </w:r>
      <w:r>
        <w:t xml:space="preserve">of end-2024, total assets on foreigners reached 357.2%</w:t>
      </w:r>
      <w:r>
        <w:t xml:space="preserve"> </w:t>
      </w:r>
      <w:r>
        <w:t xml:space="preserve">of GDP, while liabilities to foreigners stood at 291.3%</w:t>
      </w:r>
      <w:r>
        <w:t xml:space="preserve"> </w:t>
      </w:r>
      <w:r>
        <w:t xml:space="preserve">of GDP, resulting in a net international investment</w:t>
      </w:r>
      <w:r>
        <w:t xml:space="preserve"> </w:t>
      </w:r>
      <w:r>
        <w:t xml:space="preserve">position (NIIP) equivalent to 65.9% of GDP (see Graph</w:t>
      </w:r>
      <w:r>
        <w:t xml:space="preserve"> </w:t>
      </w:r>
      <w:r>
        <w:t xml:space="preserve">2.27.2). The accumulated portfolio investment and net</w:t>
      </w:r>
      <w:r>
        <w:t xml:space="preserve"> </w:t>
      </w:r>
      <w:r>
        <w:t xml:space="preserve">foreign direct investment, which reached respectively</w:t>
      </w:r>
      <w:r>
        <w:t xml:space="preserve"> </w:t>
      </w:r>
      <w:r>
        <w:t xml:space="preserve">29.7% of GDP and 21.6% of GDP as of end-2024,</w:t>
      </w:r>
      <w:r>
        <w:t xml:space="preserve"> </w:t>
      </w:r>
      <w:r>
        <w:t xml:space="preserve">accounted for most of the NIIP. The net portfolio</w:t>
      </w:r>
      <w:r>
        <w:t xml:space="preserve"> </w:t>
      </w:r>
      <w:r>
        <w:t xml:space="preserve">investments, which are also affected by the price</w:t>
      </w:r>
      <w:r>
        <w:t xml:space="preserve"> </w:t>
      </w:r>
      <w:r>
        <w:t xml:space="preserve">volatility of equity valuations abroad (assets) and in</w:t>
      </w:r>
      <w:r>
        <w:t xml:space="preserve"> </w:t>
      </w:r>
      <w:r>
        <w:t xml:space="preserve">Sweden (liabilities), were negative until 2020, but</w:t>
      </w:r>
      <w:r>
        <w:t xml:space="preserve"> </w:t>
      </w:r>
      <w:r>
        <w:t xml:space="preserve">turned positive afterwards (caused by an increase in</w:t>
      </w:r>
      <w:r>
        <w:t xml:space="preserve"> </w:t>
      </w:r>
      <w:r>
        <w:t xml:space="preserve">equity and investment fund shares and long-term debt</w:t>
      </w:r>
      <w:r>
        <w:t xml:space="preserve"> </w:t>
      </w:r>
      <w:r>
        <w:t xml:space="preserve">securities). Non-bank financial institutions hold the</w:t>
      </w:r>
      <w:r>
        <w:t xml:space="preserve"> </w:t>
      </w:r>
      <w:r>
        <w:t xml:space="preserve">bulk of net foreign assets, while banks and NFCs are</w:t>
      </w:r>
      <w:r>
        <w:t xml:space="preserve"> </w:t>
      </w:r>
      <w:r>
        <w:t xml:space="preserve">the main net external debtors. Sweden’s foreign</w:t>
      </w:r>
      <w:r>
        <w:t xml:space="preserve"> </w:t>
      </w:r>
      <w:r>
        <w:t xml:space="preserve">currency assets are almost three times as high as its</w:t>
      </w:r>
      <w:r>
        <w:t xml:space="preserve"> </w:t>
      </w:r>
      <w:r>
        <w:t xml:space="preserve">foreign currency liabilities, providing a hedge against</w:t>
      </w:r>
      <w:r>
        <w:t xml:space="preserve"> </w:t>
      </w:r>
      <w:r>
        <w:t xml:space="preserve">currency valuation changes. Despite being a floating</w:t>
      </w:r>
      <w:r>
        <w:t xml:space="preserve"> </w:t>
      </w:r>
      <w:r>
        <w:t xml:space="preserve">exchange rate regime, it is important to maintain</w:t>
      </w:r>
      <w:r>
        <w:t xml:space="preserve"> </w:t>
      </w:r>
      <w:r>
        <w:t xml:space="preserve">adequate foreign reserves in view of the high</w:t>
      </w:r>
      <w:r>
        <w:t xml:space="preserve"> </w:t>
      </w:r>
      <w:r>
        <w:t xml:space="preserve">dependence of commercial banks on wholesale funding</w:t>
      </w:r>
      <w:r>
        <w:t xml:space="preserve"> </w:t>
      </w:r>
      <w:r>
        <w:t xml:space="preserve">in foreign currency, and potential disruptions in such</w:t>
      </w:r>
      <w:r>
        <w:t xml:space="preserve"> </w:t>
      </w:r>
      <w:r>
        <w:t xml:space="preserve">funding during global financial distress. Although</w:t>
      </w:r>
      <w:r>
        <w:t xml:space="preserve"> </w:t>
      </w:r>
      <w:r>
        <w:t xml:space="preserve">rollovers of external debt (which include banks’</w:t>
      </w:r>
      <w:r>
        <w:t xml:space="preserve"> </w:t>
      </w:r>
      <w:r>
        <w:t xml:space="preserve">covered bonds) pose some vulnerability, risks are</w:t>
      </w:r>
      <w:r>
        <w:t xml:space="preserve"> </w:t>
      </w:r>
      <w:r>
        <w:t xml:space="preserve">moderated by banks’ ample liquidity and large capital</w:t>
      </w:r>
      <w:r>
        <w:t xml:space="preserve"> </w:t>
      </w:r>
      <w:r>
        <w:t xml:space="preserve">buffers (see below).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ES</w:t>
      </w:r>
      <w:r>
        <w:t xml:space="preserve"> </w:t>
      </w:r>
      <w:r>
        <w:t xml:space="preserve">EU</w:t>
      </w:r>
      <w:r>
        <w:t xml:space="preserve"> </w:t>
      </w:r>
      <w:r>
        <w:t xml:space="preserve">ES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Private investment, net</w:t>
      </w:r>
      <w:r>
        <w:t xml:space="preserve"> </w:t>
      </w:r>
      <w:r>
        <w:t xml:space="preserve">Lending to the government</w:t>
      </w:r>
      <w:r>
        <w:t xml:space="preserve"> </w:t>
      </w:r>
      <w:r>
        <w:t xml:space="preserve">Private savings, net</w:t>
      </w:r>
      <w:r>
        <w:t xml:space="preserve"> </w:t>
      </w:r>
      <w:r>
        <w:t xml:space="preserve">Private savings, gross</w:t>
      </w:r>
      <w:r>
        <w:t xml:space="preserve"> </w:t>
      </w:r>
      <w:r>
        <w:t xml:space="preserve">Borrowing from the rest of the world</w:t>
      </w:r>
    </w:p>
    <w:p>
      <w:pPr>
        <w:pStyle w:val="BodyText"/>
      </w:pPr>
      <w:r>
        <w:t xml:space="preserve">499</w:t>
      </w:r>
      <w:r>
        <w:t xml:space="preserve"> </w:t>
      </w:r>
      <w:r>
        <w:t xml:space="preserve">1.29.2</w:t>
      </w:r>
      <w:r>
        <w:t xml:space="preserve"> </w:t>
      </w:r>
      <w:r>
        <w:t xml:space="preserve">International investment position</w:t>
      </w:r>
      <w:r>
        <w:t xml:space="preserve"> </w:t>
      </w:r>
      <w:r>
        <w:t xml:space="preserve">Source: ECB.</w:t>
      </w:r>
      <w:r>
        <w:t xml:space="preserve"> </w:t>
      </w:r>
      <w:r>
        <w:t xml:space="preserve">Structure of the financial sector</w:t>
      </w:r>
      <w:r>
        <w:t xml:space="preserve"> </w:t>
      </w:r>
      <w:r>
        <w:t xml:space="preserve">Sweden’s capital markets rank thirteenth in the</w:t>
      </w:r>
      <w:r>
        <w:t xml:space="preserve"> </w:t>
      </w:r>
      <w:r>
        <w:t xml:space="preserve">world, and are more liquid, mature and deeper than</w:t>
      </w:r>
      <w:r>
        <w:t xml:space="preserve"> </w:t>
      </w:r>
      <w:r>
        <w:t xml:space="preserve">elsewhere in the EU. The Swedish stock market is</w:t>
      </w:r>
      <w:r>
        <w:t xml:space="preserve"> </w:t>
      </w:r>
      <w:r>
        <w:t xml:space="preserve">currently the third largest EU market by capitalisation</w:t>
      </w:r>
      <w:r>
        <w:t xml:space="preserve"> </w:t>
      </w:r>
      <w:r>
        <w:t xml:space="preserve">(equivalent to 163.7% of GDP vs an EU average of</w:t>
      </w:r>
      <w:r>
        <w:t xml:space="preserve"> </w:t>
      </w:r>
      <w:r>
        <w:t xml:space="preserve">66.8% of GDP as of end-2024) and the largest by</w:t>
      </w:r>
      <w:r>
        <w:t xml:space="preserve"> </w:t>
      </w:r>
      <w:r>
        <w:t xml:space="preserve">number of listed companies, with just over 950</w:t>
      </w:r>
      <w:r>
        <w:t xml:space="preserve"> </w:t>
      </w:r>
      <w:r>
        <w:t xml:space="preserve">companies at year-end 2024. In Sweden, the total</w:t>
      </w:r>
      <w:r>
        <w:t xml:space="preserve"> </w:t>
      </w:r>
      <w:r>
        <w:t xml:space="preserve">market capitalization of publicly listed companies is a</w:t>
      </w:r>
      <w:r>
        <w:t xml:space="preserve"> </w:t>
      </w:r>
      <w:r>
        <w:t xml:space="preserve">significant percentage of the country’s GDP, currently</w:t>
      </w:r>
      <w:r>
        <w:t xml:space="preserve"> </w:t>
      </w:r>
      <w:r>
        <w:t xml:space="preserve">standing at 123 (Graph 2.27.3). The Swedish equity</w:t>
      </w:r>
      <w:r>
        <w:t xml:space="preserve"> </w:t>
      </w:r>
      <w:r>
        <w:t xml:space="preserve">market is characterised by active trading and by broad</w:t>
      </w:r>
      <w:r>
        <w:t xml:space="preserve"> </w:t>
      </w:r>
      <w:r>
        <w:t xml:space="preserve">access for many investor types. Another key</w:t>
      </w:r>
      <w:r>
        <w:t xml:space="preserve"> </w:t>
      </w:r>
      <w:r>
        <w:t xml:space="preserve">characteristic is the substantial activity by small and</w:t>
      </w:r>
      <w:r>
        <w:t xml:space="preserve"> </w:t>
      </w:r>
      <w:r>
        <w:t xml:space="preserve">medium-sized</w:t>
      </w:r>
      <w:r>
        <w:t xml:space="preserve"> </w:t>
      </w:r>
      <w:r>
        <w:t xml:space="preserve">enterprises</w:t>
      </w:r>
      <w:r>
        <w:t xml:space="preserve"> </w:t>
      </w:r>
      <w:r>
        <w:t xml:space="preserve">(SMEs)</w:t>
      </w:r>
      <w:r>
        <w:t xml:space="preserve"> </w:t>
      </w:r>
      <w:r>
        <w:t xml:space="preserve">companies.</w:t>
      </w:r>
      <w:r>
        <w:t xml:space="preserve"> </w:t>
      </w:r>
      <w:r>
        <w:t xml:space="preserve">Sweden’s market in initial public offerings (IPOs) has</w:t>
      </w:r>
      <w:r>
        <w:t xml:space="preserve"> </w:t>
      </w:r>
      <w:r>
        <w:t xml:space="preserve">been particularly dynamic enabling smaller companies</w:t>
      </w:r>
      <w:r>
        <w:t xml:space="preserve"> </w:t>
      </w:r>
      <w:r>
        <w:t xml:space="preserve">to list. Most publicly listed companies in Sweden are</w:t>
      </w:r>
      <w:r>
        <w:t xml:space="preserve"> </w:t>
      </w:r>
      <w:r>
        <w:t xml:space="preserve">listed on a growth market, functioning as a stepping</w:t>
      </w:r>
      <w:r>
        <w:t xml:space="preserve"> </w:t>
      </w:r>
      <w:r>
        <w:t xml:space="preserve">stone to the regulated market. Sweden stands out as the</w:t>
      </w:r>
      <w:r>
        <w:t xml:space="preserve"> </w:t>
      </w:r>
      <w:r>
        <w:t xml:space="preserve">only EU Member State where capital markets are more</w:t>
      </w:r>
      <w:r>
        <w:t xml:space="preserve"> </w:t>
      </w:r>
      <w:r>
        <w:t xml:space="preserve">than twice as deep today than they were a decade</w:t>
      </w:r>
      <w:r>
        <w:t xml:space="preserve"> </w:t>
      </w:r>
      <w:r>
        <w:t xml:space="preserve">ago. This growth over the last ten years is nearly five</w:t>
      </w:r>
      <w:r>
        <w:t xml:space="preserve"> </w:t>
      </w:r>
      <w:r>
        <w:t xml:space="preserve">times the average growth rate in the EU and has been</w:t>
      </w:r>
      <w:r>
        <w:t xml:space="preserve"> </w:t>
      </w:r>
      <w:r>
        <w:t xml:space="preserve">driven by a large increase in venture capital (VC) and</w:t>
      </w:r>
      <w:r>
        <w:t xml:space="preserve"> </w:t>
      </w:r>
      <w:r>
        <w:t xml:space="preserve">private equity (PE) activity.</w:t>
      </w:r>
      <w:r>
        <w:br/>
      </w:r>
      <w:r>
        <w:t xml:space="preserve">The domestic bond market is dominated by the debt</w:t>
      </w:r>
      <w:r>
        <w:t xml:space="preserve"> </w:t>
      </w:r>
      <w:r>
        <w:t xml:space="preserve">of financial institutions, notably through the</w:t>
      </w:r>
      <w:r>
        <w:t xml:space="preserve"> </w:t>
      </w:r>
      <w:r>
        <w:t xml:space="preserve">issuance of covered bonds. The ratio of debt securities</w:t>
      </w:r>
      <w:r>
        <w:t xml:space="preserve"> </w:t>
      </w:r>
      <w:r>
        <w:t xml:space="preserve">issued by financial institutions to GDP (81.2% of GDP)</w:t>
      </w:r>
      <w:r>
        <w:t xml:space="preserve"> </w:t>
      </w:r>
      <w:r>
        <w:t xml:space="preserve">is four times more than those issued by the government,</w:t>
      </w:r>
      <w:r>
        <w:t xml:space="preserve"> </w:t>
      </w:r>
      <w:r>
        <w:t xml:space="preserve">and more than twice the EU average (36.3%), while</w:t>
      </w:r>
    </w:p>
    <w:p>
      <w:pPr>
        <w:pStyle w:val="BodyText"/>
      </w:pPr>
      <w:r>
        <w:t xml:space="preserve">774 AFME CMU Key Performance Indicators, November 2023.</w:t>
      </w:r>
      <w:r>
        <w:t xml:space="preserve"> </w:t>
      </w:r>
      <w:r>
        <w:t xml:space="preserve">bonds issued by NFCs equate to 24% of GDP, which is</w:t>
      </w:r>
      <w:r>
        <w:t xml:space="preserve"> </w:t>
      </w:r>
      <w:r>
        <w:t xml:space="preserve">the largest corporate segment in the EU. The number</w:t>
      </w:r>
      <w:r>
        <w:t xml:space="preserve"> </w:t>
      </w:r>
      <w:r>
        <w:t xml:space="preserve">of issuers has increased manifold over the last decade</w:t>
      </w:r>
      <w:r>
        <w:t xml:space="preserve"> </w:t>
      </w:r>
      <w:r>
        <w:t xml:space="preserve">and, in parallel, the average size of both issues and</w:t>
      </w:r>
      <w:r>
        <w:t xml:space="preserve"> </w:t>
      </w:r>
      <w:r>
        <w:t xml:space="preserve">issuers has decreased substantially. Bond financing is</w:t>
      </w:r>
      <w:r>
        <w:t xml:space="preserve"> </w:t>
      </w:r>
      <w:r>
        <w:t xml:space="preserve">now commonplace and an integral part of Swedish</w:t>
      </w:r>
      <w:r>
        <w:t xml:space="preserve"> </w:t>
      </w:r>
      <w:r>
        <w:t xml:space="preserve">companies’ financing strategies. Several factors are at</w:t>
      </w:r>
      <w:r>
        <w:t xml:space="preserve"> </w:t>
      </w:r>
      <w:r>
        <w:t xml:space="preserve">interplay to enable this combination of market depth</w:t>
      </w:r>
      <w:r>
        <w:t xml:space="preserve"> </w:t>
      </w:r>
      <w:r>
        <w:t xml:space="preserve">and profitability, resulting in a well-functioning and</w:t>
      </w:r>
      <w:r>
        <w:t xml:space="preserve"> </w:t>
      </w:r>
      <w:r>
        <w:t xml:space="preserve">robust ecosystem.</w:t>
      </w:r>
      <w:r>
        <w:t xml:space="preserve"> </w:t>
      </w:r>
      <w:r>
        <w:t xml:space="preserve">1.29.3</w:t>
      </w:r>
      <w:r>
        <w:t xml:space="preserve"> </w:t>
      </w:r>
      <w:r>
        <w:t xml:space="preserve">Capital markets and financial intermediaries</w:t>
      </w:r>
      <w:r>
        <w:t xml:space="preserve"> </w:t>
      </w:r>
      <w:r>
        <w:t xml:space="preserve">Source: ECB, EIOPA, AMECO. End-2024.</w:t>
      </w:r>
      <w:r>
        <w:t xml:space="preserve"> </w:t>
      </w:r>
      <w:r>
        <w:t xml:space="preserve">Non-bank financial intermediation is growing and</w:t>
      </w:r>
      <w:r>
        <w:t xml:space="preserve"> </w:t>
      </w:r>
      <w:r>
        <w:t xml:space="preserve">managing assets to an amount almost as large as</w:t>
      </w:r>
      <w:r>
        <w:t xml:space="preserve"> </w:t>
      </w:r>
      <w:r>
        <w:t xml:space="preserve">that of the entire Swedish banking sector. Banks</w:t>
      </w:r>
      <w:r>
        <w:t xml:space="preserve"> </w:t>
      </w:r>
      <w:r>
        <w:t xml:space="preserve">dominate the financial system, yet their relative share</w:t>
      </w:r>
      <w:r>
        <w:t xml:space="preserve"> </w:t>
      </w:r>
      <w:r>
        <w:t xml:space="preserve">is declining as the non-bank financial sector –</w:t>
      </w:r>
      <w:r>
        <w:t xml:space="preserve"> </w:t>
      </w:r>
      <w:r>
        <w:t xml:space="preserve">including pension funds, mutual funds and insurance</w:t>
      </w:r>
      <w:r>
        <w:t xml:space="preserve"> </w:t>
      </w:r>
      <w:r>
        <w:t xml:space="preserve">companies – is growing. The insurance sector is</w:t>
      </w:r>
      <w:r>
        <w:t xml:space="preserve"> </w:t>
      </w:r>
      <w:r>
        <w:t xml:space="preserve">relatively large with an assets-to-GDP ratio of around</w:t>
      </w:r>
      <w:r>
        <w:t xml:space="preserve"> </w:t>
      </w:r>
      <w:r>
        <w:t xml:space="preserve">73% compared to an EU average of 55%, while the</w:t>
      </w:r>
      <w:r>
        <w:t xml:space="preserve"> </w:t>
      </w:r>
      <w:r>
        <w:t xml:space="preserve">total assets of the pension funds sector equate to</w:t>
      </w:r>
      <w:r>
        <w:t xml:space="preserve"> </w:t>
      </w:r>
      <w:r>
        <w:t xml:space="preserve">roughly half of Swedish GDP. According to data from</w:t>
      </w:r>
      <w:r>
        <w:t xml:space="preserve"> </w:t>
      </w:r>
      <w:r>
        <w:t xml:space="preserve">Riksbank, total assets of the Swedish investment fund</w:t>
      </w:r>
      <w:r>
        <w:t xml:space="preserve"> </w:t>
      </w:r>
      <w:r>
        <w:t xml:space="preserve">sector would come close to 100% of GDP as it has</w:t>
      </w:r>
      <w:r>
        <w:t xml:space="preserve"> </w:t>
      </w:r>
      <w:r>
        <w:t xml:space="preserve">almost quadrupled in size since 2012.</w:t>
      </w:r>
      <w:r>
        <w:t xml:space="preserve"> </w:t>
      </w:r>
      <w:r>
        <w:t xml:space="preserve">Financing of the economy</w:t>
      </w:r>
      <w:r>
        <w:t xml:space="preserve"> </w:t>
      </w:r>
      <w:r>
        <w:t xml:space="preserve">Sources of NFC funding</w:t>
      </w:r>
      <w:r>
        <w:t xml:space="preserve"> </w:t>
      </w:r>
      <w:r>
        <w:t xml:space="preserve">Firms in Sweden rely heavily on funding from</w:t>
      </w:r>
      <w:r>
        <w:t xml:space="preserve"> </w:t>
      </w:r>
      <w:r>
        <w:t xml:space="preserve">capital markets. Almost three quarters of NFC</w:t>
      </w:r>
      <w:r>
        <w:t xml:space="preserve"> </w:t>
      </w:r>
      <w:r>
        <w:t xml:space="preserve">funding is in bonds and equity (incl. unlisted shares and</w:t>
      </w:r>
      <w:r>
        <w:t xml:space="preserve"> </w:t>
      </w:r>
      <w:r>
        <w:t xml:space="preserve">other equity). Over 2020-2023, the 3Y average of NFC</w:t>
      </w:r>
      <w:r>
        <w:t xml:space="preserve"> </w:t>
      </w:r>
      <w:r>
        <w:t xml:space="preserve">bond and equity issuance as percentage of total NFC</w:t>
      </w:r>
      <w:r>
        <w:t xml:space="preserve"> </w:t>
      </w:r>
      <w:r>
        <w:t xml:space="preserve">financing was the second highest rate of the EU after</w:t>
      </w:r>
      <w:r>
        <w:t xml:space="preserve"> </w:t>
      </w:r>
      <w:r>
        <w:t xml:space="preserve">Malta.774 This already high use of market-based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-400</w:t>
      </w:r>
      <w:r>
        <w:t xml:space="preserve"> </w:t>
      </w:r>
      <w:r>
        <w:t xml:space="preserve">-200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% of GDP</w:t>
      </w:r>
      <w:r>
        <w:t xml:space="preserve"> </w:t>
      </w:r>
      <w:r>
        <w:t xml:space="preserve">% of GDP</w:t>
      </w:r>
      <w:r>
        <w:t xml:space="preserve"> </w:t>
      </w:r>
      <w:r>
        <w:t xml:space="preserve">Other investment, Liabilities</w:t>
      </w:r>
      <w:r>
        <w:t xml:space="preserve"> </w:t>
      </w:r>
      <w:r>
        <w:t xml:space="preserve">Portfolio Investment, Liabilities</w:t>
      </w:r>
      <w:r>
        <w:t xml:space="preserve"> </w:t>
      </w:r>
      <w:r>
        <w:t xml:space="preserve">Foreign Direct Investment, Liabilities</w:t>
      </w:r>
      <w:r>
        <w:t xml:space="preserve"> </w:t>
      </w:r>
      <w:r>
        <w:t xml:space="preserve">Official reserve assets</w:t>
      </w:r>
      <w:r>
        <w:t xml:space="preserve"> </w:t>
      </w:r>
      <w:r>
        <w:t xml:space="preserve">Other investment, Assets</w:t>
      </w:r>
      <w:r>
        <w:t xml:space="preserve"> </w:t>
      </w:r>
      <w:r>
        <w:t xml:space="preserve">Portfolio Investment, Assets</w:t>
      </w:r>
      <w:r>
        <w:t xml:space="preserve"> </w:t>
      </w:r>
      <w:r>
        <w:t xml:space="preserve">Foreign Direct Investment, Assets</w:t>
      </w:r>
      <w:r>
        <w:t xml:space="preserve"> </w:t>
      </w:r>
      <w:r>
        <w:t xml:space="preserve">NIIP (rhs)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Financial corporations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MFIs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Other financials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Pension funds</w:t>
      </w:r>
      <w:r>
        <w:t xml:space="preserve"> </w:t>
      </w:r>
      <w:r>
        <w:t xml:space="preserve">Insurance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Listed equity Bonds Assets by sector</w:t>
      </w:r>
      <w:r>
        <w:t xml:space="preserve"> </w:t>
      </w:r>
      <w:r>
        <w:t xml:space="preserve">% of GDP</w:t>
      </w:r>
    </w:p>
    <w:p>
      <w:pPr>
        <w:pStyle w:val="BodyText"/>
      </w:pPr>
      <w:r>
        <w:t xml:space="preserve">500</w:t>
      </w:r>
      <w:r>
        <w:t xml:space="preserve"> </w:t>
      </w:r>
      <w:r>
        <w:t xml:space="preserve">funding has even been increasing in 2023 following</w:t>
      </w:r>
      <w:r>
        <w:t xml:space="preserve"> </w:t>
      </w:r>
      <w:r>
        <w:t xml:space="preserve">strong</w:t>
      </w:r>
      <w:r>
        <w:t xml:space="preserve"> </w:t>
      </w:r>
      <w:r>
        <w:t xml:space="preserve">secondary</w:t>
      </w:r>
      <w:r>
        <w:t xml:space="preserve"> </w:t>
      </w:r>
      <w:r>
        <w:t xml:space="preserve">equity</w:t>
      </w:r>
      <w:r>
        <w:t xml:space="preserve"> </w:t>
      </w:r>
      <w:r>
        <w:t xml:space="preserve">offerings</w:t>
      </w:r>
      <w:r>
        <w:t xml:space="preserve"> </w:t>
      </w:r>
      <w:r>
        <w:t xml:space="preserve">and</w:t>
      </w:r>
      <w:r>
        <w:t xml:space="preserve"> </w:t>
      </w:r>
      <w:r>
        <w:t xml:space="preserve">bond</w:t>
      </w:r>
      <w:r>
        <w:t xml:space="preserve"> </w:t>
      </w:r>
      <w:r>
        <w:t xml:space="preserve">issuance. More specifically, at the end of 2024 listed</w:t>
      </w:r>
      <w:r>
        <w:t xml:space="preserve"> </w:t>
      </w:r>
      <w:r>
        <w:t xml:space="preserve">shares and bonds represented 32.3% of all funding</w:t>
      </w:r>
      <w:r>
        <w:t xml:space="preserve"> </w:t>
      </w:r>
      <w:r>
        <w:t xml:space="preserve">sources for Swedish firms, vs. an EU average of 23.8%,</w:t>
      </w:r>
      <w:r>
        <w:t xml:space="preserve"> </w:t>
      </w:r>
      <w:r>
        <w:t xml:space="preserve">while bank finance through loans constituted 23% of</w:t>
      </w:r>
      <w:r>
        <w:t xml:space="preserve"> </w:t>
      </w:r>
      <w:r>
        <w:t xml:space="preserve">funding sources, less than the EU average of 27% (see</w:t>
      </w:r>
      <w:r>
        <w:t xml:space="preserve"> </w:t>
      </w:r>
      <w:r>
        <w:t xml:space="preserve">Graph 2.27.4).</w:t>
      </w:r>
      <w:r>
        <w:br/>
      </w:r>
      <w:r>
        <w:t xml:space="preserve">1.29.4</w:t>
      </w:r>
      <w:r>
        <w:t xml:space="preserve"> </w:t>
      </w:r>
      <w:r>
        <w:t xml:space="preserve">Composition of NFCs’ funding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In terms of percentage of GDP, banks in Sweden are</w:t>
      </w:r>
      <w:r>
        <w:t xml:space="preserve"> </w:t>
      </w:r>
      <w:r>
        <w:t xml:space="preserve">a stronger lender to the NFCs as compared to the</w:t>
      </w:r>
      <w:r>
        <w:t xml:space="preserve"> </w:t>
      </w:r>
      <w:r>
        <w:t xml:space="preserve">EA average. Loans to NFCs were at 45.4% of GDP in</w:t>
      </w:r>
      <w:r>
        <w:t xml:space="preserve"> </w:t>
      </w:r>
      <w:r>
        <w:t xml:space="preserve">2024 (vs. 30.2% for the EA). Financial borrowing by</w:t>
      </w:r>
      <w:r>
        <w:t xml:space="preserve"> </w:t>
      </w:r>
      <w:r>
        <w:t xml:space="preserve">NFCs in Sweden constituted 93.3% of GDP in 2024,</w:t>
      </w:r>
      <w:r>
        <w:t xml:space="preserve"> </w:t>
      </w:r>
      <w:r>
        <w:t xml:space="preserve">which is significantly higher than the EU average of</w:t>
      </w:r>
      <w:r>
        <w:t xml:space="preserve"> </w:t>
      </w:r>
      <w:r>
        <w:t xml:space="preserve">about 61%. The overall levels of NFCs funding are also</w:t>
      </w:r>
      <w:r>
        <w:t xml:space="preserve"> </w:t>
      </w:r>
      <w:r>
        <w:t xml:space="preserve">substantially higher as a share of GDP, with 408% in</w:t>
      </w:r>
      <w:r>
        <w:t xml:space="preserve"> </w:t>
      </w:r>
      <w:r>
        <w:t xml:space="preserve">Sweden and 225.6% of GDP for the EU average, given</w:t>
      </w:r>
      <w:r>
        <w:t xml:space="preserve"> </w:t>
      </w:r>
      <w:r>
        <w:t xml:space="preserve">the overall much larger size of the aggregate balance</w:t>
      </w:r>
      <w:r>
        <w:t xml:space="preserve"> </w:t>
      </w:r>
      <w:r>
        <w:t xml:space="preserve">sheet of Swedish NFCs.</w:t>
      </w:r>
      <w:r>
        <w:t xml:space="preserve"> </w:t>
      </w:r>
      <w:r>
        <w:t xml:space="preserve">Sweden leads the rest of the EU in terms of SME</w:t>
      </w:r>
      <w:r>
        <w:t xml:space="preserve"> </w:t>
      </w:r>
      <w:r>
        <w:t xml:space="preserve">equity financing. In the 2024 SAFE survey, 45% of</w:t>
      </w:r>
      <w:r>
        <w:t xml:space="preserve"> </w:t>
      </w:r>
      <w:r>
        <w:t xml:space="preserve">SMEs indicated that they used equity, compared to an</w:t>
      </w:r>
      <w:r>
        <w:t xml:space="preserve"> </w:t>
      </w:r>
      <w:r>
        <w:t xml:space="preserve">EU average of 12%.775 Sweden has a high number of</w:t>
      </w:r>
      <w:r>
        <w:t xml:space="preserve"> </w:t>
      </w:r>
      <w:r>
        <w:t xml:space="preserve">publicly listed small companies, second only to Finland</w:t>
      </w:r>
      <w:r>
        <w:t xml:space="preserve"> </w:t>
      </w:r>
      <w:r>
        <w:t xml:space="preserve">in terms of capital raised as a percentage of GDP.</w:t>
      </w:r>
      <w:r>
        <w:t xml:space="preserve"> </w:t>
      </w:r>
      <w:r>
        <w:t xml:space="preserve">According to reports of the European Securities and</w:t>
      </w:r>
      <w:r>
        <w:t xml:space="preserve"> </w:t>
      </w:r>
      <w:r>
        <w:t xml:space="preserve">Markets Authority, Sweden alone accounts for more</w:t>
      </w:r>
      <w:r>
        <w:t xml:space="preserve"> </w:t>
      </w:r>
      <w:r>
        <w:t xml:space="preserve">than 40% of EU SME trading volumes with UK pre-</w:t>
      </w:r>
      <w:r>
        <w:t xml:space="preserve"> </w:t>
      </w:r>
      <w:r>
        <w:t xml:space="preserve">Brexit trading volumes included. Supporting factors</w:t>
      </w:r>
      <w:r>
        <w:t xml:space="preserve"> </w:t>
      </w:r>
      <w:r>
        <w:t xml:space="preserve">that facilitate the listing process include a strong start-</w:t>
      </w:r>
      <w:r>
        <w:t xml:space="preserve"> </w:t>
      </w:r>
      <w:r>
        <w:t xml:space="preserve">up ecosystem, supportive regulation and retail-investor</w:t>
      </w:r>
    </w:p>
    <w:p>
      <w:pPr>
        <w:pStyle w:val="BodyText"/>
      </w:pPr>
      <w:r>
        <w:t xml:space="preserve">775 Data and surveys - SAFE - European Commission, 2024, Results</w:t>
      </w:r>
      <w:r>
        <w:t xml:space="preserve"> </w:t>
      </w:r>
      <w:r>
        <w:t xml:space="preserve">by country, T27.</w:t>
      </w:r>
      <w:r>
        <w:t xml:space="preserve"> </w:t>
      </w:r>
      <w:r>
        <w:t xml:space="preserve">776 For further details, see the 2024 EIB Investment Survey.</w:t>
      </w:r>
      <w:r>
        <w:t xml:space="preserve"> </w:t>
      </w:r>
      <w:r>
        <w:t xml:space="preserve">777 The STOXX Indices are the intellectual property (including</w:t>
      </w:r>
      <w:r>
        <w:t xml:space="preserve"> </w:t>
      </w:r>
      <w:r>
        <w:t xml:space="preserve">registered trademarks) of STOXX Limited, Zug, Switzerland</w:t>
      </w:r>
      <w:r>
        <w:t xml:space="preserve"> </w:t>
      </w:r>
      <w:r>
        <w:t xml:space="preserve">(“STOXX”) and/or its licensors (“Licensors”). STOXX has not</w:t>
      </w:r>
      <w:r>
        <w:t xml:space="preserve"> </w:t>
      </w:r>
      <w:r>
        <w:t xml:space="preserve">been involved in any way in the creation of financial instruments</w:t>
      </w:r>
      <w:r>
        <w:t xml:space="preserve"> </w:t>
      </w:r>
      <w:r>
        <w:t xml:space="preserve">or any other products referencing the aforementioned indices.</w:t>
      </w:r>
      <w:r>
        <w:t xml:space="preserve"> </w:t>
      </w:r>
      <w:r>
        <w:t xml:space="preserve">participation. Sweden also consistently ranks first in</w:t>
      </w:r>
      <w:r>
        <w:t xml:space="preserve"> </w:t>
      </w:r>
      <w:r>
        <w:t xml:space="preserve">the EU for number of IPOs.</w:t>
      </w:r>
      <w:r>
        <w:t xml:space="preserve"> </w:t>
      </w:r>
      <w:r>
        <w:t xml:space="preserve">Swedish businesses depend more on internal or</w:t>
      </w:r>
      <w:r>
        <w:t xml:space="preserve"> </w:t>
      </w:r>
      <w:r>
        <w:t xml:space="preserve">intra-group financing than their European peers.</w:t>
      </w:r>
      <w:r>
        <w:t xml:space="preserve"> </w:t>
      </w:r>
      <w:r>
        <w:t xml:space="preserve">Sweden exhibits the lowest reliance on external finance</w:t>
      </w:r>
      <w:r>
        <w:t xml:space="preserve"> </w:t>
      </w:r>
      <w:r>
        <w:t xml:space="preserve">for investment: only 26% of all firms use it, vs an EU</w:t>
      </w:r>
      <w:r>
        <w:t xml:space="preserve"> </w:t>
      </w:r>
      <w:r>
        <w:t xml:space="preserve">average of 42%, according to the 2024 EIB Investment</w:t>
      </w:r>
      <w:r>
        <w:t xml:space="preserve"> </w:t>
      </w:r>
      <w:r>
        <w:t xml:space="preserve">Survey. Also, only 15% of Swedish firms’ investment</w:t>
      </w:r>
      <w:r>
        <w:t xml:space="preserve"> </w:t>
      </w:r>
      <w:r>
        <w:t xml:space="preserve">needs are covered by external funding, compared to an</w:t>
      </w:r>
      <w:r>
        <w:t xml:space="preserve"> </w:t>
      </w:r>
      <w:r>
        <w:t xml:space="preserve">EU average of 25%776, which is also confirmed by the</w:t>
      </w:r>
      <w:r>
        <w:t xml:space="preserve"> </w:t>
      </w:r>
      <w:r>
        <w:t xml:space="preserve">high aggregate reliance on unlisted equity. At the same</w:t>
      </w:r>
      <w:r>
        <w:t xml:space="preserve"> </w:t>
      </w:r>
      <w:r>
        <w:t xml:space="preserve">time, only 75% of Swedish firms believed that their</w:t>
      </w:r>
      <w:r>
        <w:t xml:space="preserve"> </w:t>
      </w:r>
      <w:r>
        <w:t xml:space="preserve">investment activities over the last three years were</w:t>
      </w:r>
      <w:r>
        <w:t xml:space="preserve"> </w:t>
      </w:r>
      <w:r>
        <w:t xml:space="preserve">about the right amount, less than the EU average</w:t>
      </w:r>
      <w:r>
        <w:t xml:space="preserve"> </w:t>
      </w:r>
      <w:r>
        <w:t xml:space="preserve">(80%), while 21% believed that they were too little (vs</w:t>
      </w:r>
      <w:r>
        <w:t xml:space="preserve"> </w:t>
      </w:r>
      <w:r>
        <w:t xml:space="preserve">an EU average of 14%).</w:t>
      </w:r>
      <w:r>
        <w:t xml:space="preserve"> </w:t>
      </w:r>
      <w:r>
        <w:t xml:space="preserve">Market finance</w:t>
      </w:r>
      <w:r>
        <w:t xml:space="preserve"> </w:t>
      </w:r>
      <w:r>
        <w:t xml:space="preserve">The Swedish market has been one of the best</w:t>
      </w:r>
      <w:r>
        <w:t xml:space="preserve"> </w:t>
      </w:r>
      <w:r>
        <w:t xml:space="preserve">performing equity markets in the world. The main</w:t>
      </w:r>
      <w:r>
        <w:t xml:space="preserve"> </w:t>
      </w:r>
      <w:r>
        <w:t xml:space="preserve">broad local market index (OMX Stockholm) has</w:t>
      </w:r>
      <w:r>
        <w:t xml:space="preserve"> </w:t>
      </w:r>
      <w:r>
        <w:t xml:space="preserve">consistently outperformed major international indices</w:t>
      </w:r>
      <w:r>
        <w:t xml:space="preserve"> </w:t>
      </w:r>
      <w:r>
        <w:t xml:space="preserve">over long periods of time, including the EU average</w:t>
      </w:r>
      <w:r>
        <w:t xml:space="preserve"> </w:t>
      </w:r>
      <w:r>
        <w:t xml:space="preserve">(Graph 2.27.5). Between June 2020 and June 2025, the</w:t>
      </w:r>
      <w:r>
        <w:t xml:space="preserve"> </w:t>
      </w:r>
      <w:r>
        <w:t xml:space="preserve">annualized net return of the MSCI Sweden was</w:t>
      </w:r>
      <w:r>
        <w:t xml:space="preserve"> </w:t>
      </w:r>
      <w:r>
        <w:t xml:space="preserve">11.22%, mainly thanks to the performance of banks</w:t>
      </w:r>
      <w:r>
        <w:t xml:space="preserve"> </w:t>
      </w:r>
      <w:r>
        <w:t xml:space="preserve">and information technology. The strong performance</w:t>
      </w:r>
      <w:r>
        <w:t xml:space="preserve"> </w:t>
      </w:r>
      <w:r>
        <w:t xml:space="preserve">of the Swedish market is also reflected in its</w:t>
      </w:r>
      <w:r>
        <w:t xml:space="preserve"> </w:t>
      </w:r>
      <w:r>
        <w:t xml:space="preserve">representation in international indices.</w:t>
      </w:r>
      <w:r>
        <w:br/>
      </w:r>
      <w:r>
        <w:t xml:space="preserve">1.29.5</w:t>
      </w:r>
      <w:r>
        <w:t xml:space="preserve"> </w:t>
      </w:r>
      <w:r>
        <w:t xml:space="preserve">Stock market performance</w:t>
      </w:r>
      <w:r>
        <w:t xml:space="preserve"> </w:t>
      </w:r>
      <w:r>
        <w:t xml:space="preserve">Source: London Stock Exchange Group777.</w:t>
      </w:r>
      <w:r>
        <w:t xml:space="preserve"> </w:t>
      </w:r>
      <w:r>
        <w:t xml:space="preserve">Bond financing is now a commonplace and integral</w:t>
      </w:r>
      <w:r>
        <w:t xml:space="preserve"> </w:t>
      </w:r>
      <w:r>
        <w:t xml:space="preserve">part of Swedish companies’ financing strategies.</w:t>
      </w:r>
      <w:r>
        <w:t xml:space="preserve"> </w:t>
      </w:r>
      <w:r>
        <w:t xml:space="preserve">Such products are neither sponsored nor promoted, distributed</w:t>
      </w:r>
      <w:r>
        <w:t xml:space="preserve"> </w:t>
      </w:r>
      <w:r>
        <w:t xml:space="preserve">or in any other manner supported by STOXX and/or its</w:t>
      </w:r>
      <w:r>
        <w:t xml:space="preserve"> </w:t>
      </w:r>
      <w:r>
        <w:t xml:space="preserve">Licensors. STOXX does not give any warranty and excludes any</w:t>
      </w:r>
      <w:r>
        <w:t xml:space="preserve"> </w:t>
      </w:r>
      <w:r>
        <w:t xml:space="preserve">liability whatsoever (whether in negligence or otherwise) –</w:t>
      </w:r>
      <w:r>
        <w:t xml:space="preserve"> </w:t>
      </w:r>
      <w:r>
        <w:t xml:space="preserve">including without limitation for the accuracy, adequateness,</w:t>
      </w:r>
      <w:r>
        <w:t xml:space="preserve"> </w:t>
      </w:r>
      <w:r>
        <w:t xml:space="preserve">correctness, completeness, timeliness, and fitness for any</w:t>
      </w:r>
      <w:r>
        <w:t xml:space="preserve"> </w:t>
      </w:r>
      <w:r>
        <w:t xml:space="preserve">purpose – in relation to any errors, omissions or interruptions in</w:t>
      </w:r>
      <w:r>
        <w:t xml:space="preserve"> </w:t>
      </w:r>
      <w:r>
        <w:t xml:space="preserve">any of STOXX’ indices or its data.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SE</w:t>
      </w:r>
      <w:r>
        <w:t xml:space="preserve"> </w:t>
      </w:r>
      <w:r>
        <w:t xml:space="preserve">EU</w:t>
      </w:r>
      <w:r>
        <w:t xml:space="preserve"> </w:t>
      </w:r>
      <w:r>
        <w:t xml:space="preserve">% of GDP</w:t>
      </w:r>
      <w:r>
        <w:t xml:space="preserve"> </w:t>
      </w:r>
      <w:r>
        <w:t xml:space="preserve">Loans</w:t>
      </w:r>
      <w:r>
        <w:t xml:space="preserve"> </w:t>
      </w:r>
      <w:r>
        <w:t xml:space="preserve">Trade credit and advances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2008</w:t>
      </w:r>
      <w:r>
        <w:t xml:space="preserve"> </w:t>
      </w:r>
      <w:r>
        <w:t xml:space="preserve">2011</w:t>
      </w:r>
      <w:r>
        <w:t xml:space="preserve"> </w:t>
      </w:r>
      <w:r>
        <w:t xml:space="preserve">2014</w:t>
      </w:r>
      <w:r>
        <w:t xml:space="preserve"> </w:t>
      </w:r>
      <w:r>
        <w:t xml:space="preserve">2017</w:t>
      </w:r>
      <w:r>
        <w:t xml:space="preserve"> </w:t>
      </w:r>
      <w:r>
        <w:t xml:space="preserve">2020</w:t>
      </w:r>
      <w:r>
        <w:t xml:space="preserve"> </w:t>
      </w:r>
      <w:r>
        <w:t xml:space="preserve">2023</w:t>
      </w:r>
      <w:r>
        <w:t xml:space="preserve"> </w:t>
      </w:r>
      <w:r>
        <w:t xml:space="preserve">janv-yy=100</w:t>
      </w:r>
      <w:r>
        <w:t xml:space="preserve"> </w:t>
      </w:r>
      <w:r>
        <w:t xml:space="preserve">SE Bank index</w:t>
      </w:r>
      <w:r>
        <w:t xml:space="preserve"> </w:t>
      </w:r>
      <w:r>
        <w:t xml:space="preserve">STOXX EUROPE 600 BANKS</w:t>
      </w:r>
      <w:r>
        <w:t xml:space="preserve"> </w:t>
      </w:r>
      <w:r>
        <w:t xml:space="preserve">OMX STOCKHOLM (OMXS) - PRICE INDEX</w:t>
      </w:r>
      <w:r>
        <w:t xml:space="preserve"> </w:t>
      </w:r>
      <w:r>
        <w:t xml:space="preserve">STOXX EUROPE 600</w:t>
      </w:r>
    </w:p>
    <w:p>
      <w:pPr>
        <w:pStyle w:val="BodyText"/>
      </w:pPr>
      <w:r>
        <w:t xml:space="preserve">501</w:t>
      </w:r>
      <w:r>
        <w:t xml:space="preserve"> </w:t>
      </w:r>
      <w:r>
        <w:t xml:space="preserve">Since the financial crisis, the Swedish corporate bond</w:t>
      </w:r>
      <w:r>
        <w:t xml:space="preserve"> </w:t>
      </w:r>
      <w:r>
        <w:t xml:space="preserve">market has also grown significantly in size and</w:t>
      </w:r>
      <w:r>
        <w:t xml:space="preserve"> </w:t>
      </w:r>
      <w:r>
        <w:t xml:space="preserve">changed in character and Sweden has now the largest</w:t>
      </w:r>
      <w:r>
        <w:t xml:space="preserve"> </w:t>
      </w:r>
      <w:r>
        <w:t xml:space="preserve">corporate bond segment (23.8% of GDP) compared to</w:t>
      </w:r>
      <w:r>
        <w:t xml:space="preserve"> </w:t>
      </w:r>
      <w:r>
        <w:t xml:space="preserve">the other EU member states (10.8% of GDP on</w:t>
      </w:r>
      <w:r>
        <w:t xml:space="preserve"> </w:t>
      </w:r>
      <w:r>
        <w:t xml:space="preserve">average). The number of issuers, both Nordic and non-</w:t>
      </w:r>
      <w:r>
        <w:t xml:space="preserve"> </w:t>
      </w:r>
      <w:r>
        <w:t xml:space="preserve">Nordic, has increased manifold (among the highest</w:t>
      </w:r>
      <w:r>
        <w:t xml:space="preserve"> </w:t>
      </w:r>
      <w:r>
        <w:t xml:space="preserve">number of individual issuers in the EU) and, in parallel,</w:t>
      </w:r>
      <w:r>
        <w:t xml:space="preserve"> </w:t>
      </w:r>
      <w:r>
        <w:t xml:space="preserve">the size of both issues and issuers has decreased</w:t>
      </w:r>
      <w:r>
        <w:t xml:space="preserve"> </w:t>
      </w:r>
      <w:r>
        <w:t xml:space="preserve">substantially.</w:t>
      </w:r>
      <w:r>
        <w:t xml:space="preserve"> </w:t>
      </w:r>
      <w:r>
        <w:t xml:space="preserve">1.29.6</w:t>
      </w:r>
      <w:r>
        <w:t xml:space="preserve"> </w:t>
      </w:r>
      <w:r>
        <w:t xml:space="preserve">Net issuance of bonds</w:t>
      </w:r>
      <w:r>
        <w:t xml:space="preserve"> </w:t>
      </w:r>
      <w:r>
        <w:t xml:space="preserve">Source: ECB.</w:t>
      </w:r>
      <w:r>
        <w:t xml:space="preserve"> </w:t>
      </w:r>
      <w:r>
        <w:t xml:space="preserve">Retail participation in capital markets</w:t>
      </w:r>
      <w:r>
        <w:t xml:space="preserve"> </w:t>
      </w:r>
      <w:r>
        <w:t xml:space="preserve">Thanks to their large and often automatic</w:t>
      </w:r>
      <w:r>
        <w:t xml:space="preserve"> </w:t>
      </w:r>
      <w:r>
        <w:t xml:space="preserve">investments in insurance and pension funds,</w:t>
      </w:r>
      <w:r>
        <w:t xml:space="preserve"> </w:t>
      </w:r>
      <w:r>
        <w:t xml:space="preserve">Swedish</w:t>
      </w:r>
      <w:r>
        <w:t xml:space="preserve"> </w:t>
      </w:r>
      <w:r>
        <w:t xml:space="preserve">households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rather</w:t>
      </w:r>
      <w:r>
        <w:t xml:space="preserve"> </w:t>
      </w:r>
      <w:r>
        <w:t xml:space="preserve">high</w:t>
      </w:r>
      <w:r>
        <w:t xml:space="preserve"> </w:t>
      </w:r>
      <w:r>
        <w:t xml:space="preserve">participation in capital markets by EU standards.</w:t>
      </w:r>
      <w:r>
        <w:t xml:space="preserve"> </w:t>
      </w:r>
      <w:r>
        <w:t xml:space="preserve">The gross saving rate of Swedish households was</w:t>
      </w:r>
      <w:r>
        <w:t xml:space="preserve"> </w:t>
      </w:r>
      <w:r>
        <w:t xml:space="preserve">around 27.1% in 2024, which is one of the highest rates</w:t>
      </w:r>
      <w:r>
        <w:t xml:space="preserve"> </w:t>
      </w:r>
      <w:r>
        <w:t xml:space="preserve">in the EU. As of end-2024, households’ aggregate</w:t>
      </w:r>
      <w:r>
        <w:t xml:space="preserve"> </w:t>
      </w:r>
      <w:r>
        <w:t xml:space="preserve">financial assets equated to 347.5% of GDP, which is</w:t>
      </w:r>
      <w:r>
        <w:t xml:space="preserve"> </w:t>
      </w:r>
      <w:r>
        <w:t xml:space="preserve">above the EU average of 212.2%. The largest</w:t>
      </w:r>
      <w:r>
        <w:t xml:space="preserve"> </w:t>
      </w:r>
      <w:r>
        <w:t xml:space="preserve">component of these assets consists of collective</w:t>
      </w:r>
      <w:r>
        <w:t xml:space="preserve"> </w:t>
      </w:r>
      <w:r>
        <w:t xml:space="preserve">savings, namely premium and occupational pensions,</w:t>
      </w:r>
      <w:r>
        <w:t xml:space="preserve"> </w:t>
      </w:r>
      <w:r>
        <w:t xml:space="preserve">which households cannot take hold of in the short term.</w:t>
      </w:r>
      <w:r>
        <w:t xml:space="preserve"> </w:t>
      </w:r>
      <w:r>
        <w:t xml:space="preserve">Insurance savings in Sweden are also high from an</w:t>
      </w:r>
      <w:r>
        <w:t xml:space="preserve"> </w:t>
      </w:r>
      <w:r>
        <w:t xml:space="preserve">international perspective. Together, they account for</w:t>
      </w:r>
      <w:r>
        <w:t xml:space="preserve"> </w:t>
      </w:r>
      <w:r>
        <w:t xml:space="preserve">39.8% of households’ financial assets (vs an EU</w:t>
      </w:r>
      <w:r>
        <w:t xml:space="preserve"> </w:t>
      </w:r>
      <w:r>
        <w:t xml:space="preserve">average of 27.9%). Another significant share (18%)</w:t>
      </w:r>
      <w:r>
        <w:t xml:space="preserve"> </w:t>
      </w:r>
      <w:r>
        <w:t xml:space="preserve">consists of ‘other equity’, covering all forms of equity</w:t>
      </w:r>
      <w:r>
        <w:t xml:space="preserve"> </w:t>
      </w:r>
      <w:r>
        <w:t xml:space="preserve">other than listed and unlisted shares (Graph 2.27.7). In</w:t>
      </w:r>
      <w:r>
        <w:t xml:space="preserve"> </w:t>
      </w:r>
      <w:r>
        <w:t xml:space="preserve">addition to indirect ownership through funds,</w:t>
      </w:r>
      <w:r>
        <w:t xml:space="preserve"> </w:t>
      </w:r>
      <w:r>
        <w:t xml:space="preserve">households own just over one tenth of the outstanding</w:t>
      </w:r>
      <w:r>
        <w:t xml:space="preserve"> </w:t>
      </w:r>
      <w:r>
        <w:t xml:space="preserve">volume in listed equities. At the same time, foreign</w:t>
      </w:r>
      <w:r>
        <w:t xml:space="preserve"> </w:t>
      </w:r>
      <w:r>
        <w:t xml:space="preserve">investors own almost 40% of Swedish listed equities.</w:t>
      </w:r>
      <w:r>
        <w:t xml:space="preserve"> </w:t>
      </w:r>
      <w:r>
        <w:t xml:space="preserve">As of end-2024, Swedish households held only 12.6%</w:t>
      </w:r>
    </w:p>
    <w:p>
      <w:pPr>
        <w:pStyle w:val="BodyText"/>
      </w:pPr>
      <w:r>
        <w:t xml:space="preserve">778 Sweden implemented major pension reforms in 1999, shifting</w:t>
      </w:r>
      <w:r>
        <w:t xml:space="preserve"> </w:t>
      </w:r>
      <w:r>
        <w:t xml:space="preserve">from a defined benefit system to a mixed system combining a</w:t>
      </w:r>
      <w:r>
        <w:t xml:space="preserve"> </w:t>
      </w:r>
      <w:r>
        <w:t xml:space="preserve">pay-as-you-go notional defined contribution scheme and a fully</w:t>
      </w:r>
      <w:r>
        <w:t xml:space="preserve"> </w:t>
      </w:r>
      <w:r>
        <w:t xml:space="preserve">of their financial wealth in cash and bank deposits, as</w:t>
      </w:r>
      <w:r>
        <w:t xml:space="preserve"> </w:t>
      </w:r>
      <w:r>
        <w:t xml:space="preserve">opposed to 31.7% on average in the EU.</w:t>
      </w:r>
    </w:p>
    <w:p>
      <w:pPr>
        <w:pStyle w:val="BodyText"/>
      </w:pPr>
      <w:r>
        <w:t xml:space="preserve">1.29.7</w:t>
      </w:r>
      <w:r>
        <w:t xml:space="preserve"> </w:t>
      </w:r>
      <w:r>
        <w:t xml:space="preserve">Composition of HHs’ financial assets</w:t>
      </w:r>
      <w:r>
        <w:t xml:space="preserve"> </w:t>
      </w:r>
      <w:r>
        <w:t xml:space="preserve">Source: Eurostat. End-2024.</w:t>
      </w:r>
      <w:r>
        <w:t xml:space="preserve"> </w:t>
      </w:r>
      <w:r>
        <w:t xml:space="preserve">The high households’ participation in equity</w:t>
      </w:r>
      <w:r>
        <w:t xml:space="preserve"> </w:t>
      </w:r>
      <w:r>
        <w:t xml:space="preserve">markets observed in Sweden is not only backed by</w:t>
      </w:r>
      <w:r>
        <w:t xml:space="preserve"> </w:t>
      </w:r>
      <w:r>
        <w:t xml:space="preserve">a mature capital market, but also by a unique</w:t>
      </w:r>
      <w:r>
        <w:t xml:space="preserve"> </w:t>
      </w:r>
      <w:r>
        <w:t xml:space="preserve">investment culture. Swedish households’ investments</w:t>
      </w:r>
      <w:r>
        <w:t xml:space="preserve"> </w:t>
      </w:r>
      <w:r>
        <w:t xml:space="preserve">in insurance and pension funds, relative to GDP, are</w:t>
      </w:r>
      <w:r>
        <w:t xml:space="preserve"> </w:t>
      </w:r>
      <w:r>
        <w:t xml:space="preserve">more than twice larger than the EU average (138.2%</w:t>
      </w:r>
      <w:r>
        <w:t xml:space="preserve"> </w:t>
      </w:r>
      <w:r>
        <w:t xml:space="preserve">vs. 59.2% of GDP). Smart policies have driven this: (1)</w:t>
      </w:r>
      <w:r>
        <w:t xml:space="preserve"> </w:t>
      </w:r>
      <w:r>
        <w:t xml:space="preserve">a pension system where capitalisation plays a strong</w:t>
      </w:r>
      <w:r>
        <w:t xml:space="preserve"> </w:t>
      </w:r>
      <w:r>
        <w:t xml:space="preserve">role through a series of reforms in the 1990s.778 The</w:t>
      </w:r>
      <w:r>
        <w:t xml:space="preserve"> </w:t>
      </w:r>
      <w:r>
        <w:t xml:space="preserve">premium pension is a mandatory defined contribution</w:t>
      </w:r>
      <w:r>
        <w:t xml:space="preserve"> </w:t>
      </w:r>
      <w:r>
        <w:t xml:space="preserve">system where every year, pension holders are allowed</w:t>
      </w:r>
      <w:r>
        <w:t xml:space="preserve"> </w:t>
      </w:r>
      <w:r>
        <w:t xml:space="preserve">to invest themselves 2.5% of their pensionable income</w:t>
      </w:r>
      <w:r>
        <w:t xml:space="preserve"> </w:t>
      </w:r>
      <w:r>
        <w:t xml:space="preserve">in a savings account, administered by the Swedish</w:t>
      </w:r>
      <w:r>
        <w:t xml:space="preserve"> </w:t>
      </w:r>
      <w:r>
        <w:t xml:space="preserve">Pensions</w:t>
      </w:r>
      <w:r>
        <w:t xml:space="preserve"> </w:t>
      </w:r>
      <w:r>
        <w:t xml:space="preserve">Agency;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“Investingsparkskonto” (ISK) accounts in 2012, which</w:t>
      </w:r>
      <w:r>
        <w:t xml:space="preserve"> </w:t>
      </w:r>
      <w:r>
        <w:t xml:space="preserve">are exempt from reporting holdings or paying tax on</w:t>
      </w:r>
      <w:r>
        <w:t xml:space="preserve"> </w:t>
      </w:r>
      <w:r>
        <w:t xml:space="preserve">capital gains but subject to a low flat tax on ISK’s</w:t>
      </w:r>
      <w:r>
        <w:t xml:space="preserve"> </w:t>
      </w:r>
      <w:r>
        <w:t xml:space="preserve">market value. From 2025, ISK accounts are exempted</w:t>
      </w:r>
      <w:r>
        <w:t xml:space="preserve"> </w:t>
      </w:r>
      <w:r>
        <w:t xml:space="preserve">from capital gains taxes on amounts up to SEK 150000</w:t>
      </w:r>
      <w:r>
        <w:t xml:space="preserve"> </w:t>
      </w:r>
      <w:r>
        <w:t xml:space="preserve">in 2025 and SEK 300000 in 2026. Moreover,</w:t>
      </w:r>
      <w:r>
        <w:t xml:space="preserve"> </w:t>
      </w:r>
      <w:r>
        <w:t xml:space="preserve">organizations such as Aktiespararna begin financial</w:t>
      </w:r>
      <w:r>
        <w:t xml:space="preserve"> </w:t>
      </w:r>
      <w:r>
        <w:t xml:space="preserve">education early, teaching children the benefits of stock</w:t>
      </w:r>
      <w:r>
        <w:t xml:space="preserve"> </w:t>
      </w:r>
      <w:r>
        <w:t xml:space="preserve">ownership. These policies have contributed to a unique</w:t>
      </w:r>
      <w:r>
        <w:t xml:space="preserve"> </w:t>
      </w:r>
      <w:r>
        <w:t xml:space="preserve">culture of high financial literacy and stock market</w:t>
      </w:r>
      <w:r>
        <w:t xml:space="preserve"> </w:t>
      </w:r>
      <w:r>
        <w:t xml:space="preserve">engagement,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 vast</w:t>
      </w:r>
      <w:r>
        <w:t xml:space="preserve"> </w:t>
      </w:r>
      <w:r>
        <w:t xml:space="preserve">domestic</w:t>
      </w:r>
      <w:r>
        <w:t xml:space="preserve"> </w:t>
      </w:r>
      <w:r>
        <w:t xml:space="preserve">equity</w:t>
      </w:r>
      <w:r>
        <w:t xml:space="preserve"> </w:t>
      </w:r>
      <w:r>
        <w:t xml:space="preserve">holdings of Sweden’s four largest pension funds.</w:t>
      </w:r>
      <w:r>
        <w:t xml:space="preserve"> </w:t>
      </w:r>
      <w:r>
        <w:t xml:space="preserve">Measures to scale up retail investment have been</w:t>
      </w:r>
      <w:r>
        <w:t xml:space="preserve"> </w:t>
      </w:r>
      <w:r>
        <w:t xml:space="preserve">combined with more structural reforms of pensions and</w:t>
      </w:r>
      <w:r>
        <w:t xml:space="preserve"> </w:t>
      </w:r>
      <w:r>
        <w:t xml:space="preserve">retirement savings and mutually nurtured one another.</w:t>
      </w:r>
      <w:r>
        <w:br/>
      </w:r>
      <w:r>
        <w:t xml:space="preserve">funded scheme, both of which are based on lifetime earnings and</w:t>
      </w:r>
      <w:r>
        <w:t xml:space="preserve"> </w:t>
      </w:r>
      <w:r>
        <w:t xml:space="preserve">individual accounts.</w:t>
      </w:r>
      <w:r>
        <w:br/>
      </w:r>
      <w:r>
        <w:t xml:space="preserve">-30.0</w:t>
      </w:r>
      <w:r>
        <w:t xml:space="preserve"> </w:t>
      </w:r>
      <w:r>
        <w:t xml:space="preserve">-20.0</w:t>
      </w:r>
      <w:r>
        <w:t xml:space="preserve"> </w:t>
      </w:r>
      <w:r>
        <w:t xml:space="preserve">-10.0</w:t>
      </w:r>
      <w:r>
        <w:t xml:space="preserve"> </w:t>
      </w:r>
      <w:r>
        <w:t xml:space="preserve">0.0</w:t>
      </w:r>
      <w:r>
        <w:t xml:space="preserve"> </w:t>
      </w:r>
      <w:r>
        <w:t xml:space="preserve">10.0</w:t>
      </w:r>
      <w:r>
        <w:t xml:space="preserve"> </w:t>
      </w:r>
      <w:r>
        <w:t xml:space="preserve">20.0</w:t>
      </w:r>
      <w:r>
        <w:t xml:space="preserve"> </w:t>
      </w:r>
      <w:r>
        <w:t xml:space="preserve">30.0</w:t>
      </w:r>
      <w:r>
        <w:t xml:space="preserve"> </w:t>
      </w:r>
      <w:r>
        <w:t xml:space="preserve">40.0</w:t>
      </w:r>
      <w:r>
        <w:t xml:space="preserve"> </w:t>
      </w:r>
      <w:r>
        <w:t xml:space="preserve">50.0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2025-Q1</w:t>
      </w:r>
      <w:r>
        <w:t xml:space="preserve"> </w:t>
      </w:r>
      <w:r>
        <w:t xml:space="preserve">bn EUR</w:t>
      </w:r>
      <w:r>
        <w:t xml:space="preserve"> </w:t>
      </w:r>
      <w:r>
        <w:t xml:space="preserve">Government</w:t>
      </w:r>
      <w:r>
        <w:t xml:space="preserve"> </w:t>
      </w:r>
      <w:r>
        <w:t xml:space="preserve">MFIs</w:t>
      </w:r>
      <w:r>
        <w:t xml:space="preserve"> </w:t>
      </w:r>
      <w:r>
        <w:t xml:space="preserve">Non-MFI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SE</w:t>
      </w:r>
      <w:r>
        <w:t xml:space="preserve"> </w:t>
      </w:r>
      <w:r>
        <w:t xml:space="preserve">EU</w:t>
      </w:r>
      <w:r>
        <w:t xml:space="preserve"> </w:t>
      </w:r>
      <w:r>
        <w:t xml:space="preserve">SE</w:t>
      </w:r>
      <w:r>
        <w:t xml:space="preserve"> </w:t>
      </w:r>
      <w:r>
        <w:t xml:space="preserve">EU</w:t>
      </w:r>
      <w:r>
        <w:t xml:space="preserve"> </w:t>
      </w:r>
      <w:r>
        <w:t xml:space="preserve">per capita (000 EUR) (lhs)</w:t>
      </w:r>
      <w:r>
        <w:t xml:space="preserve"> </w:t>
      </w:r>
      <w:r>
        <w:t xml:space="preserve">% of GDP GDP (rhs)</w:t>
      </w:r>
      <w:r>
        <w:t xml:space="preserve"> </w:t>
      </w:r>
      <w:r>
        <w:t xml:space="preserve">Currency and deposits</w:t>
      </w:r>
      <w:r>
        <w:t xml:space="preserve"> </w:t>
      </w:r>
      <w:r>
        <w:t xml:space="preserve">Insurance and pension funds</w:t>
      </w:r>
      <w:r>
        <w:t xml:space="preserve"> </w:t>
      </w:r>
      <w:r>
        <w:t xml:space="preserve">Investment funds</w:t>
      </w:r>
      <w:r>
        <w:t xml:space="preserve"> </w:t>
      </w:r>
      <w:r>
        <w:t xml:space="preserve">Bonds</w:t>
      </w:r>
      <w:r>
        <w:t xml:space="preserve"> </w:t>
      </w:r>
      <w:r>
        <w:t xml:space="preserve">Listed shares</w:t>
      </w:r>
      <w:r>
        <w:t xml:space="preserve"> </w:t>
      </w:r>
      <w:r>
        <w:t xml:space="preserve">Unlisted shares</w:t>
      </w:r>
      <w:r>
        <w:t xml:space="preserve"> </w:t>
      </w:r>
      <w:r>
        <w:t xml:space="preserve">Other equity</w:t>
      </w:r>
      <w:r>
        <w:t xml:space="preserve"> </w:t>
      </w:r>
      <w:r>
        <w:t xml:space="preserve">HH Debt (liability)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16">
    <w:nsid w:val="00A99516"/>
    <w:multiLevelType w:val="multilevel"/>
    <w:lvl w:ilvl="0">
      <w:start w:val="6"/>
      <w:numFmt w:val="lowerRoman"/>
      <w:lvlText w:val="%1."/>
      <w:lvlJc w:val="left"/>
      <w:pPr>
        <w:ind w:left="720" w:hanging="360"/>
      </w:pPr>
    </w:lvl>
    <w:lvl w:ilvl="1">
      <w:start w:val="6"/>
      <w:numFmt w:val="lowerRoman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lowerRoman"/>
      <w:lvlText w:val="%4."/>
      <w:lvlJc w:val="left"/>
      <w:pPr>
        <w:ind w:left="2880" w:hanging="360"/>
      </w:pPr>
    </w:lvl>
    <w:lvl w:ilvl="4">
      <w:start w:val="6"/>
      <w:numFmt w:val="lowerRoman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lowerRoman"/>
      <w:lvlText w:val="%7."/>
      <w:lvlJc w:val="left"/>
      <w:pPr>
        <w:ind w:left="5040" w:hanging="360"/>
      </w:pPr>
    </w:lvl>
    <w:lvl w:ilvl="7">
      <w:start w:val="6"/>
      <w:numFmt w:val="lowerRoman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994312">
    <w:nsid w:val="0A994312"/>
    <w:multiLevelType w:val="multilevel"/>
    <w:lvl w:ilvl="0">
      <w:start w:val="12"/>
      <w:numFmt w:val="decimal"/>
      <w:lvlText w:val="(%1)"/>
      <w:lvlJc w:val="left"/>
      <w:pPr>
        <w:ind w:left="720" w:hanging="360"/>
      </w:pPr>
    </w:lvl>
    <w:lvl w:ilvl="1">
      <w:start w:val="12"/>
      <w:numFmt w:val="decimal"/>
      <w:lvlText w:val="(%2)"/>
      <w:lvlJc w:val="left"/>
      <w:pPr>
        <w:ind w:left="1440" w:hanging="360"/>
      </w:pPr>
    </w:lvl>
    <w:lvl w:ilvl="2">
      <w:start w:val="12"/>
      <w:numFmt w:val="decimal"/>
      <w:lvlText w:val="(%3)"/>
      <w:lvlJc w:val="left"/>
      <w:pPr>
        <w:ind w:left="2160" w:hanging="360"/>
      </w:pPr>
    </w:lvl>
    <w:lvl w:ilvl="3">
      <w:start w:val="12"/>
      <w:numFmt w:val="decimal"/>
      <w:lvlText w:val="(%4)"/>
      <w:lvlJc w:val="left"/>
      <w:pPr>
        <w:ind w:left="2880" w:hanging="360"/>
      </w:pPr>
    </w:lvl>
    <w:lvl w:ilvl="4">
      <w:start w:val="12"/>
      <w:numFmt w:val="decimal"/>
      <w:lvlText w:val="(%5)"/>
      <w:lvlJc w:val="left"/>
      <w:pPr>
        <w:ind w:left="3600" w:hanging="360"/>
      </w:pPr>
    </w:lvl>
    <w:lvl w:ilvl="5">
      <w:start w:val="12"/>
      <w:numFmt w:val="decimal"/>
      <w:lvlText w:val="(%6)"/>
      <w:lvlJc w:val="left"/>
      <w:pPr>
        <w:ind w:left="4320" w:hanging="360"/>
      </w:pPr>
    </w:lvl>
    <w:lvl w:ilvl="6">
      <w:start w:val="12"/>
      <w:numFmt w:val="decimal"/>
      <w:lvlText w:val="(%7)"/>
      <w:lvlJc w:val="left"/>
      <w:pPr>
        <w:ind w:left="5040" w:hanging="360"/>
      </w:pPr>
    </w:lvl>
    <w:lvl w:ilvl="7">
      <w:start w:val="12"/>
      <w:numFmt w:val="decimal"/>
      <w:lvlText w:val="(%8)"/>
      <w:lvlJc w:val="left"/>
      <w:pPr>
        <w:ind w:left="5760" w:hanging="360"/>
      </w:pPr>
    </w:lvl>
    <w:lvl w:ilvl="8">
      <w:start w:val="1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024">
    <w:nsid w:val="A99432024"/>
    <w:multiLevelType w:val="multilevel"/>
    <w:lvl w:ilvl="0">
      <w:start w:val="2024"/>
      <w:numFmt w:val="decimal"/>
      <w:lvlText w:val="(%1)"/>
      <w:lvlJc w:val="left"/>
      <w:pPr>
        <w:ind w:left="720" w:hanging="360"/>
      </w:pPr>
    </w:lvl>
    <w:lvl w:ilvl="1">
      <w:start w:val="2024"/>
      <w:numFmt w:val="decimal"/>
      <w:lvlText w:val="(%2)"/>
      <w:lvlJc w:val="left"/>
      <w:pPr>
        <w:ind w:left="1440" w:hanging="360"/>
      </w:pPr>
    </w:lvl>
    <w:lvl w:ilvl="2">
      <w:start w:val="2024"/>
      <w:numFmt w:val="decimal"/>
      <w:lvlText w:val="(%3)"/>
      <w:lvlJc w:val="left"/>
      <w:pPr>
        <w:ind w:left="2160" w:hanging="360"/>
      </w:pPr>
    </w:lvl>
    <w:lvl w:ilvl="3">
      <w:start w:val="2024"/>
      <w:numFmt w:val="decimal"/>
      <w:lvlText w:val="(%4)"/>
      <w:lvlJc w:val="left"/>
      <w:pPr>
        <w:ind w:left="2880" w:hanging="360"/>
      </w:pPr>
    </w:lvl>
    <w:lvl w:ilvl="4">
      <w:start w:val="2024"/>
      <w:numFmt w:val="decimal"/>
      <w:lvlText w:val="(%5)"/>
      <w:lvlJc w:val="left"/>
      <w:pPr>
        <w:ind w:left="3600" w:hanging="360"/>
      </w:pPr>
    </w:lvl>
    <w:lvl w:ilvl="5">
      <w:start w:val="2024"/>
      <w:numFmt w:val="decimal"/>
      <w:lvlText w:val="(%6)"/>
      <w:lvlJc w:val="left"/>
      <w:pPr>
        <w:ind w:left="4320" w:hanging="360"/>
      </w:pPr>
    </w:lvl>
    <w:lvl w:ilvl="6">
      <w:start w:val="2024"/>
      <w:numFmt w:val="decimal"/>
      <w:lvlText w:val="(%7)"/>
      <w:lvlJc w:val="left"/>
      <w:pPr>
        <w:ind w:left="5040" w:hanging="360"/>
      </w:pPr>
    </w:lvl>
    <w:lvl w:ilvl="7">
      <w:start w:val="2024"/>
      <w:numFmt w:val="decimal"/>
      <w:lvlText w:val="(%8)"/>
      <w:lvlJc w:val="left"/>
      <w:pPr>
        <w:ind w:left="5760" w:hanging="360"/>
      </w:pPr>
    </w:lvl>
    <w:lvl w:ilvl="8">
      <w:start w:val="2024"/>
      <w:numFmt w:val="decimal"/>
      <w:lvlText w:val="(%9)"/>
      <w:lvlJc w:val="left"/>
      <w:pPr>
        <w:ind w:left="6480" w:hanging="360"/>
      </w:pPr>
    </w:lvl>
  </w:abstractNum>
  <w:abstractNum w:abstractNumId="99422025">
    <w:nsid w:val="A99422025"/>
    <w:multiLevelType w:val="multilevel"/>
    <w:lvl w:ilvl="0">
      <w:start w:val="2025"/>
      <w:numFmt w:val="decimal"/>
      <w:lvlText w:val="%1)"/>
      <w:lvlJc w:val="left"/>
      <w:pPr>
        <w:ind w:left="720" w:hanging="360"/>
      </w:pPr>
    </w:lvl>
    <w:lvl w:ilvl="1">
      <w:start w:val="2025"/>
      <w:numFmt w:val="decimal"/>
      <w:lvlText w:val="%2)"/>
      <w:lvlJc w:val="left"/>
      <w:pPr>
        <w:ind w:left="1440" w:hanging="360"/>
      </w:pPr>
    </w:lvl>
    <w:lvl w:ilvl="2">
      <w:start w:val="2025"/>
      <w:numFmt w:val="decimal"/>
      <w:lvlText w:val="%3)"/>
      <w:lvlJc w:val="left"/>
      <w:pPr>
        <w:ind w:left="2160" w:hanging="360"/>
      </w:pPr>
    </w:lvl>
    <w:lvl w:ilvl="3">
      <w:start w:val="2025"/>
      <w:numFmt w:val="decimal"/>
      <w:lvlText w:val="%4)"/>
      <w:lvlJc w:val="left"/>
      <w:pPr>
        <w:ind w:left="2880" w:hanging="360"/>
      </w:pPr>
    </w:lvl>
    <w:lvl w:ilvl="4">
      <w:start w:val="2025"/>
      <w:numFmt w:val="decimal"/>
      <w:lvlText w:val="%5)"/>
      <w:lvlJc w:val="left"/>
      <w:pPr>
        <w:ind w:left="3600" w:hanging="360"/>
      </w:pPr>
    </w:lvl>
    <w:lvl w:ilvl="5">
      <w:start w:val="2025"/>
      <w:numFmt w:val="decimal"/>
      <w:lvlText w:val="%6)"/>
      <w:lvlJc w:val="left"/>
      <w:pPr>
        <w:ind w:left="4320" w:hanging="360"/>
      </w:pPr>
    </w:lvl>
    <w:lvl w:ilvl="6">
      <w:start w:val="2025"/>
      <w:numFmt w:val="decimal"/>
      <w:lvlText w:val="%7)"/>
      <w:lvlJc w:val="left"/>
      <w:pPr>
        <w:ind w:left="5040" w:hanging="360"/>
      </w:pPr>
    </w:lvl>
    <w:lvl w:ilvl="7">
      <w:start w:val="2025"/>
      <w:numFmt w:val="decimal"/>
      <w:lvlText w:val="%8)"/>
      <w:lvlJc w:val="left"/>
      <w:pPr>
        <w:ind w:left="5760" w:hanging="360"/>
      </w:pPr>
    </w:lvl>
    <w:lvl w:ilvl="8">
      <w:start w:val="2025"/>
      <w:numFmt w:val="decimal"/>
      <w:lvlText w:val="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3635">
    <w:nsid w:val="A9943635"/>
    <w:multiLevelType w:val="multilevel"/>
    <w:lvl w:ilvl="0">
      <w:start w:val="635"/>
      <w:numFmt w:val="decimal"/>
      <w:lvlText w:val="(%1)"/>
      <w:lvlJc w:val="left"/>
      <w:pPr>
        <w:ind w:left="720" w:hanging="360"/>
      </w:pPr>
    </w:lvl>
    <w:lvl w:ilvl="1">
      <w:start w:val="635"/>
      <w:numFmt w:val="decimal"/>
      <w:lvlText w:val="(%2)"/>
      <w:lvlJc w:val="left"/>
      <w:pPr>
        <w:ind w:left="1440" w:hanging="360"/>
      </w:pPr>
    </w:lvl>
    <w:lvl w:ilvl="2">
      <w:start w:val="635"/>
      <w:numFmt w:val="decimal"/>
      <w:lvlText w:val="(%3)"/>
      <w:lvlJc w:val="left"/>
      <w:pPr>
        <w:ind w:left="2160" w:hanging="360"/>
      </w:pPr>
    </w:lvl>
    <w:lvl w:ilvl="3">
      <w:start w:val="635"/>
      <w:numFmt w:val="decimal"/>
      <w:lvlText w:val="(%4)"/>
      <w:lvlJc w:val="left"/>
      <w:pPr>
        <w:ind w:left="2880" w:hanging="360"/>
      </w:pPr>
    </w:lvl>
    <w:lvl w:ilvl="4">
      <w:start w:val="635"/>
      <w:numFmt w:val="decimal"/>
      <w:lvlText w:val="(%5)"/>
      <w:lvlJc w:val="left"/>
      <w:pPr>
        <w:ind w:left="3600" w:hanging="360"/>
      </w:pPr>
    </w:lvl>
    <w:lvl w:ilvl="5">
      <w:start w:val="635"/>
      <w:numFmt w:val="decimal"/>
      <w:lvlText w:val="(%6)"/>
      <w:lvlJc w:val="left"/>
      <w:pPr>
        <w:ind w:left="4320" w:hanging="360"/>
      </w:pPr>
    </w:lvl>
    <w:lvl w:ilvl="6">
      <w:start w:val="635"/>
      <w:numFmt w:val="decimal"/>
      <w:lvlText w:val="(%7)"/>
      <w:lvlJc w:val="left"/>
      <w:pPr>
        <w:ind w:left="5040" w:hanging="360"/>
      </w:pPr>
    </w:lvl>
    <w:lvl w:ilvl="7">
      <w:start w:val="635"/>
      <w:numFmt w:val="decimal"/>
      <w:lvlText w:val="(%8)"/>
      <w:lvlJc w:val="left"/>
      <w:pPr>
        <w:ind w:left="5760" w:hanging="360"/>
      </w:pPr>
    </w:lvl>
    <w:lvl w:ilvl="8">
      <w:start w:val="635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5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3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  <w:num w:numId="1019">
    <w:abstractNumId w:val="991"/>
  </w:num>
  <w:num w:numId="1020">
    <w:abstractNumId w:val="99422025"/>
    <w:lvlOverride w:ilvl="0">
      <w:startOverride w:val="2025"/>
    </w:lvlOverride>
    <w:lvlOverride w:ilvl="1">
      <w:startOverride w:val="2025"/>
    </w:lvlOverride>
    <w:lvlOverride w:ilvl="2">
      <w:startOverride w:val="2025"/>
    </w:lvlOverride>
    <w:lvlOverride w:ilvl="3">
      <w:startOverride w:val="2025"/>
    </w:lvlOverride>
    <w:lvlOverride w:ilvl="4">
      <w:startOverride w:val="2025"/>
    </w:lvlOverride>
    <w:lvlOverride w:ilvl="5">
      <w:startOverride w:val="2025"/>
    </w:lvlOverride>
    <w:lvlOverride w:ilvl="6">
      <w:startOverride w:val="2025"/>
    </w:lvlOverride>
    <w:lvlOverride w:ilvl="7">
      <w:startOverride w:val="2025"/>
    </w:lvlOverride>
    <w:lvlOverride w:ilvl="8">
      <w:startOverride w:val="2025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3635"/>
    <w:lvlOverride w:ilvl="0">
      <w:startOverride w:val="635"/>
    </w:lvlOverride>
    <w:lvlOverride w:ilvl="1">
      <w:startOverride w:val="635"/>
    </w:lvlOverride>
    <w:lvlOverride w:ilvl="2">
      <w:startOverride w:val="635"/>
    </w:lvlOverride>
    <w:lvlOverride w:ilvl="3">
      <w:startOverride w:val="635"/>
    </w:lvlOverride>
    <w:lvlOverride w:ilvl="4">
      <w:startOverride w:val="635"/>
    </w:lvlOverride>
    <w:lvlOverride w:ilvl="5">
      <w:startOverride w:val="635"/>
    </w:lvlOverride>
    <w:lvlOverride w:ilvl="6">
      <w:startOverride w:val="635"/>
    </w:lvlOverride>
    <w:lvlOverride w:ilvl="7">
      <w:startOverride w:val="635"/>
    </w:lvlOverride>
    <w:lvlOverride w:ilvl="8">
      <w:startOverride w:val="63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2026-07-31T16:48:38Z</dcterms:created>
  <dcterms:modified xsi:type="dcterms:W3CDTF">2026-07-31T16:48:38Z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