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17.12.2025</w:t>
      </w:r>
      <w:r>
        <w:br/>
      </w:r>
      <w:r>
        <w:t xml:space="preserve">SWD(2025) 988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amending Regulation (EU) 2023/956 as regards the extension of its scope to downstream</w:t>
      </w:r>
      <w:r>
        <w:t xml:space="preserve"> </w:t>
      </w:r>
      <w:r>
        <w:t xml:space="preserve">goods and anti-circumvention measures</w:t>
      </w:r>
      <w:r>
        <w:t xml:space="preserve"> </w:t>
      </w:r>
      <w:r>
        <w:t xml:space="preserve">{COM(2025) 989 final} - {SEC(2025) 989 final} - {SWD(2025) 987 final} -</w:t>
      </w:r>
      <w:r>
        <w:t xml:space="preserve"> </w:t>
      </w:r>
      <w:r>
        <w:t xml:space="preserve">{SWD(2025) 989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1: PROCEDURAL INFORMATION ……………………………………………… 1</w:t>
      </w:r>
      <w:r>
        <w:t xml:space="preserve"> </w:t>
      </w:r>
      <w:r>
        <w:t xml:space="preserve">1.1</w:t>
      </w:r>
      <w:r>
        <w:t xml:space="preserve"> </w:t>
      </w:r>
      <w:r>
        <w:t xml:space="preserve">Lead DG, Decide Planning/CWP references ………………………………….. 1</w:t>
      </w:r>
      <w:r>
        <w:t xml:space="preserve"> </w:t>
      </w:r>
      <w:r>
        <w:t xml:space="preserve">1.2</w:t>
      </w:r>
      <w:r>
        <w:t xml:space="preserve"> </w:t>
      </w:r>
      <w:r>
        <w:t xml:space="preserve">Organisation and timing ……………………………………………………………… 1</w:t>
      </w:r>
      <w:r>
        <w:t xml:space="preserve"> </w:t>
      </w:r>
      <w:r>
        <w:t xml:space="preserve">1.3</w:t>
      </w:r>
      <w:r>
        <w:t xml:space="preserve"> </w:t>
      </w:r>
      <w:r>
        <w:t xml:space="preserve">Consultation of the RSB ……………………………………………………………… 1</w:t>
      </w:r>
      <w:r>
        <w:t xml:space="preserve"> </w:t>
      </w:r>
      <w:r>
        <w:t xml:space="preserve">1.4</w:t>
      </w:r>
      <w:r>
        <w:t xml:space="preserve"> </w:t>
      </w:r>
      <w:r>
        <w:t xml:space="preserve">Evidence, sources and quality ……………………………………………………… 4</w:t>
      </w:r>
      <w:r>
        <w:t xml:space="preserve"> </w:t>
      </w:r>
      <w:r>
        <w:t xml:space="preserve">ANNEX 2 STAKEHOLDER CONSULTATION ………………………………………….. 5</w:t>
      </w:r>
      <w:r>
        <w:t xml:space="preserve"> </w:t>
      </w:r>
      <w:r>
        <w:t xml:space="preserve">2.1</w:t>
      </w:r>
      <w:r>
        <w:t xml:space="preserve"> </w:t>
      </w:r>
      <w:r>
        <w:t xml:space="preserve">Consultation strategy ………………………………………………………………….. 5</w:t>
      </w:r>
      <w:r>
        <w:t xml:space="preserve"> </w:t>
      </w:r>
      <w:r>
        <w:t xml:space="preserve">2.2</w:t>
      </w:r>
      <w:r>
        <w:t xml:space="preserve"> </w:t>
      </w:r>
      <w:r>
        <w:t xml:space="preserve">Call for evidence and public consultation ……………………………………… 6</w:t>
      </w:r>
      <w:r>
        <w:t xml:space="preserve"> </w:t>
      </w:r>
      <w:r>
        <w:t xml:space="preserve">ANNEX 3: WHO IS AFFECTED AND HOW? …………………………………………… 29</w:t>
      </w:r>
      <w:r>
        <w:t xml:space="preserve"> </w:t>
      </w:r>
      <w:r>
        <w:t xml:space="preserve">3.1</w:t>
      </w:r>
      <w:r>
        <w:t xml:space="preserve"> </w:t>
      </w:r>
      <w:r>
        <w:t xml:space="preserve">Practical implications of the initiative …………………………………………. 29</w:t>
      </w:r>
      <w:r>
        <w:t xml:space="preserve"> </w:t>
      </w:r>
      <w:r>
        <w:t xml:space="preserve">3.2</w:t>
      </w:r>
      <w:r>
        <w:t xml:space="preserve"> </w:t>
      </w:r>
      <w:r>
        <w:t xml:space="preserve">Summary of costs and benefits …………………………………………………… 31</w:t>
      </w:r>
      <w:r>
        <w:t xml:space="preserve"> </w:t>
      </w:r>
      <w:r>
        <w:t xml:space="preserve">3.3</w:t>
      </w:r>
      <w:r>
        <w:t xml:space="preserve"> </w:t>
      </w:r>
      <w:r>
        <w:t xml:space="preserve">Relevant sustainable development goals ……………………………………… 33</w:t>
      </w:r>
      <w:r>
        <w:t xml:space="preserve"> </w:t>
      </w:r>
      <w:r>
        <w:t xml:space="preserve">ANNEX 4: ECONOMIC ANALYTICAL METHODS ………………………………… 34</w:t>
      </w:r>
      <w:r>
        <w:t xml:space="preserve"> </w:t>
      </w:r>
      <w:r>
        <w:t xml:space="preserve">4.1</w:t>
      </w:r>
      <w:r>
        <w:t xml:space="preserve"> </w:t>
      </w:r>
      <w:r>
        <w:t xml:space="preserve">Downstream impact modelling…………………………………………………… 34</w:t>
      </w:r>
      <w:r>
        <w:t xml:space="preserve"> </w:t>
      </w:r>
      <w:r>
        <w:t xml:space="preserve">4.2</w:t>
      </w:r>
      <w:r>
        <w:t xml:space="preserve"> </w:t>
      </w:r>
      <w:r>
        <w:t xml:space="preserve">Downstream carbon leakage list: selection methodology ………………. 39</w:t>
      </w:r>
      <w:r>
        <w:t xml:space="preserve"> </w:t>
      </w:r>
      <w:r>
        <w:t xml:space="preserve">4.3</w:t>
      </w:r>
      <w:r>
        <w:t xml:space="preserve"> </w:t>
      </w:r>
      <w:r>
        <w:t xml:space="preserve">Electricity ……………………………………………………………………………….. 43</w:t>
      </w:r>
      <w:r>
        <w:t xml:space="preserve"> </w:t>
      </w:r>
      <w:r>
        <w:t xml:space="preserve">ANNEX 5: COMPETITIVENESS CHECK ………………………………………………… 44</w:t>
      </w:r>
      <w:r>
        <w:t xml:space="preserve"> </w:t>
      </w:r>
      <w:r>
        <w:t xml:space="preserve">5.1</w:t>
      </w:r>
      <w:r>
        <w:t xml:space="preserve"> </w:t>
      </w:r>
      <w:r>
        <w:t xml:space="preserve">Overview of impacts on competitiveness …………………………………….. 44</w:t>
      </w:r>
      <w:r>
        <w:t xml:space="preserve"> </w:t>
      </w:r>
      <w:r>
        <w:t xml:space="preserve">5.2</w:t>
      </w:r>
      <w:r>
        <w:t xml:space="preserve"> </w:t>
      </w:r>
      <w:r>
        <w:t xml:space="preserve">Synthetic assessment ………………………………………………………………… 45</w:t>
      </w:r>
      <w:r>
        <w:t xml:space="preserve"> </w:t>
      </w:r>
      <w:r>
        <w:t xml:space="preserve">5.3</w:t>
      </w:r>
      <w:r>
        <w:t xml:space="preserve"> </w:t>
      </w:r>
      <w:r>
        <w:t xml:space="preserve">Competitive position of the most affected sectors ………………………… 45</w:t>
      </w:r>
      <w:r>
        <w:t xml:space="preserve"> </w:t>
      </w:r>
      <w:r>
        <w:t xml:space="preserve">ANNEX 6: SME CHECK …………………………………………………………………………. 47</w:t>
      </w:r>
      <w:r>
        <w:t xml:space="preserve"> </w:t>
      </w:r>
      <w:r>
        <w:t xml:space="preserve">6.1</w:t>
      </w:r>
      <w:r>
        <w:t xml:space="preserve"> </w:t>
      </w:r>
      <w:r>
        <w:t xml:space="preserve">Methodology to identify SMEs ………………………………………………….. 47</w:t>
      </w:r>
      <w:r>
        <w:t xml:space="preserve"> </w:t>
      </w:r>
      <w:r>
        <w:t xml:space="preserve">6.2</w:t>
      </w:r>
      <w:r>
        <w:t xml:space="preserve"> </w:t>
      </w:r>
      <w:r>
        <w:t xml:space="preserve">Methodology to identify SMEs: combining customs data and Orbis data</w:t>
      </w:r>
      <w:r>
        <w:t xml:space="preserve"> </w:t>
      </w:r>
      <w:r>
        <w:t xml:space="preserve">………………………………………………………………………………………………. 47</w:t>
      </w:r>
      <w:r>
        <w:t xml:space="preserve"> </w:t>
      </w:r>
      <w:r>
        <w:t xml:space="preserve">6.3</w:t>
      </w:r>
      <w:r>
        <w:t xml:space="preserve"> </w:t>
      </w:r>
      <w:r>
        <w:t xml:space="preserve">Sample size correction ………………………………………………………………. 48</w:t>
      </w:r>
      <w:r>
        <w:t xml:space="preserve"> </w:t>
      </w:r>
      <w:r>
        <w:t xml:space="preserve">6.4</w:t>
      </w:r>
      <w:r>
        <w:t xml:space="preserve"> </w:t>
      </w:r>
      <w:r>
        <w:t xml:space="preserve">Determination of the number of SMEs affected ……………………………. 48</w:t>
      </w:r>
      <w:r>
        <w:t xml:space="preserve"> </w:t>
      </w:r>
      <w:r>
        <w:t xml:space="preserve">ANNEX 7: ADDITIONAL INFORMATION ON DOWNSTREAM ……………… 52</w:t>
      </w:r>
      <w:r>
        <w:t xml:space="preserve"> </w:t>
      </w:r>
      <w:r>
        <w:t xml:space="preserve">7.1</w:t>
      </w:r>
      <w:r>
        <w:t xml:space="preserve"> </w:t>
      </w:r>
      <w:r>
        <w:t xml:space="preserve">Estimated emission changes ………………………………………………………. 52</w:t>
      </w:r>
      <w:r>
        <w:t xml:space="preserve"> </w:t>
      </w:r>
      <w:r>
        <w:t xml:space="preserve">7.2</w:t>
      </w:r>
      <w:r>
        <w:t xml:space="preserve"> </w:t>
      </w:r>
      <w:r>
        <w:t xml:space="preserve">Trade impact ……………………………………………………………………………. 55</w:t>
      </w:r>
      <w:r>
        <w:t xml:space="preserve"> </w:t>
      </w:r>
      <w:r>
        <w:t xml:space="preserve">7.3</w:t>
      </w:r>
      <w:r>
        <w:t xml:space="preserve"> </w:t>
      </w:r>
      <w:r>
        <w:t xml:space="preserve">Impacts on consumer prices ………………………………………………………. 56</w:t>
      </w:r>
      <w:r>
        <w:t xml:space="preserve"> </w:t>
      </w:r>
      <w:r>
        <w:t xml:space="preserve">7.4</w:t>
      </w:r>
      <w:r>
        <w:t xml:space="preserve"> </w:t>
      </w:r>
      <w:r>
        <w:t xml:space="preserve">Sensitivity analysis of options to filters……………………………………….. 57</w:t>
      </w:r>
      <w:r>
        <w:t xml:space="preserve"> </w:t>
      </w:r>
      <w:r>
        <w:t xml:space="preserve">ANNEX 8: COMPLIANCE COST COMPANIES AND AUTHORITIES ……… 61</w:t>
      </w:r>
      <w:r>
        <w:t xml:space="preserve"> </w:t>
      </w:r>
      <w:r>
        <w:t xml:space="preserve">8.1</w:t>
      </w:r>
      <w:r>
        <w:t xml:space="preserve"> </w:t>
      </w:r>
      <w:r>
        <w:t xml:space="preserve">Compliance cost companies baseline ………………………………………….. 61</w:t>
      </w:r>
      <w:r>
        <w:t xml:space="preserve"> </w:t>
      </w:r>
      <w:r>
        <w:t xml:space="preserve">8.2</w:t>
      </w:r>
      <w:r>
        <w:t xml:space="preserve"> </w:t>
      </w:r>
      <w:r>
        <w:t xml:space="preserve">Additional compliance cost companies after downstream extension .. 62</w:t>
      </w:r>
      <w:r>
        <w:t xml:space="preserve"> </w:t>
      </w:r>
      <w:r>
        <w:t xml:space="preserve">8.3</w:t>
      </w:r>
      <w:r>
        <w:t xml:space="preserve"> </w:t>
      </w:r>
      <w:r>
        <w:t xml:space="preserve">Enforcement cost authorities baseline …………………………………………. 63</w:t>
      </w:r>
    </w:p>
    <w:p>
      <w:pPr>
        <w:pStyle w:val="BodyText"/>
      </w:pPr>
      <w:r>
        <w:t xml:space="preserve">ANNEX 9: ADDITIONAL INFORMATION ON CBAM AVOIDANCE ………. 65</w:t>
      </w:r>
      <w:r>
        <w:t xml:space="preserve"> </w:t>
      </w:r>
      <w:r>
        <w:t xml:space="preserve">9.1</w:t>
      </w:r>
      <w:r>
        <w:t xml:space="preserve"> </w:t>
      </w:r>
      <w:r>
        <w:t xml:space="preserve">Analysis of actual emission in the CBAM transitional registry ………. 65</w:t>
      </w:r>
      <w:r>
        <w:t xml:space="preserve"> </w:t>
      </w:r>
      <w:r>
        <w:t xml:space="preserve">9.2</w:t>
      </w:r>
      <w:r>
        <w:t xml:space="preserve"> </w:t>
      </w:r>
      <w:r>
        <w:t xml:space="preserve">Remaining regulatory and oversight vulnerabilities: lack of traceability</w:t>
      </w:r>
      <w:r>
        <w:t xml:space="preserve"> </w:t>
      </w:r>
      <w:r>
        <w:t xml:space="preserve">………………………………………………………………………………………………. 66</w:t>
      </w:r>
      <w:r>
        <w:t xml:space="preserve"> </w:t>
      </w:r>
      <w:r>
        <w:t xml:space="preserve">9.3</w:t>
      </w:r>
      <w:r>
        <w:t xml:space="preserve"> </w:t>
      </w:r>
      <w:r>
        <w:t xml:space="preserve">Discussion on the existing CBAM enforcement framework …………… 66</w:t>
      </w:r>
      <w:r>
        <w:t xml:space="preserve"> </w:t>
      </w:r>
      <w:r>
        <w:t xml:space="preserve">9.4</w:t>
      </w:r>
      <w:r>
        <w:t xml:space="preserve"> </w:t>
      </w:r>
      <w:r>
        <w:t xml:space="preserve">Lessons learnt from the transitional period ………………………………….. 67</w:t>
      </w:r>
      <w:r>
        <w:t xml:space="preserve"> </w:t>
      </w:r>
      <w:r>
        <w:t xml:space="preserve">ANNEX 10: ADDITIONAL INFORMATION ON ELECTRICITY ……………… 70</w:t>
      </w:r>
      <w:r>
        <w:t xml:space="preserve"> </w:t>
      </w:r>
      <w:r>
        <w:t xml:space="preserve">10.1 State of play of cross-border electricity trading …………………………….. 70</w:t>
      </w:r>
      <w:r>
        <w:t xml:space="preserve"> </w:t>
      </w:r>
      <w:r>
        <w:t xml:space="preserve">10.2 Trends in decarbonisation of third countries electricity grids …………… 72</w:t>
      </w:r>
      <w:r>
        <w:t xml:space="preserve"> </w:t>
      </w:r>
      <w:r>
        <w:t xml:space="preserve">10.3 Contextual elements regarding the declaration of actual values for</w:t>
      </w:r>
      <w:r>
        <w:t xml:space="preserve"> </w:t>
      </w:r>
      <w:r>
        <w:t xml:space="preserve">electricity under CBAM ……………………………………………………………. 74</w:t>
      </w:r>
      <w:r>
        <w:t xml:space="preserve"> </w:t>
      </w:r>
      <w:r>
        <w:t xml:space="preserve">ANNEX 11: DESCRIPTION OF THE CURRENT RULES FOR THE</w:t>
      </w:r>
      <w:r>
        <w:t xml:space="preserve"> </w:t>
      </w:r>
      <w:r>
        <w:t xml:space="preserve">CALCULATION OF EMBEDDED EMISSIONS ………………………………… 78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1.1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Directorate-General: Taxation and the Customs Union (DG TAXUD)</w:t>
      </w:r>
      <w:r>
        <w:br/>
      </w:r>
      <w:r>
        <w:t xml:space="preserve">Decide Planning Reference: PLAN/2025/1238</w:t>
      </w:r>
      <w:r>
        <w:br/>
      </w:r>
      <w:r>
        <w:t xml:space="preserve">Other references: The initiative was announced in the Communication on a European Steel</w:t>
      </w:r>
      <w:r>
        <w:t xml:space="preserve"> </w:t>
      </w:r>
      <w:r>
        <w:t xml:space="preserve">and Metals Action Plan, COM(2025) 125 final.</w:t>
      </w:r>
      <w:r>
        <w:t xml:space="preserve"> </w:t>
      </w:r>
      <w:r>
        <w:t xml:space="preserve">1.2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interservice steering group assisted DG TAXUD in the preparation of this impact</w:t>
      </w:r>
      <w:r>
        <w:t xml:space="preserve"> </w:t>
      </w:r>
      <w:r>
        <w:t xml:space="preserve">assessment report. The interservice steering group (ISSG) built on an existing group that</w:t>
      </w:r>
      <w:r>
        <w:t xml:space="preserve"> </w:t>
      </w:r>
      <w:r>
        <w:t xml:space="preserve">had been set up to follow the various CBAM workstrands during the transitional phase.</w:t>
      </w:r>
      <w:r>
        <w:t xml:space="preserve"> </w:t>
      </w:r>
      <w:r>
        <w:t xml:space="preserve">The ISSG group was consulted in writing on the call for evidence and the draft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There were subsequently two meetings dedicated to the impact assessment report. The first</w:t>
      </w:r>
      <w:r>
        <w:t xml:space="preserve"> </w:t>
      </w:r>
      <w:r>
        <w:t xml:space="preserve">meeting took place on 17 July 2025 and was attended by the following Directorates-</w:t>
      </w:r>
      <w:r>
        <w:t xml:space="preserve"> </w:t>
      </w:r>
      <w:r>
        <w:t xml:space="preserve">General: SG, SJ, CLIMA, GROW, ECFIN, JRC, TRADE, MOVE, COMP, ENV, DEFIS,</w:t>
      </w:r>
      <w:r>
        <w:t xml:space="preserve"> </w:t>
      </w:r>
      <w:r>
        <w:t xml:space="preserve">BUDG, INTPA, ENER. As announced in this meeting, DG TAXUD subsequently shared</w:t>
      </w:r>
      <w:r>
        <w:t xml:space="preserve"> </w:t>
      </w:r>
      <w:r>
        <w:t xml:space="preserve">a draft of the impact assessment, which covered the first four chapters. A second meeting</w:t>
      </w:r>
      <w:r>
        <w:t xml:space="preserve"> </w:t>
      </w:r>
      <w:r>
        <w:t xml:space="preserve">took place on 9 September to discuss the full draft impact assessment. It was attended by</w:t>
      </w:r>
      <w:r>
        <w:t xml:space="preserve"> </w:t>
      </w:r>
      <w:r>
        <w:t xml:space="preserve">the following Directorates-General: SG, SJ, CLIMA, GROW, ECFIN, JRC, TRADE,</w:t>
      </w:r>
      <w:r>
        <w:t xml:space="preserve"> </w:t>
      </w:r>
      <w:r>
        <w:t xml:space="preserve">MOVE, COMP, ENV, BUDG, INTPA, ENER, ENEST, EEAS. They received the draft</w:t>
      </w:r>
      <w:r>
        <w:t xml:space="preserve"> </w:t>
      </w:r>
      <w:r>
        <w:t xml:space="preserve">ahead of the meeting and were given time to comment in writing.</w:t>
      </w:r>
      <w:r>
        <w:t xml:space="preserve"> </w:t>
      </w:r>
      <w:r>
        <w:t xml:space="preserve">1.3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On 17 September 2025, DG TAXUD submitted the draft Impact Assessment to the</w:t>
      </w:r>
      <w:r>
        <w:t xml:space="preserve"> </w:t>
      </w:r>
      <w:r>
        <w:t xml:space="preserve">Regulatory Scrutiny Board and the Board meeting took place on 8 October 2025. The</w:t>
      </w:r>
      <w:r>
        <w:t xml:space="preserve"> </w:t>
      </w:r>
      <w:r>
        <w:t xml:space="preserve">opinion of the Board, as issued on 10 October 2025, was positive with reservations.</w:t>
      </w:r>
      <w:r>
        <w:t xml:space="preserve"> </w:t>
      </w:r>
      <w:r>
        <w:t xml:space="preserve">The Board’s recommendations have been addressed as presented below.</w:t>
      </w:r>
      <w:r>
        <w:t xml:space="preserve"> </w:t>
      </w:r>
      <w:r>
        <w:t xml:space="preserve">What to improve</w:t>
      </w:r>
      <w:r>
        <w:t xml:space="preserve"> </w:t>
      </w:r>
      <w:r>
        <w:t xml:space="preserve">(RSB recommendations)</w:t>
      </w:r>
      <w:r>
        <w:t xml:space="preserve"> </w:t>
      </w:r>
      <w:r>
        <w:t xml:space="preserve">What was improved</w:t>
      </w:r>
      <w:r>
        <w:t xml:space="preserve"> </w:t>
      </w:r>
      <w:r>
        <w:t xml:space="preserve">(1) The baseline should be further</w:t>
      </w:r>
      <w:r>
        <w:t xml:space="preserve"> </w:t>
      </w:r>
      <w:r>
        <w:t xml:space="preserve">developed. It should include a well-</w:t>
      </w:r>
      <w:r>
        <w:t xml:space="preserve"> </w:t>
      </w:r>
      <w:r>
        <w:t xml:space="preserve">substantiated dynamic scenario depicting</w:t>
      </w:r>
      <w:r>
        <w:t xml:space="preserve"> </w:t>
      </w:r>
      <w:r>
        <w:t xml:space="preserve">how the situation would evolve in the</w:t>
      </w:r>
      <w:r>
        <w:t xml:space="preserve"> </w:t>
      </w:r>
      <w:r>
        <w:t xml:space="preserve">medium and long term in the absence of</w:t>
      </w:r>
      <w:r>
        <w:t xml:space="preserve"> </w:t>
      </w:r>
      <w:r>
        <w:t xml:space="preserve">the policy intervention. This should</w:t>
      </w:r>
      <w:r>
        <w:t xml:space="preserve"> </w:t>
      </w:r>
      <w:r>
        <w:t xml:space="preserve">include a clear explanation of how the</w:t>
      </w:r>
      <w:r>
        <w:t xml:space="preserve"> </w:t>
      </w:r>
      <w:r>
        <w:t xml:space="preserve">baseline has been established in terms of</w:t>
      </w:r>
      <w:r>
        <w:t xml:space="preserve"> </w:t>
      </w:r>
      <w:r>
        <w:t xml:space="preserve">ETS induced carbon prices, and pricing</w:t>
      </w:r>
      <w:r>
        <w:t xml:space="preserve"> </w:t>
      </w:r>
      <w:r>
        <w:t xml:space="preserve">The discussion of the baseline (Section</w:t>
      </w:r>
      <w:r>
        <w:t xml:space="preserve"> </w:t>
      </w:r>
      <w:r>
        <w:t xml:space="preserve">5.1) explains more clearly how the three</w:t>
      </w:r>
      <w:r>
        <w:t xml:space="preserve"> </w:t>
      </w:r>
      <w:r>
        <w:t xml:space="preserve">problems of downstream carbon leakage,</w:t>
      </w:r>
      <w:r>
        <w:t xml:space="preserve"> </w:t>
      </w:r>
      <w:r>
        <w:t xml:space="preserve">CBAM</w:t>
      </w:r>
      <w:r>
        <w:t xml:space="preserve"> </w:t>
      </w:r>
      <w:r>
        <w:t xml:space="preserve">avoidance</w:t>
      </w:r>
      <w:r>
        <w:t xml:space="preserve"> </w:t>
      </w:r>
      <w:r>
        <w:t xml:space="preserve">and</w:t>
      </w:r>
      <w:r>
        <w:t xml:space="preserve"> </w:t>
      </w:r>
      <w:r>
        <w:t xml:space="preserve">ineffective</w:t>
      </w:r>
      <w:r>
        <w:t xml:space="preserve"> </w:t>
      </w:r>
      <w:r>
        <w:t xml:space="preserve">treatment of electricity imports would</w:t>
      </w:r>
      <w:r>
        <w:t xml:space="preserve"> </w:t>
      </w:r>
      <w:r>
        <w:t xml:space="preserve">evolve in the medium- and long-term in</w:t>
      </w:r>
      <w:r>
        <w:t xml:space="preserve"> </w:t>
      </w:r>
      <w:r>
        <w:t xml:space="preserve">the absence of further policy intervention.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and quantities of goods produced and the</w:t>
      </w:r>
      <w:r>
        <w:t xml:space="preserve"> </w:t>
      </w:r>
      <w:r>
        <w:t xml:space="preserve">related impact on downstream industries</w:t>
      </w:r>
      <w:r>
        <w:t xml:space="preserve"> </w:t>
      </w:r>
      <w:r>
        <w:t xml:space="preserve">and consumers. The dynamic baseline</w:t>
      </w:r>
      <w:r>
        <w:t xml:space="preserve"> </w:t>
      </w:r>
      <w:r>
        <w:t xml:space="preserve">should be quantified in order to allow to</w:t>
      </w:r>
      <w:r>
        <w:t xml:space="preserve"> </w:t>
      </w:r>
      <w:r>
        <w:t xml:space="preserve">compare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 impacts of assessed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Annex 4 explains in more detail the</w:t>
      </w:r>
      <w:r>
        <w:t xml:space="preserve"> </w:t>
      </w:r>
      <w:r>
        <w:t xml:space="preserve">modelling</w:t>
      </w:r>
      <w:r>
        <w:t xml:space="preserve"> </w:t>
      </w:r>
      <w:r>
        <w:t xml:space="preserve">assumptions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of the carbon prices under</w:t>
      </w:r>
      <w:r>
        <w:t xml:space="preserve"> </w:t>
      </w:r>
      <w:r>
        <w:t xml:space="preserve">the EU ETS and in the rest of the world</w:t>
      </w:r>
      <w:r>
        <w:t xml:space="preserve"> </w:t>
      </w:r>
      <w:r>
        <w:t xml:space="preserve">that underpin the baseline.</w:t>
      </w:r>
      <w:r>
        <w:br/>
      </w:r>
      <w:r>
        <w:t xml:space="preserve">(2) The report should provide a more</w:t>
      </w:r>
      <w:r>
        <w:t xml:space="preserve"> </w:t>
      </w:r>
      <w:r>
        <w:t xml:space="preserve">granular analysis on the impact of the</w:t>
      </w:r>
      <w:r>
        <w:t xml:space="preserve"> </w:t>
      </w:r>
      <w:r>
        <w:t xml:space="preserve">intervention in terms of prices faced by</w:t>
      </w:r>
      <w:r>
        <w:t xml:space="preserve"> </w:t>
      </w:r>
      <w:r>
        <w:t xml:space="preserve">consumers and downstream producers.</w:t>
      </w:r>
      <w:r>
        <w:t xml:space="preserve"> </w:t>
      </w:r>
      <w:r>
        <w:t xml:space="preserve">The report should better explain how the</w:t>
      </w:r>
      <w:r>
        <w:t xml:space="preserve"> </w:t>
      </w:r>
      <w:r>
        <w:t xml:space="preserve">estimated significant impacts in terms of</w:t>
      </w:r>
      <w:r>
        <w:t xml:space="preserve"> </w:t>
      </w:r>
      <w:r>
        <w:t xml:space="preserve">emissions</w:t>
      </w:r>
      <w:r>
        <w:t xml:space="preserve"> </w:t>
      </w:r>
      <w:r>
        <w:t xml:space="preserve">correspond</w:t>
      </w:r>
      <w:r>
        <w:t xml:space="preserve"> </w:t>
      </w:r>
      <w:r>
        <w:t xml:space="preserve">to</w:t>
      </w:r>
      <w:r>
        <w:t xml:space="preserve"> </w:t>
      </w:r>
      <w:r>
        <w:t xml:space="preserve">expected</w:t>
      </w:r>
      <w:r>
        <w:t xml:space="preserve"> </w:t>
      </w:r>
      <w:r>
        <w:t xml:space="preserve">changes of quantities and prices of basic</w:t>
      </w:r>
      <w:r>
        <w:t xml:space="preserve"> </w:t>
      </w:r>
      <w:r>
        <w:t xml:space="preserve">as well as downstream goods, for both EU</w:t>
      </w:r>
      <w:r>
        <w:t xml:space="preserve"> </w:t>
      </w:r>
      <w:r>
        <w:t xml:space="preserve">consumers and downstream producers.</w:t>
      </w:r>
      <w:r>
        <w:t xml:space="preserve"> </w:t>
      </w:r>
      <w:r>
        <w:t xml:space="preserve">The effects should be disaggregated in</w:t>
      </w:r>
      <w:r>
        <w:t xml:space="preserve"> </w:t>
      </w:r>
      <w:r>
        <w:t xml:space="preserve">order to analyse impacts on various</w:t>
      </w:r>
      <w:r>
        <w:t xml:space="preserve"> </w:t>
      </w:r>
      <w:r>
        <w:t xml:space="preserve">groups of goods and in turn on various</w:t>
      </w:r>
      <w:r>
        <w:t xml:space="preserve"> </w:t>
      </w:r>
      <w:r>
        <w:t xml:space="preserve">groups of stakeholders, both consumers</w:t>
      </w:r>
      <w:r>
        <w:t xml:space="preserve"> </w:t>
      </w:r>
      <w:r>
        <w:t xml:space="preserve">and downstream industries.</w:t>
      </w:r>
      <w:r>
        <w:t xml:space="preserve"> </w:t>
      </w:r>
      <w:r>
        <w:t xml:space="preserve">Section</w:t>
      </w:r>
      <w:r>
        <w:t xml:space="preserve"> </w:t>
      </w:r>
      <w:r>
        <w:t xml:space="preserve">6.2.4.1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further</w:t>
      </w:r>
      <w:r>
        <w:t xml:space="preserve"> </w:t>
      </w:r>
      <w:r>
        <w:t xml:space="preserve">developed to provide a more granular</w:t>
      </w:r>
      <w:r>
        <w:t xml:space="preserve"> </w:t>
      </w:r>
      <w:r>
        <w:t xml:space="preserve">overview of the impacts, include the</w:t>
      </w:r>
      <w:r>
        <w:t xml:space="preserve"> </w:t>
      </w:r>
      <w:r>
        <w:t xml:space="preserve">results of a sensitivity analysis and</w:t>
      </w:r>
      <w:r>
        <w:t xml:space="preserve"> </w:t>
      </w:r>
      <w:r>
        <w:t xml:space="preserve">explain what is behind these price</w:t>
      </w:r>
      <w:r>
        <w:t xml:space="preserve"> </w:t>
      </w:r>
      <w:r>
        <w:t xml:space="preserve">impacts.</w:t>
      </w:r>
      <w:r>
        <w:br/>
      </w:r>
      <w:r>
        <w:t xml:space="preserve">(3) Regarding electricity, the report</w:t>
      </w:r>
      <w:r>
        <w:t xml:space="preserve"> </w:t>
      </w:r>
      <w:r>
        <w:t xml:space="preserve">should better analyse the impacts of the</w:t>
      </w:r>
      <w:r>
        <w:t xml:space="preserve"> </w:t>
      </w:r>
      <w:r>
        <w:t xml:space="preserve">use of the average electricity mix of the</w:t>
      </w:r>
      <w:r>
        <w:t xml:space="preserve"> </w:t>
      </w:r>
      <w:r>
        <w:t xml:space="preserve">exporting country in terms of the change</w:t>
      </w:r>
      <w:r>
        <w:t xml:space="preserve"> </w:t>
      </w:r>
      <w:r>
        <w:t xml:space="preserve">of the incentives to decarbonise and</w:t>
      </w:r>
      <w:r>
        <w:t xml:space="preserve"> </w:t>
      </w:r>
      <w:r>
        <w:t xml:space="preserve">resulting overall environmental impacts</w:t>
      </w:r>
      <w:r>
        <w:t xml:space="preserve"> </w:t>
      </w:r>
      <w:r>
        <w:t xml:space="preserve">regarding the total emissions.</w:t>
      </w:r>
      <w:r>
        <w:t xml:space="preserve"> </w:t>
      </w:r>
      <w:r>
        <w:t xml:space="preserve">Additional elements in relation to the</w:t>
      </w:r>
      <w:r>
        <w:t xml:space="preserve"> </w:t>
      </w:r>
      <w:r>
        <w:t xml:space="preserve">impacts of the use of the average</w:t>
      </w:r>
      <w:r>
        <w:t xml:space="preserve"> </w:t>
      </w:r>
      <w:r>
        <w:t xml:space="preserve">electricity mix have been added to section</w:t>
      </w:r>
      <w:r>
        <w:t xml:space="preserve"> </w:t>
      </w:r>
      <w:r>
        <w:t xml:space="preserve">6.4.1 of the report.</w:t>
      </w:r>
      <w:r>
        <w:br/>
      </w:r>
      <w:r>
        <w:t xml:space="preserve">(4) The key assumptions and estimates,</w:t>
      </w:r>
      <w:r>
        <w:t xml:space="preserve"> </w:t>
      </w:r>
      <w:r>
        <w:t xml:space="preserve">including prices and elasticities, used in</w:t>
      </w:r>
      <w:r>
        <w:t xml:space="preserve"> </w:t>
      </w:r>
      <w:r>
        <w:t xml:space="preserve">the JRC-GEM-E3 modelling should be</w:t>
      </w:r>
      <w:r>
        <w:t xml:space="preserve"> </w:t>
      </w:r>
      <w:r>
        <w:t xml:space="preserve">spelled out for different points of time,</w:t>
      </w:r>
      <w:r>
        <w:t xml:space="preserve"> </w:t>
      </w:r>
      <w:r>
        <w:t xml:space="preserve">and limitations and uncertainty of results</w:t>
      </w:r>
      <w:r>
        <w:t xml:space="preserve"> </w:t>
      </w:r>
      <w:r>
        <w:t xml:space="preserve">of modelling assessed, especially in the</w:t>
      </w:r>
      <w:r>
        <w:t xml:space="preserve"> </w:t>
      </w:r>
      <w:r>
        <w:t xml:space="preserve">light of this being a new kind of initiative</w:t>
      </w:r>
      <w:r>
        <w:t xml:space="preserve"> </w:t>
      </w:r>
      <w:r>
        <w:t xml:space="preserve">for which limited empirical evidence is</w:t>
      </w:r>
      <w:r>
        <w:t xml:space="preserve"> </w:t>
      </w:r>
      <w:r>
        <w:t xml:space="preserve">available on which to base estimates.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better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 behind the circumvention</w:t>
      </w:r>
      <w:r>
        <w:t xml:space="preserve"> </w:t>
      </w:r>
      <w:r>
        <w:t xml:space="preserve">analysis and the assumptions used in</w:t>
      </w:r>
      <w:r>
        <w:t xml:space="preserve"> </w:t>
      </w:r>
      <w:r>
        <w:t xml:space="preserve">modelling the impact of measures on the</w:t>
      </w:r>
      <w:r>
        <w:t xml:space="preserve"> </w:t>
      </w:r>
      <w:r>
        <w:t xml:space="preserve">electricity sector. Furthermore, the report</w:t>
      </w:r>
      <w:r>
        <w:t xml:space="preserve"> </w:t>
      </w:r>
      <w:r>
        <w:t xml:space="preserve">should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Annex 4.1 has been amended to provide</w:t>
      </w:r>
      <w:r>
        <w:t xml:space="preserve"> </w:t>
      </w:r>
      <w:r>
        <w:t xml:space="preserve">more information regarding the JRC-</w:t>
      </w:r>
      <w:r>
        <w:t xml:space="preserve"> </w:t>
      </w:r>
      <w:r>
        <w:t xml:space="preserve">GEM-E3 model, including in terms of</w:t>
      </w:r>
      <w:r>
        <w:t xml:space="preserve"> </w:t>
      </w:r>
      <w:r>
        <w:t xml:space="preserve">assumptions.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on</w:t>
      </w:r>
      <w:r>
        <w:t xml:space="preserve"> </w:t>
      </w:r>
      <w:r>
        <w:t xml:space="preserve">administrative burden (6.2.5)has been</w:t>
      </w:r>
      <w:r>
        <w:t xml:space="preserve"> </w:t>
      </w:r>
      <w:r>
        <w:t xml:space="preserve">adjusted and expanded to improve the</w:t>
      </w:r>
      <w:r>
        <w:t xml:space="preserve"> </w:t>
      </w:r>
      <w:r>
        <w:t xml:space="preserve">explanation on the methodology used for</w:t>
      </w:r>
      <w:r>
        <w:t xml:space="preserve"> </w:t>
      </w:r>
      <w:r>
        <w:t xml:space="preserve">estimating the compliance costs for</w:t>
      </w:r>
      <w:r>
        <w:t xml:space="preserve"> </w:t>
      </w:r>
      <w:r>
        <w:t xml:space="preserve">companies and enforcement costs for</w:t>
      </w:r>
      <w:r>
        <w:t xml:space="preserve"> </w:t>
      </w:r>
      <w:r>
        <w:t xml:space="preserve">authorities.</w:t>
      </w:r>
      <w:r>
        <w:t xml:space="preserve"> </w:t>
      </w:r>
      <w:r>
        <w:t xml:space="preserve">Section</w:t>
      </w:r>
      <w:r>
        <w:t xml:space="preserve"> </w:t>
      </w:r>
      <w:r>
        <w:t xml:space="preserve">6.4.4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impacts of electricity has</w:t>
      </w:r>
      <w:r>
        <w:t xml:space="preserve"> </w:t>
      </w:r>
      <w:r>
        <w:t xml:space="preserve">also been expanded. In addition, further</w:t>
      </w:r>
      <w:r>
        <w:t xml:space="preserve"> </w:t>
      </w:r>
      <w:r>
        <w:t xml:space="preserve">details have been added to Annex 4.3 in</w:t>
      </w:r>
      <w:r>
        <w:t xml:space="preserve"> </w:t>
      </w:r>
      <w:r>
        <w:t xml:space="preserve">order to better explain the methodology</w:t>
      </w:r>
      <w:r>
        <w:t xml:space="preserve"> </w:t>
      </w:r>
      <w:r>
        <w:t xml:space="preserve">and modelling used for the assessment of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regarding</w:t>
      </w:r>
      <w:r>
        <w:t xml:space="preserve"> </w:t>
      </w:r>
      <w:r>
        <w:t xml:space="preserve">estimating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the impacts of the proposed measures for</w:t>
      </w:r>
      <w:r>
        <w:t xml:space="preserve"> </w:t>
      </w:r>
      <w:r>
        <w:t xml:space="preserve">electricity.</w:t>
      </w:r>
      <w:r>
        <w:br/>
      </w:r>
      <w:r>
        <w:t xml:space="preserve">(5) The verification mechanism related to</w:t>
      </w:r>
      <w:r>
        <w:t xml:space="preserve"> </w:t>
      </w:r>
      <w:r>
        <w:t xml:space="preserve">actual values for embedded emissions</w:t>
      </w:r>
      <w:r>
        <w:t xml:space="preserve"> </w:t>
      </w:r>
      <w:r>
        <w:t xml:space="preserve">needs to be clearly spelled out and the</w:t>
      </w:r>
      <w:r>
        <w:t xml:space="preserve"> </w:t>
      </w:r>
      <w:r>
        <w:t xml:space="preserve">related risks and costs analysed. The</w:t>
      </w:r>
      <w:r>
        <w:t xml:space="preserve"> </w:t>
      </w:r>
      <w:r>
        <w:t xml:space="preserve">analytical approach which will be used to</w:t>
      </w:r>
      <w:r>
        <w:t xml:space="preserve"> </w:t>
      </w:r>
      <w:r>
        <w:t xml:space="preserve">determine any future empowerments</w:t>
      </w:r>
      <w:r>
        <w:t xml:space="preserve"> </w:t>
      </w:r>
      <w:r>
        <w:t xml:space="preserve">should be clearly described.</w:t>
      </w:r>
      <w:r>
        <w:t xml:space="preserve"> </w:t>
      </w:r>
      <w:r>
        <w:t xml:space="preserve">Annex 9 has been amended to capture</w:t>
      </w:r>
      <w:r>
        <w:t xml:space="preserve"> </w:t>
      </w:r>
      <w:r>
        <w:t xml:space="preserve">additional information on the verification</w:t>
      </w:r>
      <w:r>
        <w:t xml:space="preserve"> </w:t>
      </w:r>
      <w:r>
        <w:t xml:space="preserve">process and its analytical approach. In</w:t>
      </w:r>
      <w:r>
        <w:t xml:space="preserve"> </w:t>
      </w:r>
      <w:r>
        <w:t xml:space="preserve">particular, Annexes 9.1 and 9.4 discuss</w:t>
      </w:r>
      <w:r>
        <w:t xml:space="preserve"> </w:t>
      </w:r>
      <w:r>
        <w:t xml:space="preserve">the criteria and conditions to be used for</w:t>
      </w:r>
      <w:r>
        <w:t xml:space="preserve"> </w:t>
      </w:r>
      <w:r>
        <w:t xml:space="preserve">future empowerments.</w:t>
      </w:r>
      <w:r>
        <w:br/>
      </w:r>
      <w:r>
        <w:t xml:space="preserve">(6) The indicators included in the</w:t>
      </w:r>
      <w:r>
        <w:t xml:space="preserve"> </w:t>
      </w:r>
      <w:r>
        <w:t xml:space="preserve">monitoring and evaluation framework</w:t>
      </w:r>
      <w:r>
        <w:t xml:space="preserve"> </w:t>
      </w:r>
      <w:r>
        <w:t xml:space="preserve">should be more granular and specific,</w:t>
      </w:r>
      <w:r>
        <w:t xml:space="preserve"> </w:t>
      </w:r>
      <w:r>
        <w:t xml:space="preserve">based on clearer expectations, to allow an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intervention’s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efficiency.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framework, as presented in</w:t>
      </w:r>
      <w:r>
        <w:t xml:space="preserve"> </w:t>
      </w:r>
      <w:r>
        <w:t xml:space="preserve">the report, does not provide sufficient</w:t>
      </w:r>
      <w:r>
        <w:t xml:space="preserve"> </w:t>
      </w:r>
      <w:r>
        <w:t xml:space="preserve">detail on the data necessary for tracking</w:t>
      </w:r>
      <w:r>
        <w:t xml:space="preserve"> </w:t>
      </w:r>
      <w:r>
        <w:t xml:space="preserve">the impacts of the intervention. More</w:t>
      </w:r>
      <w:r>
        <w:t xml:space="preserve"> </w:t>
      </w:r>
      <w:r>
        <w:t xml:space="preserve">detail should be provided regarding data</w:t>
      </w:r>
      <w:r>
        <w:t xml:space="preserve"> </w:t>
      </w:r>
      <w:r>
        <w:t xml:space="preserve">on administrative costs and on the</w:t>
      </w:r>
      <w:r>
        <w:t xml:space="preserve"> </w:t>
      </w:r>
      <w:r>
        <w:t xml:space="preserve">changes of emissions of third country</w:t>
      </w:r>
      <w:r>
        <w:t xml:space="preserve"> </w:t>
      </w:r>
      <w:r>
        <w:t xml:space="preserve">producers of goods and electricity.</w:t>
      </w:r>
      <w:r>
        <w:t xml:space="preserve"> </w:t>
      </w:r>
      <w:r>
        <w:t xml:space="preserve">Section 9 has been expanded to improve</w:t>
      </w:r>
      <w:r>
        <w:t xml:space="preserve"> </w:t>
      </w:r>
      <w:r>
        <w:t xml:space="preserve">the number and granularity of indicators</w:t>
      </w:r>
      <w:r>
        <w:t xml:space="preserve"> </w:t>
      </w:r>
      <w:r>
        <w:t xml:space="preserve">that will be used for the evaluation of the</w:t>
      </w:r>
      <w:r>
        <w:t xml:space="preserve"> </w:t>
      </w:r>
      <w:r>
        <w:t xml:space="preserve">effectiveness and efficiency of the</w:t>
      </w:r>
      <w:r>
        <w:t xml:space="preserve"> </w:t>
      </w:r>
      <w:r>
        <w:t xml:space="preserve">proposed intervention. To support the</w:t>
      </w:r>
      <w:r>
        <w:t xml:space="preserve"> </w:t>
      </w:r>
      <w:r>
        <w:t xml:space="preserve">collection of data on some of these</w:t>
      </w:r>
      <w:r>
        <w:t xml:space="preserve"> </w:t>
      </w:r>
      <w:r>
        <w:t xml:space="preserve">indicators the Commission will run large</w:t>
      </w:r>
      <w:r>
        <w:t xml:space="preserve"> </w:t>
      </w:r>
      <w:r>
        <w:t xml:space="preserve">scale international surveys to collect</w:t>
      </w:r>
      <w:r>
        <w:t xml:space="preserve"> </w:t>
      </w:r>
      <w:r>
        <w:t xml:space="preserve">feedback from affected producers in these</w:t>
      </w:r>
      <w:r>
        <w:t xml:space="preserve"> </w:t>
      </w:r>
      <w:r>
        <w:t xml:space="preserve">countries.</w:t>
      </w:r>
      <w:r>
        <w:t xml:space="preserve"> </w:t>
      </w:r>
      <w:r>
        <w:t xml:space="preserve">(7) Comparison of options should be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clear</w:t>
      </w:r>
      <w:r>
        <w:t xml:space="preserve"> </w:t>
      </w:r>
      <w:r>
        <w:t xml:space="preserve">criteria</w:t>
      </w:r>
      <w:r>
        <w:t xml:space="preserve"> </w:t>
      </w:r>
      <w:r>
        <w:t xml:space="preserve">regarding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</w:t>
      </w:r>
      <w:r>
        <w:t xml:space="preserve"> </w:t>
      </w:r>
      <w:r>
        <w:t xml:space="preserve">line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 specific objectives for</w:t>
      </w:r>
      <w:r>
        <w:t xml:space="preserve"> </w:t>
      </w:r>
      <w:r>
        <w:t xml:space="preserve">each of the three areas. Regarding</w:t>
      </w:r>
      <w:r>
        <w:t xml:space="preserve"> </w:t>
      </w:r>
      <w:r>
        <w:t xml:space="preserve">efficiency the comparison should use the</w:t>
      </w:r>
      <w:r>
        <w:t xml:space="preserve"> </w:t>
      </w:r>
      <w:r>
        <w:t xml:space="preserve">estimated costs including administrative</w:t>
      </w:r>
      <w:r>
        <w:t xml:space="preserve"> </w:t>
      </w:r>
      <w:r>
        <w:t xml:space="preserve">costs and be based on benefit-cost ratios</w:t>
      </w:r>
      <w:r>
        <w:t xml:space="preserve"> </w:t>
      </w:r>
      <w:r>
        <w:t xml:space="preserve">where possible.</w:t>
      </w:r>
      <w:r>
        <w:t xml:space="preserve"> </w:t>
      </w:r>
      <w:r>
        <w:t xml:space="preserve">Section 7.1 has been expanded to clarify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proportionality indicators and criteria that</w:t>
      </w:r>
      <w:r>
        <w:t xml:space="preserve"> </w:t>
      </w:r>
      <w:r>
        <w:t xml:space="preserve">have been used to assess the different</w:t>
      </w:r>
      <w:r>
        <w:t xml:space="preserve"> </w:t>
      </w:r>
      <w:r>
        <w:t xml:space="preserve">options under consideration.</w:t>
      </w:r>
      <w:r>
        <w:br/>
      </w:r>
      <w:r>
        <w:t xml:space="preserve">(8)</w:t>
      </w:r>
      <w:r>
        <w:t xml:space="preserve"> </w:t>
      </w:r>
      <w:r>
        <w:t xml:space="preserve">The</w:t>
      </w:r>
      <w:r>
        <w:t xml:space="preserve"> </w:t>
      </w:r>
      <w:r>
        <w:t xml:space="preserve">report,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the</w:t>
      </w:r>
      <w:r>
        <w:t xml:space="preserve"> </w:t>
      </w:r>
      <w:r>
        <w:t xml:space="preserve">comparison of options chapter, needs to</w:t>
      </w:r>
      <w:r>
        <w:t xml:space="preserve"> </w:t>
      </w:r>
      <w:r>
        <w:t xml:space="preserve">better explain how coherence with other</w:t>
      </w:r>
      <w:r>
        <w:t xml:space="preserve"> </w:t>
      </w:r>
      <w:r>
        <w:t xml:space="preserve">relevant EU initiatives is to be ensured.</w:t>
      </w:r>
      <w:r>
        <w:t xml:space="preserve"> </w:t>
      </w:r>
      <w:r>
        <w:t xml:space="preserve">The coherence with other policies has</w:t>
      </w:r>
      <w:r>
        <w:t xml:space="preserve"> </w:t>
      </w:r>
      <w:r>
        <w:t xml:space="preserve">been ensured in the analysis, and process-</w:t>
      </w:r>
      <w:r>
        <w:t xml:space="preserve"> </w:t>
      </w:r>
      <w:r>
        <w:t xml:space="preserve">wise through the involvement of other</w:t>
      </w:r>
      <w:r>
        <w:t xml:space="preserve"> </w:t>
      </w:r>
      <w:r>
        <w:t xml:space="preserve">DGs, as further explained in the report.</w:t>
      </w:r>
    </w:p>
    <w:p>
      <w:pPr>
        <w:pStyle w:val="BodyText"/>
      </w:pPr>
      <w:r>
        <w:t xml:space="preserve">More broadly, the measure around scrap have been further refined and streamlined to</w:t>
      </w:r>
      <w:r>
        <w:t xml:space="preserve"> </w:t>
      </w:r>
      <w:r>
        <w:t xml:space="preserve">ensure it addresses the issue in an even more targeted fashion. In relation with abusive</w:t>
      </w:r>
      <w:r>
        <w:t xml:space="preserve"> </w:t>
      </w:r>
      <w:r>
        <w:t xml:space="preserve">practices, an empowerment measure was introduced as a common feature of both options</w:t>
      </w:r>
      <w:r>
        <w:t xml:space="preserve"> </w:t>
      </w:r>
      <w:r>
        <w:t xml:space="preserve">1 and 2.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1.4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evidence base for this impact assessment report stems from a variety of sources,</w:t>
      </w:r>
      <w:r>
        <w:t xml:space="preserve"> </w:t>
      </w:r>
      <w:r>
        <w:t xml:space="preserve">including:</w:t>
      </w:r>
      <w:r>
        <w:t xml:space="preserve"> </w:t>
      </w:r>
      <w:r>
        <w:t xml:space="preserve">• Targeted consultations with relevant economic operators and Member States.</w:t>
      </w:r>
      <w:r>
        <w:t xml:space="preserve"> </w:t>
      </w:r>
      <w:r>
        <w:t xml:space="preserve">• Public consultation and Call for Evidence.1 Feedback period: 1 July 2025 to</w:t>
      </w:r>
      <w:r>
        <w:t xml:space="preserve"> </w:t>
      </w:r>
      <w:r>
        <w:t xml:space="preserve">26 August 2025.</w:t>
      </w:r>
      <w:r>
        <w:t xml:space="preserve"> </w:t>
      </w:r>
      <w:r>
        <w:t xml:space="preserve">• Exchanges with additional stakeholders through the CBAM Informal Expert</w:t>
      </w:r>
      <w:r>
        <w:t xml:space="preserve"> </w:t>
      </w:r>
      <w:r>
        <w:t xml:space="preserve">Group Meetings and dedicated stakeholders’ meetings.</w:t>
      </w:r>
      <w:r>
        <w:t xml:space="preserve"> </w:t>
      </w:r>
      <w:r>
        <w:t xml:space="preserve">• Data from the CBAM registry obtained during the transitional period.</w:t>
      </w:r>
      <w:r>
        <w:t xml:space="preserve"> </w:t>
      </w:r>
      <w:r>
        <w:t xml:space="preserve">• Support study on the CBAM scope extension to downstream products.</w:t>
      </w:r>
      <w:r>
        <w:t xml:space="preserve"> </w:t>
      </w:r>
      <w:r>
        <w:t xml:space="preserve">• Study on analytical methods for the calculation of embedded emissions in</w:t>
      </w:r>
      <w:r>
        <w:t xml:space="preserve"> </w:t>
      </w:r>
      <w:r>
        <w:t xml:space="preserve">imported electricity to the EU under the CBAM.</w:t>
      </w:r>
      <w:r>
        <w:t xml:space="preserve"> </w:t>
      </w:r>
      <w:r>
        <w:t xml:space="preserve">• Modelling by the European Commission’s Joint Research Centre.</w:t>
      </w:r>
      <w:r>
        <w:t xml:space="preserve"> </w:t>
      </w:r>
      <w:r>
        <w:t xml:space="preserve">• Desk research and quantitative analysis.</w:t>
      </w:r>
    </w:p>
    <w:p>
      <w:pPr>
        <w:pStyle w:val="BodyText"/>
      </w:pPr>
      <w:r>
        <w:t xml:space="preserve">1See: https://ec.europa.eu/info/law/better-regulation/have-your-say/initiatives/14748-Carbon-Border-</w:t>
      </w:r>
      <w:r>
        <w:t xml:space="preserve"> </w:t>
      </w:r>
      <w:r>
        <w:t xml:space="preserve">Adjustment-Mechanism-CBAM-downstream-extension-anti-circuminvention-and-rules-on-electricity-</w:t>
      </w:r>
      <w:r>
        <w:t xml:space="preserve"> </w:t>
      </w:r>
      <w:r>
        <w:t xml:space="preserve">emissions_en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ANNEX 2 STAKEHOLDER CONSULTATION</w:t>
      </w:r>
      <w:r>
        <w:t xml:space="preserve"> </w:t>
      </w:r>
      <w:r>
        <w:t xml:space="preserve">2.1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consultation strategy for the present initiative encompasses the following activities:</w:t>
      </w:r>
      <w:r>
        <w:br/>
      </w:r>
      <w:r>
        <w:t xml:space="preserve">-</w:t>
      </w:r>
      <w:r>
        <w:t xml:space="preserve"> </w:t>
      </w:r>
      <w:r>
        <w:t xml:space="preserve">Feedback to the Call for Evidence from 1 July 2025 to 26 August 2025;</w:t>
      </w:r>
      <w:r>
        <w:t xml:space="preserve"> </w:t>
      </w:r>
      <w:r>
        <w:t xml:space="preserve">-</w:t>
      </w:r>
      <w:r>
        <w:t xml:space="preserve"> </w:t>
      </w:r>
      <w:r>
        <w:t xml:space="preserve">Public consultation from 1 July 2025 to 26 August 2025;</w:t>
      </w:r>
      <w:r>
        <w:t xml:space="preserve"> </w:t>
      </w:r>
      <w:r>
        <w:t xml:space="preserve">-</w:t>
      </w:r>
      <w:r>
        <w:t xml:space="preserve"> </w:t>
      </w:r>
      <w:r>
        <w:t xml:space="preserve">Consultation of stakeholders in the context of studies dedicated to the downstream</w:t>
      </w:r>
      <w:r>
        <w:t xml:space="preserve"> </w:t>
      </w:r>
      <w:r>
        <w:t xml:space="preserve">scope extension and electricity;</w:t>
      </w:r>
      <w:r>
        <w:t xml:space="preserve"> </w:t>
      </w:r>
      <w:r>
        <w:t xml:space="preserve">-</w:t>
      </w:r>
      <w:r>
        <w:t xml:space="preserve"> </w:t>
      </w:r>
      <w:r>
        <w:t xml:space="preserve">Surveys of the National Competent authorities and Customs authorities in the</w:t>
      </w:r>
      <w:r>
        <w:t xml:space="preserve"> </w:t>
      </w:r>
      <w:r>
        <w:t xml:space="preserve">context of the CBAM Risk Management Framework;</w:t>
      </w:r>
      <w:r>
        <w:t xml:space="preserve"> </w:t>
      </w:r>
      <w:r>
        <w:t xml:space="preserve">-</w:t>
      </w:r>
      <w:r>
        <w:t xml:space="preserve"> </w:t>
      </w:r>
      <w:r>
        <w:t xml:space="preserve">Meetings of the CBAM Informal Expert Group, which brings together Member</w:t>
      </w:r>
      <w:r>
        <w:t xml:space="preserve"> </w:t>
      </w:r>
      <w:r>
        <w:t xml:space="preserve">States, industry representatives, civil society representatives and observers from</w:t>
      </w:r>
      <w:r>
        <w:t xml:space="preserve"> </w:t>
      </w:r>
      <w:r>
        <w:t xml:space="preserve">third countries and international or intergovernmental organisations;</w:t>
      </w:r>
      <w:r>
        <w:t xml:space="preserve"> </w:t>
      </w:r>
      <w:r>
        <w:t xml:space="preserve">This is further detailed below per area.</w:t>
      </w:r>
      <w:r>
        <w:t xml:space="preserve"> </w:t>
      </w:r>
      <w:r>
        <w:t xml:space="preserve">2.1.1 Downstream</w:t>
      </w:r>
      <w:r>
        <w:t xml:space="preserve"> </w:t>
      </w:r>
      <w:r>
        <w:t xml:space="preserve">The Commission services have met on a continuous basis with various industry</w:t>
      </w:r>
      <w:r>
        <w:t xml:space="preserve"> </w:t>
      </w:r>
      <w:r>
        <w:t xml:space="preserve">associations and companies affected by CBAM either directly or indirectly depending on</w:t>
      </w:r>
      <w:r>
        <w:t xml:space="preserve"> </w:t>
      </w:r>
      <w:r>
        <w:t xml:space="preserve">their position on the value chain. Beyond bilateral consultations and exchanges, the</w:t>
      </w:r>
      <w:r>
        <w:t xml:space="preserve"> </w:t>
      </w:r>
      <w:r>
        <w:t xml:space="preserve">Commission also engaged with stakeholders through the Informal Expert Group of</w:t>
      </w:r>
      <w:r>
        <w:t xml:space="preserve"> </w:t>
      </w:r>
      <w:r>
        <w:t xml:space="preserve">CBAM.</w:t>
      </w:r>
      <w:r>
        <w:br/>
      </w:r>
      <w:r>
        <w:t xml:space="preserve">Additionally, a targeted stakeholder survey was held in October 2024 as part of the</w:t>
      </w:r>
      <w:r>
        <w:t xml:space="preserve"> </w:t>
      </w:r>
      <w:r>
        <w:t xml:space="preserve">downstream supporting study, which garnered 241 responses. This survey helped the</w:t>
      </w:r>
      <w:r>
        <w:t xml:space="preserve"> </w:t>
      </w:r>
      <w:r>
        <w:t xml:space="preserve">Commission services estimate the administrative burden and compliance cost for</w:t>
      </w:r>
      <w:r>
        <w:t xml:space="preserve"> </w:t>
      </w:r>
      <w:r>
        <w:t xml:space="preserve">downstream importers. Most respondents were manufacturers or importers of basic or</w:t>
      </w:r>
      <w:r>
        <w:t xml:space="preserve"> </w:t>
      </w:r>
      <w:r>
        <w:t xml:space="preserve">downstream goods.</w:t>
      </w:r>
      <w:r>
        <w:br/>
      </w:r>
      <w:r>
        <w:t xml:space="preserve">2.1.2 CBAM anti-avoidance</w:t>
      </w:r>
      <w:r>
        <w:t xml:space="preserve"> </w:t>
      </w:r>
      <w:r>
        <w:t xml:space="preserve">The Commission services organised three dedicated workshops on CBAM Risk</w:t>
      </w:r>
      <w:r>
        <w:t xml:space="preserve"> </w:t>
      </w:r>
      <w:r>
        <w:t xml:space="preserve">Management with National Competent Authorities and National Custom Authorities.</w:t>
      </w:r>
      <w:r>
        <w:t xml:space="preserve"> </w:t>
      </w:r>
      <w:r>
        <w:t xml:space="preserve">Written submissions were also collected via surveys, including one dedicated to anti-</w:t>
      </w:r>
      <w:r>
        <w:t xml:space="preserve"> </w:t>
      </w:r>
      <w:r>
        <w:t xml:space="preserve">circumvention. This allowed them to express in a structured manner their appreciation of</w:t>
      </w:r>
      <w:r>
        <w:t xml:space="preserve"> </w:t>
      </w:r>
      <w:r>
        <w:t xml:space="preserve">the risks CBAM is exposed to. Whilst parts of the survey were structured, dedicated</w:t>
      </w:r>
      <w:r>
        <w:t xml:space="preserve"> </w:t>
      </w:r>
      <w:r>
        <w:t xml:space="preserve">sections allowed for free text comments allowing to capture the description of new risks</w:t>
      </w:r>
      <w:r>
        <w:t xml:space="preserve"> </w:t>
      </w:r>
      <w:r>
        <w:t xml:space="preserve">not discussed before.</w:t>
      </w:r>
      <w:r>
        <w:br/>
      </w:r>
      <w:r>
        <w:t xml:space="preserve">The Commission services also gathered feedback through a number of industry events as</w:t>
      </w:r>
      <w:r>
        <w:t xml:space="preserve"> </w:t>
      </w:r>
      <w:r>
        <w:t xml:space="preserve">well as bilateral meetings with private sector stakeholders. A material number of those</w:t>
      </w:r>
      <w:r>
        <w:t xml:space="preserve"> </w:t>
      </w:r>
      <w:r>
        <w:t xml:space="preserve">mentioned the risk of abusive practices. Businesses also extensively highlighted the scrap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loophole. European Aluminium2 has notably published a study on the topic. A number of</w:t>
      </w:r>
      <w:r>
        <w:t xml:space="preserve"> </w:t>
      </w:r>
      <w:r>
        <w:t xml:space="preserve">individual businesses have publicly shared their position on the matter such as Hydro3 or</w:t>
      </w:r>
      <w:r>
        <w:t xml:space="preserve"> </w:t>
      </w:r>
      <w:r>
        <w:t xml:space="preserve">Alcoa4. The cement industry5 stressed in its submission the possible CBAM avoidance</w:t>
      </w:r>
      <w:r>
        <w:t xml:space="preserve"> </w:t>
      </w:r>
      <w:r>
        <w:t xml:space="preserve">scheme in which an importer could import a product which is highly emission-intensive</w:t>
      </w:r>
      <w:r>
        <w:t xml:space="preserve"> </w:t>
      </w:r>
      <w:r>
        <w:t xml:space="preserve">(e.g., with a high clinker content for cement) and later submit a CBAM declaration for this</w:t>
      </w:r>
      <w:r>
        <w:t xml:space="preserve"> </w:t>
      </w:r>
      <w:r>
        <w:t xml:space="preserve">import, correctly using the same CN code but declaring low emissions (e.g. corresponding</w:t>
      </w:r>
      <w:r>
        <w:t xml:space="preserve"> </w:t>
      </w:r>
      <w:r>
        <w:t xml:space="preserve">to a lower clinker content), resulting in a lower CBAM adjustment to be paid thus calling</w:t>
      </w:r>
      <w:r>
        <w:t xml:space="preserve"> </w:t>
      </w:r>
      <w:r>
        <w:t xml:space="preserve">for increasing granularity in the reporting of CN codes.</w:t>
      </w:r>
      <w:r>
        <w:t xml:space="preserve"> </w:t>
      </w:r>
      <w:r>
        <w:t xml:space="preserve">2.1.3 Electricity</w:t>
      </w:r>
      <w:r>
        <w:t xml:space="preserve"> </w:t>
      </w:r>
      <w:r>
        <w:t xml:space="preserve">A selected stakeholder consultation was conducted as part of the study on electricity as a</w:t>
      </w:r>
      <w:r>
        <w:t xml:space="preserve"> </w:t>
      </w:r>
      <w:r>
        <w:t xml:space="preserve">CBAM good. It included a structured survey sent to selected stakeholders in the electricity</w:t>
      </w:r>
      <w:r>
        <w:t xml:space="preserve"> </w:t>
      </w:r>
      <w:r>
        <w:t xml:space="preserve">sector, yielding responses from suppliers, traders, transmission system operators (TSOs),</w:t>
      </w:r>
      <w:r>
        <w:t xml:space="preserve"> </w:t>
      </w:r>
      <w:r>
        <w:t xml:space="preserve">interconnector operators, accreditation bodies, capacity-allocation platforms, power</w:t>
      </w:r>
      <w:r>
        <w:t xml:space="preserve"> </w:t>
      </w:r>
      <w:r>
        <w:t xml:space="preserve">exchanges, and a regional market integration body. In addition, semi-structured interviews</w:t>
      </w:r>
      <w:r>
        <w:t xml:space="preserve"> </w:t>
      </w:r>
      <w:r>
        <w:t xml:space="preserve">with national competent authorities (NCAs), customs authorities, and other actors were</w:t>
      </w:r>
      <w:r>
        <w:t xml:space="preserve"> </w:t>
      </w:r>
      <w:r>
        <w:t xml:space="preserve">conducted.</w:t>
      </w:r>
      <w:r>
        <w:t xml:space="preserve"> </w:t>
      </w:r>
      <w:r>
        <w:t xml:space="preserve">The Commission services also gathered feedback from the industry and countries</w:t>
      </w:r>
      <w:r>
        <w:t xml:space="preserve"> </w:t>
      </w:r>
      <w:r>
        <w:t xml:space="preserve">exporting electricity to the EU through bilateral encounters. Additionally, the industries</w:t>
      </w:r>
      <w:r>
        <w:t xml:space="preserve"> </w:t>
      </w:r>
      <w:r>
        <w:t xml:space="preserve">(including TSOs and electricity traders) have publicly shared their position.</w:t>
      </w:r>
      <w:r>
        <w:br/>
      </w:r>
      <w:r>
        <w:t xml:space="preserve">2.2</w:t>
      </w:r>
      <w:r>
        <w:t xml:space="preserve"> </w:t>
      </w:r>
      <w:r>
        <w:t xml:space="preserve">Call for evidence and public consultation</w:t>
      </w:r>
      <w:r>
        <w:t xml:space="preserve"> </w:t>
      </w:r>
      <w:r>
        <w:t xml:space="preserve">The Commission launched a call for evidence and public consultation (PC)6 on 1 July 2025</w:t>
      </w:r>
      <w:r>
        <w:t xml:space="preserve"> </w:t>
      </w:r>
      <w:r>
        <w:t xml:space="preserve">and gathered responses until 26 August 2025.</w:t>
      </w:r>
      <w:r>
        <w:br/>
      </w:r>
      <w:r>
        <w:t xml:space="preserve">The questionnaire consisted of 55 questions covering the three areas discussed in this</w:t>
      </w:r>
      <w:r>
        <w:t xml:space="preserve"> </w:t>
      </w:r>
      <w:r>
        <w:t xml:space="preserve">impact assessment: downstream extension, CBAM avoidance and electricity. Stakeholders</w:t>
      </w:r>
      <w:r>
        <w:t xml:space="preserve"> </w:t>
      </w:r>
      <w:r>
        <w:t xml:space="preserve">also had the opportunity to upload additional contributions. 34 questions were substantive,</w:t>
      </w:r>
      <w:r>
        <w:t xml:space="preserve"> </w:t>
      </w:r>
      <w:r>
        <w:t xml:space="preserve">with additional questions asking for personal details or clarifications.</w:t>
      </w:r>
      <w:r>
        <w:t xml:space="preserve"> </w:t>
      </w:r>
      <w:r>
        <w:t xml:space="preserve">Below, we report the results of the consultation questionnaire, followed by an analysis of</w:t>
      </w:r>
      <w:r>
        <w:t xml:space="preserve"> </w:t>
      </w:r>
      <w:r>
        <w:t xml:space="preserve">the position papers submitted in response to the consultation and call for evidence. A final</w:t>
      </w:r>
      <w:r>
        <w:t xml:space="preserve"> </w:t>
      </w:r>
      <w:r>
        <w:t xml:space="preserve">section draws conclusions from both parts.</w:t>
      </w:r>
    </w:p>
    <w:p>
      <w:pPr>
        <w:pStyle w:val="BodyText"/>
      </w:pPr>
      <w:r>
        <w:t xml:space="preserve">2 European Aluminium, Third party study on impact of CBAM on alumina and scrap markets, by Ramboll,</w:t>
      </w:r>
      <w:r>
        <w:t xml:space="preserve"> </w:t>
      </w:r>
      <w:r>
        <w:t xml:space="preserve">March 2025</w:t>
      </w:r>
      <w:r>
        <w:t xml:space="preserve"> </w:t>
      </w:r>
      <w:r>
        <w:t xml:space="preserve">3</w:t>
      </w:r>
      <w:r>
        <w:t xml:space="preserve"> </w:t>
      </w:r>
      <w:r>
        <w:t xml:space="preserve">Hydro,</w:t>
      </w:r>
      <w:r>
        <w:t xml:space="preserve"> </w:t>
      </w:r>
      <w:r>
        <w:t xml:space="preserve">CBAM:</w:t>
      </w:r>
      <w:r>
        <w:t xml:space="preserve"> </w:t>
      </w:r>
      <w:r>
        <w:t xml:space="preserve">Europe’s</w:t>
      </w:r>
      <w:r>
        <w:t xml:space="preserve"> </w:t>
      </w:r>
      <w:r>
        <w:t xml:space="preserve">low-carbon</w:t>
      </w:r>
      <w:r>
        <w:t xml:space="preserve"> </w:t>
      </w:r>
      <w:r>
        <w:t xml:space="preserve">aluminium</w:t>
      </w:r>
      <w:r>
        <w:t xml:space="preserve"> </w:t>
      </w:r>
      <w:r>
        <w:t xml:space="preserve">is</w:t>
      </w:r>
      <w:r>
        <w:t xml:space="preserve"> </w:t>
      </w:r>
      <w:r>
        <w:t xml:space="preserve">threatened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big</w:t>
      </w:r>
      <w:r>
        <w:t xml:space="preserve"> </w:t>
      </w:r>
      <w:r>
        <w:t xml:space="preserve">loophole,</w:t>
      </w:r>
      <w:r>
        <w:t xml:space="preserve"> </w:t>
      </w:r>
      <w:r>
        <w:t xml:space="preserve">https://www.hydro.com/en/global/about-hydro/stories-by-hydro/greenwashing-via-cbam-loophole</w:t>
      </w:r>
      <w:r>
        <w:t xml:space="preserve"> </w:t>
      </w:r>
      <w:r>
        <w:t xml:space="preserve">4 Sandbag, Closing the CBAM scrap loophole – A critical move for climate , July 2024</w:t>
      </w:r>
      <w:r>
        <w:t xml:space="preserve"> </w:t>
      </w:r>
      <w:r>
        <w:t xml:space="preserve">5 A Watertight Implementation of CBAM – Tackling the Risks of Fraud and Circumvention in the Cement</w:t>
      </w:r>
      <w:r>
        <w:t xml:space="preserve"> </w:t>
      </w:r>
      <w:r>
        <w:t xml:space="preserve">Sector. Dec. 2024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2.2.1 Consultation questionnaire synopsis</w:t>
      </w:r>
      <w:r>
        <w:t xml:space="preserve"> </w:t>
      </w:r>
      <w:r>
        <w:t xml:space="preserve">2.2.1.1 Profile of respondents</w:t>
      </w:r>
      <w:r>
        <w:t xml:space="preserve"> </w:t>
      </w:r>
      <w:r>
        <w:t xml:space="preserve">A total of 367 stakeholders filled the PC questionnaire. Out of these 367 stakeholders,</w:t>
      </w:r>
      <w:r>
        <w:t xml:space="preserve"> </w:t>
      </w:r>
      <w:r>
        <w:t xml:space="preserve">114 responses belong to an identified campaign, while the remaining 253 stakeholders are</w:t>
      </w:r>
      <w:r>
        <w:t xml:space="preserve"> </w:t>
      </w:r>
      <w:r>
        <w:t xml:space="preserve">not from an identified campaign. An overview of the respondents per country of origin is</w:t>
      </w:r>
      <w:r>
        <w:t xml:space="preserve"> </w:t>
      </w:r>
      <w:r>
        <w:t xml:space="preserve">shown in Figure 1Figure 1Figure 1Figure 1Figure 1, and per stakeholder group in Figure</w:t>
      </w:r>
      <w:r>
        <w:t xml:space="preserve"> </w:t>
      </w:r>
      <w:r>
        <w:t xml:space="preserve">2. Over 81% of the respondents (n=206) are located within the EU, notably Germany</w:t>
      </w:r>
      <w:r>
        <w:t xml:space="preserve"> </w:t>
      </w:r>
      <w:r>
        <w:t xml:space="preserve">(n=63) as well as Belgium (n=37) and France (n=28). From outside the EU, the most</w:t>
      </w:r>
      <w:r>
        <w:t xml:space="preserve"> </w:t>
      </w:r>
      <w:r>
        <w:t xml:space="preserve">notable contributions are from respondents from Egypt, the United Kingdom and Ukraine.</w:t>
      </w:r>
      <w:r>
        <w:t xml:space="preserve"> </w:t>
      </w:r>
      <w:r>
        <w:t xml:space="preserve">Most of the respondents are representatives of businesses/ organisations or business</w:t>
      </w:r>
      <w:r>
        <w:t xml:space="preserve"> </w:t>
      </w:r>
      <w:r>
        <w:t xml:space="preserve">associations (84%; n=212). There are also contributions from EU citizens, public</w:t>
      </w:r>
      <w:r>
        <w:t xml:space="preserve"> </w:t>
      </w:r>
      <w:r>
        <w:t xml:space="preserve">authorities, non-governmental organisations (NGOs), academic/research institutions, trade</w:t>
      </w:r>
      <w:r>
        <w:t xml:space="preserve"> </w:t>
      </w:r>
      <w:r>
        <w:t xml:space="preserve">unions, environmental organisations and other organisations.</w:t>
      </w:r>
      <w:r>
        <w:br/>
      </w:r>
      <w:r>
        <w:t xml:space="preserve">Figure 1: Country of origin, all stakeholders (n=253) (Q11)</w:t>
      </w:r>
      <w:r>
        <w:t xml:space="preserve"> </w:t>
      </w:r>
      <w:r>
        <w:t xml:space="preserve">All countries (n=253)</w:t>
      </w:r>
      <w:r>
        <w:t xml:space="preserve"> </w:t>
      </w:r>
      <w:r>
        <w:t xml:space="preserve">EU only (n=206)</w:t>
      </w:r>
    </w:p>
    <w:p>
      <w:pPr>
        <w:pStyle w:val="BodyText"/>
      </w:pPr>
      <w:r>
        <w:t xml:space="preserve">Figure 2: Stakeholder type, all stakeholders (n=253) (Q2)</w:t>
      </w:r>
    </w:p>
    <w:p>
      <w:pPr>
        <w:pStyle w:val="BodyText"/>
      </w:pPr>
      <w:r>
        <w:t xml:space="preserve">244 responses were provided by organisations, with large companies (250 employees or</w:t>
      </w:r>
      <w:r>
        <w:t xml:space="preserve"> </w:t>
      </w:r>
      <w:r>
        <w:t xml:space="preserve">more) being the most represented (54%; n=130). 17% represent micro-organisations</w:t>
      </w:r>
      <w:r>
        <w:t xml:space="preserve"> </w:t>
      </w:r>
      <w:r>
        <w:t xml:space="preserve">(n=41), 16% small organisations (n=38) and 13% medium-sized organisations (n=31).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Figure 3: Organisation size, all stakeholders (n=240) (Q10)</w:t>
      </w:r>
    </w:p>
    <w:p>
      <w:pPr>
        <w:pStyle w:val="BodyText"/>
      </w:pPr>
      <w:r>
        <w:t xml:space="preserve">About 40% of the respondents have filed a CBAM declaration (n=104) or an import</w:t>
      </w:r>
      <w:r>
        <w:t xml:space="preserve"> </w:t>
      </w:r>
      <w:r>
        <w:t xml:space="preserve">declaration related to a CBAM basic good (n=103) at least once, as shown in Figure 4.</w:t>
      </w:r>
    </w:p>
    <w:p>
      <w:pPr>
        <w:pStyle w:val="BodyText"/>
      </w:pPr>
      <w:r>
        <w:t xml:space="preserve">Figure 4: Filing of CBAM-related declarations (n=253) (Q13 &amp; 14)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The consultation and call for evidence bring together three thematic strands: downstream,</w:t>
      </w:r>
      <w:r>
        <w:t xml:space="preserve"> </w:t>
      </w:r>
      <w:r>
        <w:t xml:space="preserve">circumvention, and electricity. Because these topics are conceptually distinct, even if</w:t>
      </w:r>
      <w:r>
        <w:t xml:space="preserve"> </w:t>
      </w:r>
      <w:r>
        <w:t xml:space="preserve">interrelated, the stakeholders responding to the survey are also heterogeneous, and usually</w:t>
      </w:r>
      <w:r>
        <w:t xml:space="preserve"> </w:t>
      </w:r>
      <w:r>
        <w:t xml:space="preserve">only answer one of the three aspects. As such, the responses need to be analysed separately</w:t>
      </w:r>
      <w:r>
        <w:t xml:space="preserve"> </w:t>
      </w:r>
      <w:r>
        <w:t xml:space="preserve">to draw meaningful conclusions. This avoids overreporting “no opinions” as well as</w:t>
      </w:r>
      <w:r>
        <w:t xml:space="preserve"> </w:t>
      </w:r>
      <w:r>
        <w:t xml:space="preserve">unintentional and uninformed opinions, e.g. a German or Chinese producer of downstream</w:t>
      </w:r>
      <w:r>
        <w:t xml:space="preserve"> </w:t>
      </w:r>
      <w:r>
        <w:t xml:space="preserve">goods commenting on CBAM electricity imports. Electricity imports do not usually</w:t>
      </w:r>
      <w:r>
        <w:t xml:space="preserve"> </w:t>
      </w:r>
      <w:r>
        <w:t xml:space="preserve">involve downstream producers at all, because they happen between electricity importers</w:t>
      </w:r>
      <w:r>
        <w:t xml:space="preserve"> </w:t>
      </w:r>
      <w:r>
        <w:t xml:space="preserve">and suppliers -i.e. electricity power plants in third countries. Since electricity imports</w:t>
      </w:r>
      <w:r>
        <w:t xml:space="preserve"> </w:t>
      </w:r>
      <w:r>
        <w:t xml:space="preserve">require interconnector linking cross-border grids, they are only relevant at the EU ETS</w:t>
      </w:r>
      <w:r>
        <w:t xml:space="preserve"> </w:t>
      </w:r>
      <w:r>
        <w:t xml:space="preserve">border in the context of CBAM, e.g., between Croatia and Bosnia and Herzegovina.</w:t>
      </w:r>
      <w:r>
        <w:t xml:space="preserve"> </w:t>
      </w:r>
      <w:r>
        <w:t xml:space="preserve">Therefore, three categories are used to define the PC stakeholders:</w:t>
      </w:r>
      <w:r>
        <w:t xml:space="preserve"> </w:t>
      </w:r>
      <w:r>
        <w:t xml:space="preserve">• Downstream stakeholders;</w:t>
      </w:r>
      <w:r>
        <w:t xml:space="preserve"> </w:t>
      </w:r>
      <w:r>
        <w:t xml:space="preserve">• Circumvention stakeholders; and</w:t>
      </w:r>
      <w:r>
        <w:t xml:space="preserve"> </w:t>
      </w:r>
      <w:r>
        <w:t xml:space="preserve">• Electricity stakeholders.</w:t>
      </w:r>
      <w:r>
        <w:t xml:space="preserve"> </w:t>
      </w:r>
      <w:r>
        <w:t xml:space="preserve">As shown in Figure 5Figure 5Figure 5, the downstream and circumvention respondents</w:t>
      </w:r>
      <w:r>
        <w:t xml:space="preserve"> </w:t>
      </w:r>
      <w:r>
        <w:t xml:space="preserve">widely overlap, whereas the electricity responses are quite distinct. As per the Better</w:t>
      </w:r>
      <w:r>
        <w:t xml:space="preserve"> </w:t>
      </w:r>
      <w:r>
        <w:t xml:space="preserve">Regulation Toolbox7, campaigns are excluded and analysed separately. One campaign was</w:t>
      </w:r>
      <w:r>
        <w:t xml:space="preserve"> </w:t>
      </w:r>
      <w:r>
        <w:t xml:space="preserve">identified, by a German manufacturing company, with 114 responses. The “other”</w:t>
      </w:r>
      <w:r>
        <w:t xml:space="preserve"> </w:t>
      </w:r>
      <w:r>
        <w:t xml:space="preserve">category corresponds to stakeholders that are public authorities, citizens, NGOs, research</w:t>
      </w:r>
      <w:r>
        <w:t xml:space="preserve"> </w:t>
      </w:r>
      <w:r>
        <w:t xml:space="preserve">institutions or consultancy companies.</w:t>
      </w:r>
      <w:r>
        <w:t xml:space="preserve"> </w:t>
      </w:r>
      <w:r>
        <w:t xml:space="preserve">Figure 5: Venn diagram of the stakeholder types (n=367)8</w:t>
      </w:r>
    </w:p>
    <w:p>
      <w:pPr>
        <w:pStyle w:val="BodyText"/>
      </w:pPr>
      <w:r>
        <w:t xml:space="preserve">7 European Commission (2023). Better Regulation Toolbox.</w:t>
      </w:r>
      <w:r>
        <w:t xml:space="preserve"> </w:t>
      </w:r>
      <w:r>
        <w:t xml:space="preserve">8 - 89 stakeholders are categorised under circumvention and downstream. These are companies / business</w:t>
      </w:r>
      <w:r>
        <w:t xml:space="preserve"> </w:t>
      </w:r>
      <w:r>
        <w:t xml:space="preserve">associations which cover trade and/or production of basic CBAM and downstream goods.</w:t>
      </w:r>
      <w:r>
        <w:t xml:space="preserve"> </w:t>
      </w:r>
      <w:r>
        <w:t xml:space="preserve">- 57 stakeholders are categorised as downstream only. These are companies / business associations which</w:t>
      </w:r>
      <w:r>
        <w:t xml:space="preserve"> </w:t>
      </w:r>
      <w:r>
        <w:t xml:space="preserve">cover trade and/or production of downstream goods only.</w:t>
      </w:r>
      <w:r>
        <w:t xml:space="preserve"> </w:t>
      </w:r>
      <w:r>
        <w:t xml:space="preserve">- 46 stakeholders are categorised as circumvention only. These are companies / business associations which</w:t>
      </w:r>
      <w:r>
        <w:t xml:space="preserve"> </w:t>
      </w:r>
      <w:r>
        <w:t xml:space="preserve">cover trade and/or production of basic CBAM goods only.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2.2.1.2 Downstream stakeholders</w:t>
      </w:r>
      <w:r>
        <w:t xml:space="preserve"> </w:t>
      </w:r>
      <w:r>
        <w:t xml:space="preserve">In total, 150 responses are identified as downstream stakeholders.</w:t>
      </w:r>
      <w:r>
        <w:t xml:space="preserve"> </w:t>
      </w:r>
      <w:r>
        <w:t xml:space="preserve">Downstream stakeholders are respondents who are or represent producers/importers of</w:t>
      </w:r>
      <w:r>
        <w:t xml:space="preserve"> </w:t>
      </w:r>
      <w:r>
        <w:t xml:space="preserve">downstream CBAM products. The selection process of downstream stakeholders is as</w:t>
      </w:r>
      <w:r>
        <w:t xml:space="preserve"> </w:t>
      </w:r>
      <w:r>
        <w:t xml:space="preserve">follows:</w:t>
      </w:r>
    </w:p>
    <w:p>
      <w:pPr>
        <w:pStyle w:val="BodyText"/>
      </w:pPr>
      <w:r>
        <w:t xml:space="preserve">• Firstly, downstream stakeholders are identified by whether they import or produce</w:t>
      </w:r>
      <w:r>
        <w:t xml:space="preserve"> </w:t>
      </w:r>
      <w:r>
        <w:t xml:space="preserve">CBAM downstream goods (Q15 and 17). If respondents selected at least one</w:t>
      </w:r>
      <w:r>
        <w:t xml:space="preserve"> </w:t>
      </w:r>
      <w:r>
        <w:t xml:space="preserve">product off an indicative list of downstream goods, they are considered a</w:t>
      </w:r>
      <w:r>
        <w:t xml:space="preserve"> </w:t>
      </w:r>
      <w:r>
        <w:t xml:space="preserve">downstream stakeholder. 103 responses are identified as downstream stakeholders</w:t>
      </w:r>
      <w:r>
        <w:t xml:space="preserve"> </w:t>
      </w:r>
      <w:r>
        <w:t xml:space="preserve">using this automatic filtering. Apart from the indicative list of downstream</w:t>
      </w:r>
      <w:r>
        <w:t xml:space="preserve"> </w:t>
      </w:r>
      <w:r>
        <w:t xml:space="preserve">products, respondents could also indicate other downstream products (that they</w:t>
      </w:r>
      <w:r>
        <w:t xml:space="preserve"> </w:t>
      </w:r>
      <w:r>
        <w:t xml:space="preserve">import or make) in free-text fields (Q16 and 18). These answers are manually</w:t>
      </w:r>
      <w:r>
        <w:t xml:space="preserve"> </w:t>
      </w:r>
      <w:r>
        <w:t xml:space="preserve">analysed to include responses which provide viable responses (e.g. ‘n/a’ or ‘no</w:t>
      </w:r>
      <w:r>
        <w:t xml:space="preserve"> </w:t>
      </w:r>
      <w:r>
        <w:t xml:space="preserve">response’ answers are disregarded). 8 responses are identified as downstream</w:t>
      </w:r>
      <w:r>
        <w:t xml:space="preserve"> </w:t>
      </w:r>
      <w:r>
        <w:t xml:space="preserve">stakeholders using this manual filtering.</w:t>
      </w:r>
      <w:r>
        <w:t xml:space="preserve"> </w:t>
      </w:r>
      <w:r>
        <w:t xml:space="preserve">• Secondly, the responses also include organisations, which represent downstream</w:t>
      </w:r>
      <w:r>
        <w:t xml:space="preserve"> </w:t>
      </w:r>
      <w:r>
        <w:t xml:space="preserve">producers/importers, but do not respond to Q15-18. For instance, a downstream</w:t>
      </w:r>
      <w:r>
        <w:t xml:space="preserve"> </w:t>
      </w:r>
      <w:r>
        <w:t xml:space="preserve">manufacturing association does not produce/import themselves, but they do</w:t>
      </w:r>
      <w:r>
        <w:t xml:space="preserve"> </w:t>
      </w:r>
      <w:r>
        <w:t xml:space="preserve">represent companies that do. The responses, which identify as company/business,</w:t>
      </w:r>
      <w:r>
        <w:t xml:space="preserve"> </w:t>
      </w:r>
      <w:r>
        <w:t xml:space="preserve">business associations or trade associations, which are not yet categorised are</w:t>
      </w:r>
      <w:r>
        <w:t xml:space="preserve"> </w:t>
      </w:r>
      <w:r>
        <w:t xml:space="preserve">manually screened and relevant organisations are included as downstream</w:t>
      </w:r>
      <w:r>
        <w:t xml:space="preserve"> </w:t>
      </w:r>
      <w:r>
        <w:t xml:space="preserve">stakeholders. 39 responses are identified as downstream stakeholders using this</w:t>
      </w:r>
      <w:r>
        <w:t xml:space="preserve"> </w:t>
      </w:r>
      <w:r>
        <w:t xml:space="preserve">manual filtering.</w:t>
      </w:r>
      <w:r>
        <w:t xml:space="preserve"> </w:t>
      </w:r>
      <w:r>
        <w:t xml:space="preserve">Most downstream stakeholders believe that carbon leakage due to CBAM occurs in</w:t>
      </w:r>
      <w:r>
        <w:t xml:space="preserve"> </w:t>
      </w:r>
      <w:r>
        <w:t xml:space="preserve">downstream sectors to some extent, with 44% citing to a very large extent. They largely</w:t>
      </w:r>
      <w:r>
        <w:t xml:space="preserve"> </w:t>
      </w:r>
      <w:r>
        <w:t xml:space="preserve">agree that extending CBAM to downstream goods would reduce carbon leakage, enhance</w:t>
      </w:r>
      <w:r>
        <w:t xml:space="preserve"> </w:t>
      </w:r>
      <w:r>
        <w:t xml:space="preserve">EU climate policy, promote low-carbon innovation and encourage both EU consumption</w:t>
      </w:r>
      <w:r>
        <w:t xml:space="preserve"> </w:t>
      </w:r>
      <w:r>
        <w:t xml:space="preserve">of low-carbon products and global carbon pricing efforts. Economically, while such an</w:t>
      </w:r>
      <w:r>
        <w:t xml:space="preserve"> </w:t>
      </w:r>
      <w:r>
        <w:t xml:space="preserve">extension is expected to raise costs for manufacturers, SMEs and consumers, it is also seen</w:t>
      </w:r>
      <w:r>
        <w:t xml:space="preserve"> </w:t>
      </w:r>
      <w:r>
        <w:t xml:space="preserve">as beneficial for EU employment. From an administrative point of view, most of the</w:t>
      </w:r>
      <w:r>
        <w:t xml:space="preserve"> </w:t>
      </w:r>
      <w:r>
        <w:t xml:space="preserve">downstream stakeholders anticipate an increased burden mostly for EU imports and non-</w:t>
      </w:r>
      <w:r>
        <w:t xml:space="preserve"> </w:t>
      </w:r>
      <w:r>
        <w:t xml:space="preserve">EU exporters of downstream goods, but also non-EU producers of downstream goods and</w:t>
      </w:r>
      <w:r>
        <w:t xml:space="preserve"> </w:t>
      </w:r>
      <w:r>
        <w:t xml:space="preserve">public authorities. Reporting costs would be considered high particularly for determining</w:t>
      </w:r>
      <w:r>
        <w:t xml:space="preserve"> </w:t>
      </w:r>
      <w:r>
        <w:t xml:space="preserve">embedded emissions and foreign carbon costs already paid.</w:t>
      </w:r>
      <w:r>
        <w:t xml:space="preserve"> </w:t>
      </w:r>
      <w:r>
        <w:t xml:space="preserve">Below is a more detailed description of the downstream stakeholders’ views from the</w:t>
      </w:r>
      <w:r>
        <w:t xml:space="preserve"> </w:t>
      </w:r>
      <w:r>
        <w:t xml:space="preserve">downstream goods section of the questionnaire.</w:t>
      </w:r>
    </w:p>
    <w:p>
      <w:pPr>
        <w:pStyle w:val="Compact"/>
        <w:numPr>
          <w:ilvl w:val="0"/>
          <w:numId w:val="1001"/>
        </w:numPr>
      </w:pPr>
      <w:r>
        <w:t xml:space="preserve">20 stakeholders are categorised as electricity only. These are stakeholders which represent EU/Non-EU</w:t>
      </w:r>
      <w:r>
        <w:t xml:space="preserve"> </w:t>
      </w:r>
      <w:r>
        <w:t xml:space="preserve">TSOs, energy companies, and public authorities.</w:t>
      </w:r>
    </w:p>
    <w:p>
      <w:pPr>
        <w:pStyle w:val="Compact"/>
        <w:numPr>
          <w:ilvl w:val="0"/>
          <w:numId w:val="1001"/>
        </w:numPr>
      </w:pPr>
      <w:r>
        <w:t xml:space="preserve">9 stakeholders are categorised as a combination of electricity stakeholder in combination with</w:t>
      </w:r>
      <w:r>
        <w:t xml:space="preserve"> </w:t>
      </w:r>
      <w:r>
        <w:t xml:space="preserve">circumvention and/or downstream. These are mainly EU energy companies.</w:t>
      </w:r>
    </w:p>
    <w:p>
      <w:pPr>
        <w:pStyle w:val="Compact"/>
        <w:numPr>
          <w:ilvl w:val="0"/>
          <w:numId w:val="1001"/>
        </w:numPr>
      </w:pPr>
      <w:r>
        <w:t xml:space="preserve">The other 32 stakeholders include responses from 9 public authorities, 10 EU citizens, 4 NGOs, 3 research</w:t>
      </w:r>
      <w:r>
        <w:t xml:space="preserve"> </w:t>
      </w:r>
      <w:r>
        <w:t xml:space="preserve">institutions, 5 consultancy companies, 1 retail association.</w:t>
      </w:r>
    </w:p>
    <w:p>
      <w:pPr>
        <w:pStyle w:val="FirstParagraph"/>
      </w:pPr>
      <w:r>
        <w:t xml:space="preserve">11</w:t>
      </w:r>
    </w:p>
    <w:p>
      <w:pPr>
        <w:pStyle w:val="BodyText"/>
      </w:pPr>
      <w:r>
        <w:t xml:space="preserve">2.2.1.2.1 Carbon leakage</w:t>
      </w:r>
      <w:r>
        <w:t xml:space="preserve"> </w:t>
      </w:r>
      <w:r>
        <w:t xml:space="preserve">The downstream extension addresses the risk of downstream carbon leakage due to CBAM</w:t>
      </w:r>
      <w:r>
        <w:t xml:space="preserve"> </w:t>
      </w:r>
      <w:r>
        <w:t xml:space="preserve">on basic goods. According to downstream stakeholders, carbon leakage due to CBAM</w:t>
      </w:r>
      <w:r>
        <w:t xml:space="preserve"> </w:t>
      </w:r>
      <w:r>
        <w:t xml:space="preserve">does occur in downstream sectorsFigure . About three-quarters of the downstream</w:t>
      </w:r>
      <w:r>
        <w:t xml:space="preserve"> </w:t>
      </w:r>
      <w:r>
        <w:t xml:space="preserve">stakeholders consider there to be carbon leakage at least to some extent (including very</w:t>
      </w:r>
      <w:r>
        <w:t xml:space="preserve"> </w:t>
      </w:r>
      <w:r>
        <w:t xml:space="preserve">large extent (n= 66; 44%), large extent (n= 25; 17%) and some extent (n= 24; 16%)). 7%</w:t>
      </w:r>
      <w:r>
        <w:t xml:space="preserve"> </w:t>
      </w:r>
      <w:r>
        <w:t xml:space="preserve">(n=10) say there is no carbon leakage in downstream sectors due to CBAM and 11%</w:t>
      </w:r>
      <w:r>
        <w:t xml:space="preserve"> </w:t>
      </w:r>
      <w:r>
        <w:t xml:space="preserve">(n=16) have no opinion. The coordinated campaign reports that there is carbon leakage in</w:t>
      </w:r>
      <w:r>
        <w:t xml:space="preserve"> </w:t>
      </w:r>
      <w:r>
        <w:t xml:space="preserve">downstream sectors to a very large extent due to CBAM. This broad stakeholder agreement</w:t>
      </w:r>
      <w:r>
        <w:t xml:space="preserve"> </w:t>
      </w:r>
      <w:r>
        <w:t xml:space="preserve">that downstream carbon leakage occurs served as impetus for the proposal to extend</w:t>
      </w:r>
      <w:r>
        <w:t xml:space="preserve"> </w:t>
      </w:r>
      <w:r>
        <w:t xml:space="preserve">CBAM to downstream sectors.</w:t>
      </w:r>
      <w:r>
        <w:t xml:space="preserve"> </w:t>
      </w:r>
      <w:r>
        <w:t xml:space="preserve">Figure 6: Does carbon leakage due to CBAM occur in downstream sectors? (Q25 -</w:t>
      </w:r>
      <w:r>
        <w:t xml:space="preserve"> </w:t>
      </w:r>
      <w:r>
        <w:t xml:space="preserve">downstream stakeholder responses only, n=150)</w:t>
      </w:r>
    </w:p>
    <w:p>
      <w:pPr>
        <w:pStyle w:val="BodyText"/>
      </w:pPr>
      <w:r>
        <w:t xml:space="preserve">The proposal reflects the fact that downstream leakage risk has several factors, based on</w:t>
      </w:r>
      <w:r>
        <w:t xml:space="preserve"> </w:t>
      </w:r>
      <w:r>
        <w:t xml:space="preserve">stakeholder consultation. There is a strong consensus amongst downstream stakeholders</w:t>
      </w:r>
      <w:r>
        <w:t xml:space="preserve"> </w:t>
      </w:r>
      <w:r>
        <w:t xml:space="preserve">that the risk of carbon leakage increases with the share of CBAM basic goods needed</w:t>
      </w:r>
      <w:r>
        <w:t xml:space="preserve"> </w:t>
      </w:r>
      <w:r>
        <w:t xml:space="preserve">to produce the downstream good and with the emission intensity of the CBAM basic</w:t>
      </w:r>
      <w:r>
        <w:t xml:space="preserve"> </w:t>
      </w:r>
      <w:r>
        <w:t xml:space="preserve">good: for the downstream stakeholders that reported that there is carbon leakage to</w:t>
      </w:r>
      <w:r>
        <w:t xml:space="preserve"> </w:t>
      </w:r>
      <w:r>
        <w:t xml:space="preserve">downstream sectors, 84% (n=107) and 83% (n=106) agree or strongly agree, respectively</w:t>
      </w:r>
      <w:r>
        <w:t xml:space="preserve"> </w:t>
      </w:r>
      <w:r>
        <w:t xml:space="preserve">(Figure 7Figure 7Figure ). Under the proposal, CBAM is due on the share of basic good,</w:t>
      </w:r>
      <w:r>
        <w:t xml:space="preserve"> </w:t>
      </w:r>
      <w:r>
        <w:t xml:space="preserve">meaning that a higher share faces a higher CBAM and thus better protection against</w:t>
      </w:r>
      <w:r>
        <w:t xml:space="preserve"> </w:t>
      </w:r>
      <w:r>
        <w:t xml:space="preserve">downstream leakage.</w:t>
      </w:r>
      <w:r>
        <w:t xml:space="preserve"> </w:t>
      </w:r>
      <w:r>
        <w:t xml:space="preserve">Moreover 66% (strongly) agree (n=84) that carbon leakage is higher for highly traded</w:t>
      </w:r>
      <w:r>
        <w:t xml:space="preserve"> </w:t>
      </w:r>
      <w:r>
        <w:t xml:space="preserve">downstream goods. The proposal reflects this; downstream goods are selected based on</w:t>
      </w:r>
      <w:r>
        <w:t xml:space="preserve"> </w:t>
      </w:r>
      <w:r>
        <w:t xml:space="preserve">how much they are traded, with higher trade intensity representing higher carbon leakage</w:t>
      </w:r>
      <w:r>
        <w:t xml:space="preserve"> </w:t>
      </w:r>
      <w:r>
        <w:t xml:space="preserve">risk and need for scope inclusion. There is less consensus on whether carbon leakage</w:t>
      </w:r>
      <w:r>
        <w:t xml:space="preserve"> </w:t>
      </w:r>
      <w:r>
        <w:t xml:space="preserve">decreases when the value of the downstream good increase (40% agree or strongly agree;</w:t>
      </w:r>
      <w:r>
        <w:t xml:space="preserve"> </w:t>
      </w:r>
      <w:r>
        <w:t xml:space="preserve">n=51). The coordinated campaign (strongly agree) with all of the proposed consequences</w:t>
      </w:r>
      <w:r>
        <w:t xml:space="preserve"> </w:t>
      </w:r>
      <w:r>
        <w:t xml:space="preserve">of the risk of carbon leakage.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Figure 7: Do you think that the risk of carbon leakage: (Q26 - downstream</w:t>
      </w:r>
      <w:r>
        <w:t xml:space="preserve"> </w:t>
      </w:r>
      <w:r>
        <w:t xml:space="preserve">stakeholder responses only, n=127)</w:t>
      </w:r>
    </w:p>
    <w:p>
      <w:pPr>
        <w:pStyle w:val="BodyText"/>
      </w:pPr>
      <w:r>
        <w:t xml:space="preserve">2.2.1.2.2 Climate impacts of extending the CBAM scope to downstream goods</w:t>
      </w:r>
      <w:r>
        <w:t xml:space="preserve"> </w:t>
      </w:r>
      <w:r>
        <w:t xml:space="preserve">The majority of downstream stakeholders agree that extending the CBAM would have a</w:t>
      </w:r>
      <w:r>
        <w:t xml:space="preserve"> </w:t>
      </w:r>
      <w:r>
        <w:t xml:space="preserve">positive climate impact (Figure 8Figure 8). Namely, there is a strong consensus of the</w:t>
      </w:r>
      <w:r>
        <w:t xml:space="preserve"> </w:t>
      </w:r>
      <w:r>
        <w:t xml:space="preserve">positive climate impact within the EU:</w:t>
      </w:r>
      <w:r>
        <w:t xml:space="preserve"> </w:t>
      </w:r>
      <w:r>
        <w:t xml:space="preserve">• 71% agree or strongly agree that such an extension would reduce the risk of carbon</w:t>
      </w:r>
      <w:r>
        <w:t xml:space="preserve"> </w:t>
      </w:r>
      <w:r>
        <w:t xml:space="preserve">leakage for downstream products made in the EU (n=107);</w:t>
      </w:r>
      <w:r>
        <w:t xml:space="preserve"> </w:t>
      </w:r>
      <w:r>
        <w:t xml:space="preserve">• 67% agree or strongly agree that such an extension would improve the effectiveness</w:t>
      </w:r>
      <w:r>
        <w:t xml:space="preserve"> </w:t>
      </w:r>
      <w:r>
        <w:t xml:space="preserve">of EU climate policy (n=101);</w:t>
      </w:r>
      <w:r>
        <w:t xml:space="preserve"> </w:t>
      </w:r>
      <w:r>
        <w:t xml:space="preserve">• 67% agree or strongly agree that such an extension would have a positive impact</w:t>
      </w:r>
      <w:r>
        <w:t xml:space="preserve"> </w:t>
      </w:r>
      <w:r>
        <w:t xml:space="preserve">on low-carbon innovation (n=100);</w:t>
      </w:r>
      <w:r>
        <w:t xml:space="preserve"> </w:t>
      </w:r>
      <w:r>
        <w:t xml:space="preserve">• 61% agree or strongly agree that such an extension would encourage the</w:t>
      </w:r>
      <w:r>
        <w:t xml:space="preserve"> </w:t>
      </w:r>
      <w:r>
        <w:t xml:space="preserve">consumption in the EU of low-carbon products (n=91);</w:t>
      </w:r>
      <w:r>
        <w:t xml:space="preserve"> </w:t>
      </w:r>
      <w:r>
        <w:t xml:space="preserve">• 53% agree or strongly agree that such an extension would encourage non-EU</w:t>
      </w:r>
      <w:r>
        <w:t xml:space="preserve"> </w:t>
      </w:r>
      <w:r>
        <w:t xml:space="preserve">countries to increase their carbon pricing ambition to make it equivalent to the EU’s</w:t>
      </w:r>
      <w:r>
        <w:t xml:space="preserve"> </w:t>
      </w:r>
      <w:r>
        <w:t xml:space="preserve">(n=79); and</w:t>
      </w:r>
      <w:r>
        <w:t xml:space="preserve"> </w:t>
      </w:r>
      <w:r>
        <w:t xml:space="preserve">• 52% agree or strongly agree that such an extension would incentivise GHG</w:t>
      </w:r>
      <w:r>
        <w:t xml:space="preserve"> </w:t>
      </w:r>
      <w:r>
        <w:t xml:space="preserve">emission reduction in non-EU countries (n=78).</w:t>
      </w:r>
      <w:r>
        <w:t xml:space="preserve"> </w:t>
      </w:r>
      <w:r>
        <w:t xml:space="preserve">The coordinated campaign strongly agrees with all six positive climate impacts above.</w:t>
      </w:r>
      <w:r>
        <w:t xml:space="preserve"> </w:t>
      </w:r>
      <w:r>
        <w:t xml:space="preserve">Figure 8: Climate impacts: Extending the CBAM scope to downstream goods would:</w:t>
      </w:r>
      <w:r>
        <w:t xml:space="preserve"> </w:t>
      </w:r>
      <w:r>
        <w:t xml:space="preserve">(Q27 - downstream stakeholder responses only, n=150)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2.2.1.2.3 Economic impacts of extending the CBAM scope to downstream goods</w:t>
      </w:r>
      <w:r>
        <w:t xml:space="preserve"> </w:t>
      </w:r>
      <w:r>
        <w:t xml:space="preserve">The majority of downstream stakeholders agree that extending the CBAM scope to</w:t>
      </w:r>
      <w:r>
        <w:t xml:space="preserve"> </w:t>
      </w:r>
      <w:r>
        <w:t xml:space="preserve">downstream goods would increase i) costs for manufacturers buying downstream</w:t>
      </w:r>
      <w:r>
        <w:t xml:space="preserve"> </w:t>
      </w:r>
      <w:r>
        <w:t xml:space="preserve">goods and ii) costs for SMEs in the EU as well as iii) prices for EU consumers (64%</w:t>
      </w:r>
      <w:r>
        <w:t xml:space="preserve"> </w:t>
      </w:r>
      <w:r>
        <w:t xml:space="preserve">(n=96), 52% (n=78) and 51% (n=76) agree or strong agree, respectively). At the same time,</w:t>
      </w:r>
      <w:r>
        <w:t xml:space="preserve"> </w:t>
      </w:r>
      <w:r>
        <w:t xml:space="preserve">more than 50% of the respondents agree or strongly agree that such an extension would</w:t>
      </w:r>
      <w:r>
        <w:t xml:space="preserve"> </w:t>
      </w:r>
      <w:r>
        <w:t xml:space="preserve">have a positive impact on employment in the EU (51% (n=76) agree or strongly agree). To</w:t>
      </w:r>
      <w:r>
        <w:t xml:space="preserve"> </w:t>
      </w:r>
      <w:r>
        <w:t xml:space="preserve">limit the administrative burden, downstream options were selected based on efficiency</w:t>
      </w:r>
      <w:r>
        <w:t xml:space="preserve"> </w:t>
      </w:r>
      <w:r>
        <w:t xml:space="preserve">and proportionality indicators (see Impact Assessment Section 8.1).</w:t>
      </w:r>
      <w:r>
        <w:t xml:space="preserve"> </w:t>
      </w:r>
      <w:r>
        <w:t xml:space="preserve">There is less consensus amongst downstream stakeholders on the impact on EU trade</w:t>
      </w:r>
      <w:r>
        <w:t xml:space="preserve"> </w:t>
      </w:r>
      <w:r>
        <w:t xml:space="preserve">relations and on low-income households. 39% (n=59) of downstream stakeholders think</w:t>
      </w:r>
      <w:r>
        <w:t xml:space="preserve"> </w:t>
      </w:r>
      <w:r>
        <w:t xml:space="preserve">that a downstream extension would have a negative impact on EU trade relations. 30%</w:t>
      </w:r>
      <w:r>
        <w:t xml:space="preserve"> </w:t>
      </w:r>
      <w:r>
        <w:t xml:space="preserve">(n=45) of downstream stakeholders agree or strongly agree that a downstream extension</w:t>
      </w:r>
      <w:r>
        <w:t xml:space="preserve"> </w:t>
      </w:r>
      <w:r>
        <w:t xml:space="preserve">would affect EU lower-income households disproportionately.</w:t>
      </w:r>
      <w:r>
        <w:t xml:space="preserve"> </w:t>
      </w:r>
      <w:r>
        <w:t xml:space="preserve">The coordinated campaign strongly agrees with the positive impact on employment and</w:t>
      </w:r>
      <w:r>
        <w:t xml:space="preserve"> </w:t>
      </w:r>
      <w:r>
        <w:t xml:space="preserve">agrees with the increasing costs for downstream manufacturers and for SMEs in the EU.</w:t>
      </w:r>
    </w:p>
    <w:p>
      <w:pPr>
        <w:pStyle w:val="BodyText"/>
      </w:pPr>
      <w:r>
        <w:t xml:space="preserve">Figure 9: Economic impacts: Extending the CBAM scope to downstream goods</w:t>
      </w:r>
      <w:r>
        <w:t xml:space="preserve"> </w:t>
      </w:r>
      <w:r>
        <w:t xml:space="preserve">would: (Q28 - downstream stakeholder responses only, n=146)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2.2.1.2.4 Administrative burden from extending the CBAM scope to downstream</w:t>
      </w:r>
      <w:r>
        <w:t xml:space="preserve"> </w:t>
      </w:r>
      <w:r>
        <w:t xml:space="preserve">goods</w:t>
      </w:r>
      <w:r>
        <w:t xml:space="preserve"> </w:t>
      </w:r>
      <w:r>
        <w:t xml:space="preserve">The majority of downstream stakeholders agree that the downstream extension would</w:t>
      </w:r>
      <w:r>
        <w:t xml:space="preserve"> </w:t>
      </w:r>
      <w:r>
        <w:t xml:space="preserve">significantly increase the administrative burden for EU importers, non-EU exporters</w:t>
      </w:r>
      <w:r>
        <w:t xml:space="preserve"> </w:t>
      </w:r>
      <w:r>
        <w:t xml:space="preserve">and non-EU producers of downstream goods:</w:t>
      </w:r>
      <w:r>
        <w:t xml:space="preserve"> </w:t>
      </w:r>
      <w:r>
        <w:t xml:space="preserve">• 62% agree or strongly agree that a downstream extension would significantly</w:t>
      </w:r>
      <w:r>
        <w:t xml:space="preserve"> </w:t>
      </w:r>
      <w:r>
        <w:t xml:space="preserve">increase the administrative burden for EU importers of downstream goods (n=91);</w:t>
      </w:r>
      <w:r>
        <w:t xml:space="preserve"> </w:t>
      </w:r>
      <w:r>
        <w:t xml:space="preserve">• 55% agree or strongly agree that a downstream extension would significantly</w:t>
      </w:r>
      <w:r>
        <w:t xml:space="preserve"> </w:t>
      </w:r>
      <w:r>
        <w:t xml:space="preserve">increase the administrative burden for non-EU exporters of downstream goods</w:t>
      </w:r>
      <w:r>
        <w:t xml:space="preserve"> </w:t>
      </w:r>
      <w:r>
        <w:t xml:space="preserve">(n=81);</w:t>
      </w:r>
      <w:r>
        <w:t xml:space="preserve"> </w:t>
      </w:r>
      <w:r>
        <w:t xml:space="preserve">• 52% agree or strongly agree that a downstream extension would significantly</w:t>
      </w:r>
      <w:r>
        <w:t xml:space="preserve"> </w:t>
      </w:r>
      <w:r>
        <w:t xml:space="preserve">increase the administrative burden for non-EU producers of downstream goods</w:t>
      </w:r>
      <w:r>
        <w:t xml:space="preserve"> </w:t>
      </w:r>
      <w:r>
        <w:t xml:space="preserve">(n=76);</w:t>
      </w:r>
      <w:r>
        <w:t xml:space="preserve"> </w:t>
      </w:r>
      <w:r>
        <w:t xml:space="preserve">• 49% agree or strongly agree that a downstream extension would significantly</w:t>
      </w:r>
      <w:r>
        <w:t xml:space="preserve"> </w:t>
      </w:r>
      <w:r>
        <w:t xml:space="preserve">increase the administrative burden for public authorities (n=71).</w:t>
      </w:r>
      <w:r>
        <w:t xml:space="preserve"> </w:t>
      </w:r>
      <w:r>
        <w:t xml:space="preserve">The coordinated campaign was mostly neutral with all four burdens listed above.</w:t>
      </w:r>
    </w:p>
    <w:p>
      <w:pPr>
        <w:pStyle w:val="BodyText"/>
      </w:pPr>
      <w:r>
        <w:t xml:space="preserve">Figure 10: How do you assess the following costs? Extending the CBAM scope to</w:t>
      </w:r>
      <w:r>
        <w:t xml:space="preserve"> </w:t>
      </w:r>
      <w:r>
        <w:t xml:space="preserve">downstream goods would significantly increase the administrative burden from</w:t>
      </w:r>
      <w:r>
        <w:t xml:space="preserve"> </w:t>
      </w:r>
      <w:r>
        <w:t xml:space="preserve">meeting the CBAM obligation for: (Q29 - downstream stakeholder responses only,</w:t>
      </w:r>
      <w:r>
        <w:t xml:space="preserve"> </w:t>
      </w:r>
      <w:r>
        <w:t xml:space="preserve">n=146)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For costs related to CBAM reporting requirements, about half of downstream stakeholders</w:t>
      </w:r>
      <w:r>
        <w:t xml:space="preserve"> </w:t>
      </w:r>
      <w:r>
        <w:t xml:space="preserve">consider that determining embedded emissions (51%; n=75) and carbon price already</w:t>
      </w:r>
      <w:r>
        <w:t xml:space="preserve"> </w:t>
      </w:r>
      <w:r>
        <w:t xml:space="preserve">paid abroad (49%; n=72) would have high or very high costs. Determining the content</w:t>
      </w:r>
      <w:r>
        <w:t xml:space="preserve"> </w:t>
      </w:r>
      <w:r>
        <w:t xml:space="preserve">of CBAM basic goods in downstream goods and determining country of origin are</w:t>
      </w:r>
      <w:r>
        <w:t xml:space="preserve"> </w:t>
      </w:r>
      <w:r>
        <w:t xml:space="preserve">considered to have relatively lower costs (36% (n=53) and 24% (n=35), respectively,</w:t>
      </w:r>
      <w:r>
        <w:t xml:space="preserve"> </w:t>
      </w:r>
      <w:r>
        <w:t xml:space="preserve">indicate very high or high costs).</w:t>
      </w:r>
      <w:r>
        <w:t xml:space="preserve"> </w:t>
      </w:r>
      <w:r>
        <w:t xml:space="preserve">Figure 11: For downstream goods, if and when they become part of the CBAM scope,</w:t>
      </w:r>
      <w:r>
        <w:t xml:space="preserve"> </w:t>
      </w:r>
      <w:r>
        <w:t xml:space="preserve">how do you estimate the cost of the following CBAM reporting requirements in the</w:t>
      </w:r>
      <w:r>
        <w:t xml:space="preserve"> </w:t>
      </w:r>
      <w:r>
        <w:t xml:space="preserve">CBAM definitive phase? (Q30 - downstream stakeholder responses only, n=146)</w:t>
      </w:r>
    </w:p>
    <w:p>
      <w:pPr>
        <w:pStyle w:val="BodyText"/>
      </w:pPr>
      <w:r>
        <w:t xml:space="preserve">2.2.1.3</w:t>
      </w:r>
      <w:r>
        <w:t xml:space="preserve"> </w:t>
      </w:r>
      <w:r>
        <w:t xml:space="preserve">Circumvention stakeholders</w:t>
      </w:r>
      <w:r>
        <w:t xml:space="preserve"> </w:t>
      </w:r>
      <w:r>
        <w:t xml:space="preserve">There are a total of 142 stakeholders who are identified as circumvention stakeholders.</w:t>
      </w:r>
      <w:r>
        <w:br/>
      </w:r>
      <w:r>
        <w:t xml:space="preserve">As shown in Figure 12, about 55% of the stakeholders (n=82) represent multiple/other</w:t>
      </w:r>
      <w:r>
        <w:t xml:space="preserve"> </w:t>
      </w:r>
      <w:r>
        <w:t xml:space="preserve">sectors. This category is largely made of industry associations which represent multiple</w:t>
      </w:r>
      <w:r>
        <w:t xml:space="preserve"> </w:t>
      </w:r>
      <w:r>
        <w:t xml:space="preserve">sectors, most of which are from the metal industry (n=41), but also multi-industry</w:t>
      </w:r>
      <w:r>
        <w:t xml:space="preserve"> </w:t>
      </w:r>
      <w:r>
        <w:t xml:space="preserve">associations (n=17), chemical industry (n=6), mining industry (n=4) and energy industry</w:t>
      </w:r>
      <w:r>
        <w:t xml:space="preserve"> </w:t>
      </w:r>
      <w:r>
        <w:t xml:space="preserve">(n=4). The remainder of the stakeholders represent, as shown in the graph below, iron &amp;</w:t>
      </w:r>
      <w:r>
        <w:t xml:space="preserve"> </w:t>
      </w:r>
      <w:r>
        <w:t xml:space="preserve">steel (28%; n=41), followed by aluminium (n=12), cement (n=8) and fertiliser (n=6).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Figure 12: Circumvention stakeholders by sector (n=142)</w:t>
      </w:r>
    </w:p>
    <w:p>
      <w:pPr>
        <w:pStyle w:val="BodyText"/>
      </w:pPr>
      <w:r>
        <w:t xml:space="preserve">2.2.1.3.1 Risk of circumvention</w:t>
      </w:r>
      <w:r>
        <w:br/>
      </w:r>
      <w:r>
        <w:t xml:space="preserve">Nearly 80% of stakeholders believe the current CBAM system is at risk of circumvention,</w:t>
      </w:r>
      <w:r>
        <w:t xml:space="preserve"> </w:t>
      </w:r>
      <w:r>
        <w:t xml:space="preserve">which could undermine its effectiveness. This clear result served as impetus for the</w:t>
      </w:r>
      <w:r>
        <w:t xml:space="preserve"> </w:t>
      </w:r>
      <w:r>
        <w:t xml:space="preserve">proposal for additional anti-avoidance measures. Among the five following causes -</w:t>
      </w:r>
      <w:r>
        <w:t xml:space="preserve"> </w:t>
      </w:r>
      <w:r>
        <w:t xml:space="preserve">incorrect declarations of emission intensity, incorrect declaration of production details,</w:t>
      </w:r>
      <w:r>
        <w:t xml:space="preserve"> </w:t>
      </w:r>
      <w:r>
        <w:t xml:space="preserve">mis-declaration of customs codes, lack of CBAM declarations, incorrect origin – the first</w:t>
      </w:r>
      <w:r>
        <w:t xml:space="preserve"> </w:t>
      </w:r>
      <w:r>
        <w:t xml:space="preserve">two were flagged as most concerning. Furthermore, over 70% agree that variations in</w:t>
      </w:r>
      <w:r>
        <w:t xml:space="preserve"> </w:t>
      </w:r>
      <w:r>
        <w:t xml:space="preserve">emissions within the same customs code contribute to circumvention risk. Proposed</w:t>
      </w:r>
      <w:r>
        <w:t xml:space="preserve"> </w:t>
      </w:r>
      <w:r>
        <w:t xml:space="preserve">solutions like provision of more detailed information and refining customs nomenclature</w:t>
      </w:r>
      <w:r>
        <w:t xml:space="preserve"> </w:t>
      </w:r>
      <w:r>
        <w:t xml:space="preserve">received similar support. Finally, a strong majority (82%) flagged specific risks including</w:t>
      </w:r>
      <w:r>
        <w:t xml:space="preserve"> </w:t>
      </w:r>
      <w:r>
        <w:t xml:space="preserve">selective allocation of low-emission processes and electricity to EU-bound products as</w:t>
      </w:r>
      <w:r>
        <w:t xml:space="preserve"> </w:t>
      </w:r>
      <w:r>
        <w:t xml:space="preserve">well as allocation/over-declaration of use of recycled content/metal scraps for production</w:t>
      </w:r>
      <w:r>
        <w:t xml:space="preserve"> </w:t>
      </w:r>
      <w:r>
        <w:t xml:space="preserve">destined for the EU.</w:t>
      </w:r>
      <w:r>
        <w:t xml:space="preserve"> </w:t>
      </w:r>
      <w:r>
        <w:t xml:space="preserve">Below is a more detailed description of the circumvention stakeholders’ views.</w:t>
      </w:r>
      <w:r>
        <w:t xml:space="preserve"> </w:t>
      </w:r>
      <w:r>
        <w:t xml:space="preserve">2.2.1.3.2 Current risk of circumvention</w:t>
      </w:r>
      <w:r>
        <w:t xml:space="preserve"> </w:t>
      </w:r>
      <w:r>
        <w:t xml:space="preserve">Almost 80% (n=111) of circumvention stakeholders either agree or strongly agree that</w:t>
      </w:r>
      <w:r>
        <w:t xml:space="preserve"> </w:t>
      </w:r>
      <w:r>
        <w:t xml:space="preserve">under the current CBAM, there is a risk of circumvention that can hinder its</w:t>
      </w:r>
      <w:r>
        <w:t xml:space="preserve"> </w:t>
      </w:r>
      <w:r>
        <w:t xml:space="preserve">effectivenessFigure 13). Out of 5 proposed channels, the main reported reasons for this</w:t>
      </w:r>
      <w:r>
        <w:t xml:space="preserve"> </w:t>
      </w:r>
      <w:r>
        <w:t xml:space="preserve">risk are:</w:t>
      </w:r>
      <w:r>
        <w:t xml:space="preserve"> </w:t>
      </w:r>
      <w:r>
        <w:t xml:space="preserve">• Incorrect emission intensity declared (87% relevant or very relevant) (n=97);</w:t>
      </w:r>
      <w:r>
        <w:t xml:space="preserve"> </w:t>
      </w:r>
      <w:r>
        <w:t xml:space="preserve">• Incorrect details of production declared (85% relevant or very relevant) (n=94);</w:t>
      </w:r>
      <w:r>
        <w:t xml:space="preserve"> </w:t>
      </w:r>
      <w:r>
        <w:t xml:space="preserve">• Incorrect origin of CBAM basic goods declared (67% relevant or very relevant)</w:t>
      </w:r>
      <w:r>
        <w:t xml:space="preserve"> </w:t>
      </w:r>
      <w:r>
        <w:t xml:space="preserve">(n=74).</w:t>
      </w:r>
      <w:r>
        <w:t xml:space="preserve"> </w:t>
      </w:r>
      <w:r>
        <w:t xml:space="preserve">50% (n=55) stakeholder believe that incorrect CN code declared is relevant or very</w:t>
      </w:r>
      <w:r>
        <w:t xml:space="preserve"> </w:t>
      </w:r>
      <w:r>
        <w:t xml:space="preserve">relevant and 43% (n=48) for not making any CBAM declaration at all (Figure 14).</w:t>
      </w:r>
    </w:p>
    <w:p>
      <w:pPr>
        <w:pStyle w:val="BodyText"/>
      </w:pPr>
      <w:r>
        <w:t xml:space="preserve">Respondents also mention the import of downstream goods which are not under CBAM (4</w:t>
      </w:r>
      <w:r>
        <w:t xml:space="preserve"> </w:t>
      </w:r>
      <w:r>
        <w:t xml:space="preserve">responses); lack of understanding of the (complex) system (3 responses); and abuse of</w:t>
      </w:r>
      <w:r>
        <w:t xml:space="preserve"> </w:t>
      </w:r>
      <w:r>
        <w:t xml:space="preserve">inward processing rules (2 responses) and too coarse structure of CN codes (2 responses).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Figure 13: Do you think that under the current CBAM, there is a risk of</w:t>
      </w:r>
      <w:r>
        <w:t xml:space="preserve"> </w:t>
      </w:r>
      <w:r>
        <w:t xml:space="preserve">circumvention that can hinder its effectiveness? (Q31 - circumvention stakeholder</w:t>
      </w:r>
      <w:r>
        <w:t xml:space="preserve"> </w:t>
      </w:r>
      <w:r>
        <w:t xml:space="preserve">responses only, n=142)</w:t>
      </w:r>
    </w:p>
    <w:p>
      <w:pPr>
        <w:pStyle w:val="BodyText"/>
      </w:pPr>
      <w:r>
        <w:t xml:space="preserve">Figure 14: What are the main reasons for the circumvention for CBAM basic goods</w:t>
      </w:r>
      <w:r>
        <w:t xml:space="preserve"> </w:t>
      </w:r>
      <w:r>
        <w:t xml:space="preserve">under the current scope? (Q32 - circumvention stakeholder responses only, n=111)</w:t>
      </w:r>
    </w:p>
    <w:p>
      <w:pPr>
        <w:pStyle w:val="BodyText"/>
      </w:pPr>
      <w:r>
        <w:t xml:space="preserve">Over 70% (n=103) of circumvention stakeholders agree or strongly agree that the variation</w:t>
      </w:r>
      <w:r>
        <w:t xml:space="preserve"> </w:t>
      </w:r>
      <w:r>
        <w:t xml:space="preserve">in embedded emissions within one CN code can lead to possible circumvention risk (Figure</w:t>
      </w:r>
      <w:r>
        <w:t xml:space="preserve"> </w:t>
      </w:r>
      <w:r>
        <w:t xml:space="preserve">15). In line with these industry worries, the Commission’s anti-avoidance proposal</w:t>
      </w:r>
      <w:r>
        <w:t xml:space="preserve"> </w:t>
      </w:r>
      <w:r>
        <w:t xml:space="preserve">includes an empowerment to further detail CN codes to capture composition within a given</w:t>
      </w:r>
      <w:r>
        <w:t xml:space="preserve"> </w:t>
      </w:r>
      <w:r>
        <w:t xml:space="preserve">CN code (both option 1 and 2). On how to tackle this risk, 47% (n=48) agree or strongly</w:t>
      </w:r>
      <w:r>
        <w:t xml:space="preserve"> </w:t>
      </w:r>
      <w:r>
        <w:t xml:space="preserve">agree that further details on information required in the CBAM registry (e.g. requiring</w:t>
      </w:r>
      <w:r>
        <w:t xml:space="preserve"> </w:t>
      </w:r>
      <w:r>
        <w:t xml:space="preserve">additional information about the production technology and the composition of the goods)</w:t>
      </w:r>
      <w:r>
        <w:t xml:space="preserve"> </w:t>
      </w:r>
      <w:r>
        <w:t xml:space="preserve">could be effective in reducing the circumvention risk. 43% (n=44) agree or strongly agree</w:t>
      </w:r>
      <w:r>
        <w:t xml:space="preserve"> </w:t>
      </w:r>
      <w:r>
        <w:t xml:space="preserve">that further details on the customs goods nomenclature of CBAM would be effective. The</w:t>
      </w:r>
      <w:r>
        <w:t xml:space="preserve"> </w:t>
      </w:r>
      <w:r>
        <w:t xml:space="preserve">underlying issues of heterogeneity of emission intensity for products falling within a given</w:t>
      </w:r>
      <w:r>
        <w:t xml:space="preserve"> </w:t>
      </w:r>
      <w:r>
        <w:t xml:space="preserve">CN code, as well as traceability regarding the place of production, are shared by</w:t>
      </w:r>
      <w:r>
        <w:t xml:space="preserve"> </w:t>
      </w:r>
      <w:r>
        <w:t xml:space="preserve">respondents and the two solutions seem equally important for stakeholders.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Figure 15: For some CBAM basic goods, the embedded emissions can vary widely</w:t>
      </w:r>
      <w:r>
        <w:t xml:space="preserve"> </w:t>
      </w:r>
      <w:r>
        <w:t xml:space="preserve">within the same CN code, depending on the composition of the goods or the</w:t>
      </w:r>
      <w:r>
        <w:t xml:space="preserve"> </w:t>
      </w:r>
      <w:r>
        <w:t xml:space="preserve">production technology. Do you think that this leads to a possible circumvention risk?</w:t>
      </w:r>
      <w:r>
        <w:t xml:space="preserve"> </w:t>
      </w:r>
      <w:r>
        <w:t xml:space="preserve">(Q34 – circumvention stakeholder responses only, n = 142)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Figure 16: Do you think that the following proposals are effective in reducing the</w:t>
      </w:r>
      <w:r>
        <w:t xml:space="preserve"> </w:t>
      </w:r>
      <w:r>
        <w:t xml:space="preserve">circumvention risk? (Q35 – circumvention stakeholder responses only, n = 103)</w:t>
      </w:r>
    </w:p>
    <w:p>
      <w:pPr>
        <w:pStyle w:val="BodyText"/>
      </w:pPr>
      <w:r>
        <w:t xml:space="preserve">82% (n=117) agree or strongly agree that there is a risk of resource shuffling where non-</w:t>
      </w:r>
      <w:r>
        <w:t xml:space="preserve"> </w:t>
      </w:r>
      <w:r>
        <w:t xml:space="preserve">EU producers of CBAM basic goods may not increase low-emission production capacity</w:t>
      </w:r>
      <w:r>
        <w:t xml:space="preserve"> </w:t>
      </w:r>
      <w:r>
        <w:t xml:space="preserve">but instead reallocate existing clean production to export to the EU, while selling their</w:t>
      </w:r>
      <w:r>
        <w:t xml:space="preserve"> </w:t>
      </w:r>
      <w:r>
        <w:t xml:space="preserve">high-emission CBAM products elsewhere.</w:t>
      </w:r>
    </w:p>
    <w:p>
      <w:pPr>
        <w:pStyle w:val="BodyText"/>
      </w:pPr>
      <w:r>
        <w:t xml:space="preserve">Figure 17: Do you think that there is a risk of resource shuffling where non-EU</w:t>
      </w:r>
      <w:r>
        <w:t xml:space="preserve"> </w:t>
      </w:r>
      <w:r>
        <w:t xml:space="preserve">producers of CBAM basic goods may not increase low-emission production capacity</w:t>
      </w:r>
      <w:r>
        <w:t xml:space="preserve"> </w:t>
      </w:r>
      <w:r>
        <w:t xml:space="preserve">but instead reallocate existing clean production to export to the EU, while selling their</w:t>
      </w:r>
      <w:r>
        <w:t xml:space="preserve"> </w:t>
      </w:r>
      <w:r>
        <w:t xml:space="preserve">high-emission CBAM products elsewhere? (Q36 – circumvention stakeholder</w:t>
      </w:r>
      <w:r>
        <w:t xml:space="preserve"> </w:t>
      </w:r>
      <w:r>
        <w:t xml:space="preserve">responses only, n = 142)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2.2.1.4 Electricity stakeholders</w:t>
      </w:r>
      <w:r>
        <w:t xml:space="preserve"> </w:t>
      </w:r>
      <w:r>
        <w:t xml:space="preserve">Most electricity stakeholders (90%, n=26) believe the current methodology to calculate the</w:t>
      </w:r>
      <w:r>
        <w:t xml:space="preserve"> </w:t>
      </w:r>
      <w:r>
        <w:t xml:space="preserve">default values used in CBAM is inadequate to achieve the CBAM objectives, while the</w:t>
      </w:r>
      <w:r>
        <w:t xml:space="preserve"> </w:t>
      </w:r>
      <w:r>
        <w:t xml:space="preserve">remaining 10% did not express an opinion. The overwhelming dissatisfaction with the</w:t>
      </w:r>
      <w:r>
        <w:t xml:space="preserve"> </w:t>
      </w:r>
      <w:r>
        <w:t xml:space="preserve">current methodology provided an impetus for the proposal to amend the rules for</w:t>
      </w:r>
      <w:r>
        <w:t xml:space="preserve"> </w:t>
      </w:r>
      <w:r>
        <w:t xml:space="preserve">electricity as a CBAM good. Improvements suggested by the stakeholders include using</w:t>
      </w:r>
      <w:r>
        <w:t xml:space="preserve"> </w:t>
      </w:r>
      <w:r>
        <w:t xml:space="preserve">the full generation mix (including renewables) for the calculation of emission factors, using</w:t>
      </w:r>
      <w:r>
        <w:t xml:space="preserve"> </w:t>
      </w:r>
      <w:r>
        <w:t xml:space="preserve">hourly data for the same purpose, and relying on transparent third-party sources for</w:t>
      </w:r>
      <w:r>
        <w:t xml:space="preserve"> </w:t>
      </w:r>
      <w:r>
        <w:t xml:space="preserve">gathering the relevant data.</w:t>
      </w:r>
      <w:r>
        <w:br/>
      </w:r>
      <w:r>
        <w:t xml:space="preserve">Moreover, a majority (69% of electricity stakeholders, n=19) supports amending the</w:t>
      </w:r>
      <w:r>
        <w:t xml:space="preserve"> </w:t>
      </w:r>
      <w:r>
        <w:t xml:space="preserve">conditions for declaring actual values. All these 19 stakeholders unanimously agree that</w:t>
      </w:r>
      <w:r>
        <w:t xml:space="preserve"> </w:t>
      </w:r>
      <w:r>
        <w:t xml:space="preserve">the criterion related to the power purchase agreements should be amended. Specific</w:t>
      </w:r>
      <w:r>
        <w:t xml:space="preserve"> </w:t>
      </w:r>
      <w:r>
        <w:t xml:space="preserve">recommendations included allowing for intermediaries and/or guarantees of origin, or to</w:t>
      </w:r>
      <w:r>
        <w:t xml:space="preserve"> </w:t>
      </w:r>
      <w:r>
        <w:t xml:space="preserve">align the definition of PPA with the definition provided in the Renewable Energy</w:t>
      </w:r>
      <w:r>
        <w:t xml:space="preserve"> </w:t>
      </w:r>
      <w:r>
        <w:t xml:space="preserve">Directive. 18 stakeholders consider that the criterion requiring the proof of the absence of</w:t>
      </w:r>
      <w:r>
        <w:t xml:space="preserve"> </w:t>
      </w:r>
      <w:r>
        <w:t xml:space="preserve">physical network congestion should be revised. The criteria related to the nomination of</w:t>
      </w:r>
      <w:r>
        <w:t xml:space="preserve"> </w:t>
      </w:r>
      <w:r>
        <w:t xml:space="preserve">capacity, the requirement to prove the direct connections and the emission intensity</w:t>
      </w:r>
      <w:r>
        <w:t xml:space="preserve"> </w:t>
      </w:r>
      <w:r>
        <w:t xml:space="preserve">threshold of the electricity plants are identified as needing amendment by respectively 13,</w:t>
      </w:r>
      <w:r>
        <w:t xml:space="preserve"> </w:t>
      </w:r>
      <w:r>
        <w:t xml:space="preserve">10 and 5 stakeholders. More details regarding the specific recommendations are provided</w:t>
      </w:r>
      <w:r>
        <w:t xml:space="preserve"> </w:t>
      </w:r>
      <w:r>
        <w:t xml:space="preserve">in the sections below.</w:t>
      </w:r>
      <w:r>
        <w:t xml:space="preserve"> </w:t>
      </w:r>
      <w:r>
        <w:t xml:space="preserve">Stakeholders reported that they procure electricity through exchanges, bilateral contracts,</w:t>
      </w:r>
      <w:r>
        <w:t xml:space="preserve"> </w:t>
      </w:r>
      <w:r>
        <w:t xml:space="preserve">and system operator arrangements, and submit customs declarations via various channels</w:t>
      </w:r>
      <w:r>
        <w:t xml:space="preserve"> </w:t>
      </w:r>
      <w:r>
        <w:t xml:space="preserve">including by their own company, TSOs, and representatives. Reporting relies heavily on</w:t>
      </w:r>
      <w:r>
        <w:t xml:space="preserve"> </w:t>
      </w:r>
      <w:r>
        <w:t xml:space="preserve">TSO data and purchase records. Key challenges mainly relate to CBAM implementation</w:t>
      </w:r>
      <w:r>
        <w:t xml:space="preserve"> </w:t>
      </w:r>
      <w:r>
        <w:t xml:space="preserve">(e.g. regulatory uncertainty), unintended consequences on electricity trade (e.g. penalising</w:t>
      </w:r>
      <w:r>
        <w:t xml:space="preserve"> </w:t>
      </w:r>
      <w:r>
        <w:t xml:space="preserve">unplanned electricity exchanges and emergency flows) and administrative burden (e.g. </w:t>
      </w:r>
      <w:r>
        <w:t xml:space="preserve"> </w:t>
      </w:r>
      <w:r>
        <w:t xml:space="preserve">complexity for TSOs and high compliance costs). Recommendations made by the</w:t>
      </w:r>
      <w:r>
        <w:t xml:space="preserve"> </w:t>
      </w:r>
      <w:r>
        <w:t xml:space="preserve">respondents include simplifying procedures, making verified emissions optional, and</w:t>
      </w:r>
      <w:r>
        <w:t xml:space="preserve"> </w:t>
      </w:r>
      <w:r>
        <w:t xml:space="preserve">temporarily exempting UK electricity trade during the negotiations to link the UK and the</w:t>
      </w:r>
      <w:r>
        <w:t xml:space="preserve"> </w:t>
      </w:r>
      <w:r>
        <w:t xml:space="preserve">EU’s ETSs.</w:t>
      </w:r>
      <w:r>
        <w:t xml:space="preserve"> </w:t>
      </w:r>
      <w:r>
        <w:t xml:space="preserve">Below is a more detailed description of the electricity stakeholders’ views from the section</w:t>
      </w:r>
      <w:r>
        <w:t xml:space="preserve"> </w:t>
      </w:r>
      <w:r>
        <w:t xml:space="preserve">of the questionnaire on the application of CBAM to electricity as a good.</w:t>
      </w:r>
      <w:r>
        <w:t xml:space="preserve"> </w:t>
      </w:r>
      <w:r>
        <w:t xml:space="preserve">2.2.1.4.1 Default values</w:t>
      </w:r>
      <w:r>
        <w:t xml:space="preserve"> </w:t>
      </w:r>
      <w:r>
        <w:t xml:space="preserve">A significant majority of the electricity stakeholders (90%; n=26) disagree or strongly</w:t>
      </w:r>
      <w:r>
        <w:t xml:space="preserve"> </w:t>
      </w:r>
      <w:r>
        <w:t xml:space="preserve">disagree that the current methodology to calculate the default values is adequate to achieve</w:t>
      </w:r>
      <w:r>
        <w:t xml:space="preserve"> </w:t>
      </w:r>
      <w:r>
        <w:t xml:space="preserve">the CBAM objectives (Figure 1). Among the 26 respondents, 54% of them represented</w:t>
      </w:r>
      <w:r>
        <w:t xml:space="preserve"> </w:t>
      </w:r>
      <w:r>
        <w:t xml:space="preserve">utilities (i.e. the electricity industry, excluding TSOs), 27% of the respondents were TSOs</w:t>
      </w:r>
      <w:r>
        <w:t xml:space="preserve"> </w:t>
      </w:r>
      <w:r>
        <w:t xml:space="preserve">(EU and non-EU), 7.5% represented NGOs or a research institute, 7.5% of respondents</w:t>
      </w:r>
      <w:r>
        <w:t xml:space="preserve"> </w:t>
      </w:r>
      <w:r>
        <w:t xml:space="preserve">were industry associations and 4% represented a public authority from a Member State.</w:t>
      </w:r>
      <w:r>
        <w:br/>
      </w:r>
      <w:r>
        <w:t xml:space="preserve">The 26 respondents provided suggestions for alternative CO2 emission factor to improve</w:t>
      </w:r>
      <w:r>
        <w:t xml:space="preserve"> </w:t>
      </w:r>
      <w:r>
        <w:t xml:space="preserve">upon the status quo, with the following main reflections:</w:t>
      </w:r>
      <w:r>
        <w:t xml:space="preserve"> </w:t>
      </w:r>
      <w:r>
        <w:t xml:space="preserve">• Full generation mix inclusion, not just fossil fuels, to avoid overestimating</w:t>
      </w:r>
      <w:r>
        <w:t xml:space="preserve"> </w:t>
      </w:r>
      <w:r>
        <w:t xml:space="preserve">emissions and recognise decarbonisation efforts;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• Hourly or market time unit granularity to reflect actual conditions at the time</w:t>
      </w:r>
      <w:r>
        <w:t xml:space="preserve"> </w:t>
      </w:r>
      <w:r>
        <w:t xml:space="preserve">of import;</w:t>
      </w:r>
      <w:r>
        <w:t xml:space="preserve"> </w:t>
      </w:r>
      <w:r>
        <w:t xml:space="preserve">• Use of actual data from TSOs or reliable third parties for transparency and</w:t>
      </w:r>
      <w:r>
        <w:t xml:space="preserve"> </w:t>
      </w:r>
      <w:r>
        <w:t xml:space="preserve">public availability.</w:t>
      </w:r>
    </w:p>
    <w:p>
      <w:pPr>
        <w:pStyle w:val="BodyText"/>
      </w:pPr>
      <w:r>
        <w:t xml:space="preserve">Figure 18: Do you think that the current default values based on the CO2 emission</w:t>
      </w:r>
      <w:r>
        <w:t xml:space="preserve"> </w:t>
      </w:r>
      <w:r>
        <w:t xml:space="preserve">factor (average of the electricity produced from fossil fuels) are adequate to achieve</w:t>
      </w:r>
      <w:r>
        <w:t xml:space="preserve"> </w:t>
      </w:r>
      <w:r>
        <w:t xml:space="preserve">the CBAM objectives (prevention of carbon leakage, incentivisation of</w:t>
      </w:r>
      <w:r>
        <w:t xml:space="preserve"> </w:t>
      </w:r>
      <w:r>
        <w:t xml:space="preserve">decarbonisation of non-EU production) (Q39 – electricity stakeholder responses</w:t>
      </w:r>
      <w:r>
        <w:t xml:space="preserve"> </w:t>
      </w:r>
      <w:r>
        <w:t xml:space="preserve">only, n = 29)</w:t>
      </w:r>
    </w:p>
    <w:p>
      <w:pPr>
        <w:pStyle w:val="BodyText"/>
      </w:pPr>
      <w:r>
        <w:t xml:space="preserve">2.2.1.4.2 Conditions to declare actual values</w:t>
      </w:r>
    </w:p>
    <w:p>
      <w:pPr>
        <w:pStyle w:val="BodyText"/>
      </w:pPr>
      <w:r>
        <w:t xml:space="preserve">Most electricity stakeholders think that the conditions for relying on actual emissions need</w:t>
      </w:r>
      <w:r>
        <w:t xml:space="preserve"> </w:t>
      </w:r>
      <w:r>
        <w:t xml:space="preserve">to be amended (69% (n=20) agree or strongly agree) (Figure 19). Annex IV of the CBAM</w:t>
      </w:r>
      <w:r>
        <w:t xml:space="preserve"> </w:t>
      </w:r>
      <w:r>
        <w:t xml:space="preserve">regulation sets out how a good’s embedded emissions should be calculated. Among the 20</w:t>
      </w:r>
      <w:r>
        <w:t xml:space="preserve"> </w:t>
      </w:r>
      <w:r>
        <w:t xml:space="preserve">respondents, 55% of them represented utilities (excluding TSOs), 25% represented EU and</w:t>
      </w:r>
      <w:r>
        <w:t xml:space="preserve"> </w:t>
      </w:r>
      <w:r>
        <w:t xml:space="preserve">non-EU TSOs, 10% represented industry associations and 5% represented a public</w:t>
      </w:r>
      <w:r>
        <w:t xml:space="preserve"> </w:t>
      </w:r>
      <w:r>
        <w:t xml:space="preserve">authority from a Member State. Electricity stakeholders specifically suggested</w:t>
      </w:r>
      <w:r>
        <w:t xml:space="preserve"> </w:t>
      </w:r>
      <w:r>
        <w:t xml:space="preserve">amendments for the conditions in Annex IV point 5 to be amended (Q42-43):</w:t>
      </w:r>
      <w:r>
        <w:t xml:space="preserve"> </w:t>
      </w:r>
      <w:r>
        <w:t xml:space="preserve">-</w:t>
      </w:r>
      <w:r>
        <w:t xml:space="preserve"> </w:t>
      </w:r>
      <w:r>
        <w:t xml:space="preserve">Power purchase agreements (19 responses): 8 respondents (representing utilities)</w:t>
      </w:r>
      <w:r>
        <w:t xml:space="preserve"> </w:t>
      </w:r>
      <w:r>
        <w:t xml:space="preserve">expressed the need to amend the definition of PPAs (notably to recognise the role</w:t>
      </w:r>
      <w:r>
        <w:t xml:space="preserve"> </w:t>
      </w:r>
      <w:r>
        <w:t xml:space="preserve">of intermediaries and/or virtual PPAs, or to align with the definition of PPAs as</w:t>
      </w:r>
      <w:r>
        <w:t xml:space="preserve"> </w:t>
      </w:r>
      <w:r>
        <w:t xml:space="preserve">provided in REDIII and recognise traceable certificates (e.g. GOs, RECs)). The</w:t>
      </w:r>
      <w:r>
        <w:t xml:space="preserve"> </w:t>
      </w:r>
      <w:r>
        <w:t xml:space="preserve">current criterion is considered too restrictive or lacking clarity, and impractical for</w:t>
      </w:r>
      <w:r>
        <w:t xml:space="preserve"> </w:t>
      </w:r>
      <w:r>
        <w:t xml:space="preserve">smaller importers or cross-border arrangements.</w:t>
      </w:r>
      <w:r>
        <w:t xml:space="preserve"> </w:t>
      </w:r>
      <w:r>
        <w:t xml:space="preserve">-</w:t>
      </w:r>
      <w:r>
        <w:t xml:space="preserve"> </w:t>
      </w:r>
      <w:r>
        <w:t xml:space="preserve">Physical network congestion (18 responses): 7 stakeholders suggested to remove</w:t>
      </w:r>
      <w:r>
        <w:t xml:space="preserve"> </w:t>
      </w:r>
      <w:r>
        <w:t xml:space="preserve">this criterion due to data unavailability on physical network congestion.</w:t>
      </w:r>
      <w:r>
        <w:t xml:space="preserve"> </w:t>
      </w:r>
      <w:r>
        <w:t xml:space="preserve">Additionally, 4 of the respondents consider the condition as redundant when hourly</w:t>
      </w:r>
      <w:r>
        <w:t xml:space="preserve"> </w:t>
      </w:r>
      <w:r>
        <w:t xml:space="preserve">matching between production and nomination is already required. There are</w:t>
      </w:r>
      <w:r>
        <w:t xml:space="preserve"> </w:t>
      </w:r>
      <w:r>
        <w:t xml:space="preserve">concerns that real-time congestion data is not available, unpredictable, and</w:t>
      </w:r>
      <w:r>
        <w:t xml:space="preserve"> </w:t>
      </w:r>
      <w:r>
        <w:t xml:space="preserve">managed by TSOs, not importers.</w:t>
      </w:r>
      <w:r>
        <w:br/>
      </w:r>
      <w:r>
        <w:t xml:space="preserve">-</w:t>
      </w:r>
      <w:r>
        <w:t xml:space="preserve"> </w:t>
      </w:r>
      <w:r>
        <w:t xml:space="preserve">Nomination of interconnector capacity (within same hour as electricity generation)</w:t>
      </w:r>
      <w:r>
        <w:t xml:space="preserve"> </w:t>
      </w:r>
      <w:r>
        <w:t xml:space="preserve">(13 responses): There are suggestions to replace this criterion with final confirmed</w:t>
      </w:r>
      <w:r>
        <w:t xml:space="preserve"> </w:t>
      </w:r>
      <w:r>
        <w:t xml:space="preserve">scheduled quantities from TSOs and extend the nomination window to reflect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actual trading practices. Strict hourly alignment is considered by some respondents</w:t>
      </w:r>
      <w:r>
        <w:t xml:space="preserve"> </w:t>
      </w:r>
      <w:r>
        <w:t xml:space="preserve">unrealistic and not aligned with market operations.</w:t>
      </w:r>
      <w:r>
        <w:t xml:space="preserve"> </w:t>
      </w:r>
      <w:r>
        <w:t xml:space="preserve">-</w:t>
      </w:r>
      <w:r>
        <w:t xml:space="preserve"> </w:t>
      </w:r>
      <w:r>
        <w:t xml:space="preserve">Direct connection (10 responses): Some stakeholders consider this requirement not</w:t>
      </w:r>
      <w:r>
        <w:t xml:space="preserve"> </w:t>
      </w:r>
      <w:r>
        <w:t xml:space="preserve">feasible for cross-border electricity flows, where electricity is traded anonymously</w:t>
      </w:r>
      <w:r>
        <w:t xml:space="preserve"> </w:t>
      </w:r>
      <w:r>
        <w:t xml:space="preserve">and repeatedly, making physical traceability impossible. There are suggestions to</w:t>
      </w:r>
      <w:r>
        <w:t xml:space="preserve"> </w:t>
      </w:r>
      <w:r>
        <w:t xml:space="preserve">use market-based indicators instead.</w:t>
      </w:r>
      <w:r>
        <w:t xml:space="preserve"> </w:t>
      </w:r>
      <w:r>
        <w:t xml:space="preserve">-</w:t>
      </w:r>
      <w:r>
        <w:t xml:space="preserve"> </w:t>
      </w:r>
      <w:r>
        <w:t xml:space="preserve">Emission intensity of generation plant &lt;550 gCO2/kWh (5 responses):</w:t>
      </w:r>
      <w:r>
        <w:t xml:space="preserve"> </w:t>
      </w:r>
      <w:r>
        <w:t xml:space="preserve">Stakeholders suggest that GOs/RECs should be allowed to be used as an alternative</w:t>
      </w:r>
      <w:r>
        <w:t xml:space="preserve"> </w:t>
      </w:r>
      <w:r>
        <w:t xml:space="preserve">to verify emissions.</w:t>
      </w:r>
      <w:r>
        <w:t xml:space="preserve"> </w:t>
      </w:r>
      <w:r>
        <w:t xml:space="preserve">Some UK stakeholders mention that linking the EU and UK ETS would address some of</w:t>
      </w:r>
      <w:r>
        <w:t xml:space="preserve"> </w:t>
      </w:r>
      <w:r>
        <w:t xml:space="preserve">these issues.</w:t>
      </w:r>
      <w:r>
        <w:t xml:space="preserve"> </w:t>
      </w:r>
      <w:r>
        <w:t xml:space="preserve">Figure 19: Do you think that the conditions for relying on actual emissions need to be</w:t>
      </w:r>
      <w:r>
        <w:t xml:space="preserve"> </w:t>
      </w:r>
      <w:r>
        <w:t xml:space="preserve">amended? (Q41 – electricity stakeholder responses only, n = 29)</w:t>
      </w:r>
    </w:p>
    <w:p>
      <w:pPr>
        <w:pStyle w:val="BodyText"/>
      </w:pPr>
      <w:r>
        <w:t xml:space="preserve">Figure 20: Which of the conditions under Annex IV point 5 would you amend? (Q42</w:t>
      </w:r>
      <w:r>
        <w:br/>
      </w:r>
      <w:r>
        <w:t xml:space="preserve">– electricity stakeholder responses only, n = 20)</w:t>
      </w:r>
    </w:p>
    <w:p>
      <w:pPr>
        <w:pStyle w:val="BodyText"/>
      </w:pPr>
      <w:r>
        <w:t xml:space="preserve">2.2.1.4.3 Electricity procurement and customs declaration</w:t>
      </w:r>
      <w:r>
        <w:t xml:space="preserve"> </w:t>
      </w:r>
      <w:r>
        <w:t xml:space="preserve">Electricity stakeholders procure their electricity abroad in various ways (Q44-45), as</w:t>
      </w:r>
      <w:r>
        <w:t xml:space="preserve"> </w:t>
      </w:r>
      <w:r>
        <w:t xml:space="preserve">shown in Figure 2. The other responses include:</w:t>
      </w:r>
      <w:r>
        <w:t xml:space="preserve"> </w:t>
      </w:r>
      <w:r>
        <w:t xml:space="preserve">• TSO only imports energy to balance the system via mutual emergency assistance</w:t>
      </w:r>
      <w:r>
        <w:t xml:space="preserve"> </w:t>
      </w:r>
      <w:r>
        <w:t xml:space="preserve">• TSO performs system operator to system operator</w:t>
      </w:r>
      <w:r>
        <w:t xml:space="preserve"> </w:t>
      </w:r>
      <w:r>
        <w:t xml:space="preserve">• Procurement is via other TSOs, not generators themselves</w:t>
      </w:r>
      <w:r>
        <w:t xml:space="preserve"> </w:t>
      </w:r>
      <w:r>
        <w:t xml:space="preserve">• Bilateral contracts with traders</w:t>
      </w:r>
      <w:r>
        <w:t xml:space="preserve"> </w:t>
      </w:r>
      <w:r>
        <w:t xml:space="preserve">• Combination of purchased electricity via exchanges in non-EU countries and</w:t>
      </w:r>
      <w:r>
        <w:t xml:space="preserve"> </w:t>
      </w:r>
      <w:r>
        <w:t xml:space="preserve">bilateral contracts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Figure 21: How do you procure electricity abroad? (Q44 – electricity stakeholder</w:t>
      </w:r>
      <w:r>
        <w:t xml:space="preserve"> </w:t>
      </w:r>
      <w:r>
        <w:t xml:space="preserve">responses only, n = 29)</w:t>
      </w:r>
    </w:p>
    <w:p>
      <w:pPr>
        <w:pStyle w:val="BodyText"/>
      </w:pPr>
      <w:r>
        <w:t xml:space="preserve">Electricity stakeholders also submit customs declarations for their electricity imports in</w:t>
      </w:r>
      <w:r>
        <w:t xml:space="preserve"> </w:t>
      </w:r>
      <w:r>
        <w:t xml:space="preserve">various ways (Q46-47), as shown in Figure . Other ways include: combination of two or</w:t>
      </w:r>
      <w:r>
        <w:t xml:space="preserve"> </w:t>
      </w:r>
      <w:r>
        <w:t xml:space="preserve">more of the above or a direct customs representation.</w:t>
      </w:r>
      <w:r>
        <w:t xml:space="preserve"> </w:t>
      </w:r>
      <w:r>
        <w:t xml:space="preserve">Figure 22: Who submits the customs declaration for your electricity imports? (Q46</w:t>
      </w:r>
      <w:r>
        <w:br/>
      </w:r>
      <w:r>
        <w:t xml:space="preserve">– electricity stakeholder responses only, n = 29)</w:t>
      </w:r>
    </w:p>
    <w:p>
      <w:pPr>
        <w:pStyle w:val="BodyText"/>
      </w:pPr>
      <w:r>
        <w:t xml:space="preserve">The electricity stakeholders rely on both TSOs and records of electricity purchases in non-</w:t>
      </w:r>
      <w:r>
        <w:t xml:space="preserve"> </w:t>
      </w:r>
      <w:r>
        <w:t xml:space="preserve">EU countries to report the imported quantities (Q48-49), as shown in Figure 2. They also</w:t>
      </w:r>
      <w:r>
        <w:t xml:space="preserve"> </w:t>
      </w:r>
      <w:r>
        <w:t xml:space="preserve">rely on:</w:t>
      </w:r>
      <w:r>
        <w:br/>
      </w:r>
      <w:r>
        <w:t xml:space="preserve">• Combination of both above</w:t>
      </w:r>
      <w:r>
        <w:t xml:space="preserve"> </w:t>
      </w:r>
      <w:r>
        <w:t xml:space="preserve">• SO-SO trade</w:t>
      </w:r>
      <w:r>
        <w:t xml:space="preserve"> </w:t>
      </w:r>
      <w:r>
        <w:t xml:space="preserve">• Market operators data</w:t>
      </w:r>
      <w:r>
        <w:t xml:space="preserve"> </w:t>
      </w:r>
      <w:r>
        <w:t xml:space="preserve">• Electricity Exchanges data.</w:t>
      </w:r>
      <w:r>
        <w:t xml:space="preserve"> </w:t>
      </w:r>
      <w:r>
        <w:t xml:space="preserve">Figure 23: Who is the CBAM declarant for your electricity imports? (Q50 –</w:t>
      </w:r>
      <w:r>
        <w:t xml:space="preserve"> </w:t>
      </w:r>
      <w:r>
        <w:t xml:space="preserve">electricity stakeholder responses only, n = 29)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The electricity stakeholders declare their electricity imports for CBAM, themselves, an</w:t>
      </w:r>
      <w:r>
        <w:t xml:space="preserve"> </w:t>
      </w:r>
      <w:r>
        <w:t xml:space="preserve">indirect customs representative, TSO as import or a combination of two or more of the</w:t>
      </w:r>
      <w:r>
        <w:t xml:space="preserve"> </w:t>
      </w:r>
      <w:r>
        <w:t xml:space="preserve">above.</w:t>
      </w:r>
      <w:r>
        <w:t xml:space="preserve"> </w:t>
      </w:r>
      <w:r>
        <w:t xml:space="preserve">Figure 184: Who submits the customs declaration for your electricity imports? (Q48</w:t>
      </w:r>
      <w:r>
        <w:br/>
      </w:r>
      <w:r>
        <w:t xml:space="preserve">– electricity stakeholder responses only, n = 29)</w:t>
      </w:r>
    </w:p>
    <w:p>
      <w:pPr>
        <w:pStyle w:val="BodyText"/>
      </w:pPr>
      <w:r>
        <w:t xml:space="preserve">The electricity stakeholders identify the non-preferential country of origin in the following</w:t>
      </w:r>
      <w:r>
        <w:t xml:space="preserve"> </w:t>
      </w:r>
      <w:r>
        <w:t xml:space="preserve">ways (Q52-53):</w:t>
      </w:r>
      <w:r>
        <w:t xml:space="preserve"> </w:t>
      </w:r>
      <w:r>
        <w:t xml:space="preserve">• Via records of my electricity purchases in non-EU countries (PPA, etc.) (3</w:t>
      </w:r>
      <w:r>
        <w:t xml:space="preserve"> </w:t>
      </w:r>
      <w:r>
        <w:t xml:space="preserve">responses)</w:t>
      </w:r>
      <w:r>
        <w:t xml:space="preserve"> </w:t>
      </w:r>
      <w:r>
        <w:t xml:space="preserve">• In the country where the electricity is purchased (7 responses)</w:t>
      </w:r>
      <w:r>
        <w:t xml:space="preserve"> </w:t>
      </w:r>
      <w:r>
        <w:t xml:space="preserve">• In the country from where the electricity was imported into the EU (12 responses)</w:t>
      </w:r>
      <w:r>
        <w:t xml:space="preserve"> </w:t>
      </w:r>
      <w:r>
        <w:t xml:space="preserve">• Other (1 response): in addition, nomination data is used.</w:t>
      </w:r>
    </w:p>
    <w:p>
      <w:pPr>
        <w:pStyle w:val="BodyText"/>
      </w:pPr>
      <w:r>
        <w:t xml:space="preserve">2.2.1.4.4 Additional challenges relating to the implementation of CBAM on</w:t>
      </w:r>
      <w:r>
        <w:t xml:space="preserve"> </w:t>
      </w:r>
      <w:r>
        <w:t xml:space="preserve">electricity</w:t>
      </w:r>
      <w:r>
        <w:t xml:space="preserve"> </w:t>
      </w:r>
      <w:r>
        <w:t xml:space="preserve">Electricity stakeholders also provide information on the additional challenges in the</w:t>
      </w:r>
      <w:r>
        <w:t xml:space="preserve"> </w:t>
      </w:r>
      <w:r>
        <w:t xml:space="preserve">administration of CBAM on electricity (18 responses; Q54):</w:t>
      </w:r>
      <w:r>
        <w:t xml:space="preserve"> </w:t>
      </w:r>
      <w:r>
        <w:t xml:space="preserve">• Challenges related to CBAM implementation</w:t>
      </w:r>
      <w:r>
        <w:t xml:space="preserve"> </w:t>
      </w:r>
      <w:r>
        <w:t xml:space="preserve">o Regulatory uncertainty: respondents mentioned that most secondary</w:t>
      </w:r>
      <w:r>
        <w:t xml:space="preserve"> </w:t>
      </w:r>
      <w:r>
        <w:t xml:space="preserve">legislation is still pending, including critical rules on carbon price</w:t>
      </w:r>
      <w:r>
        <w:t xml:space="preserve"> </w:t>
      </w:r>
      <w:r>
        <w:t xml:space="preserve">deductions and default emissions values. This delays timely and accurate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o Electricity transit: it is mentioned that there is a lack of clarity on how</w:t>
      </w:r>
      <w:r>
        <w:t xml:space="preserve"> </w:t>
      </w:r>
      <w:r>
        <w:t xml:space="preserve">CBAM applies to electricity transiting through non-EU countries and re-</w:t>
      </w:r>
      <w:r>
        <w:t xml:space="preserve"> </w:t>
      </w:r>
      <w:r>
        <w:t xml:space="preserve">entering the EU multiple times (n=4).</w:t>
      </w:r>
      <w:r>
        <w:br/>
      </w:r>
      <w:r>
        <w:t xml:space="preserve">• Challenges for electricity trade</w:t>
      </w:r>
      <w:r>
        <w:t xml:space="preserve"> </w:t>
      </w:r>
      <w:r>
        <w:t xml:space="preserve">o Unintended consequences: CBAM could risk penalising unplanned</w:t>
      </w:r>
      <w:r>
        <w:t xml:space="preserve"> </w:t>
      </w:r>
      <w:r>
        <w:t xml:space="preserve">electricity exchanges and emergency flows, which are not commercial</w:t>
      </w:r>
      <w:r>
        <w:t xml:space="preserve"> </w:t>
      </w:r>
      <w:r>
        <w:t xml:space="preserve">imports, but system operations.</w:t>
      </w:r>
      <w:r>
        <w:t xml:space="preserve"> </w:t>
      </w:r>
      <w:r>
        <w:t xml:space="preserve">o UK-EU electricity trade: it is mentioned that although climate goals of EU</w:t>
      </w:r>
      <w:r>
        <w:t xml:space="preserve"> </w:t>
      </w:r>
      <w:r>
        <w:t xml:space="preserve">and the UK are aligned, CBAM affects electricity trade.</w:t>
      </w:r>
      <w:r>
        <w:t xml:space="preserve"> </w:t>
      </w:r>
      <w:r>
        <w:t xml:space="preserve">• Challenges regarding the administrative burden</w:t>
      </w:r>
      <w:r>
        <w:t xml:space="preserve"> </w:t>
      </w:r>
      <w:r>
        <w:t xml:space="preserve">o Complexity for TSOs: TSOs, especially those that do not import electricity,</w:t>
      </w:r>
      <w:r>
        <w:t xml:space="preserve"> </w:t>
      </w:r>
      <w:r>
        <w:t xml:space="preserve">are said to face disproportionate compliance burdens. Their role is primarily</w:t>
      </w:r>
      <w:r>
        <w:t xml:space="preserve"> </w:t>
      </w:r>
      <w:r>
        <w:t xml:space="preserve">grid operation and emergency support, not trade.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o High Compliance Costs: electricity stakeholders mention that importers and</w:t>
      </w:r>
      <w:r>
        <w:t xml:space="preserve"> </w:t>
      </w:r>
      <w:r>
        <w:t xml:space="preserve">producers face complex registration, verification, and reporting</w:t>
      </w:r>
      <w:r>
        <w:t xml:space="preserve"> </w:t>
      </w:r>
      <w:r>
        <w:t xml:space="preserve">requirements. It is said that default emission factors may unfairly penalise</w:t>
      </w:r>
      <w:r>
        <w:t xml:space="preserve"> </w:t>
      </w:r>
      <w:r>
        <w:t xml:space="preserve">countries with proactive decarbonisation efforts.</w:t>
      </w:r>
      <w:r>
        <w:t xml:space="preserve"> </w:t>
      </w:r>
      <w:r>
        <w:t xml:space="preserve">o Volume Data Uncertainty: TSOs provide physical flow data, which may</w:t>
      </w:r>
      <w:r>
        <w:t xml:space="preserve"> </w:t>
      </w:r>
      <w:r>
        <w:t xml:space="preserve">differ from nominated capacities. This creates ambiguity in how CBAM</w:t>
      </w:r>
      <w:r>
        <w:t xml:space="preserve"> </w:t>
      </w:r>
      <w:r>
        <w:t xml:space="preserve">obligations should be calculated.</w:t>
      </w:r>
    </w:p>
    <w:p>
      <w:pPr>
        <w:pStyle w:val="BodyText"/>
      </w:pPr>
      <w:r>
        <w:t xml:space="preserve">Electricity stakeholders also provide recommendations related to these challenges,</w:t>
      </w:r>
      <w:r>
        <w:t xml:space="preserve"> </w:t>
      </w:r>
      <w:r>
        <w:t xml:space="preserve">including:</w:t>
      </w:r>
      <w:r>
        <w:t xml:space="preserve"> </w:t>
      </w:r>
      <w:r>
        <w:t xml:space="preserve">• Simplify Procedures: it is recommended to streamline proof of emissions (e.g., via</w:t>
      </w:r>
      <w:r>
        <w:t xml:space="preserve"> </w:t>
      </w:r>
      <w:r>
        <w:t xml:space="preserve">PPAs) and adjust default factors to reflect actual energy mixes.</w:t>
      </w:r>
      <w:r>
        <w:t xml:space="preserve"> </w:t>
      </w:r>
      <w:r>
        <w:t xml:space="preserve">• Delay Extension: it is suggested that extending CBAM to downstream products</w:t>
      </w:r>
      <w:r>
        <w:t xml:space="preserve"> </w:t>
      </w:r>
      <w:r>
        <w:t xml:space="preserve">and indirect emissions before 2026 is considered premature and risky.</w:t>
      </w:r>
      <w:r>
        <w:t xml:space="preserve"> </w:t>
      </w:r>
      <w:r>
        <w:t xml:space="preserve">• Use Default Values as Standard: it is recommended that verified emissions should</w:t>
      </w:r>
      <w:r>
        <w:t xml:space="preserve"> </w:t>
      </w:r>
      <w:r>
        <w:t xml:space="preserve">be optional to reduce complexity and ensure consistency.</w:t>
      </w:r>
      <w:r>
        <w:t xml:space="preserve"> </w:t>
      </w:r>
      <w:r>
        <w:t xml:space="preserve">• Link EU-UK ETS: it is recommended that there be a temporary exemption for the</w:t>
      </w:r>
      <w:r>
        <w:t xml:space="preserve"> </w:t>
      </w:r>
      <w:r>
        <w:t xml:space="preserve">UK during ongoing ETS negotiations to avoid market disruption.</w:t>
      </w:r>
    </w:p>
    <w:p>
      <w:pPr>
        <w:pStyle w:val="BodyText"/>
      </w:pPr>
      <w:r>
        <w:t xml:space="preserve">2.2.2 Position paper results</w:t>
      </w:r>
      <w:r>
        <w:t xml:space="preserve"> </w:t>
      </w:r>
      <w:r>
        <w:t xml:space="preserve">Stakeholders responded to the CfE with statements and position papers and attached</w:t>
      </w:r>
      <w:r>
        <w:t xml:space="preserve"> </w:t>
      </w:r>
      <w:r>
        <w:t xml:space="preserve">position papers to their OPC submissions. All these are analysed below.</w:t>
      </w:r>
      <w:r>
        <w:t xml:space="preserve"> </w:t>
      </w:r>
      <w:r>
        <w:t xml:space="preserve">Most of the position papers and statements were provided by business associations or</w:t>
      </w:r>
      <w:r>
        <w:t xml:space="preserve"> </w:t>
      </w:r>
      <w:r>
        <w:t xml:space="preserve">companies/businesses. Figure 19</w:t>
      </w:r>
      <w:r>
        <w:t xml:space="preserve"> </w:t>
      </w:r>
      <w:r>
        <w:t xml:space="preserve">Figure 195: Stakeholder type, all position papers (n=285)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Figure 206: Stakeholder types, all CfE statements (without attachments) (n=97)</w:t>
      </w:r>
    </w:p>
    <w:p>
      <w:pPr>
        <w:pStyle w:val="BodyText"/>
      </w:pPr>
      <w:r>
        <w:t xml:space="preserve">A significant segment of stakeholders providing position papers and/or statements</w:t>
      </w:r>
      <w:r>
        <w:t xml:space="preserve"> </w:t>
      </w:r>
      <w:r>
        <w:t xml:space="preserve">support extending CBAM to downstream products and indirect emissions9, citing</w:t>
      </w:r>
      <w:r>
        <w:t xml:space="preserve"> </w:t>
      </w:r>
      <w:r>
        <w:t xml:space="preserve">fairness, environmental integrity, and the need to prevent carbon leakage. However, this</w:t>
      </w:r>
      <w:r>
        <w:t xml:space="preserve"> </w:t>
      </w:r>
      <w:r>
        <w:t xml:space="preserve">support is often conditional, with concerns about implementation complexity,</w:t>
      </w:r>
      <w:r>
        <w:t xml:space="preserve"> </w:t>
      </w:r>
      <w:r>
        <w:t xml:space="preserve">competitiveness, and unintended consequences. A few core themes were noticed across</w:t>
      </w:r>
      <w:r>
        <w:t xml:space="preserve"> </w:t>
      </w:r>
      <w:r>
        <w:t xml:space="preserve">various sectors:</w:t>
      </w:r>
      <w:r>
        <w:t xml:space="preserve"> </w:t>
      </w:r>
      <w:r>
        <w:t xml:space="preserve">• Carbon Leakage: Excluding downstream products from the CBAM scope risks</w:t>
      </w:r>
      <w:r>
        <w:t xml:space="preserve"> </w:t>
      </w:r>
      <w:r>
        <w:t xml:space="preserve">shifting production and emissions outside the EU, undermining climate goals</w:t>
      </w:r>
      <w:r>
        <w:t xml:space="preserve"> </w:t>
      </w:r>
      <w:r>
        <w:t xml:space="preserve">• Fair Competition: carbon leakage disadvantages EU industries, which face</w:t>
      </w:r>
      <w:r>
        <w:t xml:space="preserve"> </w:t>
      </w:r>
      <w:r>
        <w:t xml:space="preserve">stricter environmental standards then their non-EU counterparts.</w:t>
      </w:r>
      <w:r>
        <w:t xml:space="preserve"> </w:t>
      </w:r>
      <w:r>
        <w:t xml:space="preserve">• Circumvention Risks: Tactics such as misclassification of goods, and minimal</w:t>
      </w:r>
      <w:r>
        <w:t xml:space="preserve"> </w:t>
      </w:r>
      <w:r>
        <w:t xml:space="preserve">transformation are widely flagged. Stakeholders call for robust anti-</w:t>
      </w:r>
      <w:r>
        <w:t xml:space="preserve"> </w:t>
      </w:r>
      <w:r>
        <w:t xml:space="preserve">circumvention safeguards, including traceability, default values, and harmonised</w:t>
      </w:r>
      <w:r>
        <w:t xml:space="preserve"> </w:t>
      </w:r>
      <w:r>
        <w:t xml:space="preserve">verification systems.</w:t>
      </w:r>
      <w:r>
        <w:t xml:space="preserve"> </w:t>
      </w:r>
      <w:r>
        <w:t xml:space="preserve">• Administrative</w:t>
      </w:r>
      <w:r>
        <w:t xml:space="preserve"> </w:t>
      </w:r>
      <w:r>
        <w:t xml:space="preserve">Burden:</w:t>
      </w:r>
      <w:r>
        <w:t xml:space="preserve"> </w:t>
      </w:r>
      <w:r>
        <w:t xml:space="preserve">SMEs</w:t>
      </w:r>
      <w:r>
        <w:t xml:space="preserve"> </w:t>
      </w:r>
      <w:r>
        <w:t xml:space="preserve">and</w:t>
      </w:r>
      <w:r>
        <w:t xml:space="preserve"> </w:t>
      </w:r>
      <w:r>
        <w:t xml:space="preserve">complex</w:t>
      </w:r>
      <w:r>
        <w:t xml:space="preserve"> </w:t>
      </w:r>
      <w:r>
        <w:t xml:space="preserve">supply</w:t>
      </w:r>
      <w:r>
        <w:t xml:space="preserve"> </w:t>
      </w:r>
      <w:r>
        <w:t xml:space="preserve">chains</w:t>
      </w:r>
      <w:r>
        <w:t xml:space="preserve"> </w:t>
      </w:r>
      <w:r>
        <w:t xml:space="preserve">face</w:t>
      </w:r>
      <w:r>
        <w:t xml:space="preserve"> </w:t>
      </w:r>
      <w:r>
        <w:t xml:space="preserve">disproportionate compliance challenges. Simplified methodologies, digital</w:t>
      </w:r>
      <w:r>
        <w:t xml:space="preserve"> </w:t>
      </w:r>
      <w:r>
        <w:t xml:space="preserve">tools, and phased implementation are recommended.</w:t>
      </w:r>
      <w:r>
        <w:t xml:space="preserve"> </w:t>
      </w:r>
      <w:r>
        <w:t xml:space="preserve">• Environmental Integrity: Partial CBAM coverage weakens climate objectives.</w:t>
      </w:r>
      <w:r>
        <w:t xml:space="preserve"> </w:t>
      </w:r>
      <w:r>
        <w:t xml:space="preserve">Alignment with EU ETS, circular economy, and other climate policies is</w:t>
      </w:r>
      <w:r>
        <w:t xml:space="preserve"> </w:t>
      </w:r>
      <w:r>
        <w:t xml:space="preserve">essential.</w:t>
      </w:r>
      <w:r>
        <w:t xml:space="preserve"> </w:t>
      </w:r>
      <w:r>
        <w:t xml:space="preserve">• Sector-Specific Vulnerabilities: Strategic sectors (e.g. automotive, defence,</w:t>
      </w:r>
      <w:r>
        <w:t xml:space="preserve"> </w:t>
      </w:r>
      <w:r>
        <w:t xml:space="preserve">energy, chemicals) require tailored approaches. Some sectors (e.g. aluminium</w:t>
      </w:r>
      <w:r>
        <w:t xml:space="preserve"> </w:t>
      </w:r>
      <w:r>
        <w:t xml:space="preserve">recycling, MedTech) warn of disruption and call for exemptions or impact</w:t>
      </w:r>
      <w:r>
        <w:t xml:space="preserve"> </w:t>
      </w:r>
      <w:r>
        <w:t xml:space="preserve">assessments before implementation.</w:t>
      </w:r>
      <w:r>
        <w:t xml:space="preserve"> </w:t>
      </w:r>
      <w:r>
        <w:t xml:space="preserve">• Legal &amp; Trade Concerns: WTO compatibility, double taxation, and lack of</w:t>
      </w:r>
      <w:r>
        <w:t xml:space="preserve"> </w:t>
      </w:r>
      <w:r>
        <w:t xml:space="preserve">export compensation mechanisms are recurring issues. Stakeholders urge clarity,</w:t>
      </w:r>
      <w:r>
        <w:t xml:space="preserve"> </w:t>
      </w:r>
      <w:r>
        <w:t xml:space="preserve">fairness, and international cooperation.</w:t>
      </w:r>
    </w:p>
    <w:p>
      <w:pPr>
        <w:pStyle w:val="BodyText"/>
      </w:pPr>
      <w:r>
        <w:t xml:space="preserve">9 Indirect emissions are beyond the scope of the impact assessment, despite some submissions on the matter.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• Electricity &amp; Scope 2 Emissions: Inclusion of electricity raises concerns over</w:t>
      </w:r>
      <w:r>
        <w:t xml:space="preserve"> </w:t>
      </w:r>
      <w:r>
        <w:t xml:space="preserve">default values, market distortion, and verification feasibility. Calls for reform</w:t>
      </w:r>
      <w:r>
        <w:t xml:space="preserve"> </w:t>
      </w:r>
      <w:r>
        <w:t xml:space="preserve">and transitional arrangements are widespread.</w:t>
      </w:r>
    </w:p>
    <w:p>
      <w:pPr>
        <w:pStyle w:val="BodyText"/>
      </w:pPr>
      <w:r>
        <w:t xml:space="preserve">While processing the submissions, the responses are categorised based on their level of</w:t>
      </w:r>
      <w:r>
        <w:t xml:space="preserve"> </w:t>
      </w:r>
      <w:r>
        <w:t xml:space="preserve">support for the extension of CBAM. The feedback covers all sectors currently in scope,</w:t>
      </w:r>
      <w:r>
        <w:t xml:space="preserve"> </w:t>
      </w:r>
      <w:r>
        <w:t xml:space="preserve">and is not limited to steel and aluminium:</w:t>
      </w:r>
      <w:r>
        <w:t xml:space="preserve"> </w:t>
      </w:r>
      <w:r>
        <w:t xml:space="preserve">• Strongly supportive (n=84): overall an advocate of extending CBAM either in</w:t>
      </w:r>
      <w:r>
        <w:t xml:space="preserve"> </w:t>
      </w:r>
      <w:r>
        <w:t xml:space="preserve">general or to specific sectors/products;</w:t>
      </w:r>
      <w:r>
        <w:t xml:space="preserve"> </w:t>
      </w:r>
      <w:r>
        <w:t xml:space="preserve">• Cautiously supportive (n=74): in general in support of extending CBAM, but</w:t>
      </w:r>
      <w:r>
        <w:t xml:space="preserve"> </w:t>
      </w:r>
      <w:r>
        <w:t xml:space="preserve">raises concerns/suggestions on specific issues;</w:t>
      </w:r>
      <w:r>
        <w:t xml:space="preserve"> </w:t>
      </w:r>
      <w:r>
        <w:t xml:space="preserve">• Cautiously critical/opposed (n=73): provides concerns and/or highlighting risks</w:t>
      </w:r>
      <w:r>
        <w:t xml:space="preserve"> </w:t>
      </w:r>
      <w:r>
        <w:t xml:space="preserve">with the current CBAM framework and/or extension of CBAM. ; and</w:t>
      </w:r>
      <w:r>
        <w:t xml:space="preserve"> </w:t>
      </w:r>
      <w:r>
        <w:t xml:space="preserve">• Strongly critical (n=45): clear opposition to the extension of CBAM either in</w:t>
      </w:r>
      <w:r>
        <w:t xml:space="preserve"> </w:t>
      </w:r>
      <w:r>
        <w:t xml:space="preserve">general or to specific sectors/products.</w:t>
      </w:r>
      <w:r>
        <w:t xml:space="preserve"> </w:t>
      </w:r>
      <w:r>
        <w:t xml:space="preserve">The support to a downstream extension is quite different per sector, with the Metals sector</w:t>
      </w:r>
      <w:r>
        <w:t xml:space="preserve"> </w:t>
      </w:r>
      <w:r>
        <w:t xml:space="preserve">being largely supportive. Below is an overview of the sentiment of each sector broadly</w:t>
      </w:r>
      <w:r>
        <w:t xml:space="preserve"> </w:t>
      </w:r>
      <w:r>
        <w:t xml:space="preserve">based on the average standpoint for each sector. However, within each sector, there can be</w:t>
      </w:r>
      <w:r>
        <w:t xml:space="preserve"> </w:t>
      </w:r>
      <w:r>
        <w:t xml:space="preserve">a variety of views:</w:t>
      </w:r>
      <w:r>
        <w:t xml:space="preserve"> </w:t>
      </w:r>
      <w:r>
        <w:t xml:space="preserve">• The cement and metal industries are on average the most supportive of a</w:t>
      </w:r>
      <w:r>
        <w:t xml:space="preserve"> </w:t>
      </w:r>
      <w:r>
        <w:t xml:space="preserve">downstream extension, though cautiously. For the metal industry, there is a</w:t>
      </w:r>
      <w:r>
        <w:t xml:space="preserve"> </w:t>
      </w:r>
      <w:r>
        <w:t xml:space="preserve">significant portion which are strongly supportive (50%), however, about a third is</w:t>
      </w:r>
      <w:r>
        <w:t xml:space="preserve"> </w:t>
      </w:r>
      <w:r>
        <w:t xml:space="preserve">cautiously or strongly critical/opposed to a CBAM extension. All cement</w:t>
      </w:r>
      <w:r>
        <w:t xml:space="preserve"> </w:t>
      </w:r>
      <w:r>
        <w:t xml:space="preserve">stakeholders are either strongly or cautiously supportive.</w:t>
      </w:r>
      <w:r>
        <w:t xml:space="preserve"> </w:t>
      </w:r>
      <w:r>
        <w:t xml:space="preserve">• The chemical industry, other sectors, and overarching sectors tend to have an</w:t>
      </w:r>
      <w:r>
        <w:t xml:space="preserve"> </w:t>
      </w:r>
      <w:r>
        <w:t xml:space="preserve">average neutral stance, given that there is a diversity of perspectives within these</w:t>
      </w:r>
      <w:r>
        <w:t xml:space="preserve"> </w:t>
      </w:r>
      <w:r>
        <w:t xml:space="preserve">sectors that represent a diversity of different (sub-)sectors with diverging views.</w:t>
      </w:r>
      <w:r>
        <w:br/>
      </w:r>
      <w:r>
        <w:t xml:space="preserve">• The electricity stakeholders tend to have the most critical views of the specific</w:t>
      </w:r>
      <w:r>
        <w:t xml:space="preserve"> </w:t>
      </w:r>
      <w:r>
        <w:t xml:space="preserve">rules under CBAM for electricity as a good. 14% strongly oppose the current</w:t>
      </w:r>
      <w:r>
        <w:t xml:space="preserve"> </w:t>
      </w:r>
      <w:r>
        <w:t xml:space="preserve">treatment and methodology, and 86% are either cautiously supportive (35%) or</w:t>
      </w:r>
      <w:r>
        <w:t xml:space="preserve"> </w:t>
      </w:r>
      <w:r>
        <w:t xml:space="preserve">critical/opposed (51%).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Figure 217: Overview of average views of the CBAM extension to downstream</w:t>
      </w:r>
      <w:r>
        <w:t xml:space="preserve"> </w:t>
      </w:r>
      <w:r>
        <w:t xml:space="preserve">goods, and of the current treatment of electricity as a CBAM good per stakeholder</w:t>
      </w:r>
      <w:r>
        <w:t xml:space="preserve"> </w:t>
      </w:r>
      <w:r>
        <w:t xml:space="preserve">group</w:t>
      </w:r>
    </w:p>
    <w:p>
      <w:pPr>
        <w:pStyle w:val="BodyText"/>
      </w:pPr>
      <w:r>
        <w:t xml:space="preserve">Note: the average views are estimated by taking the average value of all responses under one sector category</w:t>
      </w:r>
      <w:r>
        <w:t xml:space="preserve"> </w:t>
      </w:r>
      <w:r>
        <w:t xml:space="preserve">for the two components: strength of view (strong=1; cautious=0) and support (supportive =1;</w:t>
      </w:r>
      <w:r>
        <w:t xml:space="preserve"> </w:t>
      </w:r>
      <w:r>
        <w:t xml:space="preserve">critical/opposed = 0). The size of the bubble is in respect to the number of stakeholders within each sector.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3.1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This initiative would primarily affect the following stakeholders:</w:t>
      </w:r>
      <w:r>
        <w:t xml:space="preserve"> </w:t>
      </w:r>
      <w:r>
        <w:t xml:space="preserve">- Private sector/industry.</w:t>
      </w:r>
      <w:r>
        <w:t xml:space="preserve"> </w:t>
      </w:r>
      <w:r>
        <w:t xml:space="preserve">- Public administration: National Competent Authorities for CBAM and Customs</w:t>
      </w:r>
      <w:r>
        <w:t xml:space="preserve"> </w:t>
      </w:r>
      <w:r>
        <w:t xml:space="preserve">Authorities.</w:t>
      </w:r>
      <w:r>
        <w:t xml:space="preserve"> </w:t>
      </w:r>
      <w:r>
        <w:t xml:space="preserve">- EU citizens.</w:t>
      </w:r>
      <w:r>
        <w:t xml:space="preserve"> </w:t>
      </w:r>
      <w:r>
        <w:t xml:space="preserve">- Third countries, including developing and Least Developed Countries (LDCs)</w:t>
      </w:r>
    </w:p>
    <w:p>
      <w:pPr>
        <w:pStyle w:val="BodyText"/>
      </w:pPr>
      <w:r>
        <w:t xml:space="preserve">Private sector/industry</w:t>
      </w:r>
      <w:r>
        <w:br/>
      </w:r>
      <w:r>
        <w:t xml:space="preserve">The downstream extension will increase compliance costs for EU importers and their</w:t>
      </w:r>
      <w:r>
        <w:t xml:space="preserve"> </w:t>
      </w:r>
      <w:r>
        <w:t xml:space="preserve">suppliers in third countries as more products are added to the scope of CBAM, resulting in</w:t>
      </w:r>
      <w:r>
        <w:t xml:space="preserve"> </w:t>
      </w:r>
      <w:r>
        <w:t xml:space="preserve">an increased number of importers facing CBAM obligations. Importers of covered</w:t>
      </w:r>
      <w:r>
        <w:t xml:space="preserve"> </w:t>
      </w:r>
      <w:r>
        <w:t xml:space="preserve">downstream goods will incur compliance costs resulting from, among others, tracking the</w:t>
      </w:r>
      <w:r>
        <w:t xml:space="preserve"> </w:t>
      </w:r>
      <w:r>
        <w:t xml:space="preserve">origin of goods, collecting verified estimates of embedded emissions from suppliers,</w:t>
      </w:r>
      <w:r>
        <w:t xml:space="preserve"> </w:t>
      </w:r>
      <w:r>
        <w:t xml:space="preserve">submitting CBAM declarations and purchasing and surrendering CBAM certificates. The</w:t>
      </w:r>
      <w:r>
        <w:t xml:space="preserve"> </w:t>
      </w:r>
      <w:r>
        <w:t xml:space="preserve">additional recurrent compliance costs are estimated in a range between EUR 8 and 43</w:t>
      </w:r>
      <w:r>
        <w:t xml:space="preserve"> </w:t>
      </w:r>
      <w:r>
        <w:t xml:space="preserve">million for importers. Third country producers will also be impacted. Data on embedded</w:t>
      </w:r>
      <w:r>
        <w:t xml:space="preserve"> </w:t>
      </w:r>
      <w:r>
        <w:t xml:space="preserve">emissions will still need to be collected and transferred along the value chain.. If</w:t>
      </w:r>
      <w:r>
        <w:t xml:space="preserve"> </w:t>
      </w:r>
      <w:r>
        <w:t xml:space="preserve">information on actual values of emissions is not available, default values can still be used</w:t>
      </w:r>
      <w:r>
        <w:t xml:space="preserve"> </w:t>
      </w:r>
      <w:r>
        <w:t xml:space="preserve">as is currently already the case in CBAM. Extension to downstream products will also</w:t>
      </w:r>
      <w:r>
        <w:t xml:space="preserve"> </w:t>
      </w:r>
      <w:r>
        <w:t xml:space="preserve">prevent carbon leakage.</w:t>
      </w:r>
      <w:r>
        <w:br/>
      </w:r>
      <w:r>
        <w:t xml:space="preserve">The additional anti-circumvention measures will improve enforcement mechanisms and</w:t>
      </w:r>
      <w:r>
        <w:t xml:space="preserve"> </w:t>
      </w:r>
      <w:r>
        <w:t xml:space="preserve">thereby enhance the effectiveness of CBAM to achieve its intended outcomes. As such the</w:t>
      </w:r>
      <w:r>
        <w:t xml:space="preserve"> </w:t>
      </w:r>
      <w:r>
        <w:t xml:space="preserve">underlying benefits of the measures can be understood to enhance confidence over the</w:t>
      </w:r>
      <w:r>
        <w:t xml:space="preserve"> </w:t>
      </w:r>
      <w:r>
        <w:t xml:space="preserve">estimated impacts. The targeted additional reporting requirements – to specify the goods</w:t>
      </w:r>
      <w:r>
        <w:t xml:space="preserve"> </w:t>
      </w:r>
      <w:r>
        <w:t xml:space="preserve">composition for products within the same CN codes or to prove the place of production –</w:t>
      </w:r>
      <w:r>
        <w:t xml:space="preserve"> </w:t>
      </w:r>
      <w:r>
        <w:t xml:space="preserve">would increase costs only to a negligeable extent since the importers are either familiar</w:t>
      </w:r>
      <w:r>
        <w:t xml:space="preserve"> </w:t>
      </w:r>
      <w:r>
        <w:t xml:space="preserve">with existing mechanisms and required documentation, and due to its targeted nature</w:t>
      </w:r>
      <w:r>
        <w:t xml:space="preserve"> </w:t>
      </w:r>
      <w:r>
        <w:t xml:space="preserve">toward specific CN codes/origins. The additional anti-circumvention measures will also</w:t>
      </w:r>
      <w:r>
        <w:t xml:space="preserve"> </w:t>
      </w:r>
      <w:r>
        <w:t xml:space="preserve">address carbon leakage, ensuring that the reduction in anticipated carbon leakage will</w:t>
      </w:r>
      <w:r>
        <w:t xml:space="preserve"> </w:t>
      </w:r>
      <w:r>
        <w:t xml:space="preserve">materialise.</w:t>
      </w:r>
      <w:r>
        <w:t xml:space="preserve"> </w:t>
      </w:r>
      <w:r>
        <w:t xml:space="preserve">The proposed modification of emission factors of electricity will lead to a reduction in the</w:t>
      </w:r>
      <w:r>
        <w:t xml:space="preserve"> </w:t>
      </w:r>
      <w:r>
        <w:t xml:space="preserve">CBAM obligation for importers. The streamlining of conditions to report actual emissions</w:t>
      </w:r>
      <w:r>
        <w:t xml:space="preserve"> </w:t>
      </w:r>
      <w:r>
        <w:t xml:space="preserve">is expected to further contribute to this reduction by facilitating the declaration of actual</w:t>
      </w:r>
      <w:r>
        <w:t xml:space="preserve"> </w:t>
      </w:r>
      <w:r>
        <w:t xml:space="preserve">emissions in case of imports of electricity produced from renewables. Moreover, the</w:t>
      </w:r>
      <w:r>
        <w:t xml:space="preserve"> </w:t>
      </w:r>
      <w:r>
        <w:t xml:space="preserve">changes of the conditions will reduce the reporting burden when actual emissions are</w:t>
      </w:r>
      <w:r>
        <w:t xml:space="preserve"> </w:t>
      </w:r>
      <w:r>
        <w:t xml:space="preserve">declared compared to the current situation, as a result of a reduction in the number of</w:t>
      </w:r>
      <w:r>
        <w:t xml:space="preserve"> </w:t>
      </w:r>
      <w:r>
        <w:t xml:space="preserve">conditions and clarification of the definitions used.</w:t>
      </w:r>
      <w:r>
        <w:br/>
      </w:r>
      <w:r>
        <w:t xml:space="preserve">Public administration, national competent authorities and customs authorities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The downstream extension will lead to some increase in enforcement costs for National</w:t>
      </w:r>
      <w:r>
        <w:t xml:space="preserve"> </w:t>
      </w:r>
      <w:r>
        <w:t xml:space="preserve">Competent Authorities and Customs Authorities. These authorities will have to deal with</w:t>
      </w:r>
      <w:r>
        <w:t xml:space="preserve"> </w:t>
      </w:r>
      <w:r>
        <w:t xml:space="preserve">a higher number of products covered by CBAM and thus a higher total import volume of</w:t>
      </w:r>
      <w:r>
        <w:t xml:space="preserve"> </w:t>
      </w:r>
      <w:r>
        <w:t xml:space="preserve">CBAM products. The additional compliance costs for NCAs and customs authorities are</w:t>
      </w:r>
      <w:r>
        <w:t xml:space="preserve"> </w:t>
      </w:r>
      <w:r>
        <w:t xml:space="preserve">estimated to remain quite limited. The downstream extension will result in annual revenues</w:t>
      </w:r>
      <w:r>
        <w:t xml:space="preserve"> </w:t>
      </w:r>
      <w:r>
        <w:t xml:space="preserve">of approximately EUR 0.58 billion a year by 2030.</w:t>
      </w:r>
      <w:r>
        <w:br/>
      </w:r>
      <w:r>
        <w:t xml:space="preserve">Through additional anti-circumvention measures, the EU will benefit from a better</w:t>
      </w:r>
      <w:r>
        <w:t xml:space="preserve"> </w:t>
      </w:r>
      <w:r>
        <w:t xml:space="preserve">protection of the expected revenue from CBAM, such that the anticipated revenues will</w:t>
      </w:r>
      <w:r>
        <w:t xml:space="preserve"> </w:t>
      </w:r>
      <w:r>
        <w:t xml:space="preserve">actually materialise and will not be forgone or undercut. The additional reporting</w:t>
      </w:r>
      <w:r>
        <w:t xml:space="preserve"> </w:t>
      </w:r>
      <w:r>
        <w:t xml:space="preserve">requirements are not expected to lead to material costs for administrations, due to their</w:t>
      </w:r>
      <w:r>
        <w:t xml:space="preserve"> </w:t>
      </w:r>
      <w:r>
        <w:t xml:space="preserve">targeted nature for specific CN codes/origins and also given that they are already familiar</w:t>
      </w:r>
      <w:r>
        <w:t xml:space="preserve"> </w:t>
      </w:r>
      <w:r>
        <w:t xml:space="preserve">with the required documentation and existing mechanisms.</w:t>
      </w:r>
      <w:r>
        <w:t xml:space="preserve"> </w:t>
      </w:r>
      <w:r>
        <w:t xml:space="preserve">No change of compliance costs for the National Competent Authorities is expected as a</w:t>
      </w:r>
      <w:r>
        <w:t xml:space="preserve"> </w:t>
      </w:r>
      <w:r>
        <w:t xml:space="preserve">result of the proposed changes of the emission factor of electricity. The removal of the</w:t>
      </w:r>
      <w:r>
        <w:t xml:space="preserve"> </w:t>
      </w:r>
      <w:r>
        <w:t xml:space="preserve">condition relating to network congestion is expected to result in lower administrative</w:t>
      </w:r>
      <w:r>
        <w:t xml:space="preserve"> </w:t>
      </w:r>
      <w:r>
        <w:t xml:space="preserve">burden for all actors including competent authorities. It is plausible that the clarification of</w:t>
      </w:r>
      <w:r>
        <w:t xml:space="preserve"> </w:t>
      </w:r>
      <w:r>
        <w:t xml:space="preserve">the conditions to report actual emissions will reduce implementation uncertainties, in turn</w:t>
      </w:r>
      <w:r>
        <w:t xml:space="preserve"> </w:t>
      </w:r>
      <w:r>
        <w:t xml:space="preserve">leading to a decrease of administrative costs for national competent authorities.</w:t>
      </w:r>
      <w:r>
        <w:br/>
      </w:r>
      <w:r>
        <w:t xml:space="preserve">EU citizens</w:t>
      </w:r>
      <w:r>
        <w:t xml:space="preserve"> </w:t>
      </w:r>
      <w:r>
        <w:t xml:space="preserve">The downstream extension will raise prices by negligible amounts. Price increases per</w:t>
      </w:r>
      <w:r>
        <w:t xml:space="preserve"> </w:t>
      </w:r>
      <w:r>
        <w:t xml:space="preserve">sector are estimated below 0.1%, except for construction, where prices could rise by about</w:t>
      </w:r>
      <w:r>
        <w:t xml:space="preserve"> </w:t>
      </w:r>
      <w:r>
        <w:t xml:space="preserve">0.12%. However, it is important to note that this is an average increase in prices within the</w:t>
      </w:r>
      <w:r>
        <w:t xml:space="preserve"> </w:t>
      </w:r>
      <w:r>
        <w:t xml:space="preserve">sector. EU citizens will benefit from a reduction in GHG emissions resulting from a</w:t>
      </w:r>
      <w:r>
        <w:t xml:space="preserve"> </w:t>
      </w:r>
      <w:r>
        <w:t xml:space="preserve">downstream extension.</w:t>
      </w:r>
      <w:r>
        <w:t xml:space="preserve"> </w:t>
      </w:r>
      <w:r>
        <w:t xml:space="preserve">The additional anti-circumvention measures will allow a better protection of the</w:t>
      </w:r>
      <w:r>
        <w:t xml:space="preserve"> </w:t>
      </w:r>
      <w:r>
        <w:t xml:space="preserve">environmental benefit of CBAM, such that the reduction in the anticipated GHG emissions</w:t>
      </w:r>
      <w:r>
        <w:t xml:space="preserve"> </w:t>
      </w:r>
      <w:r>
        <w:t xml:space="preserve">will actually materialise, and EU citizens will benefit from a reduction in GHG emissions.</w:t>
      </w:r>
      <w:r>
        <w:t xml:space="preserve"> </w:t>
      </w:r>
      <w:r>
        <w:t xml:space="preserve">As far as electricity is concerned, the CBAM liability and all related administrative costs</w:t>
      </w:r>
      <w:r>
        <w:t xml:space="preserve"> </w:t>
      </w:r>
      <w:r>
        <w:t xml:space="preserve">will ultimately be passed on to consumers, at least partially. The lowering of the CBAM</w:t>
      </w:r>
      <w:r>
        <w:t xml:space="preserve"> </w:t>
      </w:r>
      <w:r>
        <w:t xml:space="preserve">obligation and the reduction in administrative costs associated with the changes of the rules</w:t>
      </w:r>
      <w:r>
        <w:t xml:space="preserve"> </w:t>
      </w:r>
      <w:r>
        <w:t xml:space="preserve">for electricity are thus expected to lead to a lower cost of electricity although the impact</w:t>
      </w:r>
      <w:r>
        <w:t xml:space="preserve"> </w:t>
      </w:r>
      <w:r>
        <w:t xml:space="preserve">has not been quantified.</w:t>
      </w:r>
      <w:r>
        <w:br/>
      </w:r>
      <w:r>
        <w:t xml:space="preserve">Third countries, including developing and Least developed countries (LDCs)</w:t>
      </w:r>
      <w:r>
        <w:t xml:space="preserve"> </w:t>
      </w:r>
      <w:r>
        <w:t xml:space="preserve">The impact of a downstream extension affects third country exports of covered</w:t>
      </w:r>
      <w:r>
        <w:t xml:space="preserve"> </w:t>
      </w:r>
      <w:r>
        <w:t xml:space="preserve">downstream goods to the EU. This leads overall to a minor decrease in EU imports from</w:t>
      </w:r>
      <w:r>
        <w:t xml:space="preserve"> </w:t>
      </w:r>
      <w:r>
        <w:t xml:space="preserve">third countries.</w:t>
      </w:r>
      <w:r>
        <w:br/>
      </w:r>
      <w:r>
        <w:t xml:space="preserve">LDCs are not among the main exporters of downstream products to the EU. At the same</w:t>
      </w:r>
      <w:r>
        <w:t xml:space="preserve"> </w:t>
      </w:r>
      <w:r>
        <w:t xml:space="preserve">time some LDCs are producers of CBAM basic materials and depending on their</w:t>
      </w:r>
      <w:r>
        <w:t xml:space="preserve"> </w:t>
      </w:r>
      <w:r>
        <w:t xml:space="preserve">positioning in global value chains some may be affected indirectly from the extension to</w:t>
      </w:r>
      <w:r>
        <w:t xml:space="preserve"> </w:t>
      </w:r>
      <w:r>
        <w:t xml:space="preserve">downstream. Impact in this case will depend on emission intensity of production in these</w:t>
      </w:r>
      <w:r>
        <w:t xml:space="preserve"> </w:t>
      </w:r>
      <w:r>
        <w:t xml:space="preserve">countries. On aggregate some LDCs may face losses, yet analysis also suggests that a few</w:t>
      </w:r>
      <w:r>
        <w:t xml:space="preserve"> </w:t>
      </w:r>
      <w:r>
        <w:t xml:space="preserve">countries with relatively low emission intensity of production may also stand to gain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market share. The change of the rules for electricity will not have an impact on LDCs as</w:t>
      </w:r>
      <w:r>
        <w:t xml:space="preserve"> </w:t>
      </w:r>
      <w:r>
        <w:t xml:space="preserve">they do not export electricity to the EU.</w:t>
      </w:r>
      <w:r>
        <w:br/>
      </w:r>
      <w:r>
        <w:t xml:space="preserve">Regarding electricity, the preferred option will better reflect the decarbonisation of the</w:t>
      </w:r>
      <w:r>
        <w:t xml:space="preserve"> </w:t>
      </w:r>
      <w:r>
        <w:t xml:space="preserve">electricity generation mix in third countries and further incentivise third country operators</w:t>
      </w:r>
      <w:r>
        <w:t xml:space="preserve"> </w:t>
      </w:r>
      <w:r>
        <w:t xml:space="preserve">to invest in clean technologies, compared to the baseline scenario.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Option10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Supporting reduction in GHG</w:t>
      </w:r>
      <w:r>
        <w:t xml:space="preserve"> </w:t>
      </w:r>
      <w:r>
        <w:t xml:space="preserve">emissions</w:t>
      </w:r>
      <w:r>
        <w:t xml:space="preserve"> </w:t>
      </w:r>
      <w:r>
        <w:t xml:space="preserve">Downstream: emission of CO2e in Mt estimated</w:t>
      </w:r>
      <w:r>
        <w:t xml:space="preserve"> </w:t>
      </w:r>
      <w:r>
        <w:t xml:space="preserve">to decrease by 0.83 by 2035.</w:t>
      </w:r>
    </w:p>
    <w:p>
      <w:pPr>
        <w:pStyle w:val="BodyText"/>
      </w:pPr>
      <w:r>
        <w:t xml:space="preserve">Anti-circumvention: Supports the achievement of</w:t>
      </w:r>
      <w:r>
        <w:t xml:space="preserve"> </w:t>
      </w:r>
      <w:r>
        <w:t xml:space="preserve">impacts on carbon dioxide (CO2) emissions</w:t>
      </w:r>
      <w:r>
        <w:br/>
      </w:r>
      <w:r>
        <w:t xml:space="preserve">in the CBAM sectors in EU27 and rest of</w:t>
      </w:r>
      <w:r>
        <w:br/>
      </w:r>
      <w:r>
        <w:t xml:space="preserve">the world originally estimated in 2021 Impact</w:t>
      </w:r>
      <w:r>
        <w:t xml:space="preserve"> </w:t>
      </w:r>
      <w:r>
        <w:t xml:space="preserve">Assessment ): -1.0% in the EU in 2030, -0.4% in</w:t>
      </w:r>
      <w:r>
        <w:t xml:space="preserve"> </w:t>
      </w:r>
      <w:r>
        <w:t xml:space="preserve">the rest of the world in 2023.</w:t>
      </w:r>
      <w:r>
        <w:t xml:space="preserve"> </w:t>
      </w:r>
      <w:r>
        <w:t xml:space="preserve">Anti-circumvention: A better protection of</w:t>
      </w:r>
      <w:r>
        <w:t xml:space="preserve"> </w:t>
      </w:r>
      <w:r>
        <w:t xml:space="preserve">the environmental benefit of CBAM with the</w:t>
      </w:r>
      <w:r>
        <w:t xml:space="preserve"> </w:t>
      </w:r>
      <w:r>
        <w:t xml:space="preserve">anticipated reduction in GHG emissions.</w:t>
      </w:r>
      <w:r>
        <w:t xml:space="preserve"> </w:t>
      </w:r>
      <w:r>
        <w:t xml:space="preserve">Preventing carbon leakage in</w:t>
      </w:r>
      <w:r>
        <w:t xml:space="preserve"> </w:t>
      </w:r>
      <w:r>
        <w:t xml:space="preserve">CBAM sectors</w:t>
      </w:r>
      <w:r>
        <w:t xml:space="preserve"> </w:t>
      </w:r>
      <w:r>
        <w:t xml:space="preserve">Downstream: carbon leakage in downstream</w:t>
      </w:r>
      <w:r>
        <w:t xml:space="preserve"> </w:t>
      </w:r>
      <w:r>
        <w:t xml:space="preserve">sectors is reduced to 26% of a no-CBAM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Anti-circumvention: Supports the achievement of</w:t>
      </w:r>
      <w:r>
        <w:t xml:space="preserve"> </w:t>
      </w:r>
      <w:r>
        <w:t xml:space="preserve">impacts originally estimated by 2021 Impact</w:t>
      </w:r>
      <w:r>
        <w:t xml:space="preserve"> </w:t>
      </w:r>
      <w:r>
        <w:t xml:space="preserve">Assessment. Carbon leakage in CBAM sectors is</w:t>
      </w:r>
      <w:r>
        <w:t xml:space="preserve"> </w:t>
      </w:r>
      <w:r>
        <w:t xml:space="preserve">brought down to -29 % in 2030 ).</w:t>
      </w:r>
      <w:r>
        <w:t xml:space="preserve"> </w:t>
      </w:r>
      <w:r>
        <w:t xml:space="preserve">Downstream: CBAM as currently legislated</w:t>
      </w:r>
      <w:r>
        <w:t xml:space="preserve"> </w:t>
      </w:r>
      <w:r>
        <w:t xml:space="preserve">reduces carbon leakage in downstream</w:t>
      </w:r>
      <w:r>
        <w:t xml:space="preserve"> </w:t>
      </w:r>
      <w:r>
        <w:t xml:space="preserve">sectors to 63% of a no-CBAM scenario. The</w:t>
      </w:r>
      <w:r>
        <w:t xml:space="preserve"> </w:t>
      </w:r>
      <w:r>
        <w:t xml:space="preserve">downstream extension further reduces this to</w:t>
      </w:r>
      <w:r>
        <w:t xml:space="preserve"> </w:t>
      </w:r>
      <w:r>
        <w:t xml:space="preserve">26%.</w:t>
      </w:r>
    </w:p>
    <w:p>
      <w:pPr>
        <w:pStyle w:val="BodyText"/>
      </w:pPr>
      <w:r>
        <w:t xml:space="preserve">Anti-circumvention: A better</w:t>
      </w:r>
      <w:r>
        <w:t xml:space="preserve"> </w:t>
      </w:r>
      <w:r>
        <w:t xml:space="preserve">environmental integrity for the CBAM, to</w:t>
      </w:r>
      <w:r>
        <w:t xml:space="preserve"> </w:t>
      </w:r>
      <w:r>
        <w:t xml:space="preserve">ensure a decrease in GHG emissions.</w:t>
      </w:r>
      <w:r>
        <w:t xml:space="preserve"> </w:t>
      </w:r>
      <w:r>
        <w:t xml:space="preserve">Revenue generation</w:t>
      </w:r>
      <w:r>
        <w:t xml:space="preserve"> </w:t>
      </w:r>
      <w:r>
        <w:t xml:space="preserve">Downstream: revenue generation of EUR 0.58</w:t>
      </w:r>
      <w:r>
        <w:t xml:space="preserve"> </w:t>
      </w:r>
      <w:r>
        <w:t xml:space="preserve">billion per year.</w:t>
      </w:r>
    </w:p>
    <w:p>
      <w:pPr>
        <w:pStyle w:val="BodyText"/>
      </w:pPr>
      <w:r>
        <w:t xml:space="preserve">Anti-avoidance measures will also protect</w:t>
      </w:r>
      <w:r>
        <w:t xml:space="preserve"> </w:t>
      </w:r>
      <w:r>
        <w:t xml:space="preserve">revenue by addressing the risk of misdeclaration</w:t>
      </w:r>
      <w:r>
        <w:t xml:space="preserve"> </w:t>
      </w:r>
      <w:r>
        <w:t xml:space="preserve">of emission intensity, the scrap loophole and the</w:t>
      </w:r>
      <w:r>
        <w:t xml:space="preserve"> </w:t>
      </w:r>
      <w:r>
        <w:t xml:space="preserve">risk of abusive practice to a material extent.</w:t>
      </w:r>
      <w:r>
        <w:t xml:space="preserve"> </w:t>
      </w:r>
      <w:r>
        <w:t xml:space="preserve">Downstream: reported revenue generation is</w:t>
      </w:r>
      <w:r>
        <w:t xml:space="preserve"> </w:t>
      </w:r>
      <w:r>
        <w:t xml:space="preserve">estimate for 2030. Annual revenue expected</w:t>
      </w:r>
      <w:r>
        <w:t xml:space="preserve"> </w:t>
      </w:r>
      <w:r>
        <w:t xml:space="preserve">to increase further to EUR 0.69 billion by</w:t>
      </w:r>
      <w:r>
        <w:t xml:space="preserve"> </w:t>
      </w:r>
      <w:r>
        <w:t xml:space="preserve">2035.</w:t>
      </w:r>
    </w:p>
    <w:p>
      <w:pPr>
        <w:pStyle w:val="BodyText"/>
      </w:pPr>
      <w:r>
        <w:t xml:space="preserve">Anti-circumvention measure allows a better</w:t>
      </w:r>
      <w:r>
        <w:t xml:space="preserve"> </w:t>
      </w:r>
      <w:r>
        <w:t xml:space="preserve">protection of the anticipated revenue of</w:t>
      </w:r>
      <w:r>
        <w:t xml:space="preserve"> </w:t>
      </w:r>
      <w:r>
        <w:t xml:space="preserve">CBAM.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10 Electricity was primarily assessed on a qualitative basis, hence quantitative estimates are not available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Downstre</w:t>
      </w:r>
      <w:r>
        <w:t xml:space="preserve"> </w:t>
      </w:r>
      <w:r>
        <w:t xml:space="preserve">am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most</w:t>
      </w:r>
      <w:r>
        <w:t xml:space="preserve"> </w:t>
      </w:r>
      <w:r>
        <w:t xml:space="preserve">products an</w:t>
      </w:r>
      <w:r>
        <w:t xml:space="preserve"> </w:t>
      </w:r>
      <w:r>
        <w:t xml:space="preserve">increase</w:t>
      </w:r>
      <w:r>
        <w:t xml:space="preserve"> </w:t>
      </w:r>
      <w:r>
        <w:t xml:space="preserve">of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0.1%</w:t>
      </w:r>
      <w:r>
        <w:t xml:space="preserve"> </w:t>
      </w:r>
      <w:r>
        <w:t xml:space="preserve">in</w:t>
      </w:r>
      <w:r>
        <w:t xml:space="preserve"> </w:t>
      </w:r>
      <w:r>
        <w:t xml:space="preserve">consumer</w:t>
      </w:r>
      <w:r>
        <w:t xml:space="preserve"> </w:t>
      </w:r>
      <w:r>
        <w:t xml:space="preserve">prices.</w:t>
      </w:r>
      <w:r>
        <w:t xml:space="preserve"> </w:t>
      </w:r>
      <w:r>
        <w:t xml:space="preserve">Construction</w:t>
      </w:r>
      <w:r>
        <w:t xml:space="preserve"> </w:t>
      </w:r>
      <w:r>
        <w:t xml:space="preserve">sector prices</w:t>
      </w:r>
      <w:r>
        <w:t xml:space="preserve"> </w:t>
      </w:r>
      <w:r>
        <w:t xml:space="preserve">for</w:t>
      </w:r>
      <w:r>
        <w:t xml:space="preserve"> </w:t>
      </w:r>
      <w:r>
        <w:t xml:space="preserve">consumers</w:t>
      </w:r>
      <w:r>
        <w:t xml:space="preserve"> </w:t>
      </w:r>
      <w:r>
        <w:t xml:space="preserve">increases the</w:t>
      </w:r>
      <w:r>
        <w:t xml:space="preserve"> </w:t>
      </w:r>
      <w:r>
        <w:t xml:space="preserve">most,</w:t>
      </w:r>
      <w:r>
        <w:t xml:space="preserve"> </w:t>
      </w:r>
      <w:r>
        <w:t xml:space="preserve">by</w:t>
      </w:r>
      <w:r>
        <w:t xml:space="preserve"> </w:t>
      </w:r>
      <w:r>
        <w:t xml:space="preserve">0.12%.</w:t>
      </w:r>
      <w:r>
        <w:br/>
      </w:r>
      <w:r>
        <w:t xml:space="preserve">EUR 31 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8 – 43</w:t>
      </w:r>
      <w:r>
        <w:t xml:space="preserve"> </w:t>
      </w:r>
      <w:r>
        <w:t xml:space="preserve">million per year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EUR 0.05 –</w:t>
      </w:r>
      <w:r>
        <w:t xml:space="preserve"> </w:t>
      </w:r>
      <w:r>
        <w:t xml:space="preserve">0.37 million</w:t>
      </w:r>
      <w:r>
        <w:t xml:space="preserve"> </w:t>
      </w:r>
      <w:r>
        <w:t xml:space="preserve">per</w:t>
      </w:r>
      <w:r>
        <w:t xml:space="preserve"> </w:t>
      </w:r>
      <w:r>
        <w:t xml:space="preserve">EU</w:t>
      </w:r>
      <w:r>
        <w:t xml:space="preserve"> </w:t>
      </w:r>
      <w:r>
        <w:t xml:space="preserve">Member State</w:t>
      </w:r>
      <w:r>
        <w:t xml:space="preserve"> </w:t>
      </w:r>
      <w:r>
        <w:t xml:space="preserve">per</w:t>
      </w:r>
      <w:r>
        <w:t xml:space="preserve"> </w:t>
      </w:r>
      <w:r>
        <w:t xml:space="preserve">year.</w:t>
      </w:r>
      <w:r>
        <w:t xml:space="preserve"> </w:t>
      </w:r>
      <w:r>
        <w:t xml:space="preserve">EUR 1.35 –</w:t>
      </w:r>
      <w:r>
        <w:t xml:space="preserve"> </w:t>
      </w:r>
      <w:r>
        <w:t xml:space="preserve">9.99 million</w:t>
      </w:r>
      <w:r>
        <w:t xml:space="preserve"> </w:t>
      </w:r>
      <w:r>
        <w:t xml:space="preserve">in total.</w:t>
      </w:r>
      <w:r>
        <w:br/>
      </w:r>
      <w:r>
        <w:t xml:space="preserve">Indirect costs</w:t>
      </w:r>
    </w:p>
    <w:p>
      <w:pPr>
        <w:pStyle w:val="BodyText"/>
      </w:pPr>
      <w:r>
        <w:t xml:space="preserve">Circumvent</w:t>
      </w:r>
      <w:r>
        <w:t xml:space="preserve"> </w:t>
      </w:r>
      <w:r>
        <w:t xml:space="preserve">ion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Electricity</w:t>
      </w:r>
      <w:r>
        <w:br/>
      </w:r>
      <w:r>
        <w:t xml:space="preserve">11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11 Electricity was primarily assessed on a qualitative basis, hence quantitative estimates are not available</w:t>
      </w:r>
    </w:p>
    <w:p>
      <w:pPr>
        <w:pStyle w:val="BodyText"/>
      </w:pPr>
      <w:r>
        <w:t xml:space="preserve">33</w:t>
      </w:r>
    </w:p>
    <w:p>
      <w:pPr>
        <w:pStyle w:val="Compact"/>
        <w:numPr>
          <w:ilvl w:val="0"/>
          <w:numId w:val="1003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</w:p>
    <w:p>
      <w:pPr>
        <w:pStyle w:val="BodyText"/>
      </w:pPr>
      <w:r>
        <w:t xml:space="preserve">Downstream: EUR 8 – 43 million</w:t>
      </w:r>
      <w:r>
        <w:t xml:space="preserve"> </w:t>
      </w:r>
      <w:r>
        <w:t xml:space="preserve">Anti-circumvention:</w:t>
      </w:r>
      <w:r>
        <w:t xml:space="preserve"> </w:t>
      </w:r>
      <w:r>
        <w:t xml:space="preserve">EUR</w:t>
      </w:r>
      <w:r>
        <w:t xml:space="preserve"> </w:t>
      </w:r>
      <w:r>
        <w:t xml:space="preserve">7.4</w:t>
      </w:r>
      <w:r>
        <w:t xml:space="preserve"> </w:t>
      </w:r>
      <w:r>
        <w:t xml:space="preserve">million per year</w:t>
      </w:r>
      <w:r>
        <w:t xml:space="preserve"> </w:t>
      </w:r>
      <w:r>
        <w:t xml:space="preserve">EUR 15.4 – 50.4 million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</w:p>
    <w:p>
      <w:pPr>
        <w:pStyle w:val="BodyText"/>
      </w:pPr>
      <w:r>
        <w:t xml:space="preserve">EUR 15.4 – 50.4 million</w:t>
      </w:r>
    </w:p>
    <w:p>
      <w:pPr>
        <w:pStyle w:val="BodyText"/>
      </w:pPr>
      <w:r>
        <w:t xml:space="preserve">Adjustment costs**</w:t>
      </w:r>
      <w:r>
        <w:t xml:space="preserve"> </w:t>
      </w:r>
      <w:r>
        <w:t xml:space="preserve">Downstream: EUR 31 million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</w:p>
    <w:p>
      <w:pPr>
        <w:pStyle w:val="BodyText"/>
      </w:pPr>
      <w:r>
        <w:t xml:space="preserve">EUR 15.4 – 50.4 million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13 – climate action</w:t>
      </w:r>
      <w:r>
        <w:t xml:space="preserve"> </w:t>
      </w:r>
      <w:r>
        <w:t xml:space="preserve">Prevent most downstream carbon leakage and circumvention</w:t>
      </w:r>
      <w:r>
        <w:t xml:space="preserve"> </w:t>
      </w:r>
      <w:r>
        <w:t xml:space="preserve">-</w:t>
      </w:r>
      <w:r>
        <w:t xml:space="preserve"> </w:t>
      </w:r>
      <w:r>
        <w:t xml:space="preserve">SDG no. 12 – responsible</w:t>
      </w:r>
      <w:r>
        <w:t xml:space="preserve"> </w:t>
      </w:r>
      <w:r>
        <w:t xml:space="preserve">consumption and production</w:t>
      </w:r>
      <w:r>
        <w:t xml:space="preserve"> </w:t>
      </w:r>
      <w:r>
        <w:t xml:space="preserve">Downstream extension and anti-avoidance measures reduce pollution</w:t>
      </w:r>
      <w:r>
        <w:t xml:space="preserve"> </w:t>
      </w:r>
      <w:r>
        <w:t xml:space="preserve">-</w:t>
      </w:r>
      <w:r>
        <w:t xml:space="preserve"> </w:t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9</w:t>
      </w:r>
      <w:r>
        <w:t xml:space="preserve"> </w:t>
      </w:r>
      <w:r>
        <w:t xml:space="preserve">–</w:t>
      </w:r>
      <w:r>
        <w:t xml:space="preserve"> </w:t>
      </w:r>
      <w:r>
        <w:t xml:space="preserve">industry,</w:t>
      </w:r>
      <w:r>
        <w:t xml:space="preserve"> </w:t>
      </w:r>
      <w:r>
        <w:t xml:space="preserve">innovation and infrastructure</w:t>
      </w:r>
      <w:r>
        <w:t xml:space="preserve"> </w:t>
      </w:r>
      <w:r>
        <w:t xml:space="preserve">Downstream extension and anti-avoidance measures promote sustainable industry</w:t>
      </w:r>
      <w:r>
        <w:t xml:space="preserve"> </w:t>
      </w:r>
      <w:r>
        <w:t xml:space="preserve">in the EU and abroad</w:t>
      </w:r>
      <w:r>
        <w:t xml:space="preserve"> </w:t>
      </w:r>
      <w:r>
        <w:t xml:space="preserve">-</w:t>
      </w:r>
      <w:r>
        <w:t xml:space="preserve"> </w:t>
      </w:r>
      <w:r>
        <w:t xml:space="preserve">SDG no. 7 - affordable and</w:t>
      </w:r>
      <w:r>
        <w:t xml:space="preserve"> </w:t>
      </w:r>
      <w:r>
        <w:t xml:space="preserve">clean energy</w:t>
      </w:r>
      <w:r>
        <w:t xml:space="preserve"> </w:t>
      </w:r>
      <w:r>
        <w:t xml:space="preserve">Changes in electricity rules lower the cost of electricity import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ANNEX 4: ECONOMIC ANALYTICAL METHODS</w:t>
      </w:r>
      <w:r>
        <w:t xml:space="preserve"> </w:t>
      </w:r>
      <w:r>
        <w:t xml:space="preserve">4.1</w:t>
      </w:r>
      <w:r>
        <w:t xml:space="preserve"> </w:t>
      </w:r>
      <w:r>
        <w:t xml:space="preserve">Downstream impact modelling</w:t>
      </w:r>
      <w:r>
        <w:br/>
      </w:r>
      <w:r>
        <w:t xml:space="preserve">4.1.1 The JRC-GEM-E3 model</w:t>
      </w:r>
      <w:r>
        <w:t xml:space="preserve"> </w:t>
      </w:r>
      <w:r>
        <w:t xml:space="preserve">The impacts of the downstream extension (section Error! Reference source not found.)</w:t>
      </w:r>
      <w:r>
        <w:t xml:space="preserve"> </w:t>
      </w:r>
      <w:r>
        <w:t xml:space="preserve">were assessed using the JRC-GEM-E3 model (General Equilibrium Model for Economy-</w:t>
      </w:r>
      <w:r>
        <w:t xml:space="preserve"> </w:t>
      </w:r>
      <w:r>
        <w:t xml:space="preserve">Energy-Environment).12 JRC-GEM-E3 is a recursive dynamic computable general</w:t>
      </w:r>
      <w:r>
        <w:t xml:space="preserve"> </w:t>
      </w:r>
      <w:r>
        <w:t xml:space="preserve">equilibrium (CGE) model and as such factors in the dynamic response to the dual cost push</w:t>
      </w:r>
      <w:r>
        <w:t xml:space="preserve"> </w:t>
      </w:r>
      <w:r>
        <w:t xml:space="preserve">described in the problem definition (section Error! Reference source not found.). Being</w:t>
      </w:r>
      <w:r>
        <w:t xml:space="preserve"> </w:t>
      </w:r>
      <w:r>
        <w:t xml:space="preserve">a global model, it covers the EU alongside 23 other major countries or world regions. With</w:t>
      </w:r>
      <w:r>
        <w:t xml:space="preserve"> </w:t>
      </w:r>
      <w:r>
        <w:t xml:space="preserve">a detailed sectoral disaggregation of energy activities (from extraction to production to</w:t>
      </w:r>
      <w:r>
        <w:t xml:space="preserve"> </w:t>
      </w:r>
      <w:r>
        <w:t xml:space="preserve">distribution sectors) as well as endogenous mechanisms to meet carbon emission</w:t>
      </w:r>
      <w:r>
        <w:t xml:space="preserve"> </w:t>
      </w:r>
      <w:r>
        <w:t xml:space="preserve">constraints, JRC-GEM-E3 has been used extensively for the economic analysis of climate</w:t>
      </w:r>
      <w:r>
        <w:t xml:space="preserve"> </w:t>
      </w:r>
      <w:r>
        <w:t xml:space="preserve">and energy policy impacts.</w:t>
      </w:r>
      <w:r>
        <w:t xml:space="preserve"> </w:t>
      </w:r>
      <w:r>
        <w:t xml:space="preserve">Divided into 38 sectors of activity, firms are cost-minimising with constant elasticity of</w:t>
      </w:r>
      <w:r>
        <w:t xml:space="preserve"> </w:t>
      </w:r>
      <w:r>
        <w:t xml:space="preserve">substitution (CES) production functions. Sectors are interlinked by providing goods and</w:t>
      </w:r>
      <w:r>
        <w:t xml:space="preserve"> </w:t>
      </w:r>
      <w:r>
        <w:t xml:space="preserve">services as intermediate production inputs to other sectors. Households are the owner of</w:t>
      </w:r>
      <w:r>
        <w:t xml:space="preserve"> </w:t>
      </w:r>
      <w:r>
        <w:t xml:space="preserve">the factors of production (skilled and unskilled labour and capital) and thereby receive</w:t>
      </w:r>
      <w:r>
        <w:t xml:space="preserve"> </w:t>
      </w:r>
      <w:r>
        <w:t xml:space="preserve">income, used to maximise utility through consumption. Government is considered</w:t>
      </w:r>
      <w:r>
        <w:t xml:space="preserve"> </w:t>
      </w:r>
      <w:r>
        <w:t xml:space="preserve">exogenous, while bilateral trade flows are allowed between countries and regions using the</w:t>
      </w:r>
      <w:r>
        <w:t xml:space="preserve"> </w:t>
      </w:r>
      <w:r>
        <w:t xml:space="preserve">Armington trade formulation where goods from different sectors are imperfect</w:t>
      </w:r>
      <w:r>
        <w:t xml:space="preserve"> </w:t>
      </w:r>
      <w:r>
        <w:t xml:space="preserve">substitutes.13 Key elasticities for the analysis of downstream extension are Armington</w:t>
      </w:r>
      <w:r>
        <w:t xml:space="preserve"> </w:t>
      </w:r>
      <w:r>
        <w:t xml:space="preserve">elasticities, which are taken from the GTAP 11 circular economy database and range</w:t>
      </w:r>
      <w:r>
        <w:t xml:space="preserve"> </w:t>
      </w:r>
      <w:r>
        <w:t xml:space="preserve">between 2.9 and 4.4 for sectors already covered by CBAM, and between 2.8 and 4.4 for</w:t>
      </w:r>
      <w:r>
        <w:t xml:space="preserve"> </w:t>
      </w:r>
      <w:r>
        <w:t xml:space="preserve">the downstream sectors. In addition, the relevant parameters are (1) the elasticity that</w:t>
      </w:r>
      <w:r>
        <w:t xml:space="preserve"> </w:t>
      </w:r>
      <w:r>
        <w:t xml:space="preserve">describes the substitutability between intermediates and the capital-labour-energy</w:t>
      </w:r>
      <w:r>
        <w:t xml:space="preserve"> </w:t>
      </w:r>
      <w:r>
        <w:t xml:space="preserve">aggregate in the production function (σ=0.2), as well as (2) the elasticity that describes the</w:t>
      </w:r>
      <w:r>
        <w:t xml:space="preserve"> </w:t>
      </w:r>
      <w:r>
        <w:t xml:space="preserve">substitutability between different intermediates (σ=0.25). Downstream products that are</w:t>
      </w:r>
      <w:r>
        <w:t xml:space="preserve"> </w:t>
      </w:r>
      <w:r>
        <w:t xml:space="preserve">directly consumed by households are aggregated in a Leontief function into broader</w:t>
      </w:r>
      <w:r>
        <w:t xml:space="preserve"> </w:t>
      </w:r>
      <w:r>
        <w:t xml:space="preserve">product categories for which demand is modelled in a linear expenditure system (LES).</w:t>
      </w:r>
      <w:r>
        <w:t xml:space="preserve"> </w:t>
      </w:r>
      <w:r>
        <w:t xml:space="preserve">In 5-year steps, an equilibrium is achieved at goods and services markets, and for factors</w:t>
      </w:r>
      <w:r>
        <w:t xml:space="preserve"> </w:t>
      </w:r>
      <w:r>
        <w:t xml:space="preserve">of production through adjustments in prices.</w:t>
      </w:r>
      <w:r>
        <w:t xml:space="preserve"> </w:t>
      </w:r>
      <w:r>
        <w:t xml:space="preserve">The model integrates inputs from energy system models (PRIMES for EU Member States</w:t>
      </w:r>
      <w:r>
        <w:t xml:space="preserve"> </w:t>
      </w:r>
      <w:r>
        <w:t xml:space="preserve">and POLES-JRC for the rest of the world) on a number of variables of interest, such as a</w:t>
      </w:r>
      <w:r>
        <w:t xml:space="preserve"> </w:t>
      </w:r>
      <w:r>
        <w:t xml:space="preserve">detailed use of energy products by sectors and households, fuel prices, etc. to include in</w:t>
      </w:r>
      <w:r>
        <w:t xml:space="preserve"> </w:t>
      </w:r>
      <w:r>
        <w:t xml:space="preserve">the baseline. The JRC-GEM-E3 model is then used to compare (various) policy options</w:t>
      </w:r>
    </w:p>
    <w:p>
      <w:pPr>
        <w:pStyle w:val="BodyText"/>
      </w:pPr>
      <w:r>
        <w:t xml:space="preserve">12 See https://ec.europa.eu/jrc/en/gem-e3/model, including for a full documentation of the model.</w:t>
      </w:r>
      <w:r>
        <w:t xml:space="preserve"> </w:t>
      </w:r>
      <w:r>
        <w:t xml:space="preserve">13 The Armington trade model is an economic model that assumes products from different countries are</w:t>
      </w:r>
      <w:r>
        <w:t xml:space="preserve"> </w:t>
      </w:r>
      <w:r>
        <w:t xml:space="preserve">imperfect substitutes, a concept known as</w:t>
      </w:r>
      <w:r>
        <w:t xml:space="preserve"> </w:t>
      </w:r>
      <w:r>
        <w:t xml:space="preserve">“national product differentiation”</w:t>
      </w:r>
      <w:r>
        <w:t xml:space="preserve">. This assumption is widely used</w:t>
      </w:r>
      <w:r>
        <w:t xml:space="preserve"> </w:t>
      </w:r>
      <w:r>
        <w:t xml:space="preserve">in computable general equilibrium (CGE) models to explain why countries simultaneously import and export</w:t>
      </w:r>
      <w:r>
        <w:t xml:space="preserve"> </w:t>
      </w:r>
      <w:r>
        <w:t xml:space="preserve">similar goods. The model’s key parameter is the Armington elasticity, which measures how easily consumers</w:t>
      </w:r>
      <w:r>
        <w:t xml:space="preserve"> </w:t>
      </w:r>
      <w:r>
        <w:t xml:space="preserve">can substitute between domestic and imported goods. Armington, Paul S. (1969).</w:t>
      </w:r>
      <w:r>
        <w:t xml:space="preserve"> </w:t>
      </w:r>
      <w:r>
        <w:t xml:space="preserve">“A Theory of Demand for</w:t>
      </w:r>
      <w:r>
        <w:t xml:space="preserve"> </w:t>
      </w:r>
      <w:r>
        <w:t xml:space="preserve">Products Distinguished by Place of Production”</w:t>
      </w:r>
      <w:r>
        <w:t xml:space="preserve">. Staff Papers - International Monetary Fund. 16 (1): 159.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against this baseline scenario, representing the evolution of the global economy under</w:t>
      </w:r>
      <w:r>
        <w:t xml:space="preserve"> </w:t>
      </w:r>
      <w:r>
        <w:t xml:space="preserve">current energy and climate policies.</w:t>
      </w:r>
      <w:r>
        <w:t xml:space="preserve"> </w:t>
      </w:r>
      <w:r>
        <w:t xml:space="preserve">The JRC-GEM-E3 model is normally used to compare (various) policy options against a</w:t>
      </w:r>
      <w:r>
        <w:t xml:space="preserve"> </w:t>
      </w:r>
      <w:r>
        <w:t xml:space="preserve">baseline scenario, representing the evolution of the global economy under current energy</w:t>
      </w:r>
      <w:r>
        <w:t xml:space="preserve"> </w:t>
      </w:r>
      <w:r>
        <w:t xml:space="preserve">and climate policies.</w:t>
      </w:r>
      <w:r>
        <w:br/>
      </w:r>
      <w:r>
        <w:t xml:space="preserve">Figure 22: A schematic representation of the GEM-E3 model</w:t>
      </w:r>
    </w:p>
    <w:p>
      <w:pPr>
        <w:pStyle w:val="BodyText"/>
      </w:pPr>
      <w:r>
        <w:t xml:space="preserve">Source: JRC-GEM-E3 model</w:t>
      </w:r>
      <w:r>
        <w:t xml:space="preserve"> </w:t>
      </w:r>
      <w:r>
        <w:t xml:space="preserve">The model can be used to assess the impacts of the energy and climate policies on</w:t>
      </w:r>
      <w:r>
        <w:t xml:space="preserve"> </w:t>
      </w:r>
      <w:r>
        <w:t xml:space="preserve">macroeconomic aggregates such as GDP and employment.</w:t>
      </w:r>
      <w:r>
        <w:br/>
      </w:r>
      <w:r>
        <w:t xml:space="preserve">Sources for main data inputs:</w:t>
      </w:r>
      <w:r>
        <w:br/>
      </w:r>
      <w:r>
        <w:t xml:space="preserve">•</w:t>
      </w:r>
      <w:r>
        <w:t xml:space="preserve"> </w:t>
      </w:r>
      <w:r>
        <w:t xml:space="preserve">GTAP 11 circular economy database14 (base year 2017) containing of Input Output</w:t>
      </w:r>
      <w:r>
        <w:t xml:space="preserve"> </w:t>
      </w:r>
      <w:r>
        <w:t xml:space="preserve">tables, National Accounts, Institutional Transactions, Bilateral Trade, Taxes and</w:t>
      </w:r>
      <w:r>
        <w:t xml:space="preserve"> </w:t>
      </w:r>
      <w:r>
        <w:t xml:space="preserve">tariffs.</w:t>
      </w:r>
      <w:r>
        <w:t xml:space="preserve"> </w:t>
      </w:r>
      <w:r>
        <w:t xml:space="preserve">•</w:t>
      </w:r>
      <w:r>
        <w:t xml:space="preserve"> </w:t>
      </w:r>
      <w:r>
        <w:t xml:space="preserve">Consumption matrix to link household consumption by purpose to output of</w:t>
      </w:r>
      <w:r>
        <w:t xml:space="preserve"> </w:t>
      </w:r>
      <w:r>
        <w:t xml:space="preserve">industrial sectors.</w:t>
      </w:r>
      <w:r>
        <w:t xml:space="preserve"> </w:t>
      </w:r>
      <w:r>
        <w:t xml:space="preserve">•</w:t>
      </w:r>
      <w:r>
        <w:t xml:space="preserve"> </w:t>
      </w:r>
      <w:r>
        <w:t xml:space="preserve">Ageing Report and ILO: Employment, Unemployment rate</w:t>
      </w:r>
      <w:r>
        <w:t xml:space="preserve"> </w:t>
      </w:r>
      <w:r>
        <w:t xml:space="preserve">•</w:t>
      </w:r>
      <w:r>
        <w:t xml:space="preserve"> </w:t>
      </w:r>
      <w:r>
        <w:t xml:space="preserve">PRIMES and POLES-JRC: Energy and emission projections</w:t>
      </w:r>
    </w:p>
    <w:p>
      <w:pPr>
        <w:pStyle w:val="BodyText"/>
      </w:pPr>
      <w:r>
        <w:t xml:space="preserve">4.1.2 Adjustments to the JRC-GEM-E3 model</w:t>
      </w:r>
      <w:r>
        <w:t xml:space="preserve"> </w:t>
      </w:r>
      <w:r>
        <w:t xml:space="preserve">To capture the effect on some important sectors for which CBAM might be applied, the</w:t>
      </w:r>
      <w:r>
        <w:t xml:space="preserve"> </w:t>
      </w:r>
      <w:r>
        <w:t xml:space="preserve">sectoral granularity of the JRC-GEM-E3 model was improved for the purposes of the</w:t>
      </w:r>
      <w:r>
        <w:t xml:space="preserve"> </w:t>
      </w:r>
      <w:r>
        <w:t xml:space="preserve">modelling analysis using the new GTAP 11 Circular Economy database, which explicitly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Chepeliev</w:t>
      </w:r>
      <w:r>
        <w:t xml:space="preserve"> </w:t>
      </w:r>
      <w:r>
        <w:t xml:space="preserve">(2025).</w:t>
      </w:r>
      <w:r>
        <w:t xml:space="preserve"> </w:t>
      </w:r>
      <w:r>
        <w:t xml:space="preserve">Global</w:t>
      </w:r>
      <w:r>
        <w:t xml:space="preserve"> </w:t>
      </w:r>
      <w:r>
        <w:t xml:space="preserve">Trade</w:t>
      </w:r>
      <w:r>
        <w:t xml:space="preserve"> </w:t>
      </w:r>
      <w:r>
        <w:t xml:space="preserve">Analysis</w:t>
      </w:r>
      <w:r>
        <w:t xml:space="preserve"> </w:t>
      </w:r>
      <w:r>
        <w:t xml:space="preserve">Project</w:t>
      </w:r>
      <w:r>
        <w:t xml:space="preserve"> </w:t>
      </w:r>
      <w:r>
        <w:t xml:space="preserve">(GTAP)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https://www.gtap.agecon.purdue.edu/events/GTAPVSS/v6n2-2025/GTAPVSS_v6n2.pdf</w:t>
      </w:r>
      <w:r>
        <w:br/>
      </w:r>
      <w:r>
        <w:t xml:space="preserve">Data Base. https://www.gtap.agecon.purdue.edu/events/GTAPVSS/v6n2-2025/GTAPVSS_v6n2.pdf See</w:t>
      </w:r>
      <w:r>
        <w:t xml:space="preserve"> </w:t>
      </w:r>
      <w:r>
        <w:t xml:space="preserve">also Chepeliev et al. (2025) Circular Economy Transition in Europe Requires Ambitious Policies Beyond</w:t>
      </w:r>
      <w:r>
        <w:t xml:space="preserve"> </w:t>
      </w:r>
      <w:r>
        <w:t xml:space="preserve">Climate Mitigation. https://papers.ssrn.com/sol3/papers.cfm?abstract_id=5175563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captures sectors subject to the EU CBAM. This exercise allowed for the model’s</w:t>
      </w:r>
      <w:r>
        <w:t xml:space="preserve"> </w:t>
      </w:r>
      <w:r>
        <w:t xml:space="preserve">underlying database to explicitly feature:</w:t>
      </w:r>
      <w:r>
        <w:t xml:space="preserve"> </w:t>
      </w:r>
      <w:r>
        <w:t xml:space="preserve">•</w:t>
      </w:r>
      <w:r>
        <w:t xml:space="preserve"> </w:t>
      </w:r>
      <w:r>
        <w:t xml:space="preserve">aluminium</w:t>
      </w:r>
      <w:r>
        <w:br/>
      </w:r>
      <w:r>
        <w:t xml:space="preserve">•</w:t>
      </w:r>
      <w:r>
        <w:t xml:space="preserve"> </w:t>
      </w:r>
      <w:r>
        <w:t xml:space="preserve">fertilisers</w:t>
      </w:r>
      <w:r>
        <w:t xml:space="preserve"> </w:t>
      </w:r>
      <w:r>
        <w:t xml:space="preserve">•</w:t>
      </w:r>
      <w:r>
        <w:t xml:space="preserve"> </w:t>
      </w:r>
      <w:r>
        <w:t xml:space="preserve">cement</w:t>
      </w:r>
      <w:r>
        <w:br/>
      </w:r>
      <w:r>
        <w:t xml:space="preserve">•</w:t>
      </w:r>
      <w:r>
        <w:t xml:space="preserve"> </w:t>
      </w:r>
      <w:r>
        <w:t xml:space="preserve">iron and steel (primary production, secondary production, and casting)</w:t>
      </w:r>
      <w:r>
        <w:t xml:space="preserve"> </w:t>
      </w:r>
      <w:r>
        <w:t xml:space="preserve">Compared to the standard GTAP 11 database, the GTAP 11 Circular Economy splits</w:t>
      </w:r>
      <w:r>
        <w:t xml:space="preserve"> </w:t>
      </w:r>
      <w:r>
        <w:t xml:space="preserve">aluminium, fertilisers and cement sectors out of the more aggregate non-ferrous metals,</w:t>
      </w:r>
      <w:r>
        <w:t xml:space="preserve"> </w:t>
      </w:r>
      <w:r>
        <w:t xml:space="preserve">chemicals, non-metallic minerals sectors, respectively. This dataset draws on several</w:t>
      </w:r>
      <w:r>
        <w:t xml:space="preserve"> </w:t>
      </w:r>
      <w:r>
        <w:t xml:space="preserve">sources including trade statistics and thus captures differences in the input structure of</w:t>
      </w:r>
      <w:r>
        <w:t xml:space="preserve"> </w:t>
      </w:r>
      <w:r>
        <w:t xml:space="preserve">these sectors as well as differences in the trade intensity.</w:t>
      </w:r>
      <w:r>
        <w:br/>
      </w:r>
      <w:r>
        <w:t xml:space="preserve">Data checks with emissions reported under the EU ETS (using data from the EU</w:t>
      </w:r>
      <w:r>
        <w:t xml:space="preserve"> </w:t>
      </w:r>
      <w:r>
        <w:t xml:space="preserve">Transaction Log) indicates that emissions generally are reasonably represented at EU level</w:t>
      </w:r>
      <w:r>
        <w:t xml:space="preserve"> </w:t>
      </w:r>
      <w:r>
        <w:t xml:space="preserve">for the CBAM sectors, but some adjustments were made to the database for better</w:t>
      </w:r>
      <w:r>
        <w:t xml:space="preserve"> </w:t>
      </w:r>
      <w:r>
        <w:t xml:space="preserve">harmonization.</w:t>
      </w:r>
      <w:r>
        <w:t xml:space="preserve"> </w:t>
      </w:r>
      <w:r>
        <w:t xml:space="preserve">For the assessment of downstream sectors, additional sectors typically aggregated into</w:t>
      </w:r>
      <w:r>
        <w:t xml:space="preserve"> </w:t>
      </w:r>
      <w:r>
        <w:t xml:space="preserve">other sectors were represented individually in JRC-GEM-E3, such as fabricated metal</w:t>
      </w:r>
      <w:r>
        <w:t xml:space="preserve"> </w:t>
      </w:r>
      <w:r>
        <w:t xml:space="preserve">products.</w:t>
      </w:r>
      <w:r>
        <w:t xml:space="preserve"> </w:t>
      </w:r>
      <w:r>
        <w:t xml:space="preserve">Due to the higher level of sectoral aggregation in the GTAP database compared to the</w:t>
      </w:r>
      <w:r>
        <w:t xml:space="preserve"> </w:t>
      </w:r>
      <w:r>
        <w:t xml:space="preserve">CBAM Regulation, the JRC-GEM-E3 analysis maps the goods in a slightly different way.</w:t>
      </w:r>
      <w:r>
        <w:t xml:space="preserve"> </w:t>
      </w:r>
      <w:r>
        <w:t xml:space="preserve">This is relevant for the impacts on emissions (section 6.2) and macroeconomic impacts</w:t>
      </w:r>
      <w:r>
        <w:t xml:space="preserve"> </w:t>
      </w:r>
      <w:r>
        <w:t xml:space="preserve">(section 6.3.2.1), where “CBAM” is reported vs “Downstream”.</w:t>
      </w:r>
      <w:r>
        <w:br/>
      </w:r>
      <w:r>
        <w:t xml:space="preserve">4.1.3 Baseline scenario: CBAM without downstream extension</w:t>
      </w:r>
      <w:r>
        <w:t xml:space="preserve"> </w:t>
      </w:r>
      <w:r>
        <w:t xml:space="preserve">The baseline scenario is a scenario that follows current policies and trends, including the</w:t>
      </w:r>
      <w:r>
        <w:t xml:space="preserve"> </w:t>
      </w:r>
      <w:r>
        <w:t xml:space="preserve">CBAM as currently legislated. The scenario includes the implementation of the policies</w:t>
      </w:r>
      <w:r>
        <w:t xml:space="preserve"> </w:t>
      </w:r>
      <w:r>
        <w:t xml:space="preserve">from the Fit for 55 and REPowerEU packages that are already legislated. This includes the</w:t>
      </w:r>
      <w:r>
        <w:t xml:space="preserve"> </w:t>
      </w:r>
      <w:r>
        <w:t xml:space="preserve">strengthening of the ETS, phasing out free allowances and phasing in CBAM. Following</w:t>
      </w:r>
      <w:r>
        <w:t xml:space="preserve"> </w:t>
      </w:r>
      <w:r>
        <w:t xml:space="preserve">the scenarios that were developed for the 2040 climate target impact assessment,15 carbon</w:t>
      </w:r>
      <w:r>
        <w:t xml:space="preserve"> </w:t>
      </w:r>
      <w:r>
        <w:t xml:space="preserve">prices in the EU ETS are assumed to be EUR2015 115 and EUR2015 125 in 2030 and 2035,</w:t>
      </w:r>
      <w:r>
        <w:t xml:space="preserve"> </w:t>
      </w:r>
      <w:r>
        <w:t xml:space="preserve">respectively. Carbon prices are an exogenous input parameter to a scenario without the</w:t>
      </w:r>
      <w:r>
        <w:t xml:space="preserve"> </w:t>
      </w:r>
      <w:r>
        <w:t xml:space="preserve">phase out of free allowances and without the phase in of CBAM (No CBAM), but then</w:t>
      </w:r>
      <w:r>
        <w:t xml:space="preserve"> </w:t>
      </w:r>
      <w:r>
        <w:t xml:space="preserve">adjust endogenously in the model in all other scenarios. This endogenous adjustment of</w:t>
      </w:r>
      <w:r>
        <w:t xml:space="preserve"> </w:t>
      </w:r>
      <w:r>
        <w:t xml:space="preserve">carbon prices in the other scenarios is very minimal, leaving carbon prices essentially</w:t>
      </w:r>
      <w:r>
        <w:t xml:space="preserve"> </w:t>
      </w:r>
      <w:r>
        <w:t xml:space="preserve">unchanged from the aforementioned 115 and 125 euro. This small endogenous adjustment</w:t>
      </w:r>
      <w:r>
        <w:t xml:space="preserve"> </w:t>
      </w:r>
      <w:r>
        <w:t xml:space="preserve">of carbon prices is due to the small size of CBAM downstream imports compared to the</w:t>
      </w:r>
      <w:r>
        <w:t xml:space="preserve"> </w:t>
      </w:r>
      <w:r>
        <w:t xml:space="preserve">total size of the EU sectors playing a role in ETS. Lower (higher) carbon prices would lead</w:t>
      </w:r>
      <w:r>
        <w:t xml:space="preserve"> </w:t>
      </w:r>
      <w:r>
        <w:t xml:space="preserve">to a weaker (stronger) response in terms of imports, output, and emissions. The impact on</w:t>
      </w:r>
      <w:r>
        <w:t xml:space="preserve"> </w:t>
      </w:r>
      <w:r>
        <w:t xml:space="preserve">leakage rates would be more uncertain, both when phasing out free allowances, as well as</w:t>
      </w:r>
      <w:r>
        <w:t xml:space="preserve"> </w:t>
      </w:r>
      <w:r>
        <w:t xml:space="preserve">when introducing CBAM (including the extension to downstream products).</w:t>
      </w:r>
    </w:p>
    <w:p>
      <w:pPr>
        <w:pStyle w:val="BodyText"/>
      </w:pPr>
      <w:r>
        <w:t xml:space="preserve">15 Europe’s 2040 climate target and path to climate neutrality by 2050 building a sustainable, just and</w:t>
      </w:r>
      <w:r>
        <w:t xml:space="preserve"> </w:t>
      </w:r>
      <w:r>
        <w:t xml:space="preserve">prosperous society, European Commission, SWD(2024)63.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The rest of the world is assumed to follow a current policy scenario derived from the Global</w:t>
      </w:r>
      <w:r>
        <w:t xml:space="preserve"> </w:t>
      </w:r>
      <w:r>
        <w:t xml:space="preserve">Energy and Climate Outlook 2024. This scenario assumes that third countries follow</w:t>
      </w:r>
      <w:r>
        <w:t xml:space="preserve"> </w:t>
      </w:r>
      <w:r>
        <w:t xml:space="preserve">existing policies, but do not necessarily reach their National Determined Contributions</w:t>
      </w:r>
      <w:r>
        <w:t xml:space="preserve"> </w:t>
      </w:r>
      <w:r>
        <w:t xml:space="preserve">(NDCs) under the Paris Agreement if these targets are not backed by specific policies. The</w:t>
      </w:r>
      <w:r>
        <w:t xml:space="preserve"> </w:t>
      </w:r>
      <w:r>
        <w:t xml:space="preserve">UK and EFTA countries are assumed to have climate policy of equal stringency in place</w:t>
      </w:r>
      <w:r>
        <w:t xml:space="preserve"> </w:t>
      </w:r>
      <w:r>
        <w:t xml:space="preserve">as the EU, e.g. a carbon price that is effectively paid equal to those in the EU ETS, hence</w:t>
      </w:r>
      <w:r>
        <w:t xml:space="preserve"> </w:t>
      </w:r>
      <w:r>
        <w:t xml:space="preserve">there are no CBAM payments from these countries.</w:t>
      </w:r>
      <w:r>
        <w:t xml:space="preserve"> </w:t>
      </w:r>
      <w:r>
        <w:t xml:space="preserve">To reflect the role of ETS free allocations and the corresponding CBAM factor for imports</w:t>
      </w:r>
      <w:r>
        <w:t xml:space="preserve"> </w:t>
      </w:r>
      <w:r>
        <w:t xml:space="preserve">of goods covered, an adjustment factor is applied to the emissions subject to CBAM in the</w:t>
      </w:r>
      <w:r>
        <w:t xml:space="preserve"> </w:t>
      </w:r>
      <w:r>
        <w:t xml:space="preserve">JRC-GEM-E3 model. The factor is derived from CN code specific trade flows and</w:t>
      </w:r>
      <w:r>
        <w:t xml:space="preserve"> </w:t>
      </w:r>
      <w:r>
        <w:t xml:space="preserve">corresponding emission intensities derived from a JRC study.</w:t>
      </w:r>
      <w:r>
        <w:t xml:space="preserve"> </w:t>
      </w:r>
      <w:r>
        <w:t xml:space="preserve">The current CBAM regulation already covers some products that are outside the basic</w:t>
      </w:r>
      <w:r>
        <w:t xml:space="preserve"> </w:t>
      </w:r>
      <w:r>
        <w:t xml:space="preserve">CBAM sectors in the sectoral classification of the JRC-GEM-E3 model. In particular,</w:t>
      </w:r>
      <w:r>
        <w:t xml:space="preserve"> </w:t>
      </w:r>
      <w:r>
        <w:t xml:space="preserve">about two thirds of emissions in the EU imports of fabricated metal products are already</w:t>
      </w:r>
      <w:r>
        <w:t xml:space="preserve"> </w:t>
      </w:r>
      <w:r>
        <w:t xml:space="preserve">covered by the current legislation. This is reflected in the baseline scenario where a CBAM</w:t>
      </w:r>
      <w:r>
        <w:t xml:space="preserve"> </w:t>
      </w:r>
      <w:r>
        <w:t xml:space="preserve">is levied on a share of the imports of fabricated metal products.</w:t>
      </w:r>
      <w:r>
        <w:br/>
      </w:r>
      <w:r>
        <w:t xml:space="preserve">4.1.4 Downstream scenarios (option 1, 2, 3)</w:t>
      </w:r>
      <w:r>
        <w:t xml:space="preserve"> </w:t>
      </w:r>
      <w:r>
        <w:t xml:space="preserve">To assess the policy scenarios with a varying share of additional downstream coverage,</w:t>
      </w:r>
      <w:r>
        <w:t xml:space="preserve"> </w:t>
      </w:r>
      <w:r>
        <w:t xml:space="preserve">the share of emissions originating from metals (steel and aluminum) production embodied</w:t>
      </w:r>
      <w:r>
        <w:t xml:space="preserve"> </w:t>
      </w:r>
      <w:r>
        <w:t xml:space="preserve">in the trade of downstream products was implemented by using detailed trade data at</w:t>
      </w:r>
      <w:r>
        <w:t xml:space="preserve"> </w:t>
      </w:r>
      <w:r>
        <w:t xml:space="preserve">product level. In a first step, the weight of the steel and aluminum content in the products</w:t>
      </w:r>
      <w:r>
        <w:t xml:space="preserve"> </w:t>
      </w:r>
      <w:r>
        <w:t xml:space="preserve">covered by the policy scenarios was calculated, using assumptions for the share of these</w:t>
      </w:r>
      <w:r>
        <w:t xml:space="preserve"> </w:t>
      </w:r>
      <w:r>
        <w:t xml:space="preserve">metals in each individual product group. The weight of CBAM metals in individual product</w:t>
      </w:r>
      <w:r>
        <w:t xml:space="preserve"> </w:t>
      </w:r>
      <w:r>
        <w:t xml:space="preserve">groups (at CN code level) were then aggregated in the broader JRC-GEM-E3 sectors and</w:t>
      </w:r>
      <w:r>
        <w:t xml:space="preserve"> </w:t>
      </w:r>
      <w:r>
        <w:t xml:space="preserve">this was used to attribute a share of the total emissions in the broader sectors to the products</w:t>
      </w:r>
      <w:r>
        <w:t xml:space="preserve"> </w:t>
      </w:r>
      <w:r>
        <w:t xml:space="preserve">covered under CBAM.</w:t>
      </w:r>
      <w:r>
        <w:t xml:space="preserve"> </w:t>
      </w:r>
      <w:r>
        <w:t xml:space="preserve">The sectoral granularity of the JRC-GEM-E3 model remains more aggregate than the</w:t>
      </w:r>
      <w:r>
        <w:t xml:space="preserve"> </w:t>
      </w:r>
      <w:r>
        <w:t xml:space="preserve">product groups of individual CN codes. This implies that the sectoral results provide an</w:t>
      </w:r>
      <w:r>
        <w:t xml:space="preserve"> </w:t>
      </w:r>
      <w:r>
        <w:t xml:space="preserve">average of products that are covered and not covered under different policy options. Prices</w:t>
      </w:r>
      <w:r>
        <w:t xml:space="preserve"> </w:t>
      </w:r>
      <w:r>
        <w:t xml:space="preserve">for individual goods with a higher metals share may thus be subject to higher price</w:t>
      </w:r>
      <w:r>
        <w:t xml:space="preserve"> </w:t>
      </w:r>
      <w:r>
        <w:t xml:space="preserve">increases as shown by calculations at more disaggregated product level.16</w:t>
      </w:r>
      <w:r>
        <w:t xml:space="preserve"> </w:t>
      </w:r>
      <w:r>
        <w:t xml:space="preserve">4.1.5 Variables, sectors, regions in the JRC-GEM-E3 model</w:t>
      </w:r>
      <w:r>
        <w:t xml:space="preserve"> </w:t>
      </w:r>
      <w:r>
        <w:t xml:space="preserve">The model estimates a number of variables. For this analysis, the following are analysed,</w:t>
      </w:r>
      <w:r>
        <w:t xml:space="preserve"> </w:t>
      </w:r>
      <w:r>
        <w:t xml:space="preserve">per CBAM and downstream sector: output, imports, export, investments, employment,</w:t>
      </w:r>
      <w:r>
        <w:t xml:space="preserve"> </w:t>
      </w:r>
      <w:r>
        <w:t xml:space="preserve">CO2 emissions and overall GHG emissions, and CBAM revenues. The sectors are listed in</w:t>
      </w:r>
      <w:r>
        <w:t xml:space="preserve"> </w:t>
      </w:r>
      <w:r>
        <w:t xml:space="preserve">Table 1. By comparing the estimates for the “CBAM” (as is) scenario to the three</w:t>
      </w:r>
      <w:r>
        <w:t xml:space="preserve"> </w:t>
      </w:r>
      <w:r>
        <w:t xml:space="preserve">downstream extension options, we obtain the estimated impact of the downstream</w:t>
      </w:r>
      <w:r>
        <w:t xml:space="preserve"> </w:t>
      </w:r>
      <w:r>
        <w:t xml:space="preserve">extension.</w:t>
      </w:r>
    </w:p>
    <w:p>
      <w:pPr>
        <w:pStyle w:val="BodyText"/>
      </w:pPr>
      <w:r>
        <w:t xml:space="preserve">16 Stede, J., Pauliuk, S., Hardadi, G., &amp; Neuhoff, K. (2021). Carbon pricing of basic materials: Incentives</w:t>
      </w:r>
      <w:r>
        <w:t xml:space="preserve"> </w:t>
      </w:r>
      <w:r>
        <w:t xml:space="preserve">and risks for the value chain and consumers. Ecological Economics, 189, 107168.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Table 1: Sectors in the JRC-GEM-E3 model</w:t>
      </w:r>
      <w:r>
        <w:t xml:space="preserve"> </w:t>
      </w:r>
      <w:r>
        <w:t xml:space="preserve">Sectors in the JRC-GEM-E3 model</w:t>
      </w:r>
      <w:r>
        <w:t xml:space="preserve"> </w:t>
      </w:r>
      <w:r>
        <w:t xml:space="preserve">Power generation technologies modelled as sectors in</w:t>
      </w:r>
      <w:r>
        <w:t xml:space="preserve"> </w:t>
      </w:r>
      <w:r>
        <w:t xml:space="preserve">the JRC-GEM-E3 model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Coal fired</w:t>
      </w:r>
      <w:r>
        <w:t xml:space="preserve"> </w:t>
      </w:r>
      <w:r>
        <w:t xml:space="preserve">Cement</w:t>
      </w:r>
      <w:r>
        <w:t xml:space="preserve"> </w:t>
      </w:r>
      <w:r>
        <w:t xml:space="preserve">Oil fired</w:t>
      </w:r>
      <w:r>
        <w:t xml:space="preserve"> </w:t>
      </w:r>
      <w:r>
        <w:t xml:space="preserve">Fertilizer</w:t>
      </w:r>
      <w:r>
        <w:t xml:space="preserve"> </w:t>
      </w:r>
      <w:r>
        <w:t xml:space="preserve">Gas fired</w:t>
      </w:r>
      <w:r>
        <w:t xml:space="preserve"> </w:t>
      </w:r>
      <w:r>
        <w:t xml:space="preserve">Aluminium</w:t>
      </w:r>
      <w:r>
        <w:t xml:space="preserve"> </w:t>
      </w:r>
      <w:r>
        <w:t xml:space="preserve">Nuclear</w:t>
      </w:r>
      <w:r>
        <w:t xml:space="preserve"> </w:t>
      </w:r>
      <w:r>
        <w:t xml:space="preserve">Iron and steel casting</w:t>
      </w:r>
      <w:r>
        <w:t xml:space="preserve"> </w:t>
      </w:r>
      <w:r>
        <w:t xml:space="preserve">Biomass</w:t>
      </w:r>
      <w:r>
        <w:t xml:space="preserve"> </w:t>
      </w:r>
      <w:r>
        <w:t xml:space="preserve">Fabricated metal products</w:t>
      </w:r>
      <w:r>
        <w:br/>
      </w:r>
      <w:r>
        <w:t xml:space="preserve">Hydro</w:t>
      </w:r>
      <w:r>
        <w:br/>
      </w:r>
      <w:r>
        <w:t xml:space="preserve">Motor vehicles and parts</w:t>
      </w:r>
      <w:r>
        <w:t xml:space="preserve"> </w:t>
      </w:r>
      <w:r>
        <w:t xml:space="preserve">Wind</w:t>
      </w:r>
      <w:r>
        <w:t xml:space="preserve"> </w:t>
      </w:r>
      <w:r>
        <w:t xml:space="preserve">Other transport equipment</w:t>
      </w:r>
      <w:r>
        <w:t xml:space="preserve"> </w:t>
      </w:r>
      <w:r>
        <w:t xml:space="preserve">Solar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Electronic products and electrical equipment</w:t>
      </w:r>
      <w:r>
        <w:t xml:space="preserve"> </w:t>
      </w:r>
      <w:r>
        <w:t xml:space="preserve">Coal</w:t>
      </w:r>
      <w:r>
        <w:t xml:space="preserve"> </w:t>
      </w:r>
      <w:r>
        <w:t xml:space="preserve">Crude oil</w:t>
      </w:r>
      <w:r>
        <w:t xml:space="preserve"> </w:t>
      </w:r>
      <w:r>
        <w:t xml:space="preserve">Oil</w:t>
      </w:r>
      <w:r>
        <w:t xml:space="preserve"> </w:t>
      </w:r>
      <w:r>
        <w:t xml:space="preserve">Gas</w:t>
      </w:r>
      <w:r>
        <w:t xml:space="preserve"> </w:t>
      </w:r>
      <w:r>
        <w:t xml:space="preserve">Electricity supply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Plastics</w:t>
      </w:r>
      <w:r>
        <w:t xml:space="preserve"> </w:t>
      </w:r>
      <w:r>
        <w:t xml:space="preserve">Paper products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Construction</w:t>
      </w:r>
      <w:r>
        <w:t xml:space="preserve"> </w:t>
      </w:r>
      <w:r>
        <w:t xml:space="preserve">Transport (air)</w:t>
      </w:r>
      <w:r>
        <w:t xml:space="preserve"> </w:t>
      </w:r>
      <w:r>
        <w:t xml:space="preserve">Transport (land)</w:t>
      </w:r>
      <w:r>
        <w:t xml:space="preserve"> </w:t>
      </w:r>
      <w:r>
        <w:t xml:space="preserve">Transport (water)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Non-market services</w:t>
      </w:r>
      <w:r>
        <w:t xml:space="preserve"> </w:t>
      </w:r>
      <w:r>
        <w:t xml:space="preserve">Crops</w:t>
      </w:r>
      <w:r>
        <w:t xml:space="preserve"> </w:t>
      </w:r>
      <w:r>
        <w:t xml:space="preserve">Livestock</w:t>
      </w:r>
      <w:r>
        <w:t xml:space="preserve"> </w:t>
      </w:r>
      <w:r>
        <w:t xml:space="preserve">Forestry</w:t>
      </w:r>
      <w:r>
        <w:t xml:space="preserve"> </w:t>
      </w:r>
      <w:r>
        <w:t xml:space="preserve">Note: Sectors in bold are considered basic good sectors. Sectors in italics are considered</w:t>
      </w:r>
      <w:r>
        <w:t xml:space="preserve"> </w:t>
      </w:r>
      <w:r>
        <w:t xml:space="preserve">for the downstream analysis. Part of the Fabricated Metal Products sector is already</w:t>
      </w:r>
      <w:r>
        <w:t xml:space="preserve"> </w:t>
      </w:r>
      <w:r>
        <w:t xml:space="preserve">covered under the current CBAM Regulation.</w:t>
      </w:r>
      <w:r>
        <w:t xml:space="preserve"> </w:t>
      </w:r>
      <w:r>
        <w:t xml:space="preserve">The model divides the world in 50 regions or countries (including the 27 EU member</w:t>
      </w:r>
      <w:r>
        <w:t xml:space="preserve"> </w:t>
      </w:r>
      <w:r>
        <w:t xml:space="preserve">states) as reported in Table 2 below.</w:t>
      </w:r>
      <w:r>
        <w:br/>
      </w:r>
      <w:r>
        <w:t xml:space="preserve">Table 2: Regions in the JRC-GEM-E3 modelling</w:t>
      </w:r>
      <w:r>
        <w:t xml:space="preserve"> </w:t>
      </w:r>
      <w:r>
        <w:t xml:space="preserve">Code</w:t>
      </w:r>
      <w:r>
        <w:t xml:space="preserve"> </w:t>
      </w:r>
      <w:r>
        <w:t xml:space="preserve">Region</w:t>
      </w:r>
      <w:r>
        <w:t xml:space="preserve"> </w:t>
      </w:r>
      <w:r>
        <w:t xml:space="preserve">AFR</w:t>
      </w:r>
      <w:r>
        <w:t xml:space="preserve"> </w:t>
      </w:r>
      <w:r>
        <w:t xml:space="preserve">Other Africa</w:t>
      </w:r>
      <w:r>
        <w:t xml:space="preserve"> </w:t>
      </w:r>
      <w:r>
        <w:t xml:space="preserve">AUS</w:t>
      </w:r>
      <w:r>
        <w:t xml:space="preserve"> </w:t>
      </w:r>
      <w:r>
        <w:t xml:space="preserve">Australia</w:t>
      </w:r>
      <w:r>
        <w:t xml:space="preserve"> </w:t>
      </w:r>
      <w:r>
        <w:t xml:space="preserve">BRA</w:t>
      </w:r>
      <w:r>
        <w:t xml:space="preserve"> </w:t>
      </w:r>
      <w:r>
        <w:t xml:space="preserve">Brazil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CAN</w:t>
      </w:r>
      <w:r>
        <w:t xml:space="preserve"> </w:t>
      </w:r>
      <w:r>
        <w:t xml:space="preserve">Canada</w:t>
      </w:r>
      <w:r>
        <w:t xml:space="preserve"> </w:t>
      </w:r>
      <w:r>
        <w:t xml:space="preserve">CHE</w:t>
      </w:r>
      <w:r>
        <w:t xml:space="preserve"> </w:t>
      </w:r>
      <w:r>
        <w:t xml:space="preserve">Switzerland</w:t>
      </w:r>
      <w:r>
        <w:t xml:space="preserve"> </w:t>
      </w:r>
      <w:r>
        <w:t xml:space="preserve">CHN</w:t>
      </w:r>
      <w:r>
        <w:t xml:space="preserve"> </w:t>
      </w:r>
      <w:r>
        <w:t xml:space="preserve">China</w:t>
      </w:r>
      <w:r>
        <w:t xml:space="preserve"> </w:t>
      </w:r>
      <w:r>
        <w:t xml:space="preserve">EFA</w:t>
      </w:r>
      <w:r>
        <w:t xml:space="preserve"> </w:t>
      </w:r>
      <w:r>
        <w:t xml:space="preserve">Norway + Iceland</w:t>
      </w:r>
      <w:r>
        <w:t xml:space="preserve"> </w:t>
      </w:r>
      <w:r>
        <w:t xml:space="preserve">EUR</w:t>
      </w:r>
      <w:r>
        <w:t xml:space="preserve"> </w:t>
      </w:r>
      <w:r>
        <w:t xml:space="preserve">EU27</w:t>
      </w:r>
      <w:r>
        <w:t xml:space="preserve"> </w:t>
      </w:r>
      <w:r>
        <w:t xml:space="preserve">GBR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GLF</w:t>
      </w:r>
      <w:r>
        <w:t xml:space="preserve"> </w:t>
      </w:r>
      <w:r>
        <w:t xml:space="preserve">Gulf region</w:t>
      </w:r>
      <w:r>
        <w:t xml:space="preserve"> </w:t>
      </w:r>
      <w:r>
        <w:t xml:space="preserve">IND</w:t>
      </w:r>
      <w:r>
        <w:t xml:space="preserve"> </w:t>
      </w:r>
      <w:r>
        <w:t xml:space="preserve">India</w:t>
      </w:r>
      <w:r>
        <w:t xml:space="preserve"> </w:t>
      </w:r>
      <w:r>
        <w:t xml:space="preserve">JPN</w:t>
      </w:r>
      <w:r>
        <w:t xml:space="preserve"> </w:t>
      </w:r>
      <w:r>
        <w:t xml:space="preserve">Japan</w:t>
      </w:r>
      <w:r>
        <w:t xml:space="preserve"> </w:t>
      </w:r>
      <w:r>
        <w:t xml:space="preserve">KOR</w:t>
      </w:r>
      <w:r>
        <w:t xml:space="preserve"> </w:t>
      </w:r>
      <w:r>
        <w:t xml:space="preserve">South Korea</w:t>
      </w:r>
      <w:r>
        <w:t xml:space="preserve"> </w:t>
      </w:r>
      <w:r>
        <w:t xml:space="preserve">MEA</w:t>
      </w:r>
      <w:r>
        <w:t xml:space="preserve"> </w:t>
      </w:r>
      <w:r>
        <w:t xml:space="preserve">Middle East</w:t>
      </w:r>
      <w:r>
        <w:t xml:space="preserve"> </w:t>
      </w:r>
      <w:r>
        <w:t xml:space="preserve">MEX</w:t>
      </w:r>
      <w:r>
        <w:t xml:space="preserve"> </w:t>
      </w:r>
      <w:r>
        <w:t xml:space="preserve">Mexico</w:t>
      </w:r>
      <w:r>
        <w:t xml:space="preserve"> </w:t>
      </w:r>
      <w:r>
        <w:t xml:space="preserve">NOA</w:t>
      </w:r>
      <w:r>
        <w:t xml:space="preserve"> </w:t>
      </w:r>
      <w:r>
        <w:t xml:space="preserve">North Africa</w:t>
      </w:r>
      <w:r>
        <w:t xml:space="preserve"> </w:t>
      </w:r>
      <w:r>
        <w:t xml:space="preserve">OAM</w:t>
      </w:r>
      <w:r>
        <w:t xml:space="preserve"> </w:t>
      </w:r>
      <w:r>
        <w:t xml:space="preserve">Other Americas</w:t>
      </w:r>
      <w:r>
        <w:t xml:space="preserve"> </w:t>
      </w:r>
      <w:r>
        <w:t xml:space="preserve">OAS</w:t>
      </w:r>
      <w:r>
        <w:t xml:space="preserve"> </w:t>
      </w:r>
      <w:r>
        <w:t xml:space="preserve">Other Asia + Pacific</w:t>
      </w:r>
      <w:r>
        <w:t xml:space="preserve"> </w:t>
      </w:r>
      <w:r>
        <w:t xml:space="preserve">REU</w:t>
      </w:r>
      <w:r>
        <w:t xml:space="preserve"> </w:t>
      </w:r>
      <w:r>
        <w:t xml:space="preserve">Rest of Europe</w:t>
      </w:r>
      <w:r>
        <w:t xml:space="preserve"> </w:t>
      </w:r>
      <w:r>
        <w:t xml:space="preserve">RUS</w:t>
      </w:r>
      <w:r>
        <w:t xml:space="preserve"> </w:t>
      </w:r>
      <w:r>
        <w:t xml:space="preserve">Russian Federation</w:t>
      </w:r>
      <w:r>
        <w:t xml:space="preserve"> </w:t>
      </w:r>
      <w:r>
        <w:t xml:space="preserve">SAF</w:t>
      </w:r>
      <w:r>
        <w:t xml:space="preserve"> </w:t>
      </w:r>
      <w:r>
        <w:t xml:space="preserve">South Africa</w:t>
      </w:r>
      <w:r>
        <w:t xml:space="preserve"> </w:t>
      </w:r>
      <w:r>
        <w:t xml:space="preserve">TUR</w:t>
      </w:r>
      <w:r>
        <w:t xml:space="preserve"> </w:t>
      </w:r>
      <w:r>
        <w:t xml:space="preserve">Türkiye</w:t>
      </w:r>
      <w:r>
        <w:t xml:space="preserve"> </w:t>
      </w:r>
      <w:r>
        <w:t xml:space="preserve">UKR</w:t>
      </w:r>
      <w:r>
        <w:t xml:space="preserve"> </w:t>
      </w:r>
      <w:r>
        <w:t xml:space="preserve">Ukraine</w:t>
      </w:r>
      <w:r>
        <w:t xml:space="preserve"> </w:t>
      </w:r>
      <w:r>
        <w:t xml:space="preserve">USA</w:t>
      </w:r>
      <w:r>
        <w:t xml:space="preserve"> </w:t>
      </w:r>
      <w:r>
        <w:t xml:space="preserve">USA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Downstream carbon leakage list: selection methodology</w:t>
      </w:r>
      <w:r>
        <w:t xml:space="preserve"> </w:t>
      </w:r>
      <w:r>
        <w:t xml:space="preserve">The analysis has assessed 1,560 Prodcom17 codes, which have been identified to be</w:t>
      </w:r>
      <w:r>
        <w:t xml:space="preserve"> </w:t>
      </w:r>
      <w:r>
        <w:t xml:space="preserve">downstream to current CBAM goods18. These Prodcom codes are then mapped to</w:t>
      </w:r>
      <w:r>
        <w:t xml:space="preserve"> </w:t>
      </w:r>
      <w:r>
        <w:t xml:space="preserve">corresponding Combined Nomenclature (CN) codes.</w:t>
      </w:r>
      <w:r>
        <w:t xml:space="preserve"> </w:t>
      </w:r>
      <w:r>
        <w:t xml:space="preserve">For the selection of downstream goods at risk of carbon leakage two main filters were used.</w:t>
      </w:r>
      <w:r>
        <w:t xml:space="preserve"> </w:t>
      </w:r>
      <w:r>
        <w:t xml:space="preserve">A carbon leakage filter and a filter setting an EU production emission floor.</w:t>
      </w:r>
      <w:r>
        <w:br/>
      </w:r>
      <w:r>
        <w:t xml:space="preserve">The carbon leakage filter follows the approach taken by the EU ETS phase 3 and phase</w:t>
      </w:r>
      <w:r>
        <w:t xml:space="preserve"> </w:t>
      </w:r>
      <w:r>
        <w:t xml:space="preserve">4 carbon leakage indicators. Specifically, downstream leakage risk was determined both</w:t>
      </w:r>
      <w:r>
        <w:t xml:space="preserve"> </w:t>
      </w:r>
      <w:r>
        <w:t xml:space="preserve">on the basis of tradability and cost push of goods.</w:t>
      </w:r>
      <w:r>
        <w:br/>
      </w:r>
      <w:r>
        <w:t xml:space="preserve">Tradability is proxied with the trade intensity, which exactly mirrors the approach used</w:t>
      </w:r>
      <w:r>
        <w:t xml:space="preserve"> </w:t>
      </w:r>
      <w:r>
        <w:t xml:space="preserve">by the EU ETS. For each downstream good, the trade intensity is obtained. For this, we</w:t>
      </w:r>
      <w:r>
        <w:t xml:space="preserve"> </w:t>
      </w:r>
      <w:r>
        <w:t xml:space="preserve">use imports, exports and production data from Eurostat’s Prodcom data for 2016-2023. We</w:t>
      </w:r>
      <w:r>
        <w:t xml:space="preserve"> </w:t>
      </w:r>
      <w:r>
        <w:t xml:space="preserve">use the median value among these years.</w:t>
      </w:r>
    </w:p>
    <w:p>
      <w:pPr>
        <w:pStyle w:val="BodyText"/>
      </w:pPr>
      <w:r>
        <w:t xml:space="preserve">17 Production Communautaire (Prodcom) classification for EU industrial production, where carbon leakage might</w:t>
      </w:r>
      <w:r>
        <w:t xml:space="preserve"> </w:t>
      </w:r>
      <w:r>
        <w:t xml:space="preserve">occur, and the Combined Nomenclature (CN) system for traded goods, i.e., imports that might then be subjected to</w:t>
      </w:r>
      <w:r>
        <w:t xml:space="preserve"> </w:t>
      </w:r>
      <w:r>
        <w:t xml:space="preserve">CBAM. We use the 2023 version.</w:t>
      </w:r>
      <w:r>
        <w:t xml:space="preserve"> </w:t>
      </w:r>
      <w:r>
        <w:t xml:space="preserve">18 The following downstream products are considered out-of-scope. 1. Downstream “products” of electricity as its</w:t>
      </w:r>
      <w:r>
        <w:t xml:space="preserve"> </w:t>
      </w:r>
      <w:r>
        <w:t xml:space="preserve">emissions are considered ‘indirect emissions’, thereby decoupling electricity from the consideration of value chains. 2.</w:t>
      </w:r>
      <w:r>
        <w:t xml:space="preserve"> </w:t>
      </w:r>
      <w:r>
        <w:t xml:space="preserve">Downstream “products” of hydrogen and ammonia when used as a fuel and downstream products that could be used to</w:t>
      </w:r>
      <w:r>
        <w:t xml:space="preserve"> </w:t>
      </w:r>
      <w:r>
        <w:t xml:space="preserve">“carry” hydrogen.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The cost push, in turn, stands in analogy to the emission intensity in the ETS CLI formula.</w:t>
      </w:r>
      <w:r>
        <w:t xml:space="preserve"> </w:t>
      </w:r>
      <w:r>
        <w:t xml:space="preserve">It is estimated at Prodcom level and then mapped to CN codes. In other words, economic</w:t>
      </w:r>
      <w:r>
        <w:t xml:space="preserve"> </w:t>
      </w:r>
      <w:r>
        <w:t xml:space="preserve">activity data is mapped to trade data, since emissions data are generally measured at</w:t>
      </w:r>
      <w:r>
        <w:t xml:space="preserve"> </w:t>
      </w:r>
      <w:r>
        <w:t xml:space="preserve">economic activity level, while CBAM applies at trade level. Like for trade intensity, we</w:t>
      </w:r>
      <w:r>
        <w:t xml:space="preserve"> </w:t>
      </w:r>
      <w:r>
        <w:t xml:space="preserve">used the median in the range of years. The cost push is derived from the emissions that go</w:t>
      </w:r>
      <w:r>
        <w:t xml:space="preserve"> </w:t>
      </w:r>
      <w:r>
        <w:t xml:space="preserve">into total weight of the downstream good 𝑖, per euro of gross value added, multiplied by</w:t>
      </w:r>
      <w:r>
        <w:t xml:space="preserve"> </w:t>
      </w:r>
      <w:r>
        <w:t xml:space="preserve">the projected effective carbon price in the 2030 (reference year). The higher the value</w:t>
      </w:r>
      <w:r>
        <w:t xml:space="preserve"> </w:t>
      </w:r>
      <w:r>
        <w:t xml:space="preserve">added, the less of a marginal impact the cost push will have on competitiveness. For the</w:t>
      </w:r>
      <w:r>
        <w:t xml:space="preserve"> </w:t>
      </w:r>
      <w:r>
        <w:t xml:space="preserve">calculation of the cost push emission intensities are drawn from the JRC (Vidovic et al. </w:t>
      </w:r>
      <w:r>
        <w:t xml:space="preserve"> </w:t>
      </w:r>
      <w:r>
        <w:t xml:space="preserve">2023) and estimates of product composition from a database available in the downstream</w:t>
      </w:r>
      <w:r>
        <w:t xml:space="preserve"> </w:t>
      </w:r>
      <w:r>
        <w:t xml:space="preserve">study (Stede et al. 2021).</w:t>
      </w:r>
      <w:r>
        <w:t xml:space="preserve"> </w:t>
      </w:r>
      <w:r>
        <w:t xml:space="preserve">As shown below, the carbon leakage filter excludes all goods to the bottom left of a kinked</w:t>
      </w:r>
      <w:r>
        <w:t xml:space="preserve"> </w:t>
      </w:r>
      <w:r>
        <w:t xml:space="preserve">line. Reflecting the example of Option 2 the line below represents a minimum 5% trade</w:t>
      </w:r>
      <w:r>
        <w:t xml:space="preserve"> </w:t>
      </w:r>
      <w:r>
        <w:t xml:space="preserve">intensity (x-axis) and a minimum 10% cost push (y-axis). The diagonal in the bottom-left</w:t>
      </w:r>
      <w:r>
        <w:t xml:space="preserve"> </w:t>
      </w:r>
      <w:r>
        <w:t xml:space="preserve">corner reflects the fact that goods with both low trade intensity and small cost push face a</w:t>
      </w:r>
      <w:r>
        <w:t xml:space="preserve"> </w:t>
      </w:r>
      <w:r>
        <w:t xml:space="preserve">negligible carbon leakage risk. This approximates the multiplicative approach chosen by</w:t>
      </w:r>
      <w:r>
        <w:t xml:space="preserve"> </w:t>
      </w:r>
      <w:r>
        <w:t xml:space="preserve">the ETS phase 4,19 while providing a simpler selection approach than the multiplication.</w:t>
      </w:r>
      <w:r>
        <w:t xml:space="preserve"> </w:t>
      </w:r>
      <w:r>
        <w:t xml:space="preserve">Figure 23: Carbon leakage filter in the example of option 2</w:t>
      </w:r>
    </w:p>
    <w:p>
      <w:pPr>
        <w:pStyle w:val="BodyText"/>
      </w:pPr>
      <w:r>
        <w:t xml:space="preserve">The EU production emission floor is applied to reflect the relevance of emissions in the</w:t>
      </w:r>
      <w:r>
        <w:t xml:space="preserve"> </w:t>
      </w:r>
      <w:r>
        <w:t xml:space="preserve">EU at Prodcom code level. It is calculated on the basis of production sold in the EU,</w:t>
      </w:r>
      <w:r>
        <w:t xml:space="preserve"> </w:t>
      </w:r>
      <w:r>
        <w:t xml:space="preserve">multiplied by the material content of downstream good per basic good material and the</w:t>
      </w:r>
      <w:r>
        <w:t xml:space="preserve"> </w:t>
      </w:r>
      <w:r>
        <w:t xml:space="preserve">emission intensity of that basic material.</w:t>
      </w:r>
    </w:p>
    <w:p>
      <w:pPr>
        <w:pStyle w:val="BodyText"/>
      </w:pPr>
      <w:r>
        <w:t xml:space="preserve">19 The ETS carbon leakage list thus would have a curved line sloping down from left to right.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All formulas and variables corresponding to the filters are presented in the tables below.</w:t>
      </w:r>
      <w:r>
        <w:br/>
      </w:r>
      <w:r>
        <w:t xml:space="preserve">Table 3: Filters used to identify downstream goods at risk of carbon leakage</w:t>
      </w:r>
      <w:r>
        <w:t xml:space="preserve"> </w:t>
      </w:r>
      <w:r>
        <w:t xml:space="preserve">Filter</w:t>
      </w:r>
      <w:r>
        <w:t xml:space="preserve"> </w:t>
      </w:r>
      <w:r>
        <w:t xml:space="preserve">Formula</w:t>
      </w:r>
      <w:r>
        <w:t xml:space="preserve"> </w:t>
      </w:r>
      <w:r>
        <w:t xml:space="preserve">Trade intensity</w:t>
      </w:r>
      <w:r>
        <w:t xml:space="preserve"> </w:t>
      </w:r>
      <w:r>
        <w:t xml:space="preserve">(carbon leakage risk filter)</w:t>
      </w:r>
      <w:r>
        <w:t xml:space="preserve"> </w:t>
      </w:r>
      <w:r>
        <w:t xml:space="preserve">𝑀𝑉𝐴𝐿+ 𝑋𝑉𝐴𝐿</w:t>
      </w:r>
      <w:r>
        <w:t xml:space="preserve"> </w:t>
      </w:r>
      <w:r>
        <w:t xml:space="preserve">𝑀𝑉𝐴𝐿+ 𝑃𝑉𝐴𝐿</w:t>
      </w:r>
      <w:r>
        <w:t xml:space="preserve"> </w:t>
      </w:r>
      <w:r>
        <w:t xml:space="preserve">in euros at Prodcom level.</w:t>
      </w:r>
      <w:r>
        <w:t xml:space="preserve"> </w:t>
      </w:r>
      <w:r>
        <w:t xml:space="preserve">Cost push</w:t>
      </w:r>
      <w:r>
        <w:t xml:space="preserve"> </w:t>
      </w:r>
      <w:r>
        <w:t xml:space="preserve">(carbon leakage risk filter)</w:t>
      </w:r>
      <w:r>
        <w:t xml:space="preserve"> </w:t>
      </w:r>
      <w:r>
        <w:t xml:space="preserve">= Carbon costs induced by CBAM</w:t>
      </w:r>
      <w:r>
        <w:t xml:space="preserve"> </w:t>
      </w:r>
      <w:r>
        <w:t xml:space="preserve">gross value added indicator</w:t>
      </w:r>
    </w:p>
    <w:p>
      <w:pPr>
        <w:pStyle w:val="BodyText"/>
      </w:pPr>
      <w:r>
        <w:t xml:space="preserve">=</w:t>
      </w:r>
      <w:r>
        <w:t xml:space="preserve"> </w:t>
      </w:r>
      <w:r>
        <w:t xml:space="preserve">𝑃𝑅𝑂𝐷𝐸𝑀𝑖× 𝑝𝐸𝑇𝑆</w:t>
      </w:r>
      <w:r>
        <w:t xml:space="preserve"> </w:t>
      </w:r>
      <w:r>
        <w:t xml:space="preserve">𝑃𝑉𝐴𝐿𝑃𝑟𝑜𝑑𝑐𝑜𝑚×</w:t>
      </w:r>
      <w:r>
        <w:t xml:space="preserve"> </w:t>
      </w:r>
      <w:r>
        <w:t xml:space="preserve">𝐺𝑉𝐴𝑁𝐴𝐶𝐸</w:t>
      </w:r>
      <w:r>
        <w:t xml:space="preserve"> </w:t>
      </w:r>
      <w:r>
        <w:t xml:space="preserve">𝑇𝑢𝑟𝑛𝑜𝑣𝑒𝑟𝑁𝐴𝐶𝐸</w:t>
      </w:r>
    </w:p>
    <w:p>
      <w:pPr>
        <w:pStyle w:val="BodyText"/>
      </w:pPr>
      <w:r>
        <w:t xml:space="preserve">in euros at Prodcom level.</w:t>
      </w:r>
      <w:r>
        <w:t xml:space="preserve"> </w:t>
      </w:r>
      <w:r>
        <w:t xml:space="preserve">EU production emissions</w:t>
      </w:r>
      <w:r>
        <w:t xml:space="preserve"> </w:t>
      </w:r>
      <w:r>
        <w:t xml:space="preserve">(emission floor)</w:t>
      </w:r>
      <w:r>
        <w:t xml:space="preserve"> </w:t>
      </w:r>
      <w:r>
        <w:t xml:space="preserve">𝑃𝑅𝑂𝐷𝐸𝑀𝑖= ∑</w:t>
      </w:r>
      <w:r>
        <w:t xml:space="preserve"> </w:t>
      </w:r>
      <w:r>
        <w:t xml:space="preserve">(𝑀𝐶𝑚× 𝐸𝐼𝑚)</w:t>
      </w:r>
      <w:r>
        <w:t xml:space="preserve"> </w:t>
      </w:r>
      <w:r>
        <w:t xml:space="preserve">3</w:t>
      </w:r>
      <w:r>
        <w:t xml:space="preserve"> </w:t>
      </w:r>
      <w:r>
        <w:t xml:space="preserve">𝑚=1</w:t>
      </w:r>
      <w:r>
        <w:t xml:space="preserve"> </w:t>
      </w:r>
      <w:r>
        <w:t xml:space="preserve">× 𝑈𝑁𝐼𝑇𝑊𝑖× 𝑃𝑄𝑁𝑇𝑖</w:t>
      </w:r>
      <w:r>
        <w:t xml:space="preserve"> </w:t>
      </w:r>
      <w:r>
        <w:t xml:space="preserve">At Prodcom level.</w:t>
      </w:r>
    </w:p>
    <w:p>
      <w:pPr>
        <w:pStyle w:val="BodyText"/>
      </w:pPr>
      <w:r>
        <w:t xml:space="preserve">Table 4: Variable names per downstream good 𝒊, basic good material 𝒎, in euro or</w:t>
      </w:r>
      <w:r>
        <w:t xml:space="preserve"> </w:t>
      </w:r>
      <w:r>
        <w:t xml:space="preserve">mass</w:t>
      </w:r>
      <w:r>
        <w:t xml:space="preserve"> </w:t>
      </w:r>
      <w:r>
        <w:t xml:space="preserve">Variable</w:t>
      </w:r>
      <w:r>
        <w:t xml:space="preserve"> </w:t>
      </w:r>
      <w:r>
        <w:t xml:space="preserve">Subscript Description</w:t>
      </w:r>
      <w:r>
        <w:t xml:space="preserve"> </w:t>
      </w:r>
      <w:r>
        <w:t xml:space="preserve">Unit level</w:t>
      </w:r>
      <w:r>
        <w:t xml:space="preserve"> </w:t>
      </w:r>
      <w:r>
        <w:t xml:space="preserve">𝑴𝑽𝑨𝑳</w:t>
      </w:r>
      <w:r>
        <w:t xml:space="preserve"> </w:t>
      </w:r>
      <w:r>
        <w:t xml:space="preserve">𝑴𝑸𝑵𝑻</w:t>
      </w:r>
      <w:r>
        <w:t xml:space="preserve"> </w:t>
      </w:r>
      <w:r>
        <w:t xml:space="preserve">𝑖</w:t>
      </w:r>
      <w:r>
        <w:t xml:space="preserve"> </w:t>
      </w:r>
      <w:r>
        <w:t xml:space="preserve">Imports into the EU27, in euro value or mass</w:t>
      </w:r>
      <w:r>
        <w:t xml:space="preserve"> </w:t>
      </w:r>
      <w:r>
        <w:t xml:space="preserve">Prodcom</w:t>
      </w:r>
      <w:r>
        <w:t xml:space="preserve"> </w:t>
      </w:r>
      <w:r>
        <w:t xml:space="preserve">𝑿𝑽𝑨𝑳</w:t>
      </w:r>
      <w:r>
        <w:t xml:space="preserve"> </w:t>
      </w:r>
      <w:r>
        <w:t xml:space="preserve">𝑿𝑸𝑵𝑻</w:t>
      </w:r>
      <w:r>
        <w:t xml:space="preserve"> </w:t>
      </w:r>
      <w:r>
        <w:t xml:space="preserve">𝑖</w:t>
      </w:r>
      <w:r>
        <w:t xml:space="preserve"> </w:t>
      </w:r>
      <w:r>
        <w:t xml:space="preserve">Exports from the EU27 to the rest of the world, in euro value or massProdcom</w:t>
      </w:r>
      <w:r>
        <w:t xml:space="preserve"> </w:t>
      </w:r>
      <w:r>
        <w:t xml:space="preserve">𝑷𝑽𝑨𝑳</w:t>
      </w:r>
      <w:r>
        <w:t xml:space="preserve"> </w:t>
      </w:r>
      <w:r>
        <w:t xml:space="preserve">𝑷𝑸𝑵𝑻</w:t>
      </w:r>
      <w:r>
        <w:t xml:space="preserve"> </w:t>
      </w:r>
      <w:r>
        <w:t xml:space="preserve">𝑖</w:t>
      </w:r>
      <w:r>
        <w:t xml:space="preserve"> </w:t>
      </w:r>
      <w:r>
        <w:t xml:space="preserve">Production sold in the EU27, in euro value or mass</w:t>
      </w:r>
      <w:r>
        <w:t xml:space="preserve"> </w:t>
      </w:r>
      <w:r>
        <w:t xml:space="preserve">Prodcom</w:t>
      </w:r>
      <w:r>
        <w:t xml:space="preserve"> </w:t>
      </w:r>
      <w:r>
        <w:t xml:space="preserve">𝑷𝑹𝑶𝑫𝑬𝑴</w:t>
      </w:r>
      <w:r>
        <w:t xml:space="preserve"> </w:t>
      </w:r>
      <w:r>
        <w:t xml:space="preserve">𝑖</w:t>
      </w:r>
      <w:r>
        <w:t xml:space="preserve"> </w:t>
      </w:r>
      <w:r>
        <w:t xml:space="preserve">EU production emissions, in tonnes of CO2e</w:t>
      </w:r>
      <w:r>
        <w:t xml:space="preserve"> </w:t>
      </w:r>
      <w:r>
        <w:t xml:space="preserve">Prodcom</w:t>
      </w:r>
      <w:r>
        <w:t xml:space="preserve"> </w:t>
      </w:r>
      <w:r>
        <w:t xml:space="preserve">𝑴𝑪</w:t>
      </w:r>
      <w:r>
        <w:t xml:space="preserve"> </w:t>
      </w:r>
      <w:r>
        <w:t xml:space="preserve">𝑚</w:t>
      </w:r>
      <w:r>
        <w:t xml:space="preserve"> </w:t>
      </w:r>
      <w:r>
        <w:t xml:space="preserve">Material content of downstream good 𝑚 per basic good material 𝑚</w:t>
      </w:r>
      <w:r>
        <w:t xml:space="preserve"> </w:t>
      </w:r>
      <w:r>
        <w:t xml:space="preserve">(steel, aluminium, cement) in kg per kg</w:t>
      </w:r>
      <w:r>
        <w:t xml:space="preserve"> </w:t>
      </w:r>
      <w:r>
        <w:t xml:space="preserve">Prodcom</w:t>
      </w:r>
      <w:r>
        <w:t xml:space="preserve"> </w:t>
      </w:r>
      <w:r>
        <w:t xml:space="preserve">𝑼𝑵𝑰𝑻𝑾</w:t>
      </w:r>
      <w:r>
        <w:t xml:space="preserve"> </w:t>
      </w:r>
      <w:r>
        <w:t xml:space="preserve">𝑖</w:t>
      </w:r>
      <w:r>
        <w:t xml:space="preserve"> </w:t>
      </w:r>
      <w:r>
        <w:t xml:space="preserve">Unit weight per production unit (kg)</w:t>
      </w:r>
      <w:r>
        <w:t xml:space="preserve"> </w:t>
      </w:r>
      <w:r>
        <w:t xml:space="preserve">Prodcom</w:t>
      </w:r>
      <w:r>
        <w:t xml:space="preserve"> </w:t>
      </w:r>
      <w:r>
        <w:t xml:space="preserve">𝒑𝑬𝑻𝑺</w:t>
      </w:r>
      <w:r>
        <w:t xml:space="preserve"> </w:t>
      </w:r>
      <w:r>
        <w:t xml:space="preserve">-</w:t>
      </w:r>
      <w:r>
        <w:t xml:space="preserve"> </w:t>
      </w:r>
      <w:r>
        <w:t xml:space="preserve">Effective carbon price for 2030, in euro per tonnes of CO2e</w:t>
      </w:r>
      <w:r>
        <w:t xml:space="preserve"> </w:t>
      </w:r>
      <w:r>
        <w:t xml:space="preserve">-</w:t>
      </w:r>
      <w:r>
        <w:t xml:space="preserve"> </w:t>
      </w:r>
      <w:r>
        <w:t xml:space="preserve">𝑮𝑽𝑨</w:t>
      </w:r>
      <w:r>
        <w:t xml:space="preserve"> </w:t>
      </w:r>
      <w:r>
        <w:t xml:space="preserve">𝑖</w:t>
      </w:r>
      <w:r>
        <w:t xml:space="preserve"> </w:t>
      </w:r>
      <w:r>
        <w:t xml:space="preserve">Gross value added, in euro</w:t>
      </w:r>
      <w:r>
        <w:t xml:space="preserve"> </w:t>
      </w:r>
      <w:r>
        <w:t xml:space="preserve">NACE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𝑬𝑰</w:t>
      </w:r>
      <w:r>
        <w:t xml:space="preserve"> </w:t>
      </w:r>
      <w:r>
        <w:t xml:space="preserve">𝑚</w:t>
      </w:r>
      <w:r>
        <w:t xml:space="preserve"> </w:t>
      </w:r>
      <w:r>
        <w:t xml:space="preserve">Emission intensity in kg per kg.20 From JRC (2023, Vidovic et al.),21</w:t>
      </w:r>
      <w:r>
        <w:t xml:space="preserve"> </w:t>
      </w:r>
      <w:r>
        <w:t xml:space="preserve">. An annual average improvement is assumed per sector for the</w:t>
      </w:r>
      <w:r>
        <w:t xml:space="preserve"> </w:t>
      </w:r>
      <w:r>
        <w:t xml:space="preserve">modelling of emissions: Iron and steel: -1% yearly, Aluminium: -</w:t>
      </w:r>
      <w:r>
        <w:t xml:space="preserve"> </w:t>
      </w:r>
      <w:r>
        <w:t xml:space="preserve">1.5% yearly, Cement: -1% yearly and Fertilisers: -2% yearly22.</w:t>
      </w:r>
      <w:r>
        <w:br/>
      </w:r>
      <w:r>
        <w:t xml:space="preserve">-</w:t>
      </w:r>
      <w:r>
        <w:t xml:space="preserve"> </w:t>
      </w:r>
      <w:r>
        <w:t xml:space="preserve">Note: NACE 2.1, Prodcom 2023.</w:t>
      </w:r>
      <w:r>
        <w:t xml:space="preserve"> </w:t>
      </w:r>
      <w:r>
        <w:t xml:space="preserve">The reference year chosen to assess the risk of carbon leakage to downstream goods is</w:t>
      </w:r>
      <w:r>
        <w:t xml:space="preserve"> </w:t>
      </w:r>
      <w:r>
        <w:t xml:space="preserve">2030. This was done to strike a balance between the time it will take before CBAM will</w:t>
      </w:r>
      <w:r>
        <w:t xml:space="preserve"> </w:t>
      </w:r>
      <w:r>
        <w:t xml:space="preserve">have a substantial impact on the carbon cost (CBAM is only phased in in a limited way</w:t>
      </w:r>
      <w:r>
        <w:t xml:space="preserve"> </w:t>
      </w:r>
      <w:r>
        <w:t xml:space="preserve">from 2026 to 2029) and the loss of representativeness of current data when the impact of</w:t>
      </w:r>
      <w:r>
        <w:t xml:space="preserve"> </w:t>
      </w:r>
      <w:r>
        <w:t xml:space="preserve">CBAM is considered in the future. In addition, the year 2030 is relevant because it</w:t>
      </w:r>
      <w:r>
        <w:t xml:space="preserve"> </w:t>
      </w:r>
      <w:r>
        <w:t xml:space="preserve">represents the time horizon for the EU’s current Fit-for-55 climate policy framework,</w:t>
      </w:r>
      <w:r>
        <w:t xml:space="preserve"> </w:t>
      </w:r>
      <w:r>
        <w:t xml:space="preserve">which is geared towards achieving the 2030 climate targets.</w:t>
      </w:r>
    </w:p>
    <w:p>
      <w:pPr>
        <w:pStyle w:val="BodyText"/>
      </w:pPr>
      <w:r>
        <w:t xml:space="preserve">4.3</w:t>
      </w:r>
      <w:r>
        <w:t xml:space="preserve"> </w:t>
      </w:r>
      <w:r>
        <w:t xml:space="preserve">Electricity</w:t>
      </w:r>
      <w:r>
        <w:br/>
      </w:r>
      <w:r>
        <w:t xml:space="preserve">The analysis of the impact of different default values for imported electricity on key</w:t>
      </w:r>
      <w:r>
        <w:t xml:space="preserve"> </w:t>
      </w:r>
      <w:r>
        <w:t xml:space="preserve">performance indicators (KPIs) is based on the original modelling runs for the 2021 Impact</w:t>
      </w:r>
      <w:r>
        <w:t xml:space="preserve"> </w:t>
      </w:r>
      <w:r>
        <w:t xml:space="preserve">Assessment. A detailed methodology of the modelling exercise can be found in Annex 4</w:t>
      </w:r>
      <w:r>
        <w:t xml:space="preserve"> </w:t>
      </w:r>
      <w:r>
        <w:t xml:space="preserve">of SWD(2021) 643 final (Part 2/2).</w:t>
      </w:r>
      <w:r>
        <w:br/>
      </w:r>
      <w:r>
        <w:t xml:space="preserve">The Commission had employed the PRIMES electricity sector model to conduct a</w:t>
      </w:r>
      <w:r>
        <w:t xml:space="preserve"> </w:t>
      </w:r>
      <w:r>
        <w:t xml:space="preserve">sequence of simulation runs altering the method of calculating the CBAM default values</w:t>
      </w:r>
      <w:r>
        <w:t xml:space="preserve"> </w:t>
      </w:r>
      <w:r>
        <w:t xml:space="preserve">for electricity imports from non-EU countries within the system parameters. The objective</w:t>
      </w:r>
      <w:r>
        <w:t xml:space="preserve"> </w:t>
      </w:r>
      <w:r>
        <w:t xml:space="preserve">was to assess the impacts on key performance indicators, such as CO2 emissions, net</w:t>
      </w:r>
      <w:r>
        <w:t xml:space="preserve"> </w:t>
      </w:r>
      <w:r>
        <w:t xml:space="preserve">electricity imports, power generation, and system costs.</w:t>
      </w:r>
      <w:r>
        <w:t xml:space="preserve"> </w:t>
      </w:r>
      <w:r>
        <w:t xml:space="preserve">The PRIMES power sector model simulates optimal expansion and operation of the power</w:t>
      </w:r>
      <w:r>
        <w:t xml:space="preserve"> </w:t>
      </w:r>
      <w:r>
        <w:t xml:space="preserve">system and handles power exchanges over the interconnection system simultaneously. The</w:t>
      </w:r>
      <w:r>
        <w:t xml:space="preserve"> </w:t>
      </w:r>
      <w:r>
        <w:t xml:space="preserve">simulation includes fully all the EU countries, the UK, Norway, Switzerland and the</w:t>
      </w:r>
      <w:r>
        <w:t xml:space="preserve"> </w:t>
      </w:r>
      <w:r>
        <w:t xml:space="preserve">Energy Community contracting countries (with the exception of Georgia as there are no</w:t>
      </w:r>
      <w:r>
        <w:t xml:space="preserve"> </w:t>
      </w:r>
      <w:r>
        <w:t xml:space="preserve">power links with the EU). Demand for electricity is given, as projected for the MIX55</w:t>
      </w:r>
      <w:r>
        <w:t xml:space="preserve"> </w:t>
      </w:r>
      <w:r>
        <w:t xml:space="preserve">scenario which achieves the EU climate targets, including the 55% reduction by 2030 (vs</w:t>
      </w:r>
      <w:r>
        <w:t xml:space="preserve"> </w:t>
      </w:r>
      <w:r>
        <w:t xml:space="preserve">1990) and net-zero by 2050.</w:t>
      </w:r>
      <w:r>
        <w:br/>
      </w:r>
      <w:r>
        <w:t xml:space="preserve">The baseline of that assessment was consistent with all other exercises under the ‘Fit for</w:t>
      </w:r>
      <w:r>
        <w:t xml:space="preserve"> </w:t>
      </w:r>
      <w:r>
        <w:t xml:space="preserve">55 Package’. For the assessment of some impacts of ETS revision options, an ETS price</w:t>
      </w:r>
    </w:p>
    <w:p>
      <w:pPr>
        <w:pStyle w:val="BodyText"/>
      </w:pPr>
      <w:r>
        <w:t xml:space="preserve">20 Stede et al. (2021) database, expanded in the contractor study. Full citation: Jan Stede, Stefan Pauliuk,</w:t>
      </w:r>
      <w:r>
        <w:t xml:space="preserve"> </w:t>
      </w:r>
      <w:r>
        <w:t xml:space="preserve">Gilang Hardadi, Karsten Neuhoff, Carbon pricing of basic materials: Incentives and risks for the value chain</w:t>
      </w:r>
      <w:r>
        <w:t xml:space="preserve"> </w:t>
      </w:r>
      <w:r>
        <w:t xml:space="preserve">and</w:t>
      </w:r>
      <w:r>
        <w:t xml:space="preserve"> </w:t>
      </w:r>
      <w:r>
        <w:t xml:space="preserve">consumers,</w:t>
      </w:r>
      <w:r>
        <w:t xml:space="preserve"> </w:t>
      </w:r>
      <w:r>
        <w:t xml:space="preserve">Ecological</w:t>
      </w:r>
      <w:r>
        <w:t xml:space="preserve"> </w:t>
      </w:r>
      <w:r>
        <w:t xml:space="preserve">Economics,</w:t>
      </w:r>
      <w:r>
        <w:t xml:space="preserve"> </w:t>
      </w:r>
      <w:r>
        <w:t xml:space="preserve">Volume</w:t>
      </w:r>
      <w:r>
        <w:t xml:space="preserve"> </w:t>
      </w:r>
      <w:r>
        <w:t xml:space="preserve">189,</w:t>
      </w:r>
      <w:r>
        <w:t xml:space="preserve"> </w:t>
      </w:r>
      <w:r>
        <w:t xml:space="preserve">2021,</w:t>
      </w:r>
      <w:r>
        <w:t xml:space="preserve"> </w:t>
      </w:r>
      <w:r>
        <w:t xml:space="preserve">107168,</w:t>
      </w:r>
      <w:r>
        <w:t xml:space="preserve"> </w:t>
      </w:r>
      <w:r>
        <w:t xml:space="preserve">https://doi.org/10.1016/j.ecolecon.2021.107168.</w:t>
      </w:r>
      <w:r>
        <w:br/>
      </w:r>
      <w:r>
        <w:t xml:space="preserve">21 JRC (2023): Vidovic, D., Zore, L., Moya, J. A. and Marmier, A., Greenhouse gas emission intensities of</w:t>
      </w:r>
      <w:r>
        <w:t xml:space="preserve"> </w:t>
      </w:r>
      <w:r>
        <w:t xml:space="preserve">the steel, fertilisers, aluminium and cement industries in the EU and its main trading partners, Publications</w:t>
      </w:r>
      <w:r>
        <w:t xml:space="preserve"> </w:t>
      </w:r>
      <w:r>
        <w:t xml:space="preserve">Office of the European Union, 2023, https://data.europa.eu/doi/10.2760/359533</w:t>
      </w:r>
      <w:r>
        <w:t xml:space="preserve"> </w:t>
      </w:r>
      <w:r>
        <w:t xml:space="preserve">22 These are dawn from Table 43 in the Annex to the Proposal for the revision of the EU ETS 2021.</w:t>
      </w:r>
      <w:r>
        <w:t xml:space="preserve"> </w:t>
      </w:r>
      <w:r>
        <w:t xml:space="preserve">https://eur-lex.europa.eu/resource.html?uri=cellar:7b89687a-eec6-11eb-a71c-</w:t>
      </w:r>
      <w:r>
        <w:t xml:space="preserve"> </w:t>
      </w:r>
      <w:r>
        <w:t xml:space="preserve">01aa75ed71a1.0001.01/DOC_2&amp;format=PDF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of EUR 35/t CO2 was assumed for 2025, EUR 45/t CO2 for 2030, and EUR 110 t for 2035,</w:t>
      </w:r>
      <w:r>
        <w:t xml:space="preserve"> </w:t>
      </w:r>
      <w:r>
        <w:t xml:space="preserve">in 2015 prices. These were also the assumptions used in the present exercise, which builds</w:t>
      </w:r>
      <w:r>
        <w:t xml:space="preserve"> </w:t>
      </w:r>
      <w:r>
        <w:t xml:space="preserve">on the results of the 2021 assessment, thus incorporating the dynamics of carbon pricing</w:t>
      </w:r>
      <w:r>
        <w:t xml:space="preserve"> </w:t>
      </w:r>
      <w:r>
        <w:t xml:space="preserve">over time.</w:t>
      </w:r>
      <w:r>
        <w:t xml:space="preserve"> </w:t>
      </w:r>
      <w:r>
        <w:t xml:space="preserve">The MIX55 scenario is based on a comprehensive PRIMES energy system modelling</w:t>
      </w:r>
      <w:r>
        <w:t xml:space="preserve"> </w:t>
      </w:r>
      <w:r>
        <w:t xml:space="preserve">exercise. In the model, consumers get utility using energy and non-energy goods and</w:t>
      </w:r>
      <w:r>
        <w:t xml:space="preserve"> </w:t>
      </w:r>
      <w:r>
        <w:t xml:space="preserve">services, including energy efficiency as a means of meeting energy demand. Producers of</w:t>
      </w:r>
      <w:r>
        <w:t xml:space="preserve"> </w:t>
      </w:r>
      <w:r>
        <w:t xml:space="preserve">energy carriers, such as electricity, use a combination of fossil fuels and clean energy to</w:t>
      </w:r>
      <w:r>
        <w:t xml:space="preserve"> </w:t>
      </w:r>
      <w:r>
        <w:t xml:space="preserve">efficiently generate quantities needed by consumers. They set prices of energy carriers to</w:t>
      </w:r>
      <w:r>
        <w:t xml:space="preserve"> </w:t>
      </w:r>
      <w:r>
        <w:t xml:space="preserve">reflect total production costs which are directly affected by the carbon price. Consumers</w:t>
      </w:r>
      <w:r>
        <w:t xml:space="preserve"> </w:t>
      </w:r>
      <w:r>
        <w:t xml:space="preserve">are price takers but price-elastic. Note that PRIMES is not solely based on overall</w:t>
      </w:r>
      <w:r>
        <w:t xml:space="preserve"> </w:t>
      </w:r>
      <w:r>
        <w:t xml:space="preserve">elasticities but on a structural representation of demand and supply. The PRIMES results</w:t>
      </w:r>
      <w:r>
        <w:t xml:space="preserve"> </w:t>
      </w:r>
      <w:r>
        <w:t xml:space="preserve">also show asymmetry of responses for decreasing or increasing energy costs and prices.</w:t>
      </w:r>
      <w:r>
        <w:t xml:space="preserve"> </w:t>
      </w:r>
      <w:r>
        <w:t xml:space="preserve">The results from the MIX55 scenario, including energy demand and the ETS carbon price</w:t>
      </w:r>
      <w:r>
        <w:t xml:space="preserve"> </w:t>
      </w:r>
      <w:r>
        <w:t xml:space="preserve">trajectory, were used as input to the PRIMES power sector model. In general, carbon</w:t>
      </w:r>
      <w:r>
        <w:t xml:space="preserve"> </w:t>
      </w:r>
      <w:r>
        <w:t xml:space="preserve">pricing plays a crucial role in techno-economic power sector models by influencing</w:t>
      </w:r>
      <w:r>
        <w:t xml:space="preserve"> </w:t>
      </w:r>
      <w:r>
        <w:t xml:space="preserve">decision-making, investment strategies, and operational behaviors within the model. It</w:t>
      </w:r>
      <w:r>
        <w:t xml:space="preserve"> </w:t>
      </w:r>
      <w:r>
        <w:t xml:space="preserve">employs a cost optimization strategy, with the primary objective of minimizing power</w:t>
      </w:r>
      <w:r>
        <w:t xml:space="preserve"> </w:t>
      </w:r>
      <w:r>
        <w:t xml:space="preserve">system costs. The ETS carbon price has a direct effect on variable operational expenditures</w:t>
      </w:r>
      <w:r>
        <w:t xml:space="preserve"> </w:t>
      </w:r>
      <w:r>
        <w:t xml:space="preserve">of power plants, therefore affecting the dispatch of power plants.</w:t>
      </w:r>
      <w:r>
        <w:t xml:space="preserve"> </w:t>
      </w:r>
      <w:r>
        <w:t xml:space="preserve">After projecting capacity expansion, operation and flows, the PRIMES power sector model</w:t>
      </w:r>
      <w:r>
        <w:t xml:space="preserve"> </w:t>
      </w:r>
      <w:r>
        <w:t xml:space="preserve">calculates costs and revenues following a simulation of stylised wholesale markets. The</w:t>
      </w:r>
      <w:r>
        <w:t xml:space="preserve"> </w:t>
      </w:r>
      <w:r>
        <w:t xml:space="preserve">model calculates total power generation costs within each projection case by including all</w:t>
      </w:r>
      <w:r>
        <w:t xml:space="preserve"> </w:t>
      </w:r>
      <w:r>
        <w:t xml:space="preserve">kinds of power sector costs. These include annual equivalent costs of capital, maintenance</w:t>
      </w:r>
      <w:r>
        <w:t xml:space="preserve"> </w:t>
      </w:r>
      <w:r>
        <w:t xml:space="preserve">and operation costs and expenditures for non-fuel variable costs, fuel costs, tax and</w:t>
      </w:r>
      <w:r>
        <w:t xml:space="preserve"> </w:t>
      </w:r>
      <w:r>
        <w:t xml:space="preserve">allowances purchasing from auctions and sales costs. The total costs also include</w:t>
      </w:r>
      <w:r>
        <w:t xml:space="preserve"> </w:t>
      </w:r>
      <w:r>
        <w:t xml:space="preserve">expenditures for the grid, annualised, and other costs, such as for levies and charges. All</w:t>
      </w:r>
      <w:r>
        <w:t xml:space="preserve"> </w:t>
      </w:r>
      <w:r>
        <w:t xml:space="preserve">cost items are endogenous in the model and are accounted for in full detail.</w:t>
      </w:r>
      <w:r>
        <w:t xml:space="preserve"> </w:t>
      </w:r>
      <w:r>
        <w:t xml:space="preserve">In the context of the present Impact Assessment, an ex-post calculation approach based on</w:t>
      </w:r>
      <w:r>
        <w:t xml:space="preserve"> </w:t>
      </w:r>
      <w:r>
        <w:t xml:space="preserve">the 2021 modelling results was employed. The methodology involved utilising the</w:t>
      </w:r>
      <w:r>
        <w:t xml:space="preserve"> </w:t>
      </w:r>
      <w:r>
        <w:t xml:space="preserve">different CBAM default values used in the 2021 modeling exercise together with the</w:t>
      </w:r>
      <w:r>
        <w:t xml:space="preserve"> </w:t>
      </w:r>
      <w:r>
        <w:t xml:space="preserve">results of the projected KPIs, such as CO2 emissions, net electricity imports, power</w:t>
      </w:r>
      <w:r>
        <w:t xml:space="preserve"> </w:t>
      </w:r>
      <w:r>
        <w:t xml:space="preserve">generation, and system costs. Subsequently, the analysis focused on examining the linear</w:t>
      </w:r>
      <w:r>
        <w:t xml:space="preserve"> </w:t>
      </w:r>
      <w:r>
        <w:t xml:space="preserve">relationship between the KPIs and the default values for the years 2030 and 2035. New</w:t>
      </w:r>
      <w:r>
        <w:t xml:space="preserve"> </w:t>
      </w:r>
      <w:r>
        <w:t xml:space="preserve">default values were established to reflect both the baseline and Options 3 and 4 based on</w:t>
      </w:r>
      <w:r>
        <w:t xml:space="preserve"> </w:t>
      </w:r>
      <w:r>
        <w:t xml:space="preserve">the projected power mixes as well as the current source- and country-specific emission</w:t>
      </w:r>
      <w:r>
        <w:t xml:space="preserve"> </w:t>
      </w:r>
      <w:r>
        <w:t xml:space="preserve">factors of exporting countries. After assessing the goodness of fit, a linear extrapolation</w:t>
      </w:r>
      <w:r>
        <w:t xml:space="preserve"> </w:t>
      </w:r>
      <w:r>
        <w:t xml:space="preserve">was used to estimate values of the KPIs outside the range of the observed data based on</w:t>
      </w:r>
      <w:r>
        <w:t xml:space="preserve"> </w:t>
      </w:r>
      <w:r>
        <w:t xml:space="preserve">the assumption that the relationship continues beyond the observed data.</w:t>
      </w:r>
      <w:r>
        <w:t xml:space="preserve"> </w:t>
      </w:r>
      <w:r>
        <w:t xml:space="preserve">This methodological continuity ensured that results are consistent, reliable, and empirically</w:t>
      </w:r>
      <w:r>
        <w:t xml:space="preserve"> </w:t>
      </w:r>
      <w:r>
        <w:t xml:space="preserve">grounded by utilising validated modelling efforts and techniques, thus effectively</w:t>
      </w:r>
      <w:r>
        <w:t xml:space="preserve"> </w:t>
      </w:r>
      <w:r>
        <w:t xml:space="preserve">addressing the lack of new modelling results.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5.1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 Competitiveness 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0/+</w:t>
      </w:r>
      <w:r>
        <w:t xml:space="preserve"> </w:t>
      </w:r>
      <w:r>
        <w:t xml:space="preserve">Sections 6.2.3, 6.2.4</w:t>
      </w:r>
      <w:r>
        <w:t xml:space="preserve"> </w:t>
      </w:r>
      <w:r>
        <w:t xml:space="preserve">International competitiveness</w:t>
      </w:r>
      <w:r>
        <w:br/>
      </w:r>
      <w:r>
        <w:t xml:space="preserve">0/+</w:t>
      </w:r>
      <w:r>
        <w:t xml:space="preserve"> </w:t>
      </w:r>
      <w:r>
        <w:t xml:space="preserve">Sections 6.2.3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Sections 6.2.3, 6.4.1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0/-</w:t>
      </w:r>
      <w:r>
        <w:t xml:space="preserve"> </w:t>
      </w:r>
      <w:r>
        <w:t xml:space="preserve">Sections 6.3.2, 8.5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Synthetic assessment</w:t>
      </w:r>
      <w:r>
        <w:br/>
      </w:r>
      <w:r>
        <w:t xml:space="preserve">The preferred policy option package – a balanced extension of CBAM to at-risk</w:t>
      </w:r>
      <w:r>
        <w:t xml:space="preserve"> </w:t>
      </w:r>
      <w:r>
        <w:t xml:space="preserve">downstream goods with significant climate relevance, the introduction of targeted anti-</w:t>
      </w:r>
      <w:r>
        <w:t xml:space="preserve"> </w:t>
      </w:r>
      <w:r>
        <w:t xml:space="preserve">avoidance measures including pre-consumer scrap as precursor and empowerment</w:t>
      </w:r>
      <w:r>
        <w:t xml:space="preserve"> </w:t>
      </w:r>
      <w:r>
        <w:t xml:space="preserve">mechanisms, and an adjustment of the emissions factor for electricity and amended criteria</w:t>
      </w:r>
      <w:r>
        <w:t xml:space="preserve"> </w:t>
      </w:r>
      <w:r>
        <w:t xml:space="preserve">to declare actual values – has marginally positive impacts on competitiveness overall.</w:t>
      </w:r>
      <w:r>
        <w:t xml:space="preserve"> </w:t>
      </w:r>
      <w:r>
        <w:t xml:space="preserve">Among the three strands, the downstream extension would have the most significant</w:t>
      </w:r>
      <w:r>
        <w:t xml:space="preserve"> </w:t>
      </w:r>
      <w:r>
        <w:t xml:space="preserve">competitiveness implications because it levels the playing field for domestically produced</w:t>
      </w:r>
      <w:r>
        <w:t xml:space="preserve"> </w:t>
      </w:r>
      <w:r>
        <w:t xml:space="preserve">and imported steel- and aluminium-intensive downstream products with respect to the</w:t>
      </w:r>
      <w:r>
        <w:t xml:space="preserve"> </w:t>
      </w:r>
      <w:r>
        <w:t xml:space="preserve">carbon costs they face. However, even for the downstream extension, the macro-level</w:t>
      </w:r>
      <w:r>
        <w:t xml:space="preserve"> </w:t>
      </w:r>
      <w:r>
        <w:t xml:space="preserve">impacts on output, investment, consumer prices and employment are small and lie within</w:t>
      </w:r>
      <w:r>
        <w:t xml:space="preserve"> </w:t>
      </w:r>
      <w:r>
        <w:t xml:space="preserve">narrow modelling ranges. The anti-circumvention and electricity strands primarily</w:t>
      </w:r>
      <w:r>
        <w:t xml:space="preserve"> </w:t>
      </w:r>
      <w:r>
        <w:t xml:space="preserve">improve enforcement mechanisms and methodological accuracy, with limited direct</w:t>
      </w:r>
      <w:r>
        <w:t xml:space="preserve"> </w:t>
      </w:r>
      <w:r>
        <w:t xml:space="preserve">competitiveness effects. Overall, the preferred policy option package slightly improves</w:t>
      </w:r>
      <w:r>
        <w:t xml:space="preserve"> </w:t>
      </w:r>
      <w:r>
        <w:t xml:space="preserve">cost and price as well as international competitiveness for concerned domestic downstream</w:t>
      </w:r>
      <w:r>
        <w:t xml:space="preserve"> </w:t>
      </w:r>
      <w:r>
        <w:t xml:space="preserve">producers by reducing carbon leakage pressures. At the same time, model projections</w:t>
      </w:r>
      <w:r>
        <w:t xml:space="preserve"> </w:t>
      </w:r>
      <w:r>
        <w:t xml:space="preserve">indicate very minor changes in aggregate EU imports and exports of covered downstream</w:t>
      </w:r>
      <w:r>
        <w:t xml:space="preserve"> </w:t>
      </w:r>
      <w:r>
        <w:t xml:space="preserve">goods relative to the baseline. Impacts on trading partners are more heterogeneous as</w:t>
      </w:r>
      <w:r>
        <w:t xml:space="preserve"> </w:t>
      </w:r>
      <w:r>
        <w:t xml:space="preserve">exporters with lower-carbon steel and aluminium product mixes are projected to become</w:t>
      </w:r>
      <w:r>
        <w:t xml:space="preserve"> </w:t>
      </w:r>
      <w:r>
        <w:t xml:space="preserve">slightly more competitive in the EU market, while those with more carbon-intensive mixes</w:t>
      </w:r>
      <w:r>
        <w:t xml:space="preserve"> </w:t>
      </w:r>
      <w:r>
        <w:t xml:space="preserve">could see relative losses in market share. The package as a whole supports innovation by</w:t>
      </w:r>
      <w:r>
        <w:t xml:space="preserve"> </w:t>
      </w:r>
      <w:r>
        <w:t xml:space="preserve">ensuring a uniform carbon price for both domestically produced CBAM goods and</w:t>
      </w:r>
      <w:r>
        <w:t xml:space="preserve"> </w:t>
      </w:r>
      <w:r>
        <w:t xml:space="preserve">corresponding imports, thereby reinforcing predictable incentives for low-carbon</w:t>
      </w:r>
      <w:r>
        <w:t xml:space="preserve"> </w:t>
      </w:r>
      <w:r>
        <w:t xml:space="preserve">production and cleaner electricity generation.</w:t>
      </w:r>
      <w:r>
        <w:br/>
      </w:r>
      <w:r>
        <w:t xml:space="preserve">5.3</w:t>
      </w:r>
      <w:r>
        <w:t xml:space="preserve"> </w:t>
      </w:r>
      <w:r>
        <w:t xml:space="preserve">Competitive position of the most affected sectors</w:t>
      </w:r>
      <w:r>
        <w:t xml:space="preserve"> </w:t>
      </w:r>
      <w:r>
        <w:t xml:space="preserve">In terms of sectoral competitiveness impacts, the preferred policy option package mainly</w:t>
      </w:r>
      <w:r>
        <w:t xml:space="preserve"> </w:t>
      </w:r>
      <w:r>
        <w:t xml:space="preserve">affects the fabricated metal products sector which is highly exposed to steel and aluminium</w:t>
      </w:r>
      <w:r>
        <w:t xml:space="preserve"> </w:t>
      </w:r>
      <w:r>
        <w:t xml:space="preserve">input costs. The dual cost push described in Section 2 is likely to severely undermine the</w:t>
      </w:r>
      <w:r>
        <w:t xml:space="preserve"> </w:t>
      </w:r>
      <w:r>
        <w:t xml:space="preserve">competitiveness of this particular sector if the embedded emissions of CBAM inputs in</w:t>
      </w:r>
      <w:r>
        <w:t xml:space="preserve"> </w:t>
      </w:r>
      <w:r>
        <w:t xml:space="preserve">imported metal products remained unpriced. The proposed extension of CBAM to steel-</w:t>
      </w:r>
      <w:r>
        <w:t xml:space="preserve"> </w:t>
      </w:r>
      <w:r>
        <w:t xml:space="preserve">and aluminium-intensive downstream products would significantly reduce the carbon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leakage pressure faced by domestic producers in that sector, while leaving macro-level</w:t>
      </w:r>
      <w:r>
        <w:t xml:space="preserve"> </w:t>
      </w:r>
      <w:r>
        <w:t xml:space="preserve">impacts on output, prices and employment small (see section 6.2.3 for quantitative</w:t>
      </w:r>
      <w:r>
        <w:t xml:space="preserve"> </w:t>
      </w:r>
      <w:r>
        <w:t xml:space="preserve">estimates). Within the sector, effects are expected to be heterogenous as sub-sectors with</w:t>
      </w:r>
      <w:r>
        <w:t xml:space="preserve"> </w:t>
      </w:r>
      <w:r>
        <w:t xml:space="preserve">high material content shares in their product lines and with strong import penetration would</w:t>
      </w:r>
      <w:r>
        <w:t xml:space="preserve"> </w:t>
      </w:r>
      <w:r>
        <w:t xml:space="preserve">see the clearest levelling of the playing field. On the market side, clearer recognition of</w:t>
      </w:r>
      <w:r>
        <w:t xml:space="preserve"> </w:t>
      </w:r>
      <w:r>
        <w:t xml:space="preserve">low-carbon inputs, and reinforced by the electricity strand, supports firms investing in</w:t>
      </w:r>
      <w:r>
        <w:t xml:space="preserve"> </w:t>
      </w:r>
      <w:r>
        <w:t xml:space="preserve">green steel and aluminium sourcing, improving their medium-term competitiveness as</w:t>
      </w:r>
      <w:r>
        <w:t xml:space="preserve"> </w:t>
      </w:r>
      <w:r>
        <w:t xml:space="preserve">buyer demand for low-emission products grows in light of a rising carbon price. Some</w:t>
      </w:r>
      <w:r>
        <w:t xml:space="preserve"> </w:t>
      </w:r>
      <w:r>
        <w:t xml:space="preserve">administrative costs may arise for firms in the fabricated metal products sector relying on</w:t>
      </w:r>
      <w:r>
        <w:t xml:space="preserve"> </w:t>
      </w:r>
      <w:r>
        <w:t xml:space="preserve">imported intermediate metal goods as inputs, but these are expected to be limited and</w:t>
      </w:r>
      <w:r>
        <w:t xml:space="preserve"> </w:t>
      </w:r>
      <w:r>
        <w:t xml:space="preserve">significantly outweighed by the overall benefits for that sector.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ANNEX 6: SME CHECK</w:t>
      </w:r>
      <w:r>
        <w:t xml:space="preserve"> </w:t>
      </w:r>
      <w:r>
        <w:t xml:space="preserve">6.1</w:t>
      </w:r>
      <w:r>
        <w:t xml:space="preserve"> </w:t>
      </w:r>
      <w:r>
        <w:t xml:space="preserve">Methodology to identify SMEs</w:t>
      </w:r>
      <w:r>
        <w:t xml:space="preserve"> </w:t>
      </w:r>
      <w:r>
        <w:t xml:space="preserve">The Commission estimated the number of SMEs brought into CBAM’s scope by the</w:t>
      </w:r>
      <w:r>
        <w:t xml:space="preserve"> </w:t>
      </w:r>
      <w:r>
        <w:t xml:space="preserve">downstream extension (see Section 6.2.6 of the Impact Assessment). These calculations</w:t>
      </w:r>
      <w:r>
        <w:t xml:space="preserve"> </w:t>
      </w:r>
      <w:r>
        <w:t xml:space="preserve">involved: 1. a methodology to identify SMEs; and 2. a sample size correction to account</w:t>
      </w:r>
      <w:r>
        <w:t xml:space="preserve"> </w:t>
      </w:r>
      <w:r>
        <w:t xml:space="preserve">for some missing importer identifiers in some of the underlying customs import data.</w:t>
      </w:r>
      <w:r>
        <w:t xml:space="preserve"> </w:t>
      </w:r>
      <w:r>
        <w:t xml:space="preserve">6.2</w:t>
      </w:r>
      <w:r>
        <w:t xml:space="preserve"> </w:t>
      </w:r>
      <w:r>
        <w:t xml:space="preserve">Methodology to identify SMEs: combining customs</w:t>
      </w:r>
      <w:r>
        <w:t xml:space="preserve"> </w:t>
      </w:r>
      <w:r>
        <w:t xml:space="preserve">data and Orbis data</w:t>
      </w:r>
      <w:r>
        <w:t xml:space="preserve"> </w:t>
      </w:r>
      <w:r>
        <w:t xml:space="preserve">The profile of importers for downstream products was also analysed, based on data from</w:t>
      </w:r>
      <w:r>
        <w:t xml:space="preserve"> </w:t>
      </w:r>
      <w:r>
        <w:t xml:space="preserve">the ORBIS data base and customs data through data reconciliation techniques.</w:t>
      </w:r>
      <w:r>
        <w:br/>
      </w:r>
      <w:r>
        <w:t xml:space="preserve">In customs data, the importers are identified with their EORI numbers23, except for private</w:t>
      </w:r>
      <w:r>
        <w:t xml:space="preserve"> </w:t>
      </w:r>
      <w:r>
        <w:t xml:space="preserve">persons that only occasionally lodge a customs declaration and are therefore not required</w:t>
      </w:r>
      <w:r>
        <w:t xml:space="preserve"> </w:t>
      </w:r>
      <w:r>
        <w:t xml:space="preserve">to have an EORI number. In contrast, companies are identified in ORBIS based on other</w:t>
      </w:r>
      <w:r>
        <w:t xml:space="preserve"> </w:t>
      </w:r>
      <w:r>
        <w:t xml:space="preserve">identifiers. The Commission services undertook to reconcile the EORI numbers in customs</w:t>
      </w:r>
      <w:r>
        <w:t xml:space="preserve"> </w:t>
      </w:r>
      <w:r>
        <w:t xml:space="preserve">data with the different identifiers available in ORBIS. Customs import declaration data for</w:t>
      </w:r>
      <w:r>
        <w:t xml:space="preserve"> </w:t>
      </w:r>
      <w:r>
        <w:t xml:space="preserve">2024 were used for this analysis.</w:t>
      </w:r>
      <w:r>
        <w:t xml:space="preserve"> </w:t>
      </w:r>
      <w:r>
        <w:t xml:space="preserve">The Commission services extracted from ORBIS several variables to define the type of</w:t>
      </w:r>
      <w:r>
        <w:t xml:space="preserve"> </w:t>
      </w:r>
      <w:r>
        <w:t xml:space="preserve">companies: (i) number of employees, (ii) turnover, (iii) the size classification, which is a</w:t>
      </w:r>
      <w:r>
        <w:t xml:space="preserve"> </w:t>
      </w:r>
      <w:r>
        <w:t xml:space="preserve">measure for the type of companies developed by ORBIS. In case of missing data in ORBIS</w:t>
      </w:r>
      <w:r>
        <w:t xml:space="preserve"> </w:t>
      </w:r>
      <w:r>
        <w:t xml:space="preserve">for number of employees and turnover, the Commission services relied on the size</w:t>
      </w:r>
      <w:r>
        <w:t xml:space="preserve"> </w:t>
      </w:r>
      <w:r>
        <w:t xml:space="preserve">classification variable provided by ORBIS that is a composite indicator of other variables.</w:t>
      </w:r>
      <w:r>
        <w:t xml:space="preserve"> </w:t>
      </w:r>
      <w:r>
        <w:t xml:space="preserve">Table 5 below provides the definition of small, medium, large, and very large, according</w:t>
      </w:r>
      <w:r>
        <w:t xml:space="preserve"> </w:t>
      </w:r>
      <w:r>
        <w:t xml:space="preserve">to the size classification from ORBIS. When several size classifications were identified for</w:t>
      </w:r>
      <w:r>
        <w:t xml:space="preserve"> </w:t>
      </w:r>
      <w:r>
        <w:t xml:space="preserve">a given importer, the biggest size classification was selected.</w:t>
      </w:r>
      <w:r>
        <w:t xml:space="preserve"> </w:t>
      </w:r>
      <w:r>
        <w:t xml:space="preserve">Table 5: Size classification variable defined in ORBIS</w:t>
      </w:r>
      <w:r>
        <w:t xml:space="preserve"> </w:t>
      </w:r>
      <w:r>
        <w:t xml:space="preserve">Amounts in EUR</w:t>
      </w:r>
      <w:r>
        <w:t xml:space="preserve"> </w:t>
      </w:r>
      <w:r>
        <w:t xml:space="preserve">Very large</w:t>
      </w:r>
      <w:r>
        <w:t xml:space="preserve"> </w:t>
      </w:r>
      <w:r>
        <w:t xml:space="preserve">Large</w:t>
      </w:r>
      <w:r>
        <w:t xml:space="preserve"> </w:t>
      </w:r>
      <w:r>
        <w:t xml:space="preserve">Medium</w:t>
      </w:r>
      <w:r>
        <w:t xml:space="preserve"> </w:t>
      </w:r>
      <w:r>
        <w:t xml:space="preserve">Small</w:t>
      </w:r>
      <w:r>
        <w:t xml:space="preserve"> </w:t>
      </w:r>
      <w:r>
        <w:t xml:space="preserve">Operating revenue</w:t>
      </w:r>
      <w:r>
        <w:t xml:space="preserve"> </w:t>
      </w:r>
      <w:r>
        <w:t xml:space="preserve">&gt;= 100 million</w:t>
      </w:r>
      <w:r>
        <w:t xml:space="preserve"> </w:t>
      </w:r>
      <w:r>
        <w:t xml:space="preserve">&gt;= 10 million</w:t>
      </w:r>
      <w:r>
        <w:t xml:space="preserve"> </w:t>
      </w:r>
      <w:r>
        <w:t xml:space="preserve">&gt;= 1 million</w:t>
      </w:r>
      <w:r>
        <w:t xml:space="preserve"> </w:t>
      </w:r>
      <w:r>
        <w:t xml:space="preserve">Companies in Orbis are</w:t>
      </w:r>
      <w:r>
        <w:t xml:space="preserve"> </w:t>
      </w:r>
      <w:r>
        <w:t xml:space="preserve">considered to be small</w:t>
      </w:r>
      <w:r>
        <w:t xml:space="preserve"> </w:t>
      </w:r>
      <w:r>
        <w:t xml:space="preserve">when they are not</w:t>
      </w:r>
      <w:r>
        <w:t xml:space="preserve"> </w:t>
      </w:r>
      <w:r>
        <w:t xml:space="preserve">included in another</w:t>
      </w:r>
      <w:r>
        <w:t xml:space="preserve"> </w:t>
      </w:r>
      <w:r>
        <w:t xml:space="preserve">category.</w:t>
      </w:r>
      <w:r>
        <w:t xml:space="preserve"> </w:t>
      </w:r>
      <w:r>
        <w:t xml:space="preserve">Total assets</w:t>
      </w:r>
      <w:r>
        <w:t xml:space="preserve"> </w:t>
      </w:r>
      <w:r>
        <w:t xml:space="preserve">&gt;= 200 million</w:t>
      </w:r>
      <w:r>
        <w:t xml:space="preserve"> </w:t>
      </w:r>
      <w:r>
        <w:t xml:space="preserve">&gt;= 20 million</w:t>
      </w:r>
      <w:r>
        <w:t xml:space="preserve"> </w:t>
      </w:r>
      <w:r>
        <w:t xml:space="preserve">&gt;= 2 million</w:t>
      </w:r>
      <w:r>
        <w:t xml:space="preserve"> </w:t>
      </w:r>
      <w:r>
        <w:t xml:space="preserve">Employee number</w:t>
      </w:r>
      <w:r>
        <w:t xml:space="preserve"> </w:t>
      </w:r>
      <w:r>
        <w:t xml:space="preserve">&gt;= 1,000</w:t>
      </w:r>
      <w:r>
        <w:t xml:space="preserve"> </w:t>
      </w:r>
      <w:r>
        <w:t xml:space="preserve">&gt;=150</w:t>
      </w:r>
      <w:r>
        <w:t xml:space="preserve"> </w:t>
      </w:r>
      <w:r>
        <w:t xml:space="preserve">&gt;=15</w:t>
      </w:r>
      <w:r>
        <w:t xml:space="preserve"> </w:t>
      </w:r>
      <w:r>
        <w:t xml:space="preserve">Source: Orbis URLSize Classifications: Guide - Orbis User Guide. Note: for Very Large companies, being</w:t>
      </w:r>
      <w:r>
        <w:t xml:space="preserve"> </w:t>
      </w:r>
      <w:r>
        <w:t xml:space="preserve">Listed is also a criteria.</w:t>
      </w:r>
    </w:p>
    <w:p>
      <w:pPr>
        <w:pStyle w:val="BodyText"/>
      </w:pPr>
      <w:r>
        <w:t xml:space="preserve">23 EORI stands for “Economic operators registration and identification”. An EORI number is mandatory for</w:t>
      </w:r>
      <w:r>
        <w:t xml:space="preserve"> </w:t>
      </w:r>
      <w:r>
        <w:t xml:space="preserve">customs clearance in the customs territory of the European Union. EORI uniquely identifies economic</w:t>
      </w:r>
      <w:r>
        <w:t xml:space="preserve"> </w:t>
      </w:r>
      <w:r>
        <w:t xml:space="preserve">operators and other persons. Source: https://taxation-customs.ec.europa.eu/customs/customs-procedures-</w:t>
      </w:r>
      <w:r>
        <w:t xml:space="preserve"> </w:t>
      </w:r>
      <w:r>
        <w:t xml:space="preserve">import-and-export/customs-operations/economic-operators-registration-and-identification-number-</w:t>
      </w:r>
      <w:r>
        <w:t xml:space="preserve"> </w:t>
      </w:r>
      <w:r>
        <w:t xml:space="preserve">eori_en#:~:text=EORI%20stands%20for%20%E2%80%9C%20Economic%20operators%20registration%</w:t>
      </w:r>
      <w:r>
        <w:t xml:space="preserve"> </w:t>
      </w:r>
      <w:r>
        <w:t xml:space="preserve">20and,customs%20operations%20such%20as%20export%2C%20import%20and%20transit. 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6.3</w:t>
      </w:r>
      <w:r>
        <w:t xml:space="preserve"> </w:t>
      </w:r>
      <w:r>
        <w:t xml:space="preserve">Sample size correction</w:t>
      </w:r>
      <w:r>
        <w:br/>
      </w:r>
      <w:r>
        <w:t xml:space="preserve">A sample size correction is necessary since some identifiers for importers are missing in</w:t>
      </w:r>
      <w:r>
        <w:t xml:space="preserve"> </w:t>
      </w:r>
      <w:r>
        <w:t xml:space="preserve">customs data. This is for two reasons: (i) natural persons and occasional importers are not</w:t>
      </w:r>
      <w:r>
        <w:t xml:space="preserve"> </w:t>
      </w:r>
      <w:r>
        <w:t xml:space="preserve">required to have an EORI identifier, and (ii) some Member States were not compliant with</w:t>
      </w:r>
      <w:r>
        <w:t xml:space="preserve"> </w:t>
      </w:r>
      <w:r>
        <w:t xml:space="preserve">the Surveillance system for customs import declaration data in 2024.24</w:t>
      </w:r>
      <w:r>
        <w:br/>
      </w:r>
      <w:r>
        <w:t xml:space="preserve">The correction factor is based is the proportion of net mass for import declarations in 2024</w:t>
      </w:r>
      <w:r>
        <w:t xml:space="preserve"> </w:t>
      </w:r>
      <w:r>
        <w:t xml:space="preserve">for which EORI numbers were available, that is 70% for import declarations of</w:t>
      </w:r>
      <w:r>
        <w:t xml:space="preserve"> </w:t>
      </w:r>
      <w:r>
        <w:t xml:space="preserve">downstream products. In other words, the estimated number of importers for downstream</w:t>
      </w:r>
      <w:r>
        <w:t xml:space="preserve"> </w:t>
      </w:r>
      <w:r>
        <w:t xml:space="preserve">products are extrapolated, taking into account that the observed number of importers</w:t>
      </w:r>
      <w:r>
        <w:t xml:space="preserve"> </w:t>
      </w:r>
      <w:r>
        <w:t xml:space="preserve">represent 70% for downstream products.</w:t>
      </w:r>
      <w:r>
        <w:t xml:space="preserve"> </w:t>
      </w:r>
      <w:r>
        <w:t xml:space="preserve">6.4</w:t>
      </w:r>
      <w:r>
        <w:t xml:space="preserve"> </w:t>
      </w:r>
      <w:r>
        <w:t xml:space="preserve">Determination of the number of SMEs affected</w:t>
      </w:r>
      <w:r>
        <w:t xml:space="preserve"> </w:t>
      </w:r>
      <w:r>
        <w:t xml:space="preserve">For downstream products (see Section 6.2.6 of the Impact Assessment), the number of</w:t>
      </w:r>
      <w:r>
        <w:t xml:space="preserve"> </w:t>
      </w:r>
      <w:r>
        <w:t xml:space="preserve">affected SMEs depends on two elements:</w:t>
      </w:r>
      <w:r>
        <w:br/>
      </w:r>
      <w:r>
        <w:t xml:space="preserve">-</w:t>
      </w:r>
      <w:r>
        <w:t xml:space="preserve"> </w:t>
      </w:r>
      <w:r>
        <w:t xml:space="preserve">The overall number of importers, and</w:t>
      </w:r>
      <w:r>
        <w:t xml:space="preserve"> </w:t>
      </w:r>
      <w:r>
        <w:t xml:space="preserve">-</w:t>
      </w:r>
      <w:r>
        <w:t xml:space="preserve"> </w:t>
      </w:r>
      <w:r>
        <w:t xml:space="preserve">The proportion of SMEs amongst these importers.</w:t>
      </w:r>
      <w:r>
        <w:t xml:space="preserve"> </w:t>
      </w:r>
      <w:r>
        <w:t xml:space="preserve">For downstream products, there is no more than 20% of SMEs amongst the importers</w:t>
      </w:r>
      <w:r>
        <w:t xml:space="preserve"> </w:t>
      </w:r>
      <w:r>
        <w:t xml:space="preserve">affected by the downstream scope extension.</w:t>
      </w:r>
    </w:p>
    <w:p>
      <w:pPr>
        <w:pStyle w:val="BodyText"/>
      </w:pP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(Based on SME filter and the ISG discussion, this initiative is relevant/highly relevant for</w:t>
      </w:r>
      <w:r>
        <w:t xml:space="preserve"> </w:t>
      </w:r>
      <w:r>
        <w:t xml:space="preserve">SMEs25)</w:t>
      </w:r>
    </w:p>
    <w:p>
      <w:pPr>
        <w:pStyle w:val="Compact"/>
        <w:numPr>
          <w:ilvl w:val="0"/>
          <w:numId w:val="1004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Yes In which sectors?</w:t>
      </w:r>
    </w:p>
    <w:p>
      <w:pPr>
        <w:pStyle w:val="Compact"/>
        <w:numPr>
          <w:ilvl w:val="0"/>
          <w:numId w:val="1005"/>
        </w:numPr>
      </w:pPr>
      <w:r>
        <w:t xml:space="preserve">Inclusion of downstream sectors into the scope of CBAM.</w:t>
      </w:r>
      <w:r>
        <w:t xml:space="preserve"> </w:t>
      </w:r>
      <w:r>
        <w:t xml:space="preserve">o Option 1. The following NACE sectors cover 82% of the SMEs affected:</w:t>
      </w:r>
      <w:r>
        <w:t xml:space="preserve"> </w:t>
      </w:r>
      <w:r>
        <w:t xml:space="preserve">“C - Manufacturing” (19%), “F - Construction” (1%), “G - Wholesale and</w:t>
      </w:r>
      <w:r>
        <w:t xml:space="preserve"> </w:t>
      </w:r>
      <w:r>
        <w:t xml:space="preserve">retail trade; repair of motor vehicles and motorcycles” (56%), “H -</w:t>
      </w:r>
      <w:r>
        <w:t xml:space="preserve"> </w:t>
      </w:r>
      <w:r>
        <w:t xml:space="preserve">Transportation and storage” (1%), “M - Professional, scientific and</w:t>
      </w:r>
      <w:r>
        <w:t xml:space="preserve"> </w:t>
      </w:r>
      <w:r>
        <w:t xml:space="preserve">technical activities” (2%), “N - Administrative and support service</w:t>
      </w:r>
      <w:r>
        <w:t xml:space="preserve"> </w:t>
      </w:r>
      <w:r>
        <w:t xml:space="preserve">activities” (1%), Other (2%).</w:t>
      </w:r>
      <w:r>
        <w:t xml:space="preserve"> </w:t>
      </w:r>
      <w:r>
        <w:t xml:space="preserve">o Option 2. The following NACE sectors cover 74% of the SMEs affected:</w:t>
      </w:r>
      <w:r>
        <w:t xml:space="preserve"> </w:t>
      </w:r>
      <w:r>
        <w:t xml:space="preserve">“C - Manufacturing” (13%), “F - Construction” (1%), “G - Wholesale and</w:t>
      </w:r>
      <w:r>
        <w:t xml:space="preserve"> </w:t>
      </w:r>
      <w:r>
        <w:t xml:space="preserve">retail trade; repair of motor vehicles and motorcycles” (53%), “H -</w:t>
      </w:r>
      <w:r>
        <w:t xml:space="preserve"> </w:t>
      </w:r>
      <w:r>
        <w:t xml:space="preserve">Transportation and storage” (1%), “M - Professional, scientific and</w:t>
      </w:r>
      <w:r>
        <w:t xml:space="preserve"> </w:t>
      </w:r>
      <w:r>
        <w:t xml:space="preserve">technical activities” (2%), “N - Administrative and support service</w:t>
      </w:r>
      <w:r>
        <w:t xml:space="preserve"> </w:t>
      </w:r>
      <w:r>
        <w:t xml:space="preserve">activities” (2%), Other (2%).</w:t>
      </w:r>
    </w:p>
    <w:p>
      <w:pPr>
        <w:pStyle w:val="FirstParagraph"/>
      </w:pPr>
      <w:r>
        <w:t xml:space="preserve">24 See list of data elements in Annex 21-03 of the Commission Implementing Regulation (EU) 2015/2447</w:t>
      </w:r>
      <w:r>
        <w:t xml:space="preserve"> </w:t>
      </w:r>
      <w:r>
        <w:t xml:space="preserve">(UDD IA).</w:t>
      </w:r>
      <w:r>
        <w:t xml:space="preserve"> </w:t>
      </w:r>
      <w:r>
        <w:t xml:space="preserve">25 https://ec.europa.eu/docsroom/documents/63274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o Option 3. The following NACE sectors cover 74% of the SMEs affected:</w:t>
      </w:r>
      <w:r>
        <w:t xml:space="preserve"> </w:t>
      </w:r>
      <w:r>
        <w:t xml:space="preserve">“C - Manufacturing” (13%), “F - Construction” (1%), “G - Wholesale and</w:t>
      </w:r>
      <w:r>
        <w:t xml:space="preserve"> </w:t>
      </w:r>
      <w:r>
        <w:t xml:space="preserve">retail trade; repair of motor vehicles and motorcycles” (53%), “H -</w:t>
      </w:r>
      <w:r>
        <w:t xml:space="preserve"> </w:t>
      </w:r>
      <w:r>
        <w:t xml:space="preserve">Transportation and storage” (1%), “M - Professional, scientific and</w:t>
      </w:r>
      <w:r>
        <w:t xml:space="preserve"> </w:t>
      </w:r>
      <w:r>
        <w:t xml:space="preserve">technical activities” (2%), “N - Administrative and support service</w:t>
      </w:r>
      <w:r>
        <w:t xml:space="preserve"> </w:t>
      </w:r>
      <w:r>
        <w:t xml:space="preserve">activities” (1%), Other (2%).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Inclusion of downstream products in scope of CBAM: 700-800 SMEs in option 1,</w:t>
      </w:r>
      <w:r>
        <w:t xml:space="preserve"> </w:t>
      </w:r>
      <w:r>
        <w:t xml:space="preserve">3800-3900 SMEs in Option 2, 4700-4800 SMEs in Option 3.</w:t>
      </w:r>
    </w:p>
    <w:p>
      <w:pPr>
        <w:pStyle w:val="BodyText"/>
      </w:pPr>
      <w:r>
        <w:t xml:space="preserve">Estimated number of employees in directly affected SMEs</w:t>
      </w:r>
      <w:r>
        <w:t xml:space="preserve"> </w:t>
      </w:r>
      <w:r>
        <w:t xml:space="preserve">Inclusion of downstream sectors into the scope of CBAM: Option 1 has an impact</w:t>
      </w:r>
      <w:r>
        <w:t xml:space="preserve"> </w:t>
      </w:r>
      <w:r>
        <w:t xml:space="preserve">on about 6,677 employees; Option 2 on about 40,364 employees; and Option 3 on</w:t>
      </w:r>
      <w:r>
        <w:t xml:space="preserve"> </w:t>
      </w:r>
      <w:r>
        <w:t xml:space="preserve">about 49,539 employees.</w:t>
      </w:r>
    </w:p>
    <w:p>
      <w:pPr>
        <w:pStyle w:val="BodyText"/>
      </w:pPr>
      <w:r>
        <w:t xml:space="preserve">Are SMEs indirectly affected? No</w:t>
      </w:r>
    </w:p>
    <w:p>
      <w:pPr>
        <w:numPr>
          <w:ilvl w:val="0"/>
          <w:numId w:val="1006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The public consultation received 41 responses from micro enterprises (1 to 9 employees),</w:t>
      </w:r>
      <w:r>
        <w:t xml:space="preserve"> </w:t>
      </w:r>
      <w:r>
        <w:t xml:space="preserve">38 responses from small enterprises (10 to 49 employees), and 31 responses from medium-</w:t>
      </w:r>
      <w:r>
        <w:t xml:space="preserve"> </w:t>
      </w:r>
      <w:r>
        <w:t xml:space="preserve">sized enterprises (50 to 249 employees). In other words, 46% of the 240 submissions were</w:t>
      </w:r>
      <w:r>
        <w:t xml:space="preserve"> </w:t>
      </w:r>
      <w:r>
        <w:t xml:space="preserve">from SMEs.</w:t>
      </w:r>
      <w:r>
        <w:t xml:space="preserve"> </w:t>
      </w:r>
      <w:r>
        <w:t xml:space="preserve">Are SMEs’ views different from those of large businesses? (Yes/No)</w:t>
      </w:r>
      <w:r>
        <w:t xml:space="preserve"> </w:t>
      </w:r>
      <w:r>
        <w:t xml:space="preserve">The main difference is that, counterintuitively, the proportion of SMEs (44%) who agree</w:t>
      </w:r>
      <w:r>
        <w:t xml:space="preserve"> </w:t>
      </w:r>
      <w:r>
        <w:t xml:space="preserve">or strongly agree that downstream extension would increase costs for SMEs in the EU is</w:t>
      </w:r>
      <w:r>
        <w:t xml:space="preserve"> </w:t>
      </w:r>
      <w:r>
        <w:t xml:space="preserve">slightly lower than large companies (48%) and business associations (53%). Likewise, a</w:t>
      </w:r>
      <w:r>
        <w:t xml:space="preserve"> </w:t>
      </w:r>
      <w:r>
        <w:t xml:space="preserve">larger proportion of SMEs (40%; n=25) indicated a neutral opinion on this issue compared</w:t>
      </w:r>
      <w:r>
        <w:t xml:space="preserve"> </w:t>
      </w:r>
      <w:r>
        <w:t xml:space="preserve">to large companies (24%; n=109) and business associations (29%; n=78).</w:t>
      </w:r>
    </w:p>
    <w:p>
      <w:pPr>
        <w:numPr>
          <w:ilvl w:val="0"/>
          <w:numId w:val="1006"/>
        </w:numPr>
      </w:pPr>
      <w:r>
        <w:t xml:space="preserve">ASSESSMENT OF IMPACTS ON SMES26</w:t>
      </w:r>
      <w:r>
        <w:t xml:space="preserve"> </w:t>
      </w:r>
      <w:r>
        <w:t xml:space="preserve">What are the estimated direct costs for SMEs of the preferred policy option? (Fill in</w:t>
      </w:r>
      <w:r>
        <w:t xml:space="preserve"> </w:t>
      </w:r>
      <w:r>
        <w:t xml:space="preserve">only if step 1 flags direct impacts)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Cost incurred by EU SME’s are mostly administrative costs. The total administrative cost</w:t>
      </w:r>
      <w:r>
        <w:t xml:space="preserve"> </w:t>
      </w:r>
      <w:r>
        <w:t xml:space="preserve">for all companies is outlined in Section 6.2.5.1 above. About half of the importers in scope</w:t>
      </w:r>
      <w:r>
        <w:t xml:space="preserve"> </w:t>
      </w:r>
      <w:r>
        <w:t xml:space="preserve">of the downstream extension are SMEs. The administrative cost of all companies the</w:t>
      </w:r>
      <w:r>
        <w:t xml:space="preserve"> </w:t>
      </w:r>
      <w:r>
        <w:t xml:space="preserve">administrative costs faced by SMEs will likely be on the lower end of the cost range since</w:t>
      </w:r>
      <w:r>
        <w:t xml:space="preserve"> </w:t>
      </w:r>
      <w:r>
        <w:t xml:space="preserve">SMEs are more typically smaller importers.</w:t>
      </w:r>
      <w:r>
        <w:t xml:space="preserve"> </w:t>
      </w:r>
      <w:r>
        <w:t xml:space="preserve">Quantitative assessment</w:t>
      </w:r>
    </w:p>
    <w:p>
      <w:pPr>
        <w:pStyle w:val="FirstParagraph"/>
      </w:pPr>
      <w:r>
        <w:t xml:space="preserve">26 The costs and benefits data in this annex are consistent with the data in annex 3. The preferred option</w:t>
      </w:r>
      <w:r>
        <w:t xml:space="preserve"> </w:t>
      </w:r>
      <w:r>
        <w:t xml:space="preserve">includes the mitigating measures listed in section 4.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The implied costs are EUR 0.9–5 million for Option 1, EUR 4.2–22.6 million for Option</w:t>
      </w:r>
      <w:r>
        <w:t xml:space="preserve"> </w:t>
      </w:r>
      <w:r>
        <w:t xml:space="preserve">2, and EUR 4.95–28.8 million for Option 3.27</w:t>
      </w:r>
    </w:p>
    <w:p>
      <w:pPr>
        <w:pStyle w:val="BodyText"/>
      </w:pPr>
      <w:r>
        <w:t xml:space="preserve">What are the estimated direct benefits/cost savings for SMEs of the preferred policy</w:t>
      </w:r>
      <w:r>
        <w:t xml:space="preserve"> </w:t>
      </w:r>
      <w:r>
        <w:t xml:space="preserve">option28?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Option 2 for downstream scope extension: SMEs in the EU will benefit from a better</w:t>
      </w:r>
      <w:r>
        <w:t xml:space="preserve"> </w:t>
      </w:r>
      <w:r>
        <w:t xml:space="preserve">production against the risk of carbon leakage. Furthermore, the measures against CBAM</w:t>
      </w:r>
      <w:r>
        <w:t xml:space="preserve"> </w:t>
      </w:r>
      <w:r>
        <w:t xml:space="preserve">avoidance will ensure that the CBAM adjustment reflects appropriately the carbon content</w:t>
      </w:r>
      <w:r>
        <w:t xml:space="preserve"> </w:t>
      </w:r>
      <w:r>
        <w:t xml:space="preserve">of the goods imported. Extension to downstream product allows to ensure the risk of</w:t>
      </w:r>
      <w:r>
        <w:t xml:space="preserve"> </w:t>
      </w:r>
      <w:r>
        <w:t xml:space="preserve">carbon leakage for CBAM basic goods is not pushed further down the value chain.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(Provide numbers)</w:t>
      </w:r>
      <w:r>
        <w:t xml:space="preserve"> </w:t>
      </w:r>
      <w:r>
        <w:t xml:space="preserve">N/A</w:t>
      </w:r>
      <w:r>
        <w:t xml:space="preserve"> </w:t>
      </w:r>
      <w:r>
        <w:t xml:space="preserve">What are the indirect impacts of this initiative on SMEs? (Fill in only if step 1 flags</w:t>
      </w:r>
      <w:r>
        <w:t xml:space="preserve"> </w:t>
      </w:r>
      <w:r>
        <w:t xml:space="preserve">indirect impacts)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7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No</w:t>
      </w:r>
      <w:r>
        <w:t xml:space="preserve"> </w:t>
      </w:r>
      <w:r>
        <w:t xml:space="preserve">If yes, are there any specific subgroups of SMEs more exposed than others?</w:t>
      </w:r>
      <w:r>
        <w:t xml:space="preserve"> </w:t>
      </w:r>
      <w:r>
        <w:t xml:space="preserve">(Explain)</w:t>
      </w:r>
      <w:r>
        <w:t xml:space="preserve"> </w:t>
      </w:r>
      <w:r>
        <w:t xml:space="preserve">Have mitigating measures been included in the preferred option/proposal? No</w:t>
      </w:r>
      <w:r>
        <w:br/>
      </w:r>
      <w:r>
        <w:t xml:space="preserve">(Specify the mitigating measures, including SME-friendly provisions (e.g. phasing ins,</w:t>
      </w:r>
      <w:r>
        <w:t xml:space="preserve"> </w:t>
      </w:r>
      <w:r>
        <w:t xml:space="preserve">guidance, etc.). Describe the expected benefits/cost savings qualitatively and, where</w:t>
      </w:r>
      <w:r>
        <w:t xml:space="preserve"> </w:t>
      </w:r>
      <w:r>
        <w:t xml:space="preserve">possible, quantitatively)</w:t>
      </w:r>
      <w:r>
        <w:t xml:space="preserve"> </w:t>
      </w:r>
      <w:r>
        <w:t xml:space="preserve">Downstream scope extension: Option 2 and Option 3 are preferred in terms of</w:t>
      </w:r>
      <w:r>
        <w:t xml:space="preserve"> </w:t>
      </w:r>
      <w:r>
        <w:t xml:space="preserve">environmental benefits, and Option 2, which is the preferred option, has a lower number</w:t>
      </w:r>
      <w:r>
        <w:t xml:space="preserve"> </w:t>
      </w:r>
      <w:r>
        <w:t xml:space="preserve">of SMEs affected ‘3800-3900 SMEs in Option 2 compared to 4700-4800 SMEs in Option3.</w:t>
      </w:r>
    </w:p>
    <w:p>
      <w:pPr>
        <w:pStyle w:val="FirstParagraph"/>
      </w:pPr>
      <w:r>
        <w:t xml:space="preserve">CONTRIBUTION TO THE 35% BURDEN REDUCTION TARGET FOR SMES</w:t>
      </w:r>
    </w:p>
    <w:p>
      <w:pPr>
        <w:pStyle w:val="BodyText"/>
      </w:pPr>
      <w:r>
        <w:t xml:space="preserve">27 This is based on the share of SMEs in the total number of importers covered by a downstream extension</w:t>
      </w:r>
      <w:r>
        <w:t xml:space="preserve"> </w:t>
      </w:r>
      <w:r>
        <w:t xml:space="preserve">(see Section 6.2.6) multiplied by the total additional compliance cost for companies as reported in section</w:t>
      </w:r>
      <w:r>
        <w:t xml:space="preserve"> </w:t>
      </w:r>
      <w:r>
        <w:t xml:space="preserve">6.2.5.1.</w:t>
      </w:r>
      <w:r>
        <w:t xml:space="preserve"> </w:t>
      </w:r>
      <w:r>
        <w:t xml:space="preserve">28 The direct benefits for SMEs can also be cost savings.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Are there any administrative cost savings relevant for the 35% burden reduction</w:t>
      </w:r>
      <w:r>
        <w:t xml:space="preserve"> </w:t>
      </w:r>
      <w:r>
        <w:t xml:space="preserve">target for SMEs?</w:t>
      </w:r>
      <w:r>
        <w:t xml:space="preserve"> </w:t>
      </w:r>
      <w:r>
        <w:t xml:space="preserve">(Provide number from Annex 3)</w:t>
      </w:r>
      <w:r>
        <w:t xml:space="preserve"> </w:t>
      </w:r>
      <w:r>
        <w:t xml:space="preserve">N/A</w:t>
      </w:r>
      <w:r>
        <w:t xml:space="preserve"> </w:t>
      </w:r>
      <w:r>
        <w:t xml:space="preserve">ADDITIONAL INFORMATION</w:t>
      </w:r>
      <w:r>
        <w:br/>
      </w:r>
      <w:r>
        <w:t xml:space="preserve">None applicable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ANNEX 7: ADDITIONAL INFORMATION ON DOWNSTREAM</w:t>
      </w:r>
      <w:r>
        <w:t xml:space="preserve"> </w:t>
      </w:r>
      <w:r>
        <w:t xml:space="preserve">7.1</w:t>
      </w:r>
      <w:r>
        <w:t xml:space="preserve"> </w:t>
      </w:r>
      <w:r>
        <w:t xml:space="preserve">Estimated emission changes</w:t>
      </w:r>
      <w:r>
        <w:t xml:space="preserve"> </w:t>
      </w:r>
      <w:r>
        <w:t xml:space="preserve">Figure 24: Estimated emission changes due to CBAM downstream extension, 2030-</w:t>
      </w:r>
      <w:r>
        <w:t xml:space="preserve"> </w:t>
      </w:r>
      <w:r>
        <w:t xml:space="preserve">2035, EU vs Rest of the World</w:t>
      </w:r>
    </w:p>
    <w:p>
      <w:pPr>
        <w:pStyle w:val="BodyText"/>
      </w:pPr>
      <w:r>
        <w:t xml:space="preserve">Note: Mt of CO2e changes in GHG emissions worldwide, 2030 and 2035. The changes are relative to the</w:t>
      </w:r>
      <w:r>
        <w:t xml:space="preserve"> </w:t>
      </w:r>
      <w:r>
        <w:t xml:space="preserve">baseline (CBAM without downstream extension). Broken down by contributions of the CBAM sectors and</w:t>
      </w:r>
      <w:r>
        <w:t xml:space="preserve"> </w:t>
      </w:r>
      <w:r>
        <w:t xml:space="preserve">the downstream sectors, the three main option scenarios, as well as world regions. Source: JRC’s</w:t>
      </w:r>
      <w:r>
        <w:t xml:space="preserve"> </w:t>
      </w:r>
      <w:r>
        <w:t xml:space="preserve">simulations with the JRC-GEM-E3 model.</w:t>
      </w:r>
      <w:r>
        <w:t xml:space="preserve"> </w:t>
      </w:r>
      <w:r>
        <w:t xml:space="preserve">0.02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</w:t>
      </w:r>
      <w:r>
        <w:br/>
      </w:r>
      <w:r>
        <w:t xml:space="preserve">0.08</w:t>
      </w:r>
      <w:r>
        <w:t xml:space="preserve"> </w:t>
      </w:r>
      <w:r>
        <w:t xml:space="preserve">0.8</w:t>
      </w:r>
      <w:r>
        <w:t xml:space="preserve"> </w:t>
      </w:r>
      <w:r>
        <w:t xml:space="preserve">1.20</w:t>
      </w:r>
      <w:r>
        <w:t xml:space="preserve"> </w:t>
      </w:r>
      <w:r>
        <w:t xml:space="preserve">1.00</w:t>
      </w:r>
      <w:r>
        <w:t xml:space="preserve"> </w:t>
      </w:r>
      <w:r>
        <w:t xml:space="preserve">0.80</w:t>
      </w:r>
      <w:r>
        <w:t xml:space="preserve"> </w:t>
      </w:r>
      <w:r>
        <w:t xml:space="preserve">0.60</w:t>
      </w:r>
      <w:r>
        <w:t xml:space="preserve"> </w:t>
      </w:r>
      <w:r>
        <w:t xml:space="preserve">0. 0</w:t>
      </w:r>
      <w:r>
        <w:t xml:space="preserve"> </w:t>
      </w:r>
      <w:r>
        <w:t xml:space="preserve">0.20</w:t>
      </w:r>
    </w:p>
    <w:p>
      <w:pPr>
        <w:pStyle w:val="BodyText"/>
      </w:pPr>
      <w:r>
        <w:t xml:space="preserve">0.20</w:t>
      </w:r>
      <w:r>
        <w:t xml:space="preserve"> </w:t>
      </w:r>
      <w:r>
        <w:t xml:space="preserve">1.20</w:t>
      </w:r>
      <w:r>
        <w:t xml:space="preserve"> </w:t>
      </w:r>
      <w:r>
        <w:t xml:space="preserve">1.00</w:t>
      </w:r>
      <w:r>
        <w:t xml:space="preserve"> </w:t>
      </w:r>
      <w:r>
        <w:t xml:space="preserve">0.80</w:t>
      </w:r>
      <w:r>
        <w:t xml:space="preserve"> </w:t>
      </w:r>
      <w:r>
        <w:t xml:space="preserve">0.60</w:t>
      </w:r>
      <w:r>
        <w:t xml:space="preserve"> </w:t>
      </w:r>
      <w:r>
        <w:t xml:space="preserve">0. 0</w:t>
      </w:r>
      <w:r>
        <w:t xml:space="preserve"> </w:t>
      </w:r>
      <w:r>
        <w:t xml:space="preserve">0.20</w:t>
      </w:r>
    </w:p>
    <w:p>
      <w:pPr>
        <w:pStyle w:val="BodyText"/>
      </w:pPr>
      <w:r>
        <w:t xml:space="preserve">0.20</w:t>
      </w:r>
      <w:r>
        <w:t xml:space="preserve"> </w:t>
      </w:r>
      <w:r>
        <w:t xml:space="preserve">EU</w:t>
      </w:r>
      <w:r>
        <w:t xml:space="preserve"> </w:t>
      </w:r>
      <w:r>
        <w:t xml:space="preserve">RO</w:t>
      </w:r>
      <w:r>
        <w:t xml:space="preserve"> </w:t>
      </w:r>
      <w:r>
        <w:t xml:space="preserve">EU</w:t>
      </w:r>
      <w:r>
        <w:t xml:space="preserve"> </w:t>
      </w:r>
      <w:r>
        <w:t xml:space="preserve">RO</w:t>
      </w:r>
      <w:r>
        <w:t xml:space="preserve"> </w:t>
      </w:r>
      <w:r>
        <w:t xml:space="preserve">EU</w:t>
      </w:r>
      <w:r>
        <w:t xml:space="preserve"> </w:t>
      </w:r>
      <w:r>
        <w:t xml:space="preserve">RO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MtCO2e</w:t>
      </w:r>
      <w:r>
        <w:t xml:space="preserve"> </w:t>
      </w:r>
      <w:r>
        <w:t xml:space="preserve">MtCO2e</w:t>
      </w:r>
      <w:r>
        <w:t xml:space="preserve"> </w:t>
      </w:r>
      <w:r>
        <w:t xml:space="preserve">2030</w:t>
      </w:r>
      <w:r>
        <w:t xml:space="preserve"> </w:t>
      </w:r>
      <w:r>
        <w:t xml:space="preserve">CBAM sectors</w:t>
      </w:r>
      <w:r>
        <w:t xml:space="preserve"> </w:t>
      </w:r>
      <w:r>
        <w:t xml:space="preserve">Downstream sectors</w:t>
      </w:r>
      <w:r>
        <w:t xml:space="preserve"> </w:t>
      </w:r>
      <w:r>
        <w:t xml:space="preserve">0.02</w:t>
      </w:r>
      <w:r>
        <w:t xml:space="preserve"> </w:t>
      </w:r>
      <w:r>
        <w:t xml:space="preserve">0.28</w:t>
      </w:r>
      <w:r>
        <w:t xml:space="preserve"> </w:t>
      </w:r>
      <w:r>
        <w:t xml:space="preserve">0.08</w:t>
      </w:r>
      <w:r>
        <w:t xml:space="preserve"> </w:t>
      </w:r>
      <w:r>
        <w:t xml:space="preserve">0. 1</w:t>
      </w:r>
      <w:r>
        <w:t xml:space="preserve"> </w:t>
      </w:r>
      <w:r>
        <w:t xml:space="preserve">0.0</w:t>
      </w:r>
      <w:r>
        <w:t xml:space="preserve"> </w:t>
      </w:r>
      <w:r>
        <w:t xml:space="preserve">1.06</w:t>
      </w:r>
      <w:r>
        <w:t xml:space="preserve"> </w:t>
      </w:r>
      <w:r>
        <w:t xml:space="preserve">1.20</w:t>
      </w:r>
      <w:r>
        <w:t xml:space="preserve"> </w:t>
      </w:r>
      <w:r>
        <w:t xml:space="preserve">1.00</w:t>
      </w:r>
      <w:r>
        <w:t xml:space="preserve"> </w:t>
      </w:r>
      <w:r>
        <w:t xml:space="preserve">0.80</w:t>
      </w:r>
      <w:r>
        <w:t xml:space="preserve"> </w:t>
      </w:r>
      <w:r>
        <w:t xml:space="preserve">0.60</w:t>
      </w:r>
      <w:r>
        <w:t xml:space="preserve"> </w:t>
      </w:r>
      <w:r>
        <w:t xml:space="preserve">0. 0</w:t>
      </w:r>
      <w:r>
        <w:t xml:space="preserve"> </w:t>
      </w:r>
      <w:r>
        <w:t xml:space="preserve">0.20</w:t>
      </w:r>
    </w:p>
    <w:p>
      <w:pPr>
        <w:pStyle w:val="BodyText"/>
      </w:pPr>
      <w:r>
        <w:t xml:space="preserve">0.20</w:t>
      </w:r>
      <w:r>
        <w:t xml:space="preserve"> </w:t>
      </w:r>
      <w:r>
        <w:t xml:space="preserve">1.20</w:t>
      </w:r>
      <w:r>
        <w:t xml:space="preserve"> </w:t>
      </w:r>
      <w:r>
        <w:t xml:space="preserve">1.00</w:t>
      </w:r>
      <w:r>
        <w:t xml:space="preserve"> </w:t>
      </w:r>
      <w:r>
        <w:t xml:space="preserve">0.80</w:t>
      </w:r>
      <w:r>
        <w:t xml:space="preserve"> </w:t>
      </w:r>
      <w:r>
        <w:t xml:space="preserve">0.60</w:t>
      </w:r>
      <w:r>
        <w:t xml:space="preserve"> </w:t>
      </w:r>
      <w:r>
        <w:t xml:space="preserve">0. 0</w:t>
      </w:r>
      <w:r>
        <w:t xml:space="preserve"> </w:t>
      </w:r>
      <w:r>
        <w:t xml:space="preserve">0.20</w:t>
      </w:r>
    </w:p>
    <w:p>
      <w:pPr>
        <w:pStyle w:val="BodyText"/>
      </w:pPr>
      <w:r>
        <w:t xml:space="preserve">0.20</w:t>
      </w:r>
      <w:r>
        <w:t xml:space="preserve"> </w:t>
      </w:r>
      <w:r>
        <w:t xml:space="preserve">EU</w:t>
      </w:r>
      <w:r>
        <w:t xml:space="preserve"> </w:t>
      </w:r>
      <w:r>
        <w:t xml:space="preserve">RO</w:t>
      </w:r>
      <w:r>
        <w:t xml:space="preserve"> </w:t>
      </w:r>
      <w:r>
        <w:t xml:space="preserve">EU</w:t>
      </w:r>
      <w:r>
        <w:t xml:space="preserve"> </w:t>
      </w:r>
      <w:r>
        <w:t xml:space="preserve">RO</w:t>
      </w:r>
      <w:r>
        <w:t xml:space="preserve"> </w:t>
      </w:r>
      <w:r>
        <w:t xml:space="preserve">EU</w:t>
      </w:r>
      <w:r>
        <w:t xml:space="preserve"> </w:t>
      </w:r>
      <w:r>
        <w:t xml:space="preserve">RO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MtCO2e</w:t>
      </w:r>
      <w:r>
        <w:t xml:space="preserve"> </w:t>
      </w:r>
      <w:r>
        <w:t xml:space="preserve">MtCO2e</w:t>
      </w:r>
      <w:r>
        <w:t xml:space="preserve"> </w:t>
      </w:r>
      <w:r>
        <w:t xml:space="preserve">2035</w:t>
      </w:r>
      <w:r>
        <w:t xml:space="preserve"> </w:t>
      </w:r>
      <w:r>
        <w:t xml:space="preserve">CBAM sectors</w:t>
      </w:r>
      <w:r>
        <w:t xml:space="preserve"> </w:t>
      </w:r>
      <w:r>
        <w:t xml:space="preserve">Downstream sectors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Figure 25: Estimated emission changes due to CBAM downstream extension, 2030</w:t>
      </w:r>
      <w:r>
        <w:t xml:space="preserve"> </w:t>
      </w:r>
      <w:r>
        <w:t xml:space="preserve">and 2035, worldwide</w:t>
      </w:r>
    </w:p>
    <w:p>
      <w:pPr>
        <w:pStyle w:val="BodyText"/>
      </w:pPr>
      <w:r>
        <w:t xml:space="preserve">Note: Mt of CO2e changes in GHG emissions worldwide. The changes are relative to the baseline (CBAM</w:t>
      </w:r>
      <w:r>
        <w:t xml:space="preserve"> </w:t>
      </w:r>
      <w:r>
        <w:t xml:space="preserve">without downstream extension). Source: JRC-GEM-E3 model.</w:t>
      </w:r>
      <w:r>
        <w:t xml:space="preserve"> </w:t>
      </w:r>
      <w:r>
        <w:t xml:space="preserve">0.12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0.12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0.05</w:t>
      </w:r>
      <w:r>
        <w:t xml:space="preserve"> </w:t>
      </w:r>
      <w:r>
        <w:t xml:space="preserve">0.00</w:t>
      </w:r>
      <w:r>
        <w:t xml:space="preserve"> </w:t>
      </w:r>
      <w:r>
        <w:t xml:space="preserve">0.10</w:t>
      </w:r>
      <w:r>
        <w:t xml:space="preserve"> </w:t>
      </w:r>
      <w:r>
        <w:t xml:space="preserve">0.22</w:t>
      </w:r>
      <w:r>
        <w:t xml:space="preserve"> </w:t>
      </w:r>
      <w:r>
        <w:t xml:space="preserve">0.30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0.02</w:t>
      </w:r>
      <w:r>
        <w:t xml:space="preserve"> </w:t>
      </w:r>
      <w:r>
        <w:t xml:space="preserve">0.01</w:t>
      </w:r>
      <w:r>
        <w:t xml:space="preserve"> </w:t>
      </w:r>
      <w:r>
        <w:t xml:space="preserve">0.32</w:t>
      </w:r>
      <w:r>
        <w:t xml:space="preserve"> </w:t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0.2</w:t>
      </w:r>
      <w:r>
        <w:t xml:space="preserve"> </w:t>
      </w:r>
      <w:r>
        <w:t xml:space="preserve">0.10</w:t>
      </w:r>
      <w:r>
        <w:t xml:space="preserve"> </w:t>
      </w:r>
      <w:r>
        <w:t xml:space="preserve">0.00</w:t>
      </w:r>
      <w:r>
        <w:t xml:space="preserve"> </w:t>
      </w:r>
      <w:r>
        <w:t xml:space="preserve">0.3</w:t>
      </w:r>
      <w:r>
        <w:t xml:space="preserve"> </w:t>
      </w:r>
      <w:r>
        <w:t xml:space="preserve">0. 0</w:t>
      </w:r>
      <w:r>
        <w:t xml:space="preserve"> </w:t>
      </w:r>
      <w:r>
        <w:t xml:space="preserve">0.3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0.38</w:t>
      </w:r>
      <w:r>
        <w:t xml:space="preserve"> </w:t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0.2</w:t>
      </w:r>
      <w:r>
        <w:t xml:space="preserve"> </w:t>
      </w:r>
      <w:r>
        <w:t xml:space="preserve">0.12</w:t>
      </w:r>
      <w:r>
        <w:t xml:space="preserve"> </w:t>
      </w:r>
      <w:r>
        <w:t xml:space="preserve">0.00</w:t>
      </w:r>
      <w:r>
        <w:t xml:space="preserve"> </w:t>
      </w:r>
      <w:r>
        <w:t xml:space="preserve">0. 3</w:t>
      </w:r>
      <w:r>
        <w:t xml:space="preserve"> </w:t>
      </w:r>
      <w:r>
        <w:t xml:space="preserve">0.81</w:t>
      </w:r>
      <w:r>
        <w:t xml:space="preserve"> </w:t>
      </w:r>
      <w:r>
        <w:t xml:space="preserve">1.15</w:t>
      </w:r>
      <w:r>
        <w:t xml:space="preserve"> </w:t>
      </w:r>
      <w:r>
        <w:t xml:space="preserve">0. 5</w:t>
      </w:r>
      <w:r>
        <w:t xml:space="preserve"> </w:t>
      </w:r>
      <w:r>
        <w:t xml:space="preserve">0. 5</w:t>
      </w:r>
      <w:r>
        <w:t xml:space="preserve"> </w:t>
      </w:r>
      <w:r>
        <w:t xml:space="preserve">0.55</w:t>
      </w:r>
      <w:r>
        <w:t xml:space="preserve"> </w:t>
      </w:r>
      <w:r>
        <w:t xml:space="preserve">0.35</w:t>
      </w:r>
      <w:r>
        <w:t xml:space="preserve"> </w:t>
      </w:r>
      <w:r>
        <w:t xml:space="preserve">0.15</w:t>
      </w:r>
      <w:r>
        <w:t xml:space="preserve"> </w:t>
      </w:r>
      <w:r>
        <w:t xml:space="preserve">0.05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Iron and steel casting</w:t>
      </w:r>
      <w:r>
        <w:t xml:space="preserve"> </w:t>
      </w:r>
      <w:r>
        <w:t xml:space="preserve">Cement</w:t>
      </w:r>
      <w:r>
        <w:t xml:space="preserve"> </w:t>
      </w:r>
      <w:r>
        <w:t xml:space="preserve">Fertili er</w:t>
      </w:r>
      <w:r>
        <w:t xml:space="preserve"> </w:t>
      </w:r>
      <w:r>
        <w:t xml:space="preserve">Aluminium</w:t>
      </w:r>
      <w:r>
        <w:t xml:space="preserve"> </w:t>
      </w:r>
      <w:r>
        <w:t xml:space="preserve">CBAM sectors</w:t>
      </w:r>
      <w:r>
        <w:t xml:space="preserve"> </w:t>
      </w:r>
      <w:r>
        <w:t xml:space="preserve">Electric Goods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Fabricated Metal Products</w:t>
      </w:r>
      <w:r>
        <w:t xml:space="preserve"> </w:t>
      </w:r>
      <w:r>
        <w:t xml:space="preserve">Motor vehicles and parts</w:t>
      </w:r>
      <w:r>
        <w:t xml:space="preserve"> </w:t>
      </w:r>
      <w:r>
        <w:t xml:space="preserve">Downstream sectors</w:t>
      </w:r>
      <w:r>
        <w:t xml:space="preserve"> </w:t>
      </w:r>
      <w:r>
        <w:t xml:space="preserve">CBAM Downstream sectors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Trade impact</w:t>
      </w:r>
      <w:r>
        <w:t xml:space="preserve"> </w:t>
      </w:r>
      <w:r>
        <w:t xml:space="preserve">Adding to the analysis in section 6.2 of the main text, the below graphs and tables provide</w:t>
      </w:r>
      <w:r>
        <w:t xml:space="preserve"> </w:t>
      </w:r>
      <w:r>
        <w:t xml:space="preserve">additional insight into the trade impacts of a downstream extension.</w:t>
      </w:r>
      <w:r>
        <w:br/>
      </w:r>
      <w:r>
        <w:t xml:space="preserve">First, a breakdown of the impact of a downstream extension on imports per sector is shown</w:t>
      </w:r>
      <w:r>
        <w:t xml:space="preserve"> </w:t>
      </w:r>
      <w:r>
        <w:t xml:space="preserve">in Table 6.</w:t>
      </w:r>
      <w:r>
        <w:t xml:space="preserve"> </w:t>
      </w:r>
      <w:r>
        <w:t xml:space="preserve">Table 6: EU imports (% change compared to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Options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0.02%</w:t>
      </w:r>
      <w:r>
        <w:t xml:space="preserve"> </w:t>
      </w:r>
      <w:r>
        <w:t xml:space="preserve">0.07%</w:t>
      </w:r>
      <w:r>
        <w:t xml:space="preserve"> </w:t>
      </w:r>
      <w:r>
        <w:t xml:space="preserve">0.09%</w:t>
      </w:r>
      <w:r>
        <w:t xml:space="preserve"> </w:t>
      </w:r>
      <w:r>
        <w:t xml:space="preserve">0.03%</w:t>
      </w:r>
      <w:r>
        <w:t xml:space="preserve"> </w:t>
      </w:r>
      <w:r>
        <w:t xml:space="preserve">0.10%</w:t>
      </w:r>
      <w:r>
        <w:t xml:space="preserve"> </w:t>
      </w:r>
      <w:r>
        <w:t xml:space="preserve">0.11%</w:t>
      </w:r>
      <w:r>
        <w:t xml:space="preserve"> </w:t>
      </w:r>
      <w:r>
        <w:t xml:space="preserve">Iron and steel casting</w:t>
      </w:r>
      <w:r>
        <w:t xml:space="preserve"> </w:t>
      </w:r>
      <w:r>
        <w:t xml:space="preserve">0.03%</w:t>
      </w:r>
      <w:r>
        <w:t xml:space="preserve"> </w:t>
      </w:r>
      <w:r>
        <w:t xml:space="preserve">0.09%</w:t>
      </w:r>
      <w:r>
        <w:t xml:space="preserve"> </w:t>
      </w:r>
      <w:r>
        <w:t xml:space="preserve">0.11%</w:t>
      </w:r>
      <w:r>
        <w:t xml:space="preserve"> </w:t>
      </w:r>
      <w:r>
        <w:t xml:space="preserve">0.04%</w:t>
      </w:r>
      <w:r>
        <w:t xml:space="preserve"> </w:t>
      </w:r>
      <w:r>
        <w:t xml:space="preserve">0.11%</w:t>
      </w:r>
      <w:r>
        <w:t xml:space="preserve"> </w:t>
      </w:r>
      <w:r>
        <w:t xml:space="preserve">0.13%</w:t>
      </w:r>
      <w:r>
        <w:t xml:space="preserve"> </w:t>
      </w:r>
      <w:r>
        <w:t xml:space="preserve">Cement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Fertilizer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Aluminium</w:t>
      </w:r>
      <w:r>
        <w:t xml:space="preserve"> </w:t>
      </w:r>
      <w:r>
        <w:t xml:space="preserve">0.02%</w:t>
      </w:r>
      <w:r>
        <w:t xml:space="preserve"> </w:t>
      </w:r>
      <w:r>
        <w:t xml:space="preserve">0.07%</w:t>
      </w:r>
      <w:r>
        <w:t xml:space="preserve"> </w:t>
      </w:r>
      <w:r>
        <w:t xml:space="preserve">0.08%</w:t>
      </w:r>
      <w:r>
        <w:t xml:space="preserve"> </w:t>
      </w:r>
      <w:r>
        <w:t xml:space="preserve">0.02%</w:t>
      </w:r>
      <w:r>
        <w:t xml:space="preserve"> </w:t>
      </w:r>
      <w:r>
        <w:t xml:space="preserve">0.09%</w:t>
      </w:r>
      <w:r>
        <w:t xml:space="preserve"> </w:t>
      </w:r>
      <w:r>
        <w:t xml:space="preserve">0.10%</w:t>
      </w:r>
      <w:r>
        <w:t xml:space="preserve"> </w:t>
      </w:r>
      <w:r>
        <w:t xml:space="preserve">CBAM sectors</w:t>
      </w:r>
      <w:r>
        <w:t xml:space="preserve"> </w:t>
      </w:r>
      <w:r>
        <w:t xml:space="preserve">0.02%</w:t>
      </w:r>
      <w:r>
        <w:t xml:space="preserve"> </w:t>
      </w:r>
      <w:r>
        <w:t xml:space="preserve">0.07%</w:t>
      </w:r>
      <w:r>
        <w:t xml:space="preserve"> </w:t>
      </w:r>
      <w:r>
        <w:t xml:space="preserve">0.08%</w:t>
      </w:r>
      <w:r>
        <w:t xml:space="preserve"> </w:t>
      </w:r>
      <w:r>
        <w:t xml:space="preserve">0.03%</w:t>
      </w:r>
      <w:r>
        <w:t xml:space="preserve"> </w:t>
      </w:r>
      <w:r>
        <w:t xml:space="preserve">0.09%</w:t>
      </w:r>
      <w:r>
        <w:t xml:space="preserve"> </w:t>
      </w:r>
      <w:r>
        <w:t xml:space="preserve">0.10%</w:t>
      </w:r>
      <w:r>
        <w:t xml:space="preserve"> </w:t>
      </w:r>
      <w:r>
        <w:t xml:space="preserve">Electric Goods</w:t>
      </w:r>
      <w:r>
        <w:t xml:space="preserve"> </w:t>
      </w:r>
      <w:r>
        <w:t xml:space="preserve">0.00%</w:t>
      </w:r>
      <w:r>
        <w:t xml:space="preserve"> </w:t>
      </w:r>
      <w:r>
        <w:t xml:space="preserve">-0.08%</w:t>
      </w:r>
      <w:r>
        <w:t xml:space="preserve"> </w:t>
      </w:r>
      <w:r>
        <w:t xml:space="preserve">-0.11%</w:t>
      </w:r>
      <w:r>
        <w:t xml:space="preserve"> </w:t>
      </w:r>
      <w:r>
        <w:t xml:space="preserve">0.00%</w:t>
      </w:r>
      <w:r>
        <w:t xml:space="preserve"> </w:t>
      </w:r>
      <w:r>
        <w:t xml:space="preserve">-0.10%</w:t>
      </w:r>
      <w:r>
        <w:t xml:space="preserve"> </w:t>
      </w:r>
      <w:r>
        <w:t xml:space="preserve">-0.14%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-0.13%</w:t>
      </w:r>
      <w:r>
        <w:t xml:space="preserve"> </w:t>
      </w:r>
      <w:r>
        <w:t xml:space="preserve">-0.12%</w:t>
      </w:r>
      <w:r>
        <w:t xml:space="preserve"> </w:t>
      </w:r>
      <w:r>
        <w:t xml:space="preserve">-0.11%</w:t>
      </w:r>
      <w:r>
        <w:t xml:space="preserve"> </w:t>
      </w:r>
      <w:r>
        <w:t xml:space="preserve">-0.15%</w:t>
      </w:r>
      <w:r>
        <w:t xml:space="preserve"> </w:t>
      </w:r>
      <w:r>
        <w:t xml:space="preserve">-0.13%</w:t>
      </w:r>
      <w:r>
        <w:t xml:space="preserve"> </w:t>
      </w:r>
      <w:r>
        <w:t xml:space="preserve">-0.13%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-0.04%</w:t>
      </w:r>
      <w:r>
        <w:t xml:space="preserve"> </w:t>
      </w:r>
      <w:r>
        <w:t xml:space="preserve">-0.34%</w:t>
      </w:r>
      <w:r>
        <w:t xml:space="preserve"> </w:t>
      </w:r>
      <w:r>
        <w:t xml:space="preserve">-0.40%</w:t>
      </w:r>
      <w:r>
        <w:t xml:space="preserve"> </w:t>
      </w:r>
      <w:r>
        <w:t xml:space="preserve">-0.05%</w:t>
      </w:r>
      <w:r>
        <w:t xml:space="preserve"> </w:t>
      </w:r>
      <w:r>
        <w:t xml:space="preserve">-0.40%</w:t>
      </w:r>
      <w:r>
        <w:t xml:space="preserve"> </w:t>
      </w:r>
      <w:r>
        <w:t xml:space="preserve">-0.47%</w:t>
      </w:r>
      <w:r>
        <w:t xml:space="preserve"> </w:t>
      </w:r>
      <w:r>
        <w:t xml:space="preserve">Fabricated Metal Products</w:t>
      </w:r>
      <w:r>
        <w:t xml:space="preserve"> </w:t>
      </w:r>
      <w:r>
        <w:t xml:space="preserve">-0.41%</w:t>
      </w:r>
      <w:r>
        <w:t xml:space="preserve"> </w:t>
      </w:r>
      <w:r>
        <w:t xml:space="preserve">-0.91%</w:t>
      </w:r>
      <w:r>
        <w:t xml:space="preserve"> </w:t>
      </w:r>
      <w:r>
        <w:t xml:space="preserve">-1.08%</w:t>
      </w:r>
      <w:r>
        <w:t xml:space="preserve"> </w:t>
      </w:r>
      <w:r>
        <w:t xml:space="preserve">-0.53%</w:t>
      </w:r>
      <w:r>
        <w:t xml:space="preserve"> </w:t>
      </w:r>
      <w:r>
        <w:t xml:space="preserve">-1.17%</w:t>
      </w:r>
      <w:r>
        <w:t xml:space="preserve"> </w:t>
      </w:r>
      <w:r>
        <w:t xml:space="preserve">-1.39%</w:t>
      </w:r>
      <w:r>
        <w:t xml:space="preserve"> </w:t>
      </w:r>
      <w:r>
        <w:t xml:space="preserve">Motor vehicles and parts</w:t>
      </w:r>
      <w:r>
        <w:t xml:space="preserve"> </w:t>
      </w:r>
      <w:r>
        <w:t xml:space="preserve">-0.11%</w:t>
      </w:r>
      <w:r>
        <w:t xml:space="preserve"> </w:t>
      </w:r>
      <w:r>
        <w:t xml:space="preserve">-0.23%</w:t>
      </w:r>
      <w:r>
        <w:t xml:space="preserve"> </w:t>
      </w:r>
      <w:r>
        <w:t xml:space="preserve">-0.23%</w:t>
      </w:r>
      <w:r>
        <w:t xml:space="preserve"> </w:t>
      </w:r>
      <w:r>
        <w:t xml:space="preserve">-0.13%</w:t>
      </w:r>
      <w:r>
        <w:t xml:space="preserve"> </w:t>
      </w:r>
      <w:r>
        <w:t xml:space="preserve">-0.30%</w:t>
      </w:r>
      <w:r>
        <w:t xml:space="preserve"> </w:t>
      </w:r>
      <w:r>
        <w:t xml:space="preserve">-0.29%</w:t>
      </w:r>
      <w:r>
        <w:t xml:space="preserve"> </w:t>
      </w:r>
      <w:r>
        <w:t xml:space="preserve">Downstream sectors</w:t>
      </w:r>
      <w:r>
        <w:t xml:space="preserve"> </w:t>
      </w:r>
      <w:r>
        <w:t xml:space="preserve">-0.06%</w:t>
      </w:r>
      <w:r>
        <w:t xml:space="preserve"> </w:t>
      </w:r>
      <w:r>
        <w:t xml:space="preserve">-0.23%</w:t>
      </w:r>
      <w:r>
        <w:t xml:space="preserve"> </w:t>
      </w:r>
      <w:r>
        <w:t xml:space="preserve">-0.27%</w:t>
      </w:r>
      <w:r>
        <w:t xml:space="preserve"> </w:t>
      </w:r>
      <w:r>
        <w:t xml:space="preserve">-0.08%</w:t>
      </w:r>
      <w:r>
        <w:t xml:space="preserve"> </w:t>
      </w:r>
      <w:r>
        <w:t xml:space="preserve">-0.28%</w:t>
      </w:r>
      <w:r>
        <w:t xml:space="preserve"> </w:t>
      </w:r>
      <w:r>
        <w:t xml:space="preserve">-0.33%</w:t>
      </w:r>
      <w:r>
        <w:t xml:space="preserve"> </w:t>
      </w:r>
      <w:r>
        <w:t xml:space="preserve">CBAM + Downstream sectors</w:t>
      </w:r>
      <w:r>
        <w:t xml:space="preserve"> </w:t>
      </w:r>
      <w:r>
        <w:t xml:space="preserve">-0.06%</w:t>
      </w:r>
      <w:r>
        <w:t xml:space="preserve"> </w:t>
      </w:r>
      <w:r>
        <w:t xml:space="preserve">-0.21%</w:t>
      </w:r>
      <w:r>
        <w:t xml:space="preserve"> </w:t>
      </w:r>
      <w:r>
        <w:t xml:space="preserve">-0.25%</w:t>
      </w:r>
      <w:r>
        <w:t xml:space="preserve"> </w:t>
      </w:r>
      <w:r>
        <w:t xml:space="preserve">-0.07%</w:t>
      </w:r>
      <w:r>
        <w:t xml:space="preserve"> </w:t>
      </w:r>
      <w:r>
        <w:t xml:space="preserve">-0.26%</w:t>
      </w:r>
      <w:r>
        <w:t xml:space="preserve"> </w:t>
      </w:r>
      <w:r>
        <w:t xml:space="preserve">-0.31%</w:t>
      </w:r>
      <w:r>
        <w:t xml:space="preserve"> </w:t>
      </w:r>
      <w:r>
        <w:t xml:space="preserve">Source: JRC-GEM-E3 model</w:t>
      </w:r>
      <w:r>
        <w:t xml:space="preserve"> </w:t>
      </w:r>
      <w:r>
        <w:t xml:space="preserve">On the export side, all three options show a very minor decrease compared to the baseline</w:t>
      </w:r>
      <w:r>
        <w:t xml:space="preserve"> </w:t>
      </w:r>
      <w:r>
        <w:t xml:space="preserve">as depicted belowFigure 26. The difference in the impact between the different CBAM and</w:t>
      </w:r>
      <w:r>
        <w:t xml:space="preserve"> </w:t>
      </w:r>
      <w:r>
        <w:t xml:space="preserve">downstream sector aggregations is quite small, though the fabricated metal products sector</w:t>
      </w:r>
      <w:r>
        <w:t xml:space="preserve"> </w:t>
      </w:r>
      <w:r>
        <w:t xml:space="preserve">stands out (not shown) as the only sector with a minor increase in exports compared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Figure 26: Change in EU exports for CBAM and downstream sectors in 2035</w:t>
      </w:r>
      <w:r>
        <w:t xml:space="preserve"> </w:t>
      </w:r>
      <w:r>
        <w:t xml:space="preserve">compared to baseline</w:t>
      </w:r>
    </w:p>
    <w:p>
      <w:pPr>
        <w:pStyle w:val="BodyText"/>
      </w:pPr>
      <w:r>
        <w:t xml:space="preserve">Source: JRC-GEM-E3 model</w:t>
      </w:r>
      <w:r>
        <w:t xml:space="preserve"> </w:t>
      </w:r>
      <w:r>
        <w:t xml:space="preserve">7.3</w:t>
      </w:r>
      <w:r>
        <w:t xml:space="preserve"> </w:t>
      </w:r>
      <w:r>
        <w:t xml:space="preserve">Impacts on consumer prices</w:t>
      </w:r>
      <w:r>
        <w:t xml:space="preserve"> </w:t>
      </w:r>
      <w:r>
        <w:t xml:space="preserve">In addition to the analysis referred to in Section 6.2.4.1 of the Impact Assessment, a further</w:t>
      </w:r>
      <w:r>
        <w:t xml:space="preserve"> </w:t>
      </w:r>
      <w:r>
        <w:t xml:space="preserve">breakdown of the results at NACE 2-digit level is shown in Figure 27 below.[1] Beyond</w:t>
      </w:r>
      <w:r>
        <w:t xml:space="preserve"> </w:t>
      </w:r>
      <w:r>
        <w:t xml:space="preserve">construction, the sectors with the highest price increases are Repairing machinery (C33),</w:t>
      </w:r>
      <w:r>
        <w:t xml:space="preserve"> </w:t>
      </w:r>
      <w:r>
        <w:t xml:space="preserve">Motor vehicles (C29), R&amp;D (M72), and Machinery (C28). EU consumers could see 0.08%</w:t>
      </w:r>
      <w:r>
        <w:t xml:space="preserve"> </w:t>
      </w:r>
      <w:r>
        <w:t xml:space="preserve">increase in the price of repairing machinery in the target year 2030, as the downstream</w:t>
      </w:r>
      <w:r>
        <w:t xml:space="preserve"> </w:t>
      </w:r>
      <w:r>
        <w:t xml:space="preserve">CBAM extension would directly and indirectly increase the price of imported replacement</w:t>
      </w:r>
      <w:r>
        <w:t xml:space="preserve"> </w:t>
      </w:r>
      <w:r>
        <w:t xml:space="preserve">parts. Likewise, a downstream CBAM extension, which includes motor parts, would</w:t>
      </w:r>
      <w:r>
        <w:t xml:space="preserve"> </w:t>
      </w:r>
      <w:r>
        <w:t xml:space="preserve">indirectly increase the cost of automobiles and its parts for EU consumers by about 0.07%.</w:t>
      </w:r>
      <w:r>
        <w:t xml:space="preserve"> </w:t>
      </w:r>
      <w:r>
        <w:t xml:space="preserve">Similarly for machinery by about 0.05%. For R&amp;D, final consumption is mainly by the</w:t>
      </w:r>
      <w:r>
        <w:t xml:space="preserve"> </w:t>
      </w:r>
      <w:r>
        <w:t xml:space="preserve">government, where a downstream CBAM extension could (directly and indirectly)</w:t>
      </w:r>
      <w:r>
        <w:t xml:space="preserve"> </w:t>
      </w:r>
      <w:r>
        <w:t xml:space="preserve">increase the cost of technical materials as well as vehicles used for R&amp;D services. These</w:t>
      </w:r>
      <w:r>
        <w:t xml:space="preserve"> </w:t>
      </w:r>
      <w:r>
        <w:t xml:space="preserve">additional costs for R&amp;D could be passed on, increasing the price of R&amp;D by 0.04%.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Figure 27: Top fifteen sectors with the highest estimated price increase for EU final</w:t>
      </w:r>
      <w:r>
        <w:t xml:space="preserve"> </w:t>
      </w:r>
      <w:r>
        <w:t xml:space="preserve">consumers with a downstream CBAM extension compared to the reference situation</w:t>
      </w:r>
      <w:r>
        <w:t xml:space="preserve"> </w:t>
      </w:r>
      <w:r>
        <w:t xml:space="preserve">in the target year 2030 (%)</w:t>
      </w:r>
    </w:p>
    <w:p>
      <w:pPr>
        <w:pStyle w:val="BodyText"/>
      </w:pPr>
      <w:r>
        <w:t xml:space="preserve">Source: Downstream support study.</w:t>
      </w:r>
      <w:r>
        <w:t xml:space="preserve"> </w:t>
      </w:r>
      <w:r>
        <w:t xml:space="preserve">7.4</w:t>
      </w:r>
      <w:r>
        <w:t xml:space="preserve"> </w:t>
      </w:r>
      <w:r>
        <w:t xml:space="preserve">Sensitivity analysis of options to filters</w:t>
      </w:r>
      <w:r>
        <w:t xml:space="preserve"> </w:t>
      </w:r>
      <w:r>
        <w:t xml:space="preserve">Further sensitivity analysis has been carried out with respect to the various filters (see</w:t>
      </w:r>
      <w:r>
        <w:t xml:space="preserve"> </w:t>
      </w:r>
      <w:r>
        <w:t xml:space="preserve">Section 7 of the Impact Assessment). In particular, a series of scenarios are considered</w:t>
      </w:r>
      <w:r>
        <w:t xml:space="preserve"> </w:t>
      </w:r>
      <w:r>
        <w:t xml:space="preserve">around the three options. The first set of sensitivity calculations considered filter</w:t>
      </w:r>
      <w:r>
        <w:t xml:space="preserve"> </w:t>
      </w:r>
      <w:r>
        <w:t xml:space="preserve">combinations when the emission floor is set at 150Kt CO2e. The trade intensity filter was</w:t>
      </w:r>
      <w:r>
        <w:t xml:space="preserve"> </w:t>
      </w:r>
      <w:r>
        <w:t xml:space="preserve">then changed between 5% and 25% on a grid by steps of 1%. Similarly, the cost push filter</w:t>
      </w:r>
      <w:r>
        <w:t xml:space="preserve"> </w:t>
      </w:r>
      <w:r>
        <w:t xml:space="preserve">was changed on a grid from 0% to 20%. Within these grids, all combinations of trade</w:t>
      </w:r>
      <w:r>
        <w:t xml:space="preserve"> </w:t>
      </w:r>
      <w:r>
        <w:t xml:space="preserve">intensity and cost push were calculated. Figure 28 and Figure 29 below, display for each</w:t>
      </w:r>
      <w:r>
        <w:t xml:space="preserve"> </w:t>
      </w:r>
      <w:r>
        <w:t xml:space="preserve">of these combinations the total embedded emissions in EU production and the production</w:t>
      </w:r>
      <w:r>
        <w:t xml:space="preserve"> </w:t>
      </w:r>
      <w:r>
        <w:t xml:space="preserve">emissions per CN product, respectively. In these graphs, each circle represents a given</w:t>
      </w:r>
      <w:r>
        <w:t xml:space="preserve"> </w:t>
      </w:r>
      <w:r>
        <w:t xml:space="preserve">filter combination. Both the size and colour shade of the circles show the level of</w:t>
      </w:r>
      <w:r>
        <w:t xml:space="preserve"> </w:t>
      </w:r>
      <w:r>
        <w:t xml:space="preserve">emissions: The more emissions the larger and darker is the circle. The two figures include</w:t>
      </w:r>
      <w:r>
        <w:t xml:space="preserve"> </w:t>
      </w:r>
      <w:r>
        <w:t xml:space="preserve">both Option 1 and Option 2, as these options both have the emission floor parameter set at</w:t>
      </w:r>
      <w:r>
        <w:t xml:space="preserve"> </w:t>
      </w:r>
      <w:r>
        <w:t xml:space="preserve">150Kt CO2e. Option 3 is not covered in this first set of sensitivity calculations as its</w:t>
      </w:r>
      <w:r>
        <w:t xml:space="preserve"> </w:t>
      </w:r>
      <w:r>
        <w:t xml:space="preserve">emission floor parameter is set at 0Kt CO2e.The figures show that the results tend to be</w:t>
      </w:r>
      <w:r>
        <w:t xml:space="preserve"> </w:t>
      </w:r>
      <w:r>
        <w:t xml:space="preserve">robust with respect to the trade intensity threshold parameter. That is, changing the</w:t>
      </w:r>
      <w:r>
        <w:t xml:space="preserve"> </w:t>
      </w:r>
      <w:r>
        <w:t xml:space="preserve">threshold parameter around the respective values of Option 1 and 2 do not substantially</w:t>
      </w:r>
      <w:r>
        <w:t xml:space="preserve"> </w:t>
      </w:r>
      <w:r>
        <w:t xml:space="preserve">impact the implied total emissions and emissions per CN code. It is clear that Option 2</w:t>
      </w:r>
      <w:r>
        <w:t xml:space="preserve"> </w:t>
      </w:r>
      <w:r>
        <w:t xml:space="preserve">captures an almost twice as large mass of CO2 emissions than Option 1 (110-120 vs 45-</w:t>
      </w:r>
      <w:r>
        <w:t xml:space="preserve"> </w:t>
      </w:r>
      <w:r>
        <w:t xml:space="preserve">60 Mt CO2e per year). In terms of emission per CN code, the two options are more similar.</w:t>
      </w:r>
      <w:r>
        <w:t xml:space="preserve"> </w:t>
      </w:r>
      <w:r>
        <w:t xml:space="preserve">As for the cost push parameter, the results are somewhat more sensitive. By lowering the</w:t>
      </w:r>
      <w:r>
        <w:t xml:space="preserve"> </w:t>
      </w:r>
      <w:r>
        <w:t xml:space="preserve">threshold a larger mass of emissions are tend to be captured, especially around the Option</w:t>
      </w:r>
      <w:r>
        <w:t xml:space="preserve"> </w:t>
      </w:r>
      <w:r>
        <w:t xml:space="preserve">2 scenario. However, this increase in emissions covered comes at the price of lower</w:t>
      </w:r>
      <w:r>
        <w:t xml:space="preserve"> </w:t>
      </w:r>
      <w:r>
        <w:t xml:space="preserve">emissions per CN code brought into CBAM scope.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Figure 28: Sensitivity analysis: Total production emissions as trade intensity and</w:t>
      </w:r>
      <w:r>
        <w:t xml:space="preserve"> </w:t>
      </w:r>
      <w:r>
        <w:t xml:space="preserve">cost push change, Option 1 vs Option 2</w:t>
      </w:r>
    </w:p>
    <w:p>
      <w:pPr>
        <w:pStyle w:val="BodyText"/>
      </w:pPr>
      <w:r>
        <w:t xml:space="preserve">Source. Commission calculations. Emission floor per CN code is fixed at 150Kt CO2e.</w:t>
      </w:r>
      <w:r>
        <w:t xml:space="preserve"> </w:t>
      </w:r>
      <w:r>
        <w:t xml:space="preserve">Figure 29: Sensitivity analysis: Emissions per CN code as trade intensity and cost</w:t>
      </w:r>
      <w:r>
        <w:t xml:space="preserve"> </w:t>
      </w:r>
      <w:r>
        <w:t xml:space="preserve">push change, Option 1 vs Option 2</w:t>
      </w:r>
    </w:p>
    <w:p>
      <w:pPr>
        <w:pStyle w:val="BodyText"/>
      </w:pPr>
      <w:r>
        <w:t xml:space="preserve">Source. Commission calculations. Emission floor per CN code is fixed at 150Kt CO2e per yer.</w:t>
      </w:r>
      <w:r>
        <w:t xml:space="preserve"> </w:t>
      </w:r>
      <w:r>
        <w:t xml:space="preserve">The second set of sensitivity calculations considered filter combinations when the trade</w:t>
      </w:r>
      <w:r>
        <w:t xml:space="preserve"> </w:t>
      </w:r>
      <w:r>
        <w:t xml:space="preserve">intensity filter is kept at 10%. Again, a grid of combinations is calculated when the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emission floor parameter runs from 0 to 200Kt CO2e, and cost push from 0% to 20%.</w:t>
      </w:r>
      <w:r>
        <w:t xml:space="preserve"> </w:t>
      </w:r>
      <w:r>
        <w:t xml:space="preserve">Figure 30 and Figure 31 below, display for each of these combinations the total embedded</w:t>
      </w:r>
      <w:r>
        <w:t xml:space="preserve"> </w:t>
      </w:r>
      <w:r>
        <w:t xml:space="preserve">emissions in EU production and the production emissions per CN product, respectively.</w:t>
      </w:r>
      <w:r>
        <w:t xml:space="preserve"> </w:t>
      </w:r>
      <w:r>
        <w:t xml:space="preserve">As before, each circle represents a given filter combination. Both the size and colour shade</w:t>
      </w:r>
      <w:r>
        <w:t xml:space="preserve"> </w:t>
      </w:r>
      <w:r>
        <w:t xml:space="preserve">of the circles show the level of emissions: The more emissions the larger and darker is the</w:t>
      </w:r>
      <w:r>
        <w:t xml:space="preserve"> </w:t>
      </w:r>
      <w:r>
        <w:t xml:space="preserve">circle. The two figures include both Option 2 and Option 3, as these options both have the</w:t>
      </w:r>
      <w:r>
        <w:t xml:space="preserve"> </w:t>
      </w:r>
      <w:r>
        <w:t xml:space="preserve">trade intensity parameter set at 10%. Option 1 is not covered in this second set of sensitivity</w:t>
      </w:r>
      <w:r>
        <w:t xml:space="preserve"> </w:t>
      </w:r>
      <w:r>
        <w:t xml:space="preserve">calculations as its trade intensity parameter is set at 20%.</w:t>
      </w:r>
      <w:r>
        <w:t xml:space="preserve"> </w:t>
      </w:r>
      <w:r>
        <w:t xml:space="preserve">The figures show that the results tend to be robust with respect to the emission floor</w:t>
      </w:r>
      <w:r>
        <w:t xml:space="preserve"> </w:t>
      </w:r>
      <w:r>
        <w:t xml:space="preserve">threshold parameter. That is, changing the threshold parameter around the respective</w:t>
      </w:r>
      <w:r>
        <w:t xml:space="preserve"> </w:t>
      </w:r>
      <w:r>
        <w:t xml:space="preserve">values of Option 2 and 3 do not substantially impact the implied total emissions and</w:t>
      </w:r>
      <w:r>
        <w:t xml:space="preserve"> </w:t>
      </w:r>
      <w:r>
        <w:t xml:space="preserve">emissions per CN code. Both Option 2 and Option 3 captures a similarly large mass of</w:t>
      </w:r>
      <w:r>
        <w:t xml:space="preserve"> </w:t>
      </w:r>
      <w:r>
        <w:t xml:space="preserve">CO2 emissions (110-120Mt CO2e). However, in terms of emission per CN code Option 2</w:t>
      </w:r>
      <w:r>
        <w:t xml:space="preserve"> </w:t>
      </w:r>
      <w:r>
        <w:t xml:space="preserve">has a significantly larger value than Option 3 (720-730 and 470-480Kt CO2e,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As for the cost push parameter, the results are somewhat more sensitive. By lowering the</w:t>
      </w:r>
      <w:r>
        <w:t xml:space="preserve"> </w:t>
      </w:r>
      <w:r>
        <w:t xml:space="preserve">threshold a larger mass of emissions are tend to be captured for both Option 2 and Option</w:t>
      </w:r>
      <w:r>
        <w:t xml:space="preserve"> </w:t>
      </w:r>
      <w:r>
        <w:t xml:space="preserve">3 However, this increase in emissions covered comes at the price of significantly lower</w:t>
      </w:r>
      <w:r>
        <w:t xml:space="preserve"> </w:t>
      </w:r>
      <w:r>
        <w:t xml:space="preserve">emissions per CN code brought into CBAM’s scope.</w:t>
      </w:r>
      <w:r>
        <w:t xml:space="preserve"> </w:t>
      </w:r>
      <w:r>
        <w:t xml:space="preserve">Figure 30: Sensitivity analysis: Emissions per CN code as emission floor and cost</w:t>
      </w:r>
      <w:r>
        <w:t xml:space="preserve"> </w:t>
      </w:r>
      <w:r>
        <w:t xml:space="preserve">push change, Option 2 vs Option 3</w:t>
      </w:r>
    </w:p>
    <w:p>
      <w:pPr>
        <w:pStyle w:val="BodyText"/>
      </w:pPr>
      <w:r>
        <w:t xml:space="preserve">Source. Commission calculations. Trade intensity is fixed at 10%.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Figure 31: Sensitivity analysis: Emissions per CN code as emission floor and cost</w:t>
      </w:r>
      <w:r>
        <w:t xml:space="preserve"> </w:t>
      </w:r>
      <w:r>
        <w:t xml:space="preserve">push change, Option 2 vs Option 3</w:t>
      </w:r>
      <w:r>
        <w:t xml:space="preserve"> </w:t>
      </w:r>
      <w:r>
        <w:t xml:space="preserve">Source. Commission</w:t>
      </w:r>
      <w:r>
        <w:t xml:space="preserve"> </w:t>
      </w:r>
      <w:r>
        <w:t xml:space="preserve">calculations. Trade intensity is fixed at 10%.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ANNEX 8: COMPLIANCE COST COMPANIES AND AUTHORITIES</w:t>
      </w:r>
      <w:r>
        <w:t xml:space="preserve"> </w:t>
      </w:r>
      <w:r>
        <w:t xml:space="preserve">8.1</w:t>
      </w:r>
      <w:r>
        <w:t xml:space="preserve"> </w:t>
      </w:r>
      <w:r>
        <w:t xml:space="preserve">Compliance cost companies baseline</w:t>
      </w:r>
      <w:r>
        <w:t xml:space="preserve"> </w:t>
      </w:r>
      <w:r>
        <w:t xml:space="preserve">The compliance cost for businesses involves different elements. It includes costs that scale</w:t>
      </w:r>
      <w:r>
        <w:t xml:space="preserve"> </w:t>
      </w:r>
      <w:r>
        <w:t xml:space="preserve">with the number of CBAM declarations, such as the preparation of documents, estimating</w:t>
      </w:r>
      <w:r>
        <w:t xml:space="preserve"> </w:t>
      </w:r>
      <w:r>
        <w:t xml:space="preserve">the embedded emission of imported goods, tracking the origin of goods and submitting</w:t>
      </w:r>
      <w:r>
        <w:t xml:space="preserve"> </w:t>
      </w:r>
      <w:r>
        <w:t xml:space="preserve">information to the CBAM registry. Businesses may also incur fixed, annual costs. These</w:t>
      </w:r>
      <w:r>
        <w:t xml:space="preserve"> </w:t>
      </w:r>
      <w:r>
        <w:t xml:space="preserve">include the purchase and surrender of CBAM certificates, audit costs and costs related to</w:t>
      </w:r>
      <w:r>
        <w:t xml:space="preserve"> </w:t>
      </w:r>
      <w:r>
        <w:t xml:space="preserve">IT, the training of staff and capacity building of product suppliers (to obtain accurate data</w:t>
      </w:r>
      <w:r>
        <w:t xml:space="preserve"> </w:t>
      </w:r>
      <w:r>
        <w:t xml:space="preserve">necessary for CBAM compliance).</w:t>
      </w:r>
      <w:r>
        <w:br/>
      </w:r>
      <w:r>
        <w:t xml:space="preserve">Respondents to the survey indicated how many working days are expected to be needed to</w:t>
      </w:r>
      <w:r>
        <w:t xml:space="preserve"> </w:t>
      </w:r>
      <w:r>
        <w:t xml:space="preserve">complete each element required to comply with CBAM obligations. Based on these</w:t>
      </w:r>
      <w:r>
        <w:t xml:space="preserve"> </w:t>
      </w:r>
      <w:r>
        <w:t xml:space="preserve">responses, and an assumption on wage costs, estimations were made for the compliance</w:t>
      </w:r>
      <w:r>
        <w:t xml:space="preserve"> </w:t>
      </w:r>
      <w:r>
        <w:t xml:space="preserve">cost per importer in the baseline scenario. A minimal, low and high range estimate is</w:t>
      </w:r>
      <w:r>
        <w:t xml:space="preserve"> </w:t>
      </w:r>
      <w:r>
        <w:t xml:space="preserve">reported in Table 7. The minimal cost estimate represents a company with relatively low</w:t>
      </w:r>
      <w:r>
        <w:t xml:space="preserve"> </w:t>
      </w:r>
      <w:r>
        <w:t xml:space="preserve">import volumes, submitting only a few CBAM declaration per year. The low and high</w:t>
      </w:r>
      <w:r>
        <w:t xml:space="preserve"> </w:t>
      </w:r>
      <w:r>
        <w:t xml:space="preserve">range cost estimates represent the 25th and 75th percentile of survey responses respectively.</w:t>
      </w:r>
      <w:r>
        <w:t xml:space="preserve"> </w:t>
      </w:r>
      <w:r>
        <w:t xml:space="preserve">The high range estimate mostly concerns companies with large import volumes that likely</w:t>
      </w:r>
      <w:r>
        <w:t xml:space="preserve"> </w:t>
      </w:r>
      <w:r>
        <w:t xml:space="preserve">intend to estimate the actual emission values (in contrast to using default emission values)</w:t>
      </w:r>
      <w:r>
        <w:t xml:space="preserve"> </w:t>
      </w:r>
      <w:r>
        <w:t xml:space="preserve">associated with imported goods.</w:t>
      </w:r>
      <w:r>
        <w:br/>
      </w:r>
      <w:r>
        <w:t xml:space="preserve">Table 7: Total compliance cost (EUR) per business with minimal/low/high import</w:t>
      </w:r>
      <w:r>
        <w:t xml:space="preserve"> </w:t>
      </w:r>
      <w:r>
        <w:t xml:space="preserve">volume (baseline)</w:t>
      </w:r>
      <w:r>
        <w:t xml:space="preserve"> </w:t>
      </w:r>
      <w:r>
        <w:t xml:space="preserve">Minimal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Annual costs related to activities</w:t>
      </w:r>
      <w:r>
        <w:t xml:space="preserve"> </w:t>
      </w:r>
      <w:r>
        <w:t xml:space="preserve">900</w:t>
      </w:r>
      <w:r>
        <w:t xml:space="preserve"> </w:t>
      </w:r>
      <w:r>
        <w:t xml:space="preserve">5,400</w:t>
      </w:r>
      <w:r>
        <w:t xml:space="preserve"> </w:t>
      </w:r>
      <w:r>
        <w:t xml:space="preserve">19,900</w:t>
      </w:r>
      <w:r>
        <w:t xml:space="preserve"> </w:t>
      </w:r>
      <w:r>
        <w:t xml:space="preserve">Other annual costs (IT maintenance, legal</w:t>
      </w:r>
      <w:r>
        <w:t xml:space="preserve"> </w:t>
      </w:r>
      <w:r>
        <w:t xml:space="preserve">fees, training)</w:t>
      </w:r>
      <w:r>
        <w:t xml:space="preserve"> </w:t>
      </w:r>
      <w:r>
        <w:t xml:space="preserve">0</w:t>
      </w:r>
      <w:r>
        <w:t xml:space="preserve"> </w:t>
      </w:r>
      <w:r>
        <w:t xml:space="preserve">61,900</w:t>
      </w:r>
      <w:r>
        <w:t xml:space="preserve"> </w:t>
      </w:r>
      <w:r>
        <w:t xml:space="preserve">Total annual cost per importer</w:t>
      </w:r>
      <w:r>
        <w:t xml:space="preserve"> </w:t>
      </w:r>
      <w:r>
        <w:t xml:space="preserve">900</w:t>
      </w:r>
      <w:r>
        <w:t xml:space="preserve"> </w:t>
      </w:r>
      <w:r>
        <w:t xml:space="preserve">5,400</w:t>
      </w:r>
      <w:r>
        <w:t xml:space="preserve"> </w:t>
      </w:r>
      <w:r>
        <w:t xml:space="preserve">81,900</w:t>
      </w:r>
      <w:r>
        <w:t xml:space="preserve"> </w:t>
      </w:r>
      <w:r>
        <w:t xml:space="preserve">Source: Downstream study.</w:t>
      </w:r>
    </w:p>
    <w:p>
      <w:pPr>
        <w:pStyle w:val="BodyText"/>
      </w:pPr>
      <w:r>
        <w:t xml:space="preserve">To arrive at the total compliance cost for companies in the baseline, the cost per importer</w:t>
      </w:r>
      <w:r>
        <w:t xml:space="preserve"> </w:t>
      </w:r>
      <w:r>
        <w:t xml:space="preserve">is multiplied by the number of importers in scope of the current CBAM. Given the wide</w:t>
      </w:r>
      <w:r>
        <w:t xml:space="preserve"> </w:t>
      </w:r>
      <w:r>
        <w:t xml:space="preserve">range of survey responses, a low- and high-end estimate is calculated using different</w:t>
      </w:r>
      <w:r>
        <w:t xml:space="preserve"> </w:t>
      </w:r>
      <w:r>
        <w:t xml:space="preserve">assumptions on the distribution of importers among the different cost point estimates.</w:t>
      </w:r>
      <w:r>
        <w:t xml:space="preserve"> </w:t>
      </w:r>
      <w:r>
        <w:t xml:space="preserve">Importers are attributed to cost point estimates according to their import volume in tonnes.</w:t>
      </w:r>
      <w:r>
        <w:t xml:space="preserve"> </w:t>
      </w:r>
      <w:r>
        <w:t xml:space="preserve">For example, as shown in Table 8, importers with limited import volume just above the</w:t>
      </w:r>
      <w:r>
        <w:t xml:space="preserve"> </w:t>
      </w:r>
      <w:r>
        <w:t xml:space="preserve">50t threshold are assumed to have a compliance cost of EUR 900. The cut-off points for</w:t>
      </w:r>
      <w:r>
        <w:t xml:space="preserve"> </w:t>
      </w:r>
      <w:r>
        <w:t xml:space="preserve">these different ranges is determined by comparing the cost of embedded emissions for a</w:t>
      </w:r>
      <w:r>
        <w:t xml:space="preserve"> </w:t>
      </w:r>
      <w:r>
        <w:t xml:space="preserve">given importer with the estimated compliance cost of that importer. It is then assumed that</w:t>
      </w:r>
      <w:r>
        <w:t xml:space="preserve"> </w:t>
      </w:r>
      <w:r>
        <w:t xml:space="preserve">importers will not fall in cost categories for which the compliance cost exceeds the cost of</w:t>
      </w:r>
      <w:r>
        <w:t xml:space="preserve"> </w:t>
      </w:r>
      <w:r>
        <w:t xml:space="preserve">embedded emissions. For example, importers importing less than 104t are estimated to</w:t>
      </w:r>
      <w:r>
        <w:t xml:space="preserve"> </w:t>
      </w:r>
      <w:r>
        <w:t xml:space="preserve">face a cost of embedded emissions below EUR 5,400 and therefore are attributed to the</w:t>
      </w:r>
      <w:r>
        <w:t xml:space="preserve"> </w:t>
      </w:r>
      <w:r>
        <w:t xml:space="preserve">lowest cost point estimate.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Table 8: Import volume threshold for distribution of importers among different cost</w:t>
      </w:r>
      <w:r>
        <w:t xml:space="preserve"> </w:t>
      </w:r>
      <w:r>
        <w:t xml:space="preserve">point estimates</w:t>
      </w:r>
      <w:r>
        <w:t xml:space="preserve"> </w:t>
      </w:r>
      <w:r>
        <w:t xml:space="preserve">Cost point estimate</w:t>
      </w:r>
      <w:r>
        <w:t xml:space="preserve"> </w:t>
      </w:r>
      <w:r>
        <w:t xml:space="preserve">(EUR)</w:t>
      </w:r>
      <w:r>
        <w:t xml:space="preserve"> </w:t>
      </w:r>
      <w:r>
        <w:t xml:space="preserve">Import volume thresholds for low</w:t>
      </w:r>
      <w:r>
        <w:t xml:space="preserve"> </w:t>
      </w:r>
      <w:r>
        <w:t xml:space="preserve">estimate (tonnes)</w:t>
      </w:r>
      <w:r>
        <w:t xml:space="preserve"> </w:t>
      </w:r>
      <w:r>
        <w:t xml:space="preserve">Import volume thresholds for high</w:t>
      </w:r>
      <w:r>
        <w:t xml:space="preserve"> </w:t>
      </w:r>
      <w:r>
        <w:t xml:space="preserve">estimate (tonnes)</w:t>
      </w:r>
      <w:r>
        <w:t xml:space="preserve"> </w:t>
      </w:r>
      <w:r>
        <w:t xml:space="preserve">900</w:t>
      </w:r>
      <w:r>
        <w:t xml:space="preserve"> </w:t>
      </w:r>
      <w:r>
        <w:t xml:space="preserve">50t – 104t</w:t>
      </w:r>
      <w:r>
        <w:t xml:space="preserve"> </w:t>
      </w:r>
      <w:r>
        <w:t xml:space="preserve">50t – 104t</w:t>
      </w:r>
      <w:r>
        <w:t xml:space="preserve"> </w:t>
      </w:r>
      <w:r>
        <w:t xml:space="preserve">5,400</w:t>
      </w:r>
      <w:r>
        <w:t xml:space="preserve"> </w:t>
      </w:r>
      <w:r>
        <w:t xml:space="preserve">&gt;104t</w:t>
      </w:r>
      <w:r>
        <w:t xml:space="preserve"> </w:t>
      </w:r>
      <w:r>
        <w:t xml:space="preserve">104t – 385t</w:t>
      </w:r>
      <w:r>
        <w:t xml:space="preserve"> </w:t>
      </w:r>
      <w:r>
        <w:t xml:space="preserve">19,900</w:t>
      </w:r>
      <w:r>
        <w:t xml:space="preserve"> </w:t>
      </w:r>
      <w:r>
        <w:t xml:space="preserve">-</w:t>
      </w:r>
      <w:r>
        <w:t xml:space="preserve"> </w:t>
      </w:r>
      <w:r>
        <w:t xml:space="preserve">385t – 1584t</w:t>
      </w:r>
      <w:r>
        <w:t xml:space="preserve"> </w:t>
      </w:r>
      <w:r>
        <w:t xml:space="preserve">81,900</w:t>
      </w:r>
      <w:r>
        <w:t xml:space="preserve"> </w:t>
      </w:r>
      <w:r>
        <w:t xml:space="preserve">-</w:t>
      </w:r>
      <w:r>
        <w:t xml:space="preserve"> </w:t>
      </w:r>
      <w:r>
        <w:t xml:space="preserve">&gt;1584t</w:t>
      </w:r>
    </w:p>
    <w:p>
      <w:pPr>
        <w:pStyle w:val="BodyText"/>
      </w:pPr>
      <w:r>
        <w:t xml:space="preserve">As reported in section 6.2.5, with these assumptions, the total annual baseline compliance</w:t>
      </w:r>
      <w:r>
        <w:t xml:space="preserve"> </w:t>
      </w:r>
      <w:r>
        <w:t xml:space="preserve">cost for companies is estimated to be between EUR 76 million and 371 million.</w:t>
      </w:r>
      <w:r>
        <w:t xml:space="preserve"> </w:t>
      </w:r>
      <w:r>
        <w:t xml:space="preserve">Besides the (annually) recurring costs discussed so far, a small share of survey respondents</w:t>
      </w:r>
      <w:r>
        <w:t xml:space="preserve"> </w:t>
      </w:r>
      <w:r>
        <w:t xml:space="preserve">reported to expect initial adjustment costs such as legal and consulting fees and the setting</w:t>
      </w:r>
      <w:r>
        <w:t xml:space="preserve"> </w:t>
      </w:r>
      <w:r>
        <w:t xml:space="preserve">up of new IT infrastructure. On the low end, no such one-off adjustment costs were</w:t>
      </w:r>
      <w:r>
        <w:t xml:space="preserve"> </w:t>
      </w:r>
      <w:r>
        <w:t xml:space="preserve">reported. On the high-end (75th percentile of survey respondents), adjustment costs of up</w:t>
      </w:r>
      <w:r>
        <w:t xml:space="preserve"> </w:t>
      </w:r>
      <w:r>
        <w:t xml:space="preserve">to EUR 129,000 were reported. Assuming the same distribution of importers used for</w:t>
      </w:r>
      <w:r>
        <w:t xml:space="preserve"> </w:t>
      </w:r>
      <w:r>
        <w:t xml:space="preserve">calculating the recurring costs, the total one-off adjustment costs would amount to EUR</w:t>
      </w:r>
      <w:r>
        <w:t xml:space="preserve"> </w:t>
      </w:r>
      <w:r>
        <w:t xml:space="preserve">388 million in the baseline.</w:t>
      </w:r>
      <w:r>
        <w:t xml:space="preserve"> </w:t>
      </w:r>
      <w:r>
        <w:t xml:space="preserve">8.2</w:t>
      </w:r>
      <w:r>
        <w:t xml:space="preserve"> </w:t>
      </w:r>
      <w:r>
        <w:t xml:space="preserve">Additional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companies</w:t>
      </w:r>
      <w:r>
        <w:t xml:space="preserve"> </w:t>
      </w:r>
      <w:r>
        <w:t xml:space="preserve">after</w:t>
      </w:r>
      <w:r>
        <w:t xml:space="preserve"> </w:t>
      </w:r>
      <w:r>
        <w:t xml:space="preserve">downstream extension</w:t>
      </w:r>
      <w:r>
        <w:t xml:space="preserve"> </w:t>
      </w:r>
      <w:r>
        <w:t xml:space="preserve">A downstream extension of CBAM impacts the administrative burden in two ways. First,</w:t>
      </w:r>
      <w:r>
        <w:t xml:space="preserve"> </w:t>
      </w:r>
      <w:r>
        <w:t xml:space="preserve">there is a scale effect as a downstream extension increases the number of importers facing</w:t>
      </w:r>
      <w:r>
        <w:t xml:space="preserve"> </w:t>
      </w:r>
      <w:r>
        <w:t xml:space="preserve">CBAM obligations and the number of products for which CBAM declarations need to be</w:t>
      </w:r>
      <w:r>
        <w:t xml:space="preserve"> </w:t>
      </w:r>
      <w:r>
        <w:t xml:space="preserve">made. Second, the complexity and thus costs associated with the reporting obligations for</w:t>
      </w:r>
      <w:r>
        <w:t xml:space="preserve"> </w:t>
      </w:r>
      <w:r>
        <w:t xml:space="preserve">downstream products is higher than that of basic material goods insofar as actual emissions</w:t>
      </w:r>
      <w:r>
        <w:t xml:space="preserve"> </w:t>
      </w:r>
      <w:r>
        <w:t xml:space="preserve">are used, resulting in a higher cost per importer for downstream goods. Downstream</w:t>
      </w:r>
      <w:r>
        <w:t xml:space="preserve"> </w:t>
      </w:r>
      <w:r>
        <w:t xml:space="preserve">products may make use of multiple CBAM basic material goods as inputs, potentially from</w:t>
      </w:r>
      <w:r>
        <w:t xml:space="preserve"> </w:t>
      </w:r>
      <w:r>
        <w:t xml:space="preserve">different places of origin and/or different methods of production. This can make many of</w:t>
      </w:r>
      <w:r>
        <w:t xml:space="preserve"> </w:t>
      </w:r>
      <w:r>
        <w:t xml:space="preserve">the steps required to comply with CBAM obligations (in particular, the monitoring of</w:t>
      </w:r>
      <w:r>
        <w:t xml:space="preserve"> </w:t>
      </w:r>
      <w:r>
        <w:t xml:space="preserve">actual emissions) more involved.</w:t>
      </w:r>
      <w:r>
        <w:br/>
      </w:r>
      <w:r>
        <w:t xml:space="preserve">To capture the scale effect, the additional import volume (in tonnes) arising from each of</w:t>
      </w:r>
      <w:r>
        <w:t xml:space="preserve"> </w:t>
      </w:r>
      <w:r>
        <w:t xml:space="preserve">the three options for downstream extension is compared with the import volume of the</w:t>
      </w:r>
      <w:r>
        <w:t xml:space="preserve"> </w:t>
      </w:r>
      <w:r>
        <w:t xml:space="preserve">current CBAM scope. The additional import volume under a downstream extension serves</w:t>
      </w:r>
      <w:r>
        <w:t xml:space="preserve"> </w:t>
      </w:r>
      <w:r>
        <w:t xml:space="preserve">as a proxy for both the increase in the number of importers and the increase in the total</w:t>
      </w:r>
      <w:r>
        <w:t xml:space="preserve"> </w:t>
      </w:r>
      <w:r>
        <w:t xml:space="preserve">number of import activities that require CBAM declarations. The added complexity to</w:t>
      </w:r>
      <w:r>
        <w:t xml:space="preserve"> </w:t>
      </w:r>
      <w:r>
        <w:t xml:space="preserve">fulfil CBAM obligations for downstream goods is assessed through the use of survey data.</w:t>
      </w:r>
      <w:r>
        <w:t xml:space="preserve"> </w:t>
      </w:r>
      <w:r>
        <w:t xml:space="preserve">In addition to reporting the time required to comply with the current CBAM obligations,</w:t>
      </w:r>
      <w:r>
        <w:t xml:space="preserve"> </w:t>
      </w:r>
      <w:r>
        <w:t xml:space="preserve">survey respondents also indicated their expectation for the time required to comply with</w:t>
      </w:r>
      <w:r>
        <w:t xml:space="preserve"> </w:t>
      </w:r>
      <w:r>
        <w:t xml:space="preserve">CBAM obligations for downstream goods. Based on these survey responses, the average</w:t>
      </w:r>
      <w:r>
        <w:t xml:space="preserve"> </w:t>
      </w:r>
      <w:r>
        <w:t xml:space="preserve">cost per importer is estimated to be 24% - 43% higher for downstream goods compared to</w:t>
      </w:r>
      <w:r>
        <w:t xml:space="preserve"> </w:t>
      </w:r>
      <w:r>
        <w:t xml:space="preserve">basic material goods. As discussed in section 6.2.5, the scale factor and complexity factor</w:t>
      </w:r>
      <w:r>
        <w:t xml:space="preserve"> </w:t>
      </w:r>
      <w:r>
        <w:t xml:space="preserve">(1.24 – 1.43) are multiplied with the estimated compliance cost for companies in the</w:t>
      </w:r>
      <w:r>
        <w:t xml:space="preserve"> </w:t>
      </w:r>
      <w:r>
        <w:t xml:space="preserve">baseline to obtain an estimate for the additional total compliance cost for each of the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8.3</w:t>
      </w:r>
      <w:r>
        <w:t xml:space="preserve"> </w:t>
      </w:r>
      <w:r>
        <w:t xml:space="preserve">Enforcement cost authorities baseline</w:t>
      </w:r>
      <w:r>
        <w:t xml:space="preserve"> </w:t>
      </w:r>
      <w:r>
        <w:t xml:space="preserve">The enforcement cost of authorities in the baseline is estimated based on interviews with</w:t>
      </w:r>
      <w:r>
        <w:t xml:space="preserve"> </w:t>
      </w:r>
      <w:r>
        <w:t xml:space="preserve">national competent authorities (NCA) and customs authorities. The interview sample</w:t>
      </w:r>
      <w:r>
        <w:t xml:space="preserve"> </w:t>
      </w:r>
      <w:r>
        <w:t xml:space="preserve">includes both countries where customs authorities are also the competent authorities, and</w:t>
      </w:r>
      <w:r>
        <w:t xml:space="preserve"> </w:t>
      </w:r>
      <w:r>
        <w:t xml:space="preserve">countries where national competent authorities and customs authorities are two different</w:t>
      </w:r>
      <w:r>
        <w:t xml:space="preserve"> </w:t>
      </w:r>
      <w:r>
        <w:t xml:space="preserve">entities. Countries with high import volumes of CBAM related goods were prioritised</w:t>
      </w:r>
      <w:r>
        <w:t xml:space="preserve"> </w:t>
      </w:r>
      <w:r>
        <w:t xml:space="preserve">while consideration was also given to ensure that countries selected included those without</w:t>
      </w:r>
      <w:r>
        <w:t xml:space="preserve"> </w:t>
      </w:r>
      <w:r>
        <w:t xml:space="preserve">external borders, those with land borders with non-EU countries and those with sea</w:t>
      </w:r>
      <w:r>
        <w:t xml:space="preserve"> </w:t>
      </w:r>
      <w:r>
        <w:t xml:space="preserve">borders. Estimates on the time required for fulfilling all activities related to CBAM were</w:t>
      </w:r>
      <w:r>
        <w:t xml:space="preserve"> </w:t>
      </w:r>
      <w:r>
        <w:t xml:space="preserve">used in combination with an assumption on the hourly wage cost to arrive at a cost estimate</w:t>
      </w:r>
      <w:r>
        <w:t xml:space="preserve"> </w:t>
      </w:r>
      <w:r>
        <w:t xml:space="preserve">per NCA.</w:t>
      </w:r>
      <w:r>
        <w:t xml:space="preserve"> </w:t>
      </w:r>
      <w:r>
        <w:t xml:space="preserve">For the determination of a cost range for the enforcement of NCAs, the estimates from the</w:t>
      </w:r>
      <w:r>
        <w:t xml:space="preserve"> </w:t>
      </w:r>
      <w:r>
        <w:t xml:space="preserve">interviewees with the lowest and highest total cost are used. The breakdown of these costs</w:t>
      </w:r>
      <w:r>
        <w:t xml:space="preserve"> </w:t>
      </w:r>
      <w:r>
        <w:t xml:space="preserve">is shown in Table 9 below.</w:t>
      </w:r>
      <w:r>
        <w:br/>
      </w:r>
      <w:r>
        <w:t xml:space="preserve">Table 9: Cost breakdown in EUR thousands (annual, per NCA)</w:t>
      </w:r>
      <w:r>
        <w:t xml:space="preserve"> </w:t>
      </w:r>
      <w:r>
        <w:t xml:space="preserve">Low-end</w:t>
      </w:r>
      <w:r>
        <w:t xml:space="preserve"> </w:t>
      </w:r>
      <w:r>
        <w:t xml:space="preserve">High-end</w:t>
      </w:r>
      <w:r>
        <w:t xml:space="preserve"> </w:t>
      </w:r>
      <w:r>
        <w:t xml:space="preserve">Staff training</w:t>
      </w:r>
      <w:r>
        <w:t xml:space="preserve"> </w:t>
      </w:r>
      <w:r>
        <w:t xml:space="preserve">146</w:t>
      </w:r>
      <w:r>
        <w:t xml:space="preserve"> </w:t>
      </w:r>
      <w:r>
        <w:t xml:space="preserve">0</w:t>
      </w:r>
      <w:r>
        <w:t xml:space="preserve"> </w:t>
      </w:r>
      <w:r>
        <w:t xml:space="preserve">Authorisation</w:t>
      </w:r>
      <w:r>
        <w:t xml:space="preserve"> </w:t>
      </w:r>
      <w:r>
        <w:t xml:space="preserve">of</w:t>
      </w:r>
      <w:r>
        <w:t xml:space="preserve"> </w:t>
      </w:r>
      <w:r>
        <w:t xml:space="preserve">CBAM</w:t>
      </w:r>
      <w:r>
        <w:t xml:space="preserve"> </w:t>
      </w:r>
      <w:r>
        <w:t xml:space="preserve">registration</w:t>
      </w:r>
      <w:r>
        <w:t xml:space="preserve"> </w:t>
      </w:r>
      <w:r>
        <w:t xml:space="preserve">98</w:t>
      </w:r>
      <w:r>
        <w:t xml:space="preserve"> </w:t>
      </w:r>
      <w:r>
        <w:t xml:space="preserve">347</w:t>
      </w:r>
      <w:r>
        <w:t xml:space="preserve"> </w:t>
      </w:r>
      <w:r>
        <w:t xml:space="preserve">Review of declarations</w:t>
      </w:r>
      <w:r>
        <w:t xml:space="preserve"> </w:t>
      </w:r>
      <w:r>
        <w:t xml:space="preserve">244</w:t>
      </w:r>
      <w:r>
        <w:t xml:space="preserve"> </w:t>
      </w:r>
      <w:r>
        <w:t xml:space="preserve">347</w:t>
      </w:r>
      <w:r>
        <w:t xml:space="preserve"> </w:t>
      </w:r>
      <w:r>
        <w:t xml:space="preserve">Monitoring activity in case of</w:t>
      </w:r>
      <w:r>
        <w:t xml:space="preserve"> </w:t>
      </w:r>
      <w:r>
        <w:t xml:space="preserve">non compliance of the CBAM</w:t>
      </w:r>
      <w:r>
        <w:t xml:space="preserve"> </w:t>
      </w:r>
      <w:r>
        <w:t xml:space="preserve">certificates</w:t>
      </w:r>
      <w:r>
        <w:t xml:space="preserve"> </w:t>
      </w:r>
      <w:r>
        <w:t xml:space="preserve">98</w:t>
      </w:r>
      <w:r>
        <w:t xml:space="preserve"> </w:t>
      </w:r>
      <w:r>
        <w:t xml:space="preserve">694</w:t>
      </w:r>
      <w:r>
        <w:t xml:space="preserve"> </w:t>
      </w:r>
      <w:r>
        <w:t xml:space="preserve">Investigation and penalties</w:t>
      </w:r>
      <w:r>
        <w:t xml:space="preserve"> </w:t>
      </w:r>
      <w:r>
        <w:t xml:space="preserve">146</w:t>
      </w:r>
      <w:r>
        <w:t xml:space="preserve"> </w:t>
      </w:r>
      <w:r>
        <w:t xml:space="preserve">463</w:t>
      </w:r>
      <w:r>
        <w:t xml:space="preserve"> </w:t>
      </w:r>
      <w:r>
        <w:t xml:space="preserve">Sale and management of</w:t>
      </w:r>
      <w:r>
        <w:t xml:space="preserve"> </w:t>
      </w:r>
      <w:r>
        <w:t xml:space="preserve">CBAM certificates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Other costs (coordination with</w:t>
      </w:r>
      <w:r>
        <w:t xml:space="preserve"> </w:t>
      </w:r>
      <w:r>
        <w:t xml:space="preserve">customs authorities, European</w:t>
      </w:r>
      <w:r>
        <w:t xml:space="preserve"> </w:t>
      </w:r>
      <w:r>
        <w:t xml:space="preserve">Commission)</w:t>
      </w:r>
      <w:r>
        <w:t xml:space="preserve"> </w:t>
      </w:r>
      <w:r>
        <w:t xml:space="preserve">244</w:t>
      </w:r>
      <w:r>
        <w:t xml:space="preserve"> </w:t>
      </w:r>
      <w:r>
        <w:t xml:space="preserve">463</w:t>
      </w:r>
      <w:r>
        <w:t xml:space="preserve"> </w:t>
      </w:r>
      <w:r>
        <w:t xml:space="preserve">IT system maintenance</w:t>
      </w:r>
      <w:r>
        <w:t xml:space="preserve"> </w:t>
      </w:r>
      <w:r>
        <w:t xml:space="preserve">80</w:t>
      </w:r>
      <w:r>
        <w:t xml:space="preserve"> </w:t>
      </w:r>
      <w:r>
        <w:t xml:space="preserve">20</w:t>
      </w:r>
      <w:r>
        <w:t xml:space="preserve"> </w:t>
      </w:r>
      <w:r>
        <w:t xml:space="preserve">Total annual costs</w:t>
      </w:r>
      <w:r>
        <w:t xml:space="preserve"> </w:t>
      </w:r>
      <w:r>
        <w:t xml:space="preserve">1,056</w:t>
      </w:r>
      <w:r>
        <w:t xml:space="preserve"> </w:t>
      </w:r>
      <w:r>
        <w:t xml:space="preserve">2,334</w:t>
      </w:r>
      <w:r>
        <w:t xml:space="preserve"> </w:t>
      </w:r>
      <w:r>
        <w:t xml:space="preserve">Source: Downstream study.</w:t>
      </w:r>
      <w:r>
        <w:t xml:space="preserve"> </w:t>
      </w:r>
      <w:r>
        <w:t xml:space="preserve">The cost breakdown for customs authorities is shown in Table 10.</w:t>
      </w:r>
      <w:r>
        <w:br/>
      </w:r>
      <w:r>
        <w:t xml:space="preserve">Table 10: Cost breakdown in EUR thousands (annual, per customs authority)</w:t>
      </w:r>
      <w:r>
        <w:t xml:space="preserve"> </w:t>
      </w:r>
      <w:r>
        <w:t xml:space="preserve">Low-end</w:t>
      </w:r>
      <w:r>
        <w:t xml:space="preserve"> </w:t>
      </w:r>
      <w:r>
        <w:t xml:space="preserve">High-end</w:t>
      </w:r>
      <w:r>
        <w:t xml:space="preserve"> </w:t>
      </w:r>
      <w:r>
        <w:t xml:space="preserve">Staff training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Check on goods at borders,</w:t>
      </w:r>
      <w:r>
        <w:t xml:space="preserve"> </w:t>
      </w:r>
      <w:r>
        <w:t xml:space="preserve">risked-based inspections and</w:t>
      </w:r>
      <w:r>
        <w:t xml:space="preserve"> </w:t>
      </w:r>
      <w:r>
        <w:t xml:space="preserve">non-compliance enforcement</w:t>
      </w:r>
      <w:r>
        <w:t xml:space="preserve"> </w:t>
      </w:r>
      <w:r>
        <w:t xml:space="preserve">activities</w:t>
      </w:r>
      <w:r>
        <w:br/>
      </w:r>
      <w:r>
        <w:t xml:space="preserve">14</w:t>
      </w:r>
      <w:r>
        <w:t xml:space="preserve"> </w:t>
      </w:r>
      <w:r>
        <w:t xml:space="preserve">1800</w:t>
      </w:r>
      <w:r>
        <w:t xml:space="preserve"> </w:t>
      </w:r>
      <w:r>
        <w:t xml:space="preserve">CBAM</w:t>
      </w:r>
      <w:r>
        <w:t xml:space="preserve"> </w:t>
      </w:r>
      <w:r>
        <w:t xml:space="preserve">import</w:t>
      </w:r>
      <w:r>
        <w:t xml:space="preserve"> </w:t>
      </w:r>
      <w:r>
        <w:t xml:space="preserve">data</w:t>
      </w:r>
      <w:r>
        <w:t xml:space="preserve"> </w:t>
      </w:r>
      <w:r>
        <w:t xml:space="preserve">transmission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</w:t>
      </w:r>
      <w:r>
        <w:br/>
      </w:r>
      <w:r>
        <w:t xml:space="preserve">5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Investigation</w:t>
      </w:r>
      <w:r>
        <w:t xml:space="preserve"> </w:t>
      </w:r>
      <w:r>
        <w:t xml:space="preserve">1</w:t>
      </w:r>
      <w:r>
        <w:t xml:space="preserve"> </w:t>
      </w:r>
      <w:r>
        <w:t xml:space="preserve">920</w:t>
      </w:r>
      <w:r>
        <w:t xml:space="preserve"> </w:t>
      </w:r>
      <w:r>
        <w:t xml:space="preserve">Other costs (coordination with</w:t>
      </w:r>
      <w:r>
        <w:t xml:space="preserve"> </w:t>
      </w:r>
      <w:r>
        <w:t xml:space="preserve">NCAs, European Commission</w:t>
      </w:r>
      <w:r>
        <w:t xml:space="preserve"> </w:t>
      </w:r>
      <w:r>
        <w:t xml:space="preserve">and importers)</w:t>
      </w:r>
      <w:r>
        <w:t xml:space="preserve"> </w:t>
      </w:r>
      <w:r>
        <w:t xml:space="preserve">1</w:t>
      </w:r>
      <w:r>
        <w:t xml:space="preserve"> </w:t>
      </w:r>
      <w:r>
        <w:t xml:space="preserve">248</w:t>
      </w:r>
      <w:r>
        <w:t xml:space="preserve"> </w:t>
      </w:r>
      <w:r>
        <w:t xml:space="preserve">Total costs per year</w:t>
      </w:r>
      <w:r>
        <w:br/>
      </w:r>
      <w:r>
        <w:t xml:space="preserve">22</w:t>
      </w:r>
      <w:r>
        <w:t xml:space="preserve"> </w:t>
      </w:r>
      <w:r>
        <w:t xml:space="preserve">2,986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9: ADDITIONAL INFORMATION ON CBAM AVOIDANCE</w:t>
      </w:r>
      <w:r>
        <w:t xml:space="preserve"> </w:t>
      </w:r>
      <w:r>
        <w:t xml:space="preserve">9.1</w:t>
      </w:r>
      <w:r>
        <w:t xml:space="preserve"> </w:t>
      </w:r>
      <w:r>
        <w:t xml:space="preserve">Analysis of actual emission in the CBAM transitional</w:t>
      </w:r>
      <w:r>
        <w:t xml:space="preserve"> </w:t>
      </w:r>
      <w:r>
        <w:t xml:space="preserve">registry</w:t>
      </w:r>
      <w:r>
        <w:t xml:space="preserve"> </w:t>
      </w:r>
      <w:r>
        <w:t xml:space="preserve">As explained in Section 2.2.2.2 of the Impact Assessment, the methodology to calculate</w:t>
      </w:r>
      <w:r>
        <w:t xml:space="preserve"> </w:t>
      </w:r>
      <w:r>
        <w:t xml:space="preserve">embedded emissions, CBAM declarations, and import declarations, rely on CN codes.</w:t>
      </w:r>
      <w:r>
        <w:t xml:space="preserve"> </w:t>
      </w:r>
      <w:r>
        <w:t xml:space="preserve">However, the embedded emissions of goods can vary widely within a given CN code,</w:t>
      </w:r>
      <w:r>
        <w:t xml:space="preserve"> </w:t>
      </w:r>
      <w:r>
        <w:t xml:space="preserve">depending on the quality required for the goods, which is linked to its composition. As</w:t>
      </w:r>
      <w:r>
        <w:t xml:space="preserve"> </w:t>
      </w:r>
      <w:r>
        <w:t xml:space="preserve">discussed below, the wide variation in actual emissions can be evidenced from declarations</w:t>
      </w:r>
      <w:r>
        <w:t xml:space="preserve"> </w:t>
      </w:r>
      <w:r>
        <w:t xml:space="preserve">in CBAM Transitional registry.</w:t>
      </w:r>
      <w:r>
        <w:br/>
      </w:r>
      <w:r>
        <w:t xml:space="preserve">In the cement sector, the emission intensity depends essentially on the clinker content of</w:t>
      </w:r>
      <w:r>
        <w:t xml:space="preserve"> </w:t>
      </w:r>
      <w:r>
        <w:t xml:space="preserve">the goods. For fertilisers, the emission intensity depends on the nitrogen content. For</w:t>
      </w:r>
      <w:r>
        <w:t xml:space="preserve"> </w:t>
      </w:r>
      <w:r>
        <w:t xml:space="preserve">stainless steel and other alloy steel, in addition to the production route (BF-BOF or EAF),</w:t>
      </w:r>
      <w:r>
        <w:t xml:space="preserve"> </w:t>
      </w:r>
      <w:r>
        <w:t xml:space="preserve">the emission intensity also depends on the content of alloying elements (i.e., mostly</w:t>
      </w:r>
      <w:r>
        <w:t xml:space="preserve"> </w:t>
      </w:r>
      <w:r>
        <w:t xml:space="preserve">chromium, manganese and nickel). The composition of the goods, which affects directly</w:t>
      </w:r>
      <w:r>
        <w:t xml:space="preserve"> </w:t>
      </w:r>
      <w:r>
        <w:t xml:space="preserve">its quality and functionality, also affects the embedded emissions.</w:t>
      </w:r>
      <w:r>
        <w:br/>
      </w:r>
      <w:r>
        <w:t xml:space="preserve">The data confirms the concern put forward by the cement industry, about the heterogeneity</w:t>
      </w:r>
      <w:r>
        <w:t xml:space="preserve"> </w:t>
      </w:r>
      <w:r>
        <w:t xml:space="preserve">of emissions within a given CN code.29 For cement, for the CN code 2523 90 00 (which is</w:t>
      </w:r>
      <w:r>
        <w:t xml:space="preserve"> </w:t>
      </w:r>
      <w:r>
        <w:t xml:space="preserve">the CN code with the highest number of CBAM declaration in the cement sector), there is</w:t>
      </w:r>
      <w:r>
        <w:t xml:space="preserve"> </w:t>
      </w:r>
      <w:r>
        <w:t xml:space="preserve">also a high variation of actual emissions, from 0.16 tCO2/t to 1.27 tCO2/t. For reference,</w:t>
      </w:r>
      <w:r>
        <w:t xml:space="preserve"> </w:t>
      </w:r>
      <w:r>
        <w:t xml:space="preserve">the default value for the Transitional period is set at 1.35tCO2/t for this specific CN code.</w:t>
      </w:r>
      <w:r>
        <w:t xml:space="preserve"> </w:t>
      </w:r>
      <w:r>
        <w:t xml:space="preserve">This wide variation of emission intensity for a given CN code can also be evidenced by</w:t>
      </w:r>
      <w:r>
        <w:t xml:space="preserve"> </w:t>
      </w:r>
      <w:r>
        <w:t xml:space="preserve">looking at emissions within a given installation: for example, the main installation where</w:t>
      </w:r>
      <w:r>
        <w:t xml:space="preserve"> </w:t>
      </w:r>
      <w:r>
        <w:t xml:space="preserve">data on actual emissions is available has a material variation from 0.37 tCO2/t to 1.05</w:t>
      </w:r>
      <w:r>
        <w:t xml:space="preserve"> </w:t>
      </w:r>
      <w:r>
        <w:t xml:space="preserve">tCO2/t, that is by a factor of three.</w:t>
      </w:r>
      <w:r>
        <w:br/>
      </w:r>
      <w:r>
        <w:t xml:space="preserve">A similar consideration applies to the iron and steel sector, where the composition in term</w:t>
      </w:r>
      <w:r>
        <w:t xml:space="preserve"> </w:t>
      </w:r>
      <w:r>
        <w:t xml:space="preserve">of alloying content affects the embedded emissions, and to the fertiliser sector where the</w:t>
      </w:r>
      <w:r>
        <w:t xml:space="preserve"> </w:t>
      </w:r>
      <w:r>
        <w:t xml:space="preserve">nitrogen content affects the embedded emissions.</w:t>
      </w:r>
    </w:p>
    <w:p>
      <w:pPr>
        <w:pStyle w:val="BodyText"/>
      </w:pPr>
      <w:r>
        <w:t xml:space="preserve">9.2</w:t>
      </w:r>
      <w:r>
        <w:t xml:space="preserve"> </w:t>
      </w:r>
      <w:r>
        <w:t xml:space="preserve">Remaining regulatory and oversight vulnerabilities:</w:t>
      </w:r>
      <w:r>
        <w:t xml:space="preserve"> </w:t>
      </w:r>
      <w:r>
        <w:t xml:space="preserve">lack of traceability</w:t>
      </w:r>
      <w:r>
        <w:t xml:space="preserve"> </w:t>
      </w:r>
      <w:r>
        <w:t xml:space="preserve">As explained in Section 2.2.2.3 of the Impact Assessment, the difficulty to trace the supply</w:t>
      </w:r>
      <w:r>
        <w:t xml:space="preserve"> </w:t>
      </w:r>
      <w:r>
        <w:t xml:space="preserve">chain of imported goods, which is a general issue for imports going beyond CBAM,</w:t>
      </w:r>
    </w:p>
    <w:p>
      <w:pPr>
        <w:pStyle w:val="BodyText"/>
      </w:pPr>
      <w:r>
        <w:t xml:space="preserve">29 CBAM declarations with actual emissions are selected by considering all declarations where the</w:t>
      </w:r>
      <w:r>
        <w:t xml:space="preserve"> </w:t>
      </w:r>
      <w:r>
        <w:t xml:space="preserve">determination type for emissions is equal to actual values. CBAM declarations with negative actual emissions</w:t>
      </w:r>
      <w:r>
        <w:t xml:space="preserve"> </w:t>
      </w:r>
      <w:r>
        <w:t xml:space="preserve">for either direct or indirect emissions are excluded. CBAM declarations with outliers for actual emissions</w:t>
      </w:r>
      <w:r>
        <w:t xml:space="preserve"> </w:t>
      </w:r>
      <w:r>
        <w:t xml:space="preserve">are removed. The data were extracted from the CBAM Transitional registry on 07 July 2025, and cover the</w:t>
      </w:r>
      <w:r>
        <w:t xml:space="preserve"> </w:t>
      </w:r>
      <w:r>
        <w:t xml:space="preserve">period 2024Q4-2025Q1.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combined with the use of actual emissions in CBAM, can lead to a circumvention scheme</w:t>
      </w:r>
      <w:r>
        <w:t xml:space="preserve"> </w:t>
      </w:r>
      <w:r>
        <w:t xml:space="preserve">where CBAM declarants would mis-declare emission intensity to decrease the CBAM</w:t>
      </w:r>
      <w:r>
        <w:t xml:space="preserve"> </w:t>
      </w:r>
      <w:r>
        <w:t xml:space="preserve">financial adjustment, while importing relatively high-emission products. In particular,</w:t>
      </w:r>
      <w:r>
        <w:t xml:space="preserve"> </w:t>
      </w:r>
      <w:r>
        <w:t xml:space="preserve">within the current framework, it is not possible to ascertain that the declarant has correctly</w:t>
      </w:r>
      <w:r>
        <w:t xml:space="preserve"> </w:t>
      </w:r>
      <w:r>
        <w:t xml:space="preserve">assigned the imported volumes declared in the CBAM registry to the correct installation</w:t>
      </w:r>
      <w:r>
        <w:t xml:space="preserve"> </w:t>
      </w:r>
      <w:r>
        <w:t xml:space="preserve">that produced the good.</w:t>
      </w:r>
      <w:r>
        <w:t xml:space="preserve"> </w:t>
      </w:r>
      <w:r>
        <w:t xml:space="preserve">In the example below, while the CBAM declarant declares 100 tonnes imported in the</w:t>
      </w:r>
      <w:r>
        <w:t xml:space="preserve"> </w:t>
      </w:r>
      <w:r>
        <w:t xml:space="preserve">CBAM Registry, the CBAM declarant has misallocated the volume per installation in order</w:t>
      </w:r>
      <w:r>
        <w:t xml:space="preserve"> </w:t>
      </w:r>
      <w:r>
        <w:t xml:space="preserve">to decrease the CBAM financial adjustment (by under-declaring volume for the high-</w:t>
      </w:r>
      <w:r>
        <w:t xml:space="preserve"> </w:t>
      </w:r>
      <w:r>
        <w:t xml:space="preserve">emission installation and over-declaring volumes from the low emission installation). This</w:t>
      </w:r>
      <w:r>
        <w:t xml:space="preserve"> </w:t>
      </w:r>
      <w:r>
        <w:t xml:space="preserve">type of misdeclaration of actual emissions by the CBAM declarant (due to a mis-allocation</w:t>
      </w:r>
      <w:r>
        <w:t xml:space="preserve"> </w:t>
      </w:r>
      <w:r>
        <w:t xml:space="preserve">of volumes imported across installations in the CBAM registry) cannot be detected by</w:t>
      </w:r>
      <w:r>
        <w:t xml:space="preserve"> </w:t>
      </w:r>
      <w:r>
        <w:t xml:space="preserve">other sources of information, neither by the verification report (which only lists the verified</w:t>
      </w:r>
      <w:r>
        <w:t xml:space="preserve"> </w:t>
      </w:r>
      <w:r>
        <w:t xml:space="preserve">emissions at installation level) nor by the monitoring of customs declarations (since the</w:t>
      </w:r>
      <w:r>
        <w:t xml:space="preserve"> </w:t>
      </w:r>
      <w:r>
        <w:t xml:space="preserve">installation from which the product was actually imported is not reported in the customs</w:t>
      </w:r>
      <w:r>
        <w:t xml:space="preserve"> </w:t>
      </w:r>
      <w:r>
        <w:t xml:space="preserve">declaration).</w:t>
      </w:r>
      <w:r>
        <w:br/>
      </w:r>
      <w:r>
        <w:t xml:space="preserve">Volume produced in a given third-country</w:t>
      </w:r>
      <w:r>
        <w:t xml:space="preserve"> </w:t>
      </w:r>
      <w:r>
        <w:t xml:space="preserve">and sold to an EU importer</w:t>
      </w:r>
      <w:r>
        <w:t xml:space="preserve"> </w:t>
      </w:r>
      <w:r>
        <w:t xml:space="preserve">Volumes declared in the CBAM</w:t>
      </w:r>
      <w:r>
        <w:t xml:space="preserve"> </w:t>
      </w:r>
      <w:r>
        <w:t xml:space="preserve">Registry</w:t>
      </w:r>
      <w:r>
        <w:t xml:space="preserve"> </w:t>
      </w:r>
      <w:r>
        <w:t xml:space="preserve">Installation A: 90 tonnes</w:t>
      </w:r>
      <w:r>
        <w:t xml:space="preserve"> </w:t>
      </w:r>
      <w:r>
        <w:t xml:space="preserve">(actual emissions: 4 tCO2/t = high-emission</w:t>
      </w:r>
      <w:r>
        <w:t xml:space="preserve"> </w:t>
      </w:r>
      <w:r>
        <w:t xml:space="preserve">installation)</w:t>
      </w:r>
      <w:r>
        <w:t xml:space="preserve"> </w:t>
      </w:r>
      <w:r>
        <w:t xml:space="preserve">Installation A: 10 tonnes</w:t>
      </w:r>
      <w:r>
        <w:t xml:space="preserve"> </w:t>
      </w:r>
      <w:r>
        <w:t xml:space="preserve">(under-declaration of volumes)</w:t>
      </w:r>
      <w:r>
        <w:t xml:space="preserve"> </w:t>
      </w:r>
      <w:r>
        <w:t xml:space="preserve">Installation B : 10 tonnes</w:t>
      </w:r>
      <w:r>
        <w:t xml:space="preserve"> </w:t>
      </w:r>
      <w:r>
        <w:t xml:space="preserve">(actual emissions: 1t CO2/t = low emission</w:t>
      </w:r>
      <w:r>
        <w:t xml:space="preserve"> </w:t>
      </w:r>
      <w:r>
        <w:t xml:space="preserve">installation)</w:t>
      </w:r>
      <w:r>
        <w:t xml:space="preserve"> </w:t>
      </w:r>
      <w:r>
        <w:t xml:space="preserve">Installation B: 90 tonnes</w:t>
      </w:r>
      <w:r>
        <w:t xml:space="preserve"> </w:t>
      </w:r>
      <w:r>
        <w:t xml:space="preserve">(over-declaration of volumes)</w:t>
      </w:r>
    </w:p>
    <w:p>
      <w:pPr>
        <w:pStyle w:val="BodyText"/>
      </w:pPr>
      <w:r>
        <w:t xml:space="preserve">9.3</w:t>
      </w:r>
      <w:r>
        <w:t xml:space="preserve"> </w:t>
      </w:r>
      <w:r>
        <w:t xml:space="preserve">Discussion on the existing CBAM enforcement</w:t>
      </w:r>
      <w:r>
        <w:t xml:space="preserve"> </w:t>
      </w:r>
      <w:r>
        <w:t xml:space="preserve">framework</w:t>
      </w:r>
      <w:r>
        <w:t xml:space="preserve"> </w:t>
      </w:r>
      <w:r>
        <w:t xml:space="preserve">The existing CBAM enforcement framework already allows to address many forms of non-</w:t>
      </w:r>
      <w:r>
        <w:t xml:space="preserve"> </w:t>
      </w:r>
      <w:r>
        <w:t xml:space="preserve">compliance and circumvention, thereby addressing a number of risks outside the scope of</w:t>
      </w:r>
      <w:r>
        <w:t xml:space="preserve"> </w:t>
      </w:r>
      <w:r>
        <w:t xml:space="preserve">this initiative. The CBAM Regulation provides:</w:t>
      </w:r>
      <w:r>
        <w:br/>
      </w:r>
      <w:r>
        <w:t xml:space="preserve">•</w:t>
      </w:r>
      <w:r>
        <w:t xml:space="preserve"> </w:t>
      </w:r>
      <w:r>
        <w:t xml:space="preserve">In Article 15 that the Commission shall carry out risk-based controls on the data</w:t>
      </w:r>
      <w:r>
        <w:t xml:space="preserve"> </w:t>
      </w:r>
      <w:r>
        <w:t xml:space="preserve">and the transactions recorded in the CBAM registry to ensure that there are no</w:t>
      </w:r>
      <w:r>
        <w:t xml:space="preserve"> </w:t>
      </w:r>
      <w:r>
        <w:t xml:space="preserve">irregularities in the purchase, holding, surrender, repurchase and cancellation of</w:t>
      </w:r>
      <w:r>
        <w:t xml:space="preserve"> </w:t>
      </w:r>
      <w:r>
        <w:t xml:space="preserve">CBAM certificates.</w:t>
      </w:r>
      <w:r>
        <w:br/>
      </w:r>
      <w:r>
        <w:t xml:space="preserve">•</w:t>
      </w:r>
      <w:r>
        <w:t xml:space="preserve"> </w:t>
      </w:r>
      <w:r>
        <w:t xml:space="preserve">In Article 19 that the Commission shall have the oversight role in the review of</w:t>
      </w:r>
      <w:r>
        <w:t xml:space="preserve"> </w:t>
      </w:r>
      <w:r>
        <w:t xml:space="preserve">CBAM declarations. The Commission can also review CBAM declarations.</w:t>
      </w:r>
      <w:r>
        <w:br/>
      </w:r>
      <w:r>
        <w:t xml:space="preserve">•</w:t>
      </w:r>
      <w:r>
        <w:t xml:space="preserve"> </w:t>
      </w:r>
      <w:r>
        <w:t xml:space="preserve">In Article 27 that the Commission shall act, based on relevant and objective data,</w:t>
      </w:r>
      <w:r>
        <w:t xml:space="preserve"> </w:t>
      </w:r>
      <w:r>
        <w:t xml:space="preserve">to address practices of circumvention of this Regulation.</w:t>
      </w:r>
      <w:r>
        <w:br/>
      </w:r>
      <w:r>
        <w:t xml:space="preserve">Moreover, the recently agreed revision of CBAM (under the ‘Omnibus I’</w:t>
      </w:r>
      <w:r>
        <w:t xml:space="preserve"> </w:t>
      </w:r>
      <w:r>
        <w:t xml:space="preserve">legislative package), further strengthens the anti-circumvention framework in</w:t>
      </w:r>
      <w:r>
        <w:t xml:space="preserve"> </w:t>
      </w:r>
      <w:r>
        <w:t xml:space="preserve">relation to the monitoring and enforcement of the new de-minimis threshold</w:t>
      </w:r>
      <w:r>
        <w:t xml:space="preserve"> </w:t>
      </w:r>
      <w:r>
        <w:t xml:space="preserve">(Article 25a). The CBAM Regulation also provides for several safeguards to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better monitor the financial liability associated with the import of CBAM</w:t>
      </w:r>
      <w:r>
        <w:t xml:space="preserve"> </w:t>
      </w:r>
      <w:r>
        <w:t xml:space="preserve">goods, such as a status of authorised CBAM Declarant, an independent</w:t>
      </w:r>
      <w:r>
        <w:t xml:space="preserve"> </w:t>
      </w:r>
      <w:r>
        <w:t xml:space="preserve">verifier report to certify the emission intensity, the requirement to maintain a</w:t>
      </w:r>
      <w:r>
        <w:t xml:space="preserve"> </w:t>
      </w:r>
      <w:r>
        <w:t xml:space="preserve">credit balance of at least 50% of the CBAM financial liability.</w:t>
      </w:r>
      <w:r>
        <w:br/>
      </w:r>
      <w:r>
        <w:t xml:space="preserve">On the basis of the above, several risks listed in Figure 2 of the impact</w:t>
      </w:r>
      <w:r>
        <w:t xml:space="preserve"> </w:t>
      </w:r>
      <w:r>
        <w:t xml:space="preserve">assessment can already be addressed within the current enforcement</w:t>
      </w:r>
      <w:r>
        <w:t xml:space="preserve"> </w:t>
      </w:r>
      <w:r>
        <w:t xml:space="preserve">framework:</w:t>
      </w:r>
      <w:r>
        <w:br/>
      </w:r>
      <w:r>
        <w:t xml:space="preserve">•</w:t>
      </w:r>
      <w:r>
        <w:t xml:space="preserve"> </w:t>
      </w:r>
      <w:r>
        <w:t xml:space="preserve">Risk of misclassification of goods: This refers to the mis-declaration of the CN</w:t>
      </w:r>
      <w:r>
        <w:t xml:space="preserve"> </w:t>
      </w:r>
      <w:r>
        <w:t xml:space="preserve">codes at import, for example by declaring a non-CBAM CN code instead of a</w:t>
      </w:r>
      <w:r>
        <w:t xml:space="preserve"> </w:t>
      </w:r>
      <w:r>
        <w:t xml:space="preserve">CBAM CN code. This risk can be tackled with the current enforcement framework</w:t>
      </w:r>
      <w:r>
        <w:t xml:space="preserve"> </w:t>
      </w:r>
      <w:r>
        <w:t xml:space="preserve">and based on existing data requirements.</w:t>
      </w:r>
      <w:r>
        <w:br/>
      </w:r>
      <w:r>
        <w:t xml:space="preserve">•</w:t>
      </w:r>
      <w:r>
        <w:t xml:space="preserve"> </w:t>
      </w:r>
      <w:r>
        <w:t xml:space="preserve">Risk of misdeclaration of quantities: This refers to CBAM declarants not reporting</w:t>
      </w:r>
      <w:r>
        <w:t xml:space="preserve"> </w:t>
      </w:r>
      <w:r>
        <w:t xml:space="preserve">the correct quantity in the CBAM registry. This risk can also be addressed by the</w:t>
      </w:r>
      <w:r>
        <w:t xml:space="preserve"> </w:t>
      </w:r>
      <w:r>
        <w:t xml:space="preserve">current enforcement framework and based on existing data requirements.</w:t>
      </w:r>
      <w:r>
        <w:t xml:space="preserve"> </w:t>
      </w:r>
      <w:r>
        <w:t xml:space="preserve">Moreover, actual quantities can be verified by customs authorities where goods are</w:t>
      </w:r>
      <w:r>
        <w:t xml:space="preserve"> </w:t>
      </w:r>
      <w:r>
        <w:t xml:space="preserve">physically presented, along with transaction documentation such as invoices,</w:t>
      </w:r>
      <w:r>
        <w:t xml:space="preserve"> </w:t>
      </w:r>
      <w:r>
        <w:t xml:space="preserve">packing lists, and transport documents.</w:t>
      </w:r>
      <w:r>
        <w:br/>
      </w:r>
      <w:r>
        <w:t xml:space="preserve">•</w:t>
      </w:r>
      <w:r>
        <w:t xml:space="preserve"> </w:t>
      </w:r>
      <w:r>
        <w:t xml:space="preserve">Risk of mis-reporting on the de minimis threshold: The anti-circumvention</w:t>
      </w:r>
      <w:r>
        <w:t xml:space="preserve"> </w:t>
      </w:r>
      <w:r>
        <w:t xml:space="preserve">framework was strengthened notably through Article 25a (as discussed above) and</w:t>
      </w:r>
      <w:r>
        <w:t xml:space="preserve"> </w:t>
      </w:r>
      <w:r>
        <w:t xml:space="preserve">Article 27(2b), which was amended to consider artificial splitting of imports to</w:t>
      </w:r>
      <w:r>
        <w:t xml:space="preserve"> </w:t>
      </w:r>
      <w:r>
        <w:t xml:space="preserve">remain below the de minimis threshold as an explicit form of circumvention.</w:t>
      </w:r>
      <w:r>
        <w:br/>
      </w:r>
      <w:r>
        <w:t xml:space="preserve">•</w:t>
      </w:r>
      <w:r>
        <w:t xml:space="preserve"> </w:t>
      </w:r>
      <w:r>
        <w:t xml:space="preserve">Missing CBAM declarants: This refers to the risks of the absence of CBAM</w:t>
      </w:r>
      <w:r>
        <w:t xml:space="preserve"> </w:t>
      </w:r>
      <w:r>
        <w:t xml:space="preserve">declaration for importers of CBAM goods. This risk can also be addressed with the</w:t>
      </w:r>
      <w:r>
        <w:t xml:space="preserve"> </w:t>
      </w:r>
      <w:r>
        <w:t xml:space="preserve">current enforcement framework and based on existing data requirements.</w:t>
      </w:r>
      <w:r>
        <w:br/>
      </w:r>
      <w:r>
        <w:t xml:space="preserve">Nevertheless, while the current CBAM enforcement framework allows to address many</w:t>
      </w:r>
      <w:r>
        <w:t xml:space="preserve"> </w:t>
      </w:r>
      <w:r>
        <w:t xml:space="preserve">forms of non-compliance and circumvention, the lessons learnt from the transitional period</w:t>
      </w:r>
      <w:r>
        <w:t xml:space="preserve"> </w:t>
      </w:r>
      <w:r>
        <w:t xml:space="preserve">as well as stakeholder inputs (industry associations, individual companies but also NCAs</w:t>
      </w:r>
      <w:r>
        <w:t xml:space="preserve"> </w:t>
      </w:r>
      <w:r>
        <w:t xml:space="preserve">and Customs Authorities) led to the identification of two specific risks for which</w:t>
      </w:r>
      <w:r>
        <w:t xml:space="preserve"> </w:t>
      </w:r>
      <w:r>
        <w:t xml:space="preserve">additional/strengthened circumvention provisions in the CBAM regulation are deemed</w:t>
      </w:r>
      <w:r>
        <w:t xml:space="preserve"> </w:t>
      </w:r>
      <w:r>
        <w:t xml:space="preserve">necessary: the risk of mis-declaration of emission intensity and the risk of abusive practice.</w:t>
      </w:r>
      <w:r>
        <w:t xml:space="preserve"> </w:t>
      </w:r>
      <w:r>
        <w:t xml:space="preserve">This is why the initiative proposes to amend the regulatory framework specifically to</w:t>
      </w:r>
      <w:r>
        <w:t xml:space="preserve"> </w:t>
      </w:r>
      <w:r>
        <w:t xml:space="preserve">address those risks, in addition to the downstream scope extension which addresses another</w:t>
      </w:r>
      <w:r>
        <w:t xml:space="preserve"> </w:t>
      </w:r>
      <w:r>
        <w:t xml:space="preserve">channel of avoidance.</w:t>
      </w:r>
      <w:r>
        <w:br/>
      </w:r>
      <w:r>
        <w:t xml:space="preserve">9.4</w:t>
      </w:r>
      <w:r>
        <w:t xml:space="preserve"> </w:t>
      </w:r>
      <w:r>
        <w:t xml:space="preserve">Lessons learnt from the transitional period</w:t>
      </w:r>
      <w:r>
        <w:t xml:space="preserve"> </w:t>
      </w:r>
      <w:r>
        <w:t xml:space="preserve">First, the transitional period has allowed to gather feedback from all relevant stakeholders</w:t>
      </w:r>
      <w:r>
        <w:t xml:space="preserve"> </w:t>
      </w:r>
      <w:r>
        <w:t xml:space="preserve">(national authorities, importers, declarants, third-country operators, European producers),</w:t>
      </w:r>
      <w:r>
        <w:t xml:space="preserve"> </w:t>
      </w:r>
      <w:r>
        <w:t xml:space="preserve">which could identify shortcomings and technical challenges related to the practical</w:t>
      </w:r>
      <w:r>
        <w:t xml:space="preserve"> </w:t>
      </w:r>
      <w:r>
        <w:t xml:space="preserve">implementation of CBAM for its application to the embedded emissions of imported</w:t>
      </w:r>
      <w:r>
        <w:t xml:space="preserve"> </w:t>
      </w:r>
      <w:r>
        <w:t xml:space="preserve">goods. This includes interlinkages between goods and their value chains, the clear</w:t>
      </w:r>
      <w:r>
        <w:t xml:space="preserve"> </w:t>
      </w:r>
      <w:r>
        <w:t xml:space="preserve">delineation between simple and complex goods and the challenges that these pose for the</w:t>
      </w:r>
      <w:r>
        <w:t xml:space="preserve"> </w:t>
      </w:r>
      <w:r>
        <w:t xml:space="preserve">attribution of emissions to more processed goods further down the value chain.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Second, the experience gathered during the transitional period, has allowed to identify a</w:t>
      </w:r>
      <w:r>
        <w:t xml:space="preserve"> </w:t>
      </w:r>
      <w:r>
        <w:t xml:space="preserve">clear weakness in the design of the mechanism related to the compliance of occasional</w:t>
      </w:r>
      <w:r>
        <w:t xml:space="preserve"> </w:t>
      </w:r>
      <w:r>
        <w:t xml:space="preserve">importers of small quantities of CBAM goods. This has brought forward analytical insights</w:t>
      </w:r>
      <w:r>
        <w:t xml:space="preserve"> </w:t>
      </w:r>
      <w:r>
        <w:t xml:space="preserve">about the profile of CBAM importers and has triggered an unprecedented simplification of</w:t>
      </w:r>
      <w:r>
        <w:t xml:space="preserve"> </w:t>
      </w:r>
      <w:r>
        <w:t xml:space="preserve">the rules.</w:t>
      </w:r>
      <w:r>
        <w:t xml:space="preserve"> </w:t>
      </w:r>
      <w:r>
        <w:t xml:space="preserve">Third, the CBAM Transitional Registry has provided us with a rich amount of information,</w:t>
      </w:r>
      <w:r>
        <w:t xml:space="preserve"> </w:t>
      </w:r>
      <w:r>
        <w:t xml:space="preserve">for example with regard to emissions declared for same goods of different origin.</w:t>
      </w:r>
      <w:r>
        <w:t xml:space="preserve"> </w:t>
      </w:r>
      <w:r>
        <w:t xml:space="preserve">Typically, the issue of the wide variation of emission within one CN code was raised by</w:t>
      </w:r>
      <w:r>
        <w:t xml:space="preserve"> </w:t>
      </w:r>
      <w:r>
        <w:t xml:space="preserve">stakeholders and confirmed by the analysis of the Transitional Registry Data. Moreover,</w:t>
      </w:r>
      <w:r>
        <w:t xml:space="preserve"> </w:t>
      </w:r>
      <w:r>
        <w:t xml:space="preserve">the comparison of data between the CBAM Transitional Registry and customs import data</w:t>
      </w:r>
      <w:r>
        <w:t xml:space="preserve"> </w:t>
      </w:r>
      <w:r>
        <w:t xml:space="preserve">allows to identify missing CBAM declarants, and the experience gained during this</w:t>
      </w:r>
      <w:r>
        <w:t xml:space="preserve"> </w:t>
      </w:r>
      <w:r>
        <w:t xml:space="preserve">Transitional period will also help us to develop the monitoring system for the 50 tonnes</w:t>
      </w:r>
      <w:r>
        <w:t xml:space="preserve"> </w:t>
      </w:r>
      <w:r>
        <w:t xml:space="preserve">mass-threshold.</w:t>
      </w:r>
      <w:r>
        <w:t xml:space="preserve"> </w:t>
      </w:r>
      <w:r>
        <w:t xml:space="preserve">Finally, the transitional period also means that the Commission services have had to</w:t>
      </w:r>
      <w:r>
        <w:t xml:space="preserve"> </w:t>
      </w:r>
      <w:r>
        <w:t xml:space="preserve">develop the various IT tools that are used for the implementation of CBAM, such as the</w:t>
      </w:r>
      <w:r>
        <w:t xml:space="preserve"> </w:t>
      </w:r>
      <w:r>
        <w:t xml:space="preserve">Registry for the definitive period. It has allowed to identify blind spots and weaknesses,</w:t>
      </w:r>
      <w:r>
        <w:t xml:space="preserve"> </w:t>
      </w:r>
      <w:r>
        <w:t xml:space="preserve">for example in terms of traceability.</w:t>
      </w:r>
      <w:r>
        <w:br/>
      </w:r>
      <w:r>
        <w:t xml:space="preserve">Other lessons learnt from the CBAM transitional period include improvements related to</w:t>
      </w:r>
      <w:r>
        <w:t xml:space="preserve"> </w:t>
      </w:r>
      <w:r>
        <w:t xml:space="preserve">data format and data accuracy that are being addressed at technical level, and do not call</w:t>
      </w:r>
      <w:r>
        <w:t xml:space="preserve"> </w:t>
      </w:r>
      <w:r>
        <w:t xml:space="preserve">for a change to the Regulation. Such considerations, although of operational nature, will</w:t>
      </w:r>
      <w:r>
        <w:t xml:space="preserve"> </w:t>
      </w:r>
      <w:r>
        <w:t xml:space="preserve">nonetheless be of crucial importance at the time of the anti-avoidance analysis and</w:t>
      </w:r>
      <w:r>
        <w:t xml:space="preserve"> </w:t>
      </w:r>
      <w:r>
        <w:t xml:space="preserve">monitoring.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ANNEX 10: ADDITIONAL INFORMATION ON ELECTRICITY</w:t>
      </w:r>
      <w:r>
        <w:t xml:space="preserve"> </w:t>
      </w:r>
      <w:r>
        <w:t xml:space="preserve">10.1 State of play of cross-border electricity trading</w:t>
      </w:r>
      <w:r>
        <w:t xml:space="preserve"> </w:t>
      </w:r>
      <w:r>
        <w:t xml:space="preserve">As electricity generated in third countries can only be delivered into the EU through</w:t>
      </w:r>
      <w:r>
        <w:t xml:space="preserve"> </w:t>
      </w:r>
      <w:r>
        <w:t xml:space="preserve">interconnectors which may be subject to capacity constraints, the trade volumes are subject</w:t>
      </w:r>
      <w:r>
        <w:t xml:space="preserve"> </w:t>
      </w:r>
      <w:r>
        <w:t xml:space="preserve">to the limitations of physical infrastructure. In total, gross commercial imports from non-</w:t>
      </w:r>
      <w:r>
        <w:t xml:space="preserve"> </w:t>
      </w:r>
      <w:r>
        <w:t xml:space="preserve">ETS third countries to the EU amounted to 37 TWh in 2019. Gross commercial imports</w:t>
      </w:r>
      <w:r>
        <w:t xml:space="preserve"> </w:t>
      </w:r>
      <w:r>
        <w:t xml:space="preserve">were mostly rising up to 2022 (at 45 TWh due to the energy crisis and other domestic</w:t>
      </w:r>
      <w:r>
        <w:t xml:space="preserve"> </w:t>
      </w:r>
      <w:r>
        <w:t xml:space="preserve">factors in Europe), but since then have been decreasing to 34 TWh in 2024. Overall,</w:t>
      </w:r>
      <w:r>
        <w:t xml:space="preserve"> </w:t>
      </w:r>
      <w:r>
        <w:t xml:space="preserve">electricity imports from non-EU ETS countries are very small and only constituted around</w:t>
      </w:r>
      <w:r>
        <w:t xml:space="preserve"> </w:t>
      </w:r>
      <w:r>
        <w:t xml:space="preserve">1.3% of EU electricity consumption in 2024, which means that exposure to international</w:t>
      </w:r>
      <w:r>
        <w:t xml:space="preserve"> </w:t>
      </w:r>
      <w:r>
        <w:t xml:space="preserve">trade is lower than in other EU ETS sectors.</w:t>
      </w:r>
      <w:r>
        <w:t xml:space="preserve"> </w:t>
      </w:r>
      <w:r>
        <w:t xml:space="preserve">The interconnection infrastructure between the EU and third countries is, however,</w:t>
      </w:r>
      <w:r>
        <w:t xml:space="preserve"> </w:t>
      </w:r>
      <w:r>
        <w:t xml:space="preserve">expected to increase over time30. Gross exports from the EU to these third countries have</w:t>
      </w:r>
      <w:r>
        <w:t xml:space="preserve"> </w:t>
      </w:r>
      <w:r>
        <w:t xml:space="preserve">increased from 40 TWh in 2019, to 66 TWh in 2024, with the exception of 2022 (40 TWh).</w:t>
      </w:r>
      <w:r>
        <w:t xml:space="preserve"> </w:t>
      </w:r>
      <w:r>
        <w:t xml:space="preserve">Overall, net electricity flows favoured the EU, indicating that the EU exported more</w:t>
      </w:r>
      <w:r>
        <w:t xml:space="preserve"> </w:t>
      </w:r>
      <w:r>
        <w:t xml:space="preserve">electricity than it imported from these third countries. This trend showed an increase from</w:t>
      </w:r>
      <w:r>
        <w:t xml:space="preserve"> </w:t>
      </w:r>
      <w:r>
        <w:t xml:space="preserve">2019 to 2024, except in 2022, when the energy crisis temporarily reversed the dominant</w:t>
      </w:r>
      <w:r>
        <w:t xml:space="preserve"> </w:t>
      </w:r>
      <w:r>
        <w:t xml:space="preserve">flow direction.</w:t>
      </w:r>
      <w:r>
        <w:t xml:space="preserve"> </w:t>
      </w:r>
      <w:r>
        <w:t xml:space="preserve">Figure 32: Evolution of gross imports, exports and net flows by Non-EU ETS third</w:t>
      </w:r>
      <w:r>
        <w:t xml:space="preserve"> </w:t>
      </w:r>
      <w:r>
        <w:t xml:space="preserve">countries into the EU, 2019-2024</w:t>
      </w:r>
    </w:p>
    <w:p>
      <w:pPr>
        <w:pStyle w:val="BodyText"/>
      </w:pPr>
      <w:r>
        <w:t xml:space="preserve">Source: European Commission based on ENTSO-E Transparency platform</w:t>
      </w:r>
      <w:r>
        <w:t xml:space="preserve"> </w:t>
      </w:r>
      <w:r>
        <w:t xml:space="preserve">In 2024, of the 34 TWh of gross commercial electricity imports from countries not</w:t>
      </w:r>
      <w:r>
        <w:t xml:space="preserve"> </w:t>
      </w:r>
      <w:r>
        <w:t xml:space="preserve">participating in the EU ETS, 39% came from Great Britain, 56% from the Western</w:t>
      </w:r>
      <w:r>
        <w:t xml:space="preserve"> </w:t>
      </w:r>
      <w:r>
        <w:t xml:space="preserve">Balkans, Ukraine, and Moldova, and 5% from Türkiye and Morocco. The volume of</w:t>
      </w:r>
      <w:r>
        <w:t xml:space="preserve"> </w:t>
      </w:r>
      <w:r>
        <w:t xml:space="preserve">imports to the EU has experienced some variation since 2019, the time when the CBAM</w:t>
      </w:r>
    </w:p>
    <w:p>
      <w:pPr>
        <w:pStyle w:val="BodyText"/>
      </w:pPr>
      <w:r>
        <w:t xml:space="preserve">30 ENTSO-E, Ten-Year Network Development Plan, https://tyndp2024.entsoe.eu/projects-</w:t>
      </w:r>
      <w:r>
        <w:t xml:space="preserve"> </w:t>
      </w:r>
      <w:r>
        <w:t xml:space="preserve">map/transmission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policy was initially envisioned. Figure 5 below shows the evolution of gross imports from</w:t>
      </w:r>
      <w:r>
        <w:t xml:space="preserve"> </w:t>
      </w:r>
      <w:r>
        <w:t xml:space="preserve">third countries from 2019 to 202431.</w:t>
      </w:r>
      <w:r>
        <w:br/>
      </w:r>
      <w:r>
        <w:t xml:space="preserve">Gross imports from Russia and Belarus completely halted as the Baltics and Finland cut</w:t>
      </w:r>
      <w:r>
        <w:t xml:space="preserve"> </w:t>
      </w:r>
      <w:r>
        <w:t xml:space="preserve">electricity trade with both countries. Given the significant impact of the ongoing conflict</w:t>
      </w:r>
      <w:r>
        <w:t xml:space="preserve"> </w:t>
      </w:r>
      <w:r>
        <w:t xml:space="preserve">on Ukraine’s energy infrastructure, carbon-intensive electricity in Ukraine’s mix has</w:t>
      </w:r>
      <w:r>
        <w:t xml:space="preserve"> </w:t>
      </w:r>
      <w:r>
        <w:t xml:space="preserve">decreased significantly, limiting the prospect of its exports to the EU. Many of the country’s</w:t>
      </w:r>
      <w:r>
        <w:t xml:space="preserve"> </w:t>
      </w:r>
      <w:r>
        <w:t xml:space="preserve">fossil-based power plants have sustained considerable damage or have been completely</w:t>
      </w:r>
      <w:r>
        <w:t xml:space="preserve"> </w:t>
      </w:r>
      <w:r>
        <w:t xml:space="preserve">destroyed. In response, Ukraine is likely to focus on rebuilding its energy sector with</w:t>
      </w:r>
      <w:r>
        <w:t xml:space="preserve"> </w:t>
      </w:r>
      <w:r>
        <w:t xml:space="preserve">cleaner, more sustainable technologies. This strategic pivot towards renewables and low-</w:t>
      </w:r>
      <w:r>
        <w:t xml:space="preserve"> </w:t>
      </w:r>
      <w:r>
        <w:t xml:space="preserve">carbon energy solutions aligns with global trends and EU climate goals.</w:t>
      </w:r>
      <w:r>
        <w:br/>
      </w:r>
      <w:r>
        <w:t xml:space="preserve">While the gross imports from the UK to the EU have been increasing over recent years,</w:t>
      </w:r>
      <w:r>
        <w:t xml:space="preserve"> </w:t>
      </w:r>
      <w:r>
        <w:t xml:space="preserve">the UK ETS already constitutes a carbon price for UK-based fossil-fired generation. In</w:t>
      </w:r>
      <w:r>
        <w:t xml:space="preserve"> </w:t>
      </w:r>
      <w:r>
        <w:t xml:space="preserve">recent years, the UK ETS price was lower than the EU ETS though, therefore the difference</w:t>
      </w:r>
      <w:r>
        <w:t xml:space="preserve"> </w:t>
      </w:r>
      <w:r>
        <w:t xml:space="preserve">of both ETS amounts to around 20 EUR/tCO2.</w:t>
      </w:r>
      <w:r>
        <w:t xml:space="preserve"> </w:t>
      </w:r>
      <w:r>
        <w:t xml:space="preserve">Gross imports from Serbia, North Macedonia, Montenegro, Bosnia and Herzegovina and</w:t>
      </w:r>
      <w:r>
        <w:t xml:space="preserve"> </w:t>
      </w:r>
      <w:r>
        <w:t xml:space="preserve">Montenegro remained relatively stable over recent years.</w:t>
      </w:r>
      <w:r>
        <w:br/>
      </w:r>
      <w:r>
        <w:t xml:space="preserve">Figure 33: Evolution of gross imports from non-EU ETS third countries into the EU,</w:t>
      </w:r>
      <w:r>
        <w:t xml:space="preserve"> </w:t>
      </w:r>
      <w:r>
        <w:t xml:space="preserve">2019-2024</w:t>
      </w:r>
    </w:p>
    <w:p>
      <w:pPr>
        <w:pStyle w:val="BodyText"/>
      </w:pPr>
      <w:r>
        <w:t xml:space="preserve">Source: European Commission based on ENTSO-E Transparency platform</w:t>
      </w:r>
    </w:p>
    <w:p>
      <w:pPr>
        <w:pStyle w:val="BodyText"/>
      </w:pPr>
      <w:r>
        <w:t xml:space="preserve">31 Non-EU ETS third countries are considered to be: Great Britain, Serbia, North Macedonia, Montenegro,</w:t>
      </w:r>
      <w:r>
        <w:t xml:space="preserve"> </w:t>
      </w:r>
      <w:r>
        <w:t xml:space="preserve">Bosnia and Herzegovina, Türkiye, Ukraine, Moldova, Morocco, Belarus and Russia. Imports of Great Britain</w:t>
      </w:r>
      <w:r>
        <w:t xml:space="preserve"> </w:t>
      </w:r>
      <w:r>
        <w:t xml:space="preserve">are included in 2019 and 2020 flows to provide a measure of how imports have evolved from this country.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Figure 34: Net electricity imports from non-EU ETS third countries into the EU, 2024</w:t>
      </w:r>
    </w:p>
    <w:p>
      <w:pPr>
        <w:pStyle w:val="BodyText"/>
      </w:pPr>
      <w:r>
        <w:t xml:space="preserve">Net electricity imports</w:t>
      </w:r>
      <w:r>
        <w:t xml:space="preserve"> </w:t>
      </w:r>
      <w:r>
        <w:t xml:space="preserve">to the EU, 2024 (in</w:t>
      </w:r>
      <w:r>
        <w:t xml:space="preserve"> </w:t>
      </w:r>
      <w:r>
        <w:t xml:space="preserve">MWh)</w:t>
      </w:r>
      <w:r>
        <w:t xml:space="preserve"> </w:t>
      </w:r>
      <w:r>
        <w:t xml:space="preserve">Share in EU</w:t>
      </w:r>
      <w:r>
        <w:t xml:space="preserve"> </w:t>
      </w:r>
      <w:r>
        <w:t xml:space="preserve">electricity</w:t>
      </w:r>
      <w:r>
        <w:t xml:space="preserve"> </w:t>
      </w:r>
      <w:r>
        <w:t xml:space="preserve">generation</w:t>
      </w:r>
      <w:r>
        <w:t xml:space="preserve"> </w:t>
      </w:r>
      <w:r>
        <w:t xml:space="preserve">EU MS importers</w:t>
      </w:r>
      <w:r>
        <w:t xml:space="preserve"> </w:t>
      </w:r>
      <w:r>
        <w:t xml:space="preserve">Great Britain</w:t>
      </w:r>
      <w:r>
        <w:t xml:space="preserve"> </w:t>
      </w:r>
      <w:r>
        <w:t xml:space="preserve">-26,120</w:t>
      </w:r>
      <w:r>
        <w:t xml:space="preserve"> </w:t>
      </w:r>
      <w:r>
        <w:t xml:space="preserve">1.0% BE, DK, FR, IE,</w:t>
      </w:r>
      <w:r>
        <w:t xml:space="preserve"> </w:t>
      </w:r>
      <w:r>
        <w:t xml:space="preserve">NL</w:t>
      </w:r>
      <w:r>
        <w:t xml:space="preserve"> </w:t>
      </w:r>
      <w:r>
        <w:t xml:space="preserve">Serbia</w:t>
      </w:r>
      <w:r>
        <w:t xml:space="preserve"> </w:t>
      </w:r>
      <w:r>
        <w:t xml:space="preserve">-582</w:t>
      </w:r>
      <w:r>
        <w:t xml:space="preserve"> </w:t>
      </w:r>
      <w:r>
        <w:t xml:space="preserve">0.0% BG, HR, HU, RO</w:t>
      </w:r>
      <w:r>
        <w:t xml:space="preserve"> </w:t>
      </w:r>
      <w:r>
        <w:t xml:space="preserve">North Macedonia</w:t>
      </w:r>
      <w:r>
        <w:t xml:space="preserve"> </w:t>
      </w:r>
      <w:r>
        <w:t xml:space="preserve">-165</w:t>
      </w:r>
      <w:r>
        <w:t xml:space="preserve"> </w:t>
      </w:r>
      <w:r>
        <w:t xml:space="preserve">0.0% BG, EL</w:t>
      </w:r>
      <w:r>
        <w:t xml:space="preserve"> </w:t>
      </w:r>
      <w:r>
        <w:t xml:space="preserve">Montenegro</w:t>
      </w:r>
      <w:r>
        <w:br/>
      </w:r>
      <w:r>
        <w:t xml:space="preserve">2,258</w:t>
      </w:r>
      <w:r>
        <w:t xml:space="preserve"> </w:t>
      </w:r>
      <w:r>
        <w:t xml:space="preserve">0.1% IT</w:t>
      </w:r>
      <w:r>
        <w:t xml:space="preserve"> </w:t>
      </w:r>
      <w:r>
        <w:t xml:space="preserve">Bosnia and Herzegovina</w:t>
      </w:r>
      <w:r>
        <w:t xml:space="preserve"> </w:t>
      </w:r>
      <w:r>
        <w:t xml:space="preserve">-1,856</w:t>
      </w:r>
      <w:r>
        <w:t xml:space="preserve"> </w:t>
      </w:r>
      <w:r>
        <w:t xml:space="preserve">0.1% HR</w:t>
      </w:r>
      <w:r>
        <w:t xml:space="preserve"> </w:t>
      </w:r>
      <w:r>
        <w:t xml:space="preserve">Türkiye</w:t>
      </w:r>
      <w:r>
        <w:t xml:space="preserve"> </w:t>
      </w:r>
      <w:r>
        <w:t xml:space="preserve">873</w:t>
      </w:r>
      <w:r>
        <w:t xml:space="preserve"> </w:t>
      </w:r>
      <w:r>
        <w:t xml:space="preserve">0.0% BG, EL</w:t>
      </w:r>
      <w:r>
        <w:t xml:space="preserve"> </w:t>
      </w:r>
      <w:r>
        <w:t xml:space="preserve">Albania</w:t>
      </w:r>
      <w:r>
        <w:t xml:space="preserve"> </w:t>
      </w:r>
      <w:r>
        <w:t xml:space="preserve">222</w:t>
      </w:r>
      <w:r>
        <w:t xml:space="preserve"> </w:t>
      </w:r>
      <w:r>
        <w:t xml:space="preserve">0.0% EL</w:t>
      </w:r>
      <w:r>
        <w:t xml:space="preserve"> </w:t>
      </w:r>
      <w:r>
        <w:t xml:space="preserve">Ukraine</w:t>
      </w:r>
      <w:r>
        <w:t xml:space="preserve"> </w:t>
      </w:r>
      <w:r>
        <w:t xml:space="preserve">-3,745</w:t>
      </w:r>
      <w:r>
        <w:t xml:space="preserve"> </w:t>
      </w:r>
      <w:r>
        <w:t xml:space="preserve">0.1% HU, PL, RO, SK</w:t>
      </w:r>
      <w:r>
        <w:t xml:space="preserve"> </w:t>
      </w:r>
      <w:r>
        <w:t xml:space="preserve">Morocco</w:t>
      </w:r>
      <w:r>
        <w:br/>
      </w:r>
      <w:r>
        <w:t xml:space="preserve">-2,584</w:t>
      </w:r>
      <w:r>
        <w:t xml:space="preserve"> </w:t>
      </w:r>
      <w:r>
        <w:t xml:space="preserve">0.1% ES</w:t>
      </w:r>
      <w:r>
        <w:t xml:space="preserve"> </w:t>
      </w:r>
      <w:r>
        <w:t xml:space="preserve">Moldova</w:t>
      </w:r>
      <w:r>
        <w:t xml:space="preserve"> </w:t>
      </w:r>
      <w:r>
        <w:t xml:space="preserve">-484</w:t>
      </w:r>
      <w:r>
        <w:t xml:space="preserve"> </w:t>
      </w:r>
      <w:r>
        <w:t xml:space="preserve">0.0% RO</w:t>
      </w:r>
      <w:r>
        <w:t xml:space="preserve"> </w:t>
      </w:r>
      <w:r>
        <w:t xml:space="preserve">Total</w:t>
      </w:r>
      <w:r>
        <w:t xml:space="preserve"> </w:t>
      </w:r>
      <w:r>
        <w:t xml:space="preserve">-32,183</w:t>
      </w:r>
    </w:p>
    <w:p>
      <w:pPr>
        <w:pStyle w:val="BodyText"/>
      </w:pPr>
      <w:r>
        <w:t xml:space="preserve">Source: European Commission based on ENTSO-E Transparency platform and Eurostat</w:t>
      </w:r>
      <w:r>
        <w:t xml:space="preserve"> </w:t>
      </w:r>
      <w:r>
        <w:t xml:space="preserve">(series nrg_cb_e)</w:t>
      </w:r>
      <w:r>
        <w:t xml:space="preserve"> </w:t>
      </w:r>
      <w:r>
        <w:t xml:space="preserve">Note: A negative value indicates net exports from the EU to the respective country.</w:t>
      </w:r>
    </w:p>
    <w:p>
      <w:pPr>
        <w:pStyle w:val="BodyText"/>
      </w:pPr>
      <w:r>
        <w:t xml:space="preserve">10.2 Trends in decarbonisation of third countries electricity grids</w:t>
      </w:r>
      <w:r>
        <w:t xml:space="preserve"> </w:t>
      </w:r>
      <w:r>
        <w:t xml:space="preserve">Several elements indicate that decarbonisation of the electricity grid in exporting countries</w:t>
      </w:r>
      <w:r>
        <w:t xml:space="preserve"> </w:t>
      </w:r>
      <w:r>
        <w:t xml:space="preserve">is expected to progress.</w:t>
      </w:r>
      <w:r>
        <w:br/>
      </w:r>
      <w:r>
        <w:t xml:space="preserve">In the Balkans, where countries account for more than half of the total electricity exports</w:t>
      </w:r>
      <w:r>
        <w:t xml:space="preserve"> </w:t>
      </w:r>
      <w:r>
        <w:t xml:space="preserve">to the EU32, recent policy developments reflect a growing commitment to decarbonising</w:t>
      </w:r>
      <w:r>
        <w:t xml:space="preserve"> </w:t>
      </w:r>
      <w:r>
        <w:t xml:space="preserve">the electricity grid. As part of the Energy Community Treaty, the Contracting Parties are</w:t>
      </w:r>
      <w:r>
        <w:t xml:space="preserve"> </w:t>
      </w:r>
      <w:r>
        <w:t xml:space="preserve">required to prepare National Energy and Climate Plans (NECPs) to 2030, including</w:t>
      </w:r>
      <w:r>
        <w:t xml:space="preserve"> </w:t>
      </w:r>
      <w:r>
        <w:t xml:space="preserve">decarbonisation roadmaps, under the adapted Governance Regulation. They are also</w:t>
      </w:r>
      <w:r>
        <w:t xml:space="preserve"> </w:t>
      </w:r>
      <w:r>
        <w:t xml:space="preserve">obliged to transpose the Renewable Energy Directive (currently RED II, and in the future</w:t>
      </w:r>
      <w:r>
        <w:t xml:space="preserve"> </w:t>
      </w:r>
      <w:r>
        <w:t xml:space="preserve">RED III) into their national legislation once it is incorporated in the Energy Community</w:t>
      </w:r>
      <w:r>
        <w:t xml:space="preserve"> </w:t>
      </w:r>
      <w:r>
        <w:t xml:space="preserve">acquis33. Additionally, the New Growth Plan for the Western Balkans, adopted by the</w:t>
      </w:r>
      <w:r>
        <w:t xml:space="preserve"> </w:t>
      </w:r>
      <w:r>
        <w:t xml:space="preserve">European Commission on November 2023, is designed to accelerate the region’s</w:t>
      </w:r>
      <w:r>
        <w:t xml:space="preserve"> </w:t>
      </w:r>
      <w:r>
        <w:t xml:space="preserve">integration with the EU by linking financial support to concrete reforms with a strong</w:t>
      </w:r>
      <w:r>
        <w:t xml:space="preserve"> </w:t>
      </w:r>
      <w:r>
        <w:t xml:space="preserve">emphasis on the energy transition. The plan compels countries to align with EU energy</w:t>
      </w:r>
      <w:r>
        <w:t xml:space="preserve"> </w:t>
      </w:r>
      <w:r>
        <w:t xml:space="preserve">and climate ambitions through the deployment of renewables and the integration of their</w:t>
      </w:r>
      <w:r>
        <w:t xml:space="preserve"> </w:t>
      </w:r>
      <w:r>
        <w:t xml:space="preserve">electricity market into the EU. To support this process a new EUR 6 billion financial</w:t>
      </w:r>
      <w:r>
        <w:t xml:space="preserve"> </w:t>
      </w:r>
      <w:r>
        <w:t xml:space="preserve">instrument, the Reform and Growth Facility for the Western Balkans was adopted for the</w:t>
      </w:r>
      <w:r>
        <w:t xml:space="preserve"> </w:t>
      </w:r>
      <w:r>
        <w:t xml:space="preserve">period 2024-202734. Most of the investments in renewables in Energy Community</w:t>
      </w:r>
      <w:r>
        <w:t xml:space="preserve"> </w:t>
      </w:r>
      <w:r>
        <w:t xml:space="preserve">countries stem from the finalisation and operationalisation of projects supported by the</w:t>
      </w:r>
    </w:p>
    <w:p>
      <w:pPr>
        <w:pStyle w:val="BodyText"/>
      </w:pPr>
      <w:r>
        <w:t xml:space="preserve">32 ENTSO-E Transparency Platform, https://transparency.entsoe.eu/</w:t>
      </w:r>
      <w:r>
        <w:br/>
      </w:r>
      <w:r>
        <w:t xml:space="preserve">33 https://www.energy-community.org/enc-lex/law/treaty.html</w:t>
      </w:r>
      <w:r>
        <w:t xml:space="preserve"> </w:t>
      </w:r>
      <w:r>
        <w:t xml:space="preserve">34 European Commission (2023) New Growth Plan for the Western Balkans, COM(2023) 691 final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Government (under Feed-in-Tariffs or Feed-in-Premium schemes), together with a</w:t>
      </w:r>
      <w:r>
        <w:t xml:space="preserve"> </w:t>
      </w:r>
      <w:r>
        <w:t xml:space="preserve">significant number of solar PV installations for self-consumption. Furthermore, the North</w:t>
      </w:r>
      <w:r>
        <w:t xml:space="preserve"> </w:t>
      </w:r>
      <w:r>
        <w:t xml:space="preserve">Africa region is emerging as a key region for renewable growth, given the high potential</w:t>
      </w:r>
      <w:r>
        <w:t xml:space="preserve"> </w:t>
      </w:r>
      <w:r>
        <w:t xml:space="preserve">for solar and wind power combined with a decreasing cost of those two technologies35.</w:t>
      </w:r>
      <w:r>
        <w:br/>
      </w:r>
      <w:r>
        <w:t xml:space="preserve">Figure 35: Most suitable areas in North Africa for utility-scale solar photovoltaic and</w:t>
      </w:r>
      <w:r>
        <w:t xml:space="preserve"> </w:t>
      </w:r>
      <w:r>
        <w:t xml:space="preserve">wind</w:t>
      </w:r>
    </w:p>
    <w:p>
      <w:pPr>
        <w:pStyle w:val="BodyText"/>
      </w:pPr>
      <w:r>
        <w:t xml:space="preserve">Source: IRENA</w:t>
      </w:r>
      <w:r>
        <w:t xml:space="preserve"> </w:t>
      </w:r>
      <w:r>
        <w:t xml:space="preserve">At COP29 in 2024, the European Commission announced the Trans-Mediterranean Energy</w:t>
      </w:r>
      <w:r>
        <w:t xml:space="preserve"> </w:t>
      </w:r>
      <w:r>
        <w:t xml:space="preserve">and Clean Tech Cooperation Initiative (T-MED). This initiative aims to strengthen</w:t>
      </w:r>
      <w:r>
        <w:t xml:space="preserve"> </w:t>
      </w:r>
      <w:r>
        <w:t xml:space="preserve">collaboration on renewable energy and clean technology across the Mediterranean and</w:t>
      </w:r>
      <w:r>
        <w:t xml:space="preserve"> </w:t>
      </w:r>
      <w:r>
        <w:t xml:space="preserve">Gulf regions by fostering private investments in renewable energy production and transport</w:t>
      </w:r>
      <w:r>
        <w:t xml:space="preserve"> </w:t>
      </w:r>
      <w:r>
        <w:t xml:space="preserve">infrastructure. Under the new Pact for the Mediterranean currently in preparation, the EU</w:t>
      </w:r>
      <w:r>
        <w:t xml:space="preserve"> </w:t>
      </w:r>
      <w:r>
        <w:t xml:space="preserve">is committed to further reinforce its Energy and Technology Cooperation Initiative for the</w:t>
      </w:r>
      <w:r>
        <w:t xml:space="preserve"> </w:t>
      </w:r>
      <w:r>
        <w:t xml:space="preserve">Mediterranean and boost renewable energy trade and clean technology manufacturing in</w:t>
      </w:r>
      <w:r>
        <w:t xml:space="preserve"> </w:t>
      </w:r>
      <w:r>
        <w:t xml:space="preserve">the region.</w:t>
      </w:r>
      <w:r>
        <w:br/>
      </w:r>
      <w:r>
        <w:t xml:space="preserve">The strengthened cooperation between the EU and MENA region is also demonstrated</w:t>
      </w:r>
      <w:r>
        <w:t xml:space="preserve"> </w:t>
      </w:r>
      <w:r>
        <w:t xml:space="preserve">through several interconnector projects: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IRENA(2024) HYPERLINK</w:t>
      </w:r>
      <w:r>
        <w:t xml:space="preserve"> </w:t>
      </w:r>
      <w:r>
        <w:t xml:space="preserve">“https://www.irena.org/News/articles/2024/Feb/North-</w:t>
      </w:r>
      <w:r>
        <w:t xml:space="preserve"> </w:t>
      </w:r>
      <w:r>
        <w:t xml:space="preserve">Africa-Renewable-Potential-and-Strategic-Location-Reinforce-Its-Role-in-Energy-</w:t>
      </w:r>
      <w:r>
        <w:t xml:space="preserve"> </w:t>
      </w:r>
      <w:r>
        <w:t xml:space="preserve">Transition”</w:t>
      </w:r>
      <w:r>
        <w:t xml:space="preserve">https://www.irena.org/News/articles/2024/Feb/North-Africa-Renewable-Potential-and-</w:t>
      </w:r>
      <w:r>
        <w:t xml:space="preserve"> </w:t>
      </w:r>
      <w:r>
        <w:t xml:space="preserve">Strategic-Location-Reinforce-Its-Role-in-Energy-Transition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− The ELMED project, led by Terna (Italian TSO) and STEG (Tunisian TSO), will</w:t>
      </w:r>
      <w:r>
        <w:t xml:space="preserve"> </w:t>
      </w:r>
      <w:r>
        <w:t xml:space="preserve">be the first direct current connection between both continents, with an expected</w:t>
      </w:r>
      <w:r>
        <w:t xml:space="preserve"> </w:t>
      </w:r>
      <w:r>
        <w:t xml:space="preserve">capacity of 600MW36.</w:t>
      </w:r>
      <w:r>
        <w:t xml:space="preserve"> </w:t>
      </w:r>
      <w:r>
        <w:t xml:space="preserve">− The EuroAsia Interconnector project is designed to be the world’s longest</w:t>
      </w:r>
      <w:r>
        <w:t xml:space="preserve"> </w:t>
      </w:r>
      <w:r>
        <w:t xml:space="preserve">submarine power cable with an interconnector capacity of 1000 MW, linking the</w:t>
      </w:r>
      <w:r>
        <w:t xml:space="preserve"> </w:t>
      </w:r>
      <w:r>
        <w:t xml:space="preserve">power grids of Greece, Cyprus and Israel37.</w:t>
      </w:r>
      <w:r>
        <w:br/>
      </w:r>
      <w:r>
        <w:t xml:space="preserve">− The potential GREGY project, developed by Elica Interconnector, could lead to the</w:t>
      </w:r>
      <w:r>
        <w:t xml:space="preserve"> </w:t>
      </w:r>
      <w:r>
        <w:t xml:space="preserve">construction of an interconnector linking the Greek and Egyptian electricity grid,</w:t>
      </w:r>
      <w:r>
        <w:t xml:space="preserve"> </w:t>
      </w:r>
      <w:r>
        <w:t xml:space="preserve">with a potential capacity of 3000MW38.</w:t>
      </w:r>
    </w:p>
    <w:p>
      <w:pPr>
        <w:pStyle w:val="BodyText"/>
      </w:pPr>
      <w:r>
        <w:t xml:space="preserve">10.3 Contextual elements regarding the declaration of actual values for electricity</w:t>
      </w:r>
      <w:r>
        <w:t xml:space="preserve"> </w:t>
      </w:r>
      <w:r>
        <w:t xml:space="preserve">under CBAM</w:t>
      </w:r>
      <w:r>
        <w:t xml:space="preserve"> </w:t>
      </w:r>
      <w:r>
        <w:t xml:space="preserve">Annex IV, Paragraph 5 of the CBAM Regulation requires five cumulative conditions for</w:t>
      </w:r>
      <w:r>
        <w:t xml:space="preserve"> </w:t>
      </w:r>
      <w:r>
        <w:t xml:space="preserve">applying actual embedded emissions in imported electricity. The modifications of the</w:t>
      </w:r>
      <w:r>
        <w:t xml:space="preserve"> </w:t>
      </w:r>
      <w:r>
        <w:t xml:space="preserve">methodology that are dealt with in this impact assessment relate to three of those five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• On the Power Purchase Agreement (PPA)</w:t>
      </w:r>
    </w:p>
    <w:p>
      <w:pPr>
        <w:pStyle w:val="BodyText"/>
      </w:pPr>
      <w:r>
        <w:t xml:space="preserve">According to the first condition provided in Annex IV, paragraph 5, the amount of</w:t>
      </w:r>
      <w:r>
        <w:t xml:space="preserve"> </w:t>
      </w:r>
      <w:r>
        <w:t xml:space="preserve">electricity for which the use of actual embedded emissions is claimed shall be covered by</w:t>
      </w:r>
      <w:r>
        <w:t xml:space="preserve"> </w:t>
      </w:r>
      <w:r>
        <w:t xml:space="preserve">a power purchase agreement, defined as a contract under which a person agrees to purchase</w:t>
      </w:r>
      <w:r>
        <w:t xml:space="preserve"> </w:t>
      </w:r>
      <w:r>
        <w:t xml:space="preserve">electricity directly from an electricity producer.</w:t>
      </w:r>
    </w:p>
    <w:p>
      <w:pPr>
        <w:pStyle w:val="BodyText"/>
      </w:pPr>
      <w:r>
        <w:t xml:space="preserve">Different types of PPAs currently exist and are defined in the Box below.</w:t>
      </w:r>
    </w:p>
    <w:p>
      <w:pPr>
        <w:pStyle w:val="BodyText"/>
      </w:pPr>
      <w:r>
        <w:t xml:space="preserve">Box 1: Typology of PPAs</w:t>
      </w:r>
      <w:r>
        <w:br/>
      </w:r>
      <w:r>
        <w:t xml:space="preserve">Physical PPAs</w:t>
      </w:r>
      <w:r>
        <w:br/>
      </w:r>
      <w:r>
        <w:t xml:space="preserve">A Power Purchase Agreement (PPA) is a contract in which an electricity generator and a</w:t>
      </w:r>
      <w:r>
        <w:t xml:space="preserve"> </w:t>
      </w:r>
      <w:r>
        <w:t xml:space="preserve">buyer arrange the direct supply of power. Under such an agreement, electricity physically</w:t>
      </w:r>
      <w:r>
        <w:t xml:space="preserve"> </w:t>
      </w:r>
      <w:r>
        <w:t xml:space="preserve">flows from the generator to the buyer (or is at least contractually tracked through a grid or</w:t>
      </w:r>
      <w:r>
        <w:t xml:space="preserve"> </w:t>
      </w:r>
      <w:r>
        <w:t xml:space="preserve">balancing zone). This means the buyer can point to a specific installation producing the</w:t>
      </w:r>
      <w:r>
        <w:t xml:space="preserve"> </w:t>
      </w:r>
      <w:r>
        <w:t xml:space="preserve">electricity covered by the PPA.</w:t>
      </w:r>
      <w:r>
        <w:t xml:space="preserve"> </w:t>
      </w:r>
      <w:r>
        <w:t xml:space="preserve">Virtual PPAs</w:t>
      </w:r>
    </w:p>
    <w:p>
      <w:pPr>
        <w:pStyle w:val="BodyText"/>
      </w:pPr>
      <w:r>
        <w:t xml:space="preserve">36 EIB(2024) https://www.eib.org/en/press/all/2024-205-team-europe-commits-eur472-million-to-support-</w:t>
      </w:r>
      <w:r>
        <w:t xml:space="preserve"> </w:t>
      </w:r>
      <w:r>
        <w:t xml:space="preserve">the-elmed-electricity-project-and-its-ecosystem</w:t>
      </w:r>
      <w:r>
        <w:br/>
      </w:r>
      <w:r>
        <w:t xml:space="preserve">37 https://www.great-sea-interconnector.com/en</w:t>
      </w:r>
      <w:r>
        <w:br/>
      </w:r>
      <w:r>
        <w:t xml:space="preserve">38 https://gregy-interconnector.gr/project_en.html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A virtual PPA (also sometimes called a “financial” or “synthetic” PPA) on the other hand</w:t>
      </w:r>
      <w:r>
        <w:t xml:space="preserve"> </w:t>
      </w:r>
      <w:r>
        <w:t xml:space="preserve">is fundamentally different. Rather than supplying power directly to the buyer, the</w:t>
      </w:r>
      <w:r>
        <w:t xml:space="preserve"> </w:t>
      </w:r>
      <w:r>
        <w:t xml:space="preserve">generator sells its electricity into the local wholesale market. Meanwhile, the buyer and</w:t>
      </w:r>
      <w:r>
        <w:t xml:space="preserve"> </w:t>
      </w:r>
      <w:r>
        <w:t xml:space="preserve">generator enter into a contract-for-differences or similar financial arrangement based on</w:t>
      </w:r>
      <w:r>
        <w:t xml:space="preserve"> </w:t>
      </w:r>
      <w:r>
        <w:t xml:space="preserve">the agreed PPA price versus the actual market price. The buyer therefore does not receive</w:t>
      </w:r>
      <w:r>
        <w:t xml:space="preserve"> </w:t>
      </w:r>
      <w:r>
        <w:t xml:space="preserve">electricity from the generator’s plant. Instead, it receives or pays a financial settlement tied</w:t>
      </w:r>
      <w:r>
        <w:t xml:space="preserve"> </w:t>
      </w:r>
      <w:r>
        <w:t xml:space="preserve">to the difference between market rates and the PPA’s “strike price.” Consequently, virtual</w:t>
      </w:r>
      <w:r>
        <w:t xml:space="preserve"> </w:t>
      </w:r>
      <w:r>
        <w:t xml:space="preserve">PPAs do not allow the identification of a specific installation as the source of the electricity</w:t>
      </w:r>
      <w:r>
        <w:t xml:space="preserve"> </w:t>
      </w:r>
      <w:r>
        <w:t xml:space="preserve">imported, unlike physical PPAs.</w:t>
      </w:r>
      <w:r>
        <w:t xml:space="preserve"> </w:t>
      </w:r>
      <w:r>
        <w:t xml:space="preserve">Sleeved/Indirect PPAs</w:t>
      </w:r>
      <w:r>
        <w:t xml:space="preserve"> </w:t>
      </w:r>
      <w:r>
        <w:t xml:space="preserve">An indirect PPA refers to a contractual arrangement where the electricity generator and</w:t>
      </w:r>
      <w:r>
        <w:t xml:space="preserve"> </w:t>
      </w:r>
      <w:r>
        <w:t xml:space="preserve">the importer are not directly connected through a bilateral contract. Instead, electricity is</w:t>
      </w:r>
      <w:r>
        <w:t xml:space="preserve"> </w:t>
      </w:r>
      <w:r>
        <w:t xml:space="preserve">procured via an intermediary, typically a utility or trader, who purchases electricity from</w:t>
      </w:r>
      <w:r>
        <w:t xml:space="preserve"> </w:t>
      </w:r>
      <w:r>
        <w:t xml:space="preserve">the generator and sells it onward to the importer under a separate supply contract. In a</w:t>
      </w:r>
      <w:r>
        <w:t xml:space="preserve"> </w:t>
      </w:r>
      <w:r>
        <w:t xml:space="preserve">sleeved PPA, which represents a specific type of indirect arrangement, the importer and</w:t>
      </w:r>
      <w:r>
        <w:t xml:space="preserve"> </w:t>
      </w:r>
      <w:r>
        <w:t xml:space="preserve">the electricity generator agree on the commercial terms of the transaction—such as</w:t>
      </w:r>
      <w:r>
        <w:t xml:space="preserve"> </w:t>
      </w:r>
      <w:r>
        <w:t xml:space="preserve">volume, price, and duration—but the physical delivery of electricity is facilitated through</w:t>
      </w:r>
      <w:r>
        <w:t xml:space="preserve"> </w:t>
      </w:r>
      <w:r>
        <w:t xml:space="preserve">a licensed utility or supplier. This intermediary “sleeves” the electricity through the grid</w:t>
      </w:r>
      <w:r>
        <w:t xml:space="preserve"> </w:t>
      </w:r>
      <w:r>
        <w:t xml:space="preserve">to the importer, handling responsibilities such as grid balancing, regulatory compliance,</w:t>
      </w:r>
      <w:r>
        <w:t xml:space="preserve"> </w:t>
      </w:r>
      <w:r>
        <w:t xml:space="preserve">and sometimes billing. However, the utility does not take ownership of the electricity in a</w:t>
      </w:r>
      <w:r>
        <w:t xml:space="preserve"> </w:t>
      </w:r>
      <w:r>
        <w:t xml:space="preserve">way that severs the contractual link between the generator and the importer.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Figure 36: Physical vs. financial PPA</w:t>
      </w:r>
    </w:p>
    <w:p>
      <w:pPr>
        <w:pStyle w:val="BodyText"/>
      </w:pPr>
      <w:r>
        <w:t xml:space="preserve">• On congestion</w:t>
      </w:r>
      <w:r>
        <w:t xml:space="preserve"> </w:t>
      </w:r>
      <w:r>
        <w:t xml:space="preserve">The current CBAM Regulation requires the installation producing electricity to be directly</w:t>
      </w:r>
      <w:r>
        <w:t xml:space="preserve"> </w:t>
      </w:r>
      <w:r>
        <w:t xml:space="preserve">connected to the Union transmission system or the absence of physical network congestion</w:t>
      </w:r>
      <w:r>
        <w:t xml:space="preserve"> </w:t>
      </w:r>
      <w:r>
        <w:t xml:space="preserve">can be demonstrated that at the time of export. The current CBAM Regulation does not</w:t>
      </w:r>
      <w:r>
        <w:t xml:space="preserve"> </w:t>
      </w:r>
      <w:r>
        <w:t xml:space="preserve">currently provide a definition for physical network congestion. The Box below outlines</w:t>
      </w:r>
      <w:r>
        <w:t xml:space="preserve"> </w:t>
      </w:r>
      <w:r>
        <w:t xml:space="preserve">different types of congestion.</w:t>
      </w:r>
    </w:p>
    <w:p>
      <w:pPr>
        <w:pStyle w:val="BodyText"/>
      </w:pPr>
      <w:r>
        <w:t xml:space="preserve">Box 2: Congestion in the electricity system</w:t>
      </w:r>
      <w:r>
        <w:t xml:space="preserve"> </w:t>
      </w:r>
      <w:r>
        <w:t xml:space="preserve">Article 2 of the Commission Regulation (EU) 2015/122248, related to the establishment</w:t>
      </w:r>
      <w:r>
        <w:t xml:space="preserve"> </w:t>
      </w:r>
      <w:r>
        <w:t xml:space="preserve">of a guideline on capacity allocation and congestion management, provides various</w:t>
      </w:r>
      <w:r>
        <w:t xml:space="preserve"> </w:t>
      </w:r>
      <w:r>
        <w:t xml:space="preserve">definitions of congestion:</w:t>
      </w:r>
      <w:r>
        <w:t xml:space="preserve"> </w:t>
      </w:r>
      <w:r>
        <w:t xml:space="preserve">• Physical Congestion is a network situation where actual or forecasted power</w:t>
      </w:r>
      <w:r>
        <w:t xml:space="preserve"> </w:t>
      </w:r>
      <w:r>
        <w:t xml:space="preserve">violate the thermal limits of the elements of the grid and voltage stability or the</w:t>
      </w:r>
      <w:r>
        <w:t xml:space="preserve"> </w:t>
      </w:r>
      <w:r>
        <w:t xml:space="preserve">angle stability limits of the power system.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• Market congestion is a situation in which the economic surplus for single day-</w:t>
      </w:r>
      <w:r>
        <w:t xml:space="preserve"> </w:t>
      </w:r>
      <w:r>
        <w:t xml:space="preserve">ahead or intraday coupling has been limited by cross-zonal capacity or allocation</w:t>
      </w:r>
      <w:r>
        <w:t xml:space="preserve"> </w:t>
      </w:r>
      <w:r>
        <w:t xml:space="preserve">constraints.</w:t>
      </w:r>
      <w:r>
        <w:t xml:space="preserve"> </w:t>
      </w:r>
      <w:r>
        <w:t xml:space="preserve">• Structural congestion is congestion in the transmission system that can be</w:t>
      </w:r>
      <w:r>
        <w:t xml:space="preserve"> </w:t>
      </w:r>
      <w:r>
        <w:t xml:space="preserve">unambiguously defined, is predictable, geographically stable over time and</w:t>
      </w:r>
      <w:r>
        <w:t xml:space="preserve"> </w:t>
      </w:r>
      <w:r>
        <w:t xml:space="preserve">frequently reoccurring under normal power system conditions.</w:t>
      </w:r>
    </w:p>
    <w:p>
      <w:pPr>
        <w:pStyle w:val="BodyText"/>
      </w:pPr>
      <w:r>
        <w:t xml:space="preserve">• On capacity allocation</w:t>
      </w:r>
      <w:r>
        <w:t xml:space="preserve"> </w:t>
      </w:r>
      <w:r>
        <w:t xml:space="preserve">Box 3: Forms of electricity trading - Capacity allocation</w:t>
      </w:r>
      <w:r>
        <w:br/>
      </w:r>
      <w:r>
        <w:t xml:space="preserve">Electricity trading can occur under explicit or implicit regime:</w:t>
      </w:r>
      <w:r>
        <w:t xml:space="preserve"> </w:t>
      </w:r>
      <w:r>
        <w:t xml:space="preserve">• Under explicit capacity allocation, cross-border transmission capacity and energy</w:t>
      </w:r>
      <w:r>
        <w:t xml:space="preserve"> </w:t>
      </w:r>
      <w:r>
        <w:t xml:space="preserve">are procured separately. The market participants go through a cross-border</w:t>
      </w:r>
      <w:r>
        <w:t xml:space="preserve"> </w:t>
      </w:r>
      <w:r>
        <w:t xml:space="preserve">transmission capacity auctions and bid to acquire the right to use certain capacity</w:t>
      </w:r>
      <w:r>
        <w:t xml:space="preserve"> </w:t>
      </w:r>
      <w:r>
        <w:t xml:space="preserve">of the interconnector. Once the capacity is acquired (allocated to them), the market</w:t>
      </w:r>
      <w:r>
        <w:t xml:space="preserve"> </w:t>
      </w:r>
      <w:r>
        <w:t xml:space="preserve">participant can purchase separately the electricity from the relevant electricity</w:t>
      </w:r>
      <w:r>
        <w:t xml:space="preserve"> </w:t>
      </w:r>
      <w:r>
        <w:t xml:space="preserve">market. When the market participant purchased electricity and wants to use cross-</w:t>
      </w:r>
      <w:r>
        <w:t xml:space="preserve"> </w:t>
      </w:r>
      <w:r>
        <w:t xml:space="preserve">border capacity, it has to declare (“nominate”) it to the TSO, the day before the</w:t>
      </w:r>
      <w:r>
        <w:t xml:space="preserve"> </w:t>
      </w:r>
      <w:r>
        <w:t xml:space="preserve">actual delivery.</w:t>
      </w:r>
      <w:r>
        <w:t xml:space="preserve"> </w:t>
      </w:r>
      <w:r>
        <w:t xml:space="preserve">• Under implicit allocation, capacity allocation and energy trading are done</w:t>
      </w:r>
      <w:r>
        <w:t xml:space="preserve"> </w:t>
      </w:r>
      <w:r>
        <w:t xml:space="preserve">simultaneously. In this case, the market participants are bidding at their local power</w:t>
      </w:r>
      <w:r>
        <w:t xml:space="preserve"> </w:t>
      </w:r>
      <w:r>
        <w:t xml:space="preserve">exchange for energy and are not required to bid for capacity. In this process market</w:t>
      </w:r>
      <w:r>
        <w:t xml:space="preserve"> </w:t>
      </w:r>
      <w:r>
        <w:t xml:space="preserve">participants do not indicate whether the bid is destined nationally or for</w:t>
      </w:r>
      <w:r>
        <w:t xml:space="preserve"> </w:t>
      </w:r>
      <w:r>
        <w:t xml:space="preserve">import/export. No nomination of capacity as such by market participants occurs.</w:t>
      </w:r>
      <w:r>
        <w:t xml:space="preserve"> </w:t>
      </w:r>
      <w:r>
        <w:t xml:space="preserve">All bids to buy or sell energy are sent to a central algorithm which selects</w:t>
      </w:r>
      <w:r>
        <w:t xml:space="preserve"> </w:t>
      </w:r>
      <w:r>
        <w:t xml:space="preserve">competitive bids and implicitly allocates the capacities.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ANNEX 11: DESCRIPTION OF THE CURRENT RULES FOR THE</w:t>
      </w:r>
      <w:r>
        <w:t xml:space="preserve"> </w:t>
      </w:r>
      <w:r>
        <w:t xml:space="preserve">CALCULATION OF EMBEDDED EMISSIONS</w:t>
      </w:r>
      <w:r>
        <w:t xml:space="preserve"> </w:t>
      </w:r>
      <w:r>
        <w:t xml:space="preserve">Current rules regarding the use of Actual Emissions and Default Values</w:t>
      </w:r>
      <w:r>
        <w:t xml:space="preserve"> </w:t>
      </w:r>
      <w:r>
        <w:t xml:space="preserve">The current CBAM methodology, that is the rules to calculate and attribute emissions</w:t>
      </w:r>
      <w:r>
        <w:t xml:space="preserve"> </w:t>
      </w:r>
      <w:r>
        <w:t xml:space="preserve">embedded in CBAM goods, is detailed in the Commission Implementing Regulation (EU)</w:t>
      </w:r>
      <w:r>
        <w:t xml:space="preserve"> </w:t>
      </w:r>
      <w:r>
        <w:t xml:space="preserve">2023/1773. A revision of this methodology is ongoing, in parallel to the preparation of this</w:t>
      </w:r>
      <w:r>
        <w:t xml:space="preserve"> </w:t>
      </w:r>
      <w:r>
        <w:t xml:space="preserve">impact assessment and will be detailed in another implementing regulation which will be</w:t>
      </w:r>
      <w:r>
        <w:t xml:space="preserve"> </w:t>
      </w:r>
      <w:r>
        <w:t xml:space="preserve">adopted before the end of 2025 and apply from 1 January 2026 onwards.</w:t>
      </w:r>
      <w:r>
        <w:br/>
      </w:r>
      <w:r>
        <w:t xml:space="preserve">Both the current and revised CBAM methodology place primary emphasis on actual</w:t>
      </w:r>
      <w:r>
        <w:t xml:space="preserve"> </w:t>
      </w:r>
      <w:r>
        <w:t xml:space="preserve">emissions but also allow the use of default values. Therefore, declarants are free to choose</w:t>
      </w:r>
      <w:r>
        <w:t xml:space="preserve"> </w:t>
      </w:r>
      <w:r>
        <w:t xml:space="preserve">either method. Default values are determined by the Commission and are set at the average</w:t>
      </w:r>
      <w:r>
        <w:t xml:space="preserve"> </w:t>
      </w:r>
      <w:r>
        <w:t xml:space="preserve">emission intensity of each exporting country and for each of the goods listed in Annex I</w:t>
      </w:r>
      <w:r>
        <w:t xml:space="preserve"> </w:t>
      </w:r>
      <w:r>
        <w:t xml:space="preserve">other than electricity, increased by a proportionately designed mark-up. In light of its</w:t>
      </w:r>
      <w:r>
        <w:t xml:space="preserve"> </w:t>
      </w:r>
      <w:r>
        <w:t xml:space="preserve">specific nature, the rules are different in the case of electricity for which default values are</w:t>
      </w:r>
      <w:r>
        <w:t xml:space="preserve"> </w:t>
      </w:r>
      <w:r>
        <w:t xml:space="preserve">the general rule and actual emissions can only be used when certain conditions are met.</w:t>
      </w:r>
      <w:r>
        <w:br/>
      </w:r>
      <w:r>
        <w:t xml:space="preserve">When declarants choose to report the actual emissions, detailed rules in the CBAM</w:t>
      </w:r>
      <w:r>
        <w:t xml:space="preserve"> </w:t>
      </w:r>
      <w:r>
        <w:t xml:space="preserve">methodology specify how production routes should be monitored and data should be</w:t>
      </w:r>
      <w:r>
        <w:t xml:space="preserve"> </w:t>
      </w:r>
      <w:r>
        <w:t xml:space="preserve">collected to determine the specific embedded emissions of goods, measured in tonnes of</w:t>
      </w:r>
      <w:r>
        <w:t xml:space="preserve"> </w:t>
      </w:r>
      <w:r>
        <w:t xml:space="preserve">CO2e per tonne of good produced. The boundaries of this monitoring and attribution of</w:t>
      </w:r>
      <w:r>
        <w:t xml:space="preserve"> </w:t>
      </w:r>
      <w:r>
        <w:t xml:space="preserve">emissions to goods are limited to processes that would otherwise be subject to the EU ETS</w:t>
      </w:r>
      <w:r>
        <w:t xml:space="preserve"> </w:t>
      </w:r>
      <w:r>
        <w:t xml:space="preserve">if the good was to be produced in the EU.</w:t>
      </w:r>
    </w:p>
    <w:p>
      <w:pPr>
        <w:pStyle w:val="BodyText"/>
      </w:pPr>
      <w:r>
        <w:t xml:space="preserve">Rules for electricity as a CBAM good</w:t>
      </w:r>
      <w:r>
        <w:t xml:space="preserve"> </w:t>
      </w:r>
      <w:r>
        <w:t xml:space="preserve">As for the other CBAM goods, the detailed methodology to calculate the embedded</w:t>
      </w:r>
      <w:r>
        <w:t xml:space="preserve"> </w:t>
      </w:r>
      <w:r>
        <w:t xml:space="preserve">emissions of imported electricity is laid down in Commission Implementing Regulation</w:t>
      </w:r>
      <w:r>
        <w:t xml:space="preserve"> </w:t>
      </w:r>
      <w:r>
        <w:t xml:space="preserve">(EU) 2023/1773 for the CBAM transitional phase, whilst another Implementing</w:t>
      </w:r>
      <w:r>
        <w:t xml:space="preserve"> </w:t>
      </w:r>
      <w:r>
        <w:t xml:space="preserve">Regulation will lay down the relevant rules for imports that will occur as of 1 January</w:t>
      </w:r>
      <w:r>
        <w:t xml:space="preserve"> </w:t>
      </w:r>
      <w:r>
        <w:t xml:space="preserve">2026. The fundamental methodological choices are however defined in the basic act.</w:t>
      </w:r>
      <w:r>
        <w:br/>
      </w:r>
      <w:r>
        <w:t xml:space="preserve">Under the CBAM Regulation, electricity importers must declare embedded emissions</w:t>
      </w:r>
      <w:r>
        <w:t xml:space="preserve"> </w:t>
      </w:r>
      <w:r>
        <w:t xml:space="preserve">based on default values, unless certain conditions are met in which case the use of actual</w:t>
      </w:r>
      <w:r>
        <w:t xml:space="preserve"> </w:t>
      </w:r>
      <w:r>
        <w:t xml:space="preserve">values is allowed.</w:t>
      </w:r>
      <w:r>
        <w:br/>
      </w:r>
      <w:r>
        <w:t xml:space="preserve">The default values for imported electricity are based on a CO2 emission factor defined as</w:t>
      </w:r>
      <w:r>
        <w:t xml:space="preserve"> </w:t>
      </w:r>
      <w:r>
        <w:t xml:space="preserve">a weighted average of the CO2 intensity of electricity produced from fossil fuels within a</w:t>
      </w:r>
      <w:r>
        <w:t xml:space="preserve"> </w:t>
      </w:r>
      <w:r>
        <w:t xml:space="preserve">geographic area. During the transitional period, the default value is based on International</w:t>
      </w:r>
      <w:r>
        <w:t xml:space="preserve"> </w:t>
      </w:r>
      <w:r>
        <w:t xml:space="preserve">Energy Agency data and calculated as the weighted average of the CO2 emission factor</w:t>
      </w:r>
      <w:r>
        <w:t xml:space="preserve"> </w:t>
      </w:r>
      <w:r>
        <w:t xml:space="preserve">over a five-years period.</w:t>
      </w:r>
      <w:r>
        <w:br/>
      </w:r>
      <w:r>
        <w:t xml:space="preserve">Actual emissions can be declared if five cumulative criteria as provided in Annex IV,</w:t>
      </w:r>
      <w:r>
        <w:t xml:space="preserve"> </w:t>
      </w:r>
      <w:r>
        <w:t xml:space="preserve">paragraph 5 of the CBAM Regulation, are fulfilled:</w:t>
      </w:r>
    </w:p>
    <w:p>
      <w:pPr>
        <w:pStyle w:val="BodyText"/>
      </w:pPr>
      <w:r>
        <w:t xml:space="preserve">77</w:t>
      </w:r>
    </w:p>
    <w:p>
      <w:pPr>
        <w:pStyle w:val="Compact"/>
        <w:numPr>
          <w:ilvl w:val="0"/>
          <w:numId w:val="1008"/>
        </w:numPr>
      </w:pPr>
      <w:r>
        <w:t xml:space="preserve">the amount of electricity for which the use of actual embedded emissions is claimed</w:t>
      </w:r>
      <w:r>
        <w:t xml:space="preserve"> </w:t>
      </w:r>
      <w:r>
        <w:t xml:space="preserve">is covered by a power purchase agreement between the authorised CBAM declarant</w:t>
      </w:r>
      <w:r>
        <w:t xml:space="preserve"> </w:t>
      </w:r>
      <w:r>
        <w:t xml:space="preserve">and a producer of electricity located in a third country;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the installation producing electricity is either directly connected to the Union</w:t>
      </w:r>
      <w:r>
        <w:t xml:space="preserve"> </w:t>
      </w:r>
      <w:r>
        <w:t xml:space="preserve">transmission system or it can be demonstrated that at the time of export there was</w:t>
      </w:r>
      <w:r>
        <w:t xml:space="preserve"> </w:t>
      </w:r>
      <w:r>
        <w:t xml:space="preserve">no physical network congestion at any point in the network between the installation</w:t>
      </w:r>
      <w:r>
        <w:t xml:space="preserve"> </w:t>
      </w:r>
      <w:r>
        <w:t xml:space="preserve">and the Union transmission system;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the installation producing electricity does not emit more than 550 grammes of CO2</w:t>
      </w:r>
      <w:r>
        <w:t xml:space="preserve"> </w:t>
      </w:r>
      <w:r>
        <w:t xml:space="preserve">of fossil fuel origin per kilowatt-hour of electricity;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the amount of electricity for which the use of actual embedded emissions is claimed</w:t>
      </w:r>
      <w:r>
        <w:t xml:space="preserve"> </w:t>
      </w:r>
      <w:r>
        <w:t xml:space="preserve">has been firmly nominated to the allocated interconnection capacity by all</w:t>
      </w:r>
      <w:r>
        <w:t xml:space="preserve"> </w:t>
      </w:r>
      <w:r>
        <w:t xml:space="preserve">responsible transmission system operators in the country of origin, the country of</w:t>
      </w:r>
      <w:r>
        <w:t xml:space="preserve"> </w:t>
      </w:r>
      <w:r>
        <w:t xml:space="preserve">destination and, if relevant, each country of transit, and the nominated capacity and</w:t>
      </w:r>
      <w:r>
        <w:t xml:space="preserve"> </w:t>
      </w:r>
      <w:r>
        <w:t xml:space="preserve">the production of electricity by the installation refer to the same period of time,</w:t>
      </w:r>
      <w:r>
        <w:t xml:space="preserve"> </w:t>
      </w:r>
      <w:r>
        <w:t xml:space="preserve">which shall not be longer than one hour;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the fulfilment of the above criteria is certified by an accredited verifier, who shall</w:t>
      </w:r>
      <w:r>
        <w:t xml:space="preserve"> </w:t>
      </w:r>
      <w:r>
        <w:t xml:space="preserve">receive at least monthly interim reports demonstrating how those criteria are</w:t>
      </w:r>
      <w:r>
        <w:t xml:space="preserve"> </w:t>
      </w:r>
      <w:r>
        <w:t xml:space="preserve">fulfilled.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2026-07-31T16:48:40Z</dcterms:created>
  <dcterms:modified xsi:type="dcterms:W3CDTF">2026-07-31T16:48:40Z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