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16.4.2026</w:t>
      </w:r>
      <w:r>
        <w:br/>
      </w:r>
      <w:r>
        <w:t xml:space="preserve">SWD(2026) 114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 (EU) …/… on the application of Article 101(3) of the Treaty on</w:t>
      </w:r>
      <w:r>
        <w:t xml:space="preserve"> </w:t>
      </w:r>
      <w:r>
        <w:t xml:space="preserve">the Functioning of the European Union to categories of technology transfer agreements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Communication from the Commission</w:t>
      </w:r>
      <w:r>
        <w:br/>
      </w:r>
      <w:r>
        <w:t xml:space="preserve">Guidelines on the application of Article 101 of the Treaty on the Functioning of the</w:t>
      </w:r>
      <w:r>
        <w:t xml:space="preserve"> </w:t>
      </w:r>
      <w:r>
        <w:t xml:space="preserve">European Union to technology transfer agreements</w:t>
      </w:r>
    </w:p>
    <w:p>
      <w:pPr>
        <w:pStyle w:val="BodyText"/>
      </w:pPr>
      <w:r>
        <w:t xml:space="preserve">{C(2026) 2477 final} - {SEC(2026) 112 final} - {SWD(2026) 116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12</w:t>
      </w:r>
      <w:r>
        <w:t xml:space="preserve"> </w:t>
      </w:r>
      <w:r>
        <w:t xml:space="preserve">2.1. What are the problems? ……………………………………………………………………….. 12</w:t>
      </w:r>
      <w:r>
        <w:t xml:space="preserve"> </w:t>
      </w:r>
      <w:r>
        <w:t xml:space="preserve">2.2. Other areas of the rules that are not the subject of policy options ………………. 17</w:t>
      </w:r>
      <w:r>
        <w:t xml:space="preserve"> </w:t>
      </w:r>
      <w:r>
        <w:t xml:space="preserve">2.3. What are the consequences of the problems and who is affected? ……………… 17</w:t>
      </w:r>
      <w:r>
        <w:t xml:space="preserve"> </w:t>
      </w:r>
      <w:r>
        <w:t xml:space="preserve">2.4. What are the problem drivers? ………………………………………………………………. 23</w:t>
      </w:r>
      <w:r>
        <w:t xml:space="preserve"> </w:t>
      </w:r>
      <w:r>
        <w:t xml:space="preserve">2.5. How likely is it that the problems will persist? ………………………………………… 27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28</w:t>
      </w:r>
      <w:r>
        <w:t xml:space="preserve"> </w:t>
      </w:r>
      <w:r>
        <w:t xml:space="preserve">3.1. Legal basis …………………………………………………………………………………………. 28</w:t>
      </w:r>
      <w:r>
        <w:t xml:space="preserve"> </w:t>
      </w:r>
      <w:r>
        <w:t xml:space="preserve">3.2. Subsidiarity: added value of EU action ………………………………………………….. 28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28</w:t>
      </w:r>
      <w:r>
        <w:t xml:space="preserve"> </w:t>
      </w:r>
      <w:r>
        <w:t xml:space="preserve">4.1. General objectives ……………………………………………………………………………….. 28</w:t>
      </w:r>
      <w:r>
        <w:t xml:space="preserve"> </w:t>
      </w:r>
      <w:r>
        <w:t xml:space="preserve">4.2. Specific objectives ………………………………………………………………………………. 29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30</w:t>
      </w:r>
      <w:r>
        <w:t xml:space="preserve"> </w:t>
      </w:r>
      <w:r>
        <w:t xml:space="preserve">5.1. What is the baseline from which options are assessed? …………………………….. 30</w:t>
      </w:r>
      <w:r>
        <w:t xml:space="preserve"> </w:t>
      </w:r>
      <w:r>
        <w:t xml:space="preserve">5.2. Description of the policy options …………………………………………………………… 30</w:t>
      </w:r>
      <w:r>
        <w:t xml:space="preserve"> </w:t>
      </w:r>
      <w:r>
        <w:t xml:space="preserve">5.3. Options discarded at an early stage ………………………………………………………… 36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37</w:t>
      </w:r>
      <w:r>
        <w:t xml:space="preserve"> </w:t>
      </w:r>
      <w:r>
        <w:t xml:space="preserve">6.1. The TTBER’s market share thresholds for technology markets …………………. 39</w:t>
      </w:r>
      <w:r>
        <w:t xml:space="preserve"> </w:t>
      </w:r>
      <w:r>
        <w:t xml:space="preserve">6.1.1.</w:t>
      </w:r>
      <w:r>
        <w:t xml:space="preserve"> </w:t>
      </w:r>
      <w:r>
        <w:t xml:space="preserve">Impact on competition in the market ………………………………………………… 39</w:t>
      </w:r>
      <w:r>
        <w:t xml:space="preserve"> </w:t>
      </w:r>
      <w:r>
        <w:t xml:space="preserve">6.1.2.</w:t>
      </w:r>
      <w:r>
        <w:t xml:space="preserve"> </w:t>
      </w:r>
      <w:r>
        <w:t xml:space="preserve">Impact on businesses (including SMEs) ……………………………………………. 40</w:t>
      </w:r>
      <w:r>
        <w:t xml:space="preserve"> </w:t>
      </w:r>
      <w:r>
        <w:t xml:space="preserve">6.1.3.</w:t>
      </w:r>
      <w:r>
        <w:t xml:space="preserve"> </w:t>
      </w:r>
      <w:r>
        <w:t xml:space="preserve">Impact on European innovation and competitiveness …………………………. 42</w:t>
      </w:r>
      <w:r>
        <w:t xml:space="preserve"> </w:t>
      </w:r>
      <w:r>
        <w:t xml:space="preserve">6.2. Data licensing ……………………………………………………………………………………… 44</w:t>
      </w:r>
      <w:r>
        <w:t xml:space="preserve"> </w:t>
      </w:r>
      <w:r>
        <w:t xml:space="preserve">6.2.1.</w:t>
      </w:r>
      <w:r>
        <w:t xml:space="preserve"> </w:t>
      </w:r>
      <w:r>
        <w:t xml:space="preserve">Impact on competition in the market ………………………………………………… 44</w:t>
      </w:r>
      <w:r>
        <w:t xml:space="preserve"> </w:t>
      </w:r>
      <w:r>
        <w:t xml:space="preserve">6.2.2.</w:t>
      </w:r>
      <w:r>
        <w:t xml:space="preserve"> </w:t>
      </w:r>
      <w:r>
        <w:t xml:space="preserve">Impact on businesses (including SMEs) ……………………………………………. 46</w:t>
      </w:r>
      <w:r>
        <w:t xml:space="preserve"> </w:t>
      </w:r>
      <w:r>
        <w:t xml:space="preserve">6.2.3.</w:t>
      </w:r>
      <w:r>
        <w:t xml:space="preserve"> </w:t>
      </w:r>
      <w:r>
        <w:t xml:space="preserve">Impact on European innovation and competitiveness …………………………. 47</w:t>
      </w:r>
      <w:r>
        <w:t xml:space="preserve"> </w:t>
      </w:r>
      <w:r>
        <w:t xml:space="preserve">6.3. Licensing negotiation groups ………………………………………………………………… 48</w:t>
      </w:r>
      <w:r>
        <w:t xml:space="preserve"> </w:t>
      </w:r>
      <w:r>
        <w:t xml:space="preserve">6.3.1.</w:t>
      </w:r>
      <w:r>
        <w:t xml:space="preserve"> </w:t>
      </w:r>
      <w:r>
        <w:t xml:space="preserve">Impact on competition in the market ………………………………………………… 48</w:t>
      </w:r>
      <w:r>
        <w:t xml:space="preserve"> </w:t>
      </w:r>
      <w:r>
        <w:t xml:space="preserve">6.3.2.</w:t>
      </w:r>
      <w:r>
        <w:t xml:space="preserve"> </w:t>
      </w:r>
      <w:r>
        <w:t xml:space="preserve">Impact on businesses (including SMEs) ……………………………………………. 50</w:t>
      </w:r>
      <w:r>
        <w:t xml:space="preserve"> </w:t>
      </w:r>
      <w:r>
        <w:t xml:space="preserve">6.3.3.</w:t>
      </w:r>
      <w:r>
        <w:t xml:space="preserve"> </w:t>
      </w:r>
      <w:r>
        <w:t xml:space="preserve">Impact on European innovation and competitiveness …………………………. 50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 AND PREFERRED OPTIONS …………………………………….. 51</w:t>
      </w:r>
      <w:r>
        <w:t xml:space="preserve"> </w:t>
      </w:r>
      <w:r>
        <w:t xml:space="preserve">7.1. The TTBER’s market share thresholds for technology markets …………………. 52</w:t>
      </w:r>
      <w:r>
        <w:t xml:space="preserve"> </w:t>
      </w:r>
      <w:r>
        <w:t xml:space="preserve">7.1.1.</w:t>
      </w:r>
      <w:r>
        <w:t xml:space="preserve"> </w:t>
      </w:r>
      <w:r>
        <w:t xml:space="preserve">Effectiveness …………………………………………………………………………………. 52</w:t>
      </w:r>
      <w:r>
        <w:t xml:space="preserve"> </w:t>
      </w:r>
      <w:r>
        <w:t xml:space="preserve">7.1.2.</w:t>
      </w:r>
      <w:r>
        <w:t xml:space="preserve"> </w:t>
      </w:r>
      <w:r>
        <w:t xml:space="preserve">Efficiency ……………………………………………………………………………………… 52</w:t>
      </w:r>
      <w:r>
        <w:t xml:space="preserve"> </w:t>
      </w:r>
      <w:r>
        <w:t xml:space="preserve">7.1.3.</w:t>
      </w:r>
      <w:r>
        <w:t xml:space="preserve"> </w:t>
      </w:r>
      <w:r>
        <w:t xml:space="preserve">Coherence …………………………………………………………………………………….. 52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7.1.4.</w:t>
      </w:r>
      <w:r>
        <w:t xml:space="preserve"> </w:t>
      </w:r>
      <w:r>
        <w:t xml:space="preserve">Preferred option …………………………………………………………………………….. 53</w:t>
      </w:r>
      <w:r>
        <w:t xml:space="preserve"> </w:t>
      </w:r>
      <w:r>
        <w:t xml:space="preserve">7.2. Data licensing ……………………………………………………………………………………… 53</w:t>
      </w:r>
      <w:r>
        <w:t xml:space="preserve"> </w:t>
      </w:r>
      <w:r>
        <w:t xml:space="preserve">7.2.1.</w:t>
      </w:r>
      <w:r>
        <w:t xml:space="preserve"> </w:t>
      </w:r>
      <w:r>
        <w:t xml:space="preserve">Effectiveness …………………………………………………………………………………. 53</w:t>
      </w:r>
      <w:r>
        <w:t xml:space="preserve"> </w:t>
      </w:r>
      <w:r>
        <w:t xml:space="preserve">7.2.2.</w:t>
      </w:r>
      <w:r>
        <w:t xml:space="preserve"> </w:t>
      </w:r>
      <w:r>
        <w:t xml:space="preserve">Efficiency ……………………………………………………………………………………… 54</w:t>
      </w:r>
      <w:r>
        <w:t xml:space="preserve"> </w:t>
      </w:r>
      <w:r>
        <w:t xml:space="preserve">7.2.3.</w:t>
      </w:r>
      <w:r>
        <w:t xml:space="preserve"> </w:t>
      </w:r>
      <w:r>
        <w:t xml:space="preserve">Coherence …………………………………………………………………………………….. 54</w:t>
      </w:r>
      <w:r>
        <w:t xml:space="preserve"> </w:t>
      </w:r>
      <w:r>
        <w:t xml:space="preserve">7.2.4.</w:t>
      </w:r>
      <w:r>
        <w:t xml:space="preserve"> </w:t>
      </w:r>
      <w:r>
        <w:t xml:space="preserve">Preferred option …………………………………………………………………………….. 54</w:t>
      </w:r>
      <w:r>
        <w:t xml:space="preserve"> </w:t>
      </w:r>
      <w:r>
        <w:t xml:space="preserve">7.3. Licensing negotiation groups ………………………………………………………………… 55</w:t>
      </w:r>
      <w:r>
        <w:t xml:space="preserve"> </w:t>
      </w:r>
      <w:r>
        <w:t xml:space="preserve">7.3.1.</w:t>
      </w:r>
      <w:r>
        <w:t xml:space="preserve"> </w:t>
      </w:r>
      <w:r>
        <w:t xml:space="preserve">Effectiveness …………………………………………………………………………………. 55</w:t>
      </w:r>
      <w:r>
        <w:t xml:space="preserve"> </w:t>
      </w:r>
      <w:r>
        <w:t xml:space="preserve">7.3.2.</w:t>
      </w:r>
      <w:r>
        <w:t xml:space="preserve"> </w:t>
      </w:r>
      <w:r>
        <w:t xml:space="preserve">Efficiency ……………………………………………………………………………………… 55</w:t>
      </w:r>
      <w:r>
        <w:t xml:space="preserve"> </w:t>
      </w:r>
      <w:r>
        <w:t xml:space="preserve">7.3.3.</w:t>
      </w:r>
      <w:r>
        <w:t xml:space="preserve"> </w:t>
      </w:r>
      <w:r>
        <w:t xml:space="preserve">Coherence …………………………………………………………………………………….. 55</w:t>
      </w:r>
      <w:r>
        <w:t xml:space="preserve"> </w:t>
      </w:r>
      <w:r>
        <w:t xml:space="preserve">7.3.4.</w:t>
      </w:r>
      <w:r>
        <w:t xml:space="preserve"> </w:t>
      </w:r>
      <w:r>
        <w:t xml:space="preserve">Preferred option …………………………………………………………………………….. 56</w:t>
      </w:r>
      <w:r>
        <w:t xml:space="preserve"> </w:t>
      </w:r>
      <w:r>
        <w:t xml:space="preserve">7.4. REFIT (simplification and improved efficiency) …………………………………….. 56</w:t>
      </w:r>
      <w:r>
        <w:t xml:space="preserve"> </w:t>
      </w:r>
      <w:r>
        <w:t xml:space="preserve">7.5. Application of the ‘one in, one out’ approach …………………………………………. 56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……………………………. 57</w:t>
      </w:r>
      <w:r>
        <w:t xml:space="preserve"> </w:t>
      </w:r>
      <w:r>
        <w:t xml:space="preserve">8.1. Data collection ……………………………………………………………………………………. 57</w:t>
      </w:r>
      <w:r>
        <w:t xml:space="preserve"> </w:t>
      </w:r>
      <w:r>
        <w:t xml:space="preserve">8.2. Indicators and monitoring framework ……………………………………………………. 58</w:t>
      </w:r>
      <w:r>
        <w:t xml:space="preserve"> </w:t>
      </w:r>
      <w:r>
        <w:t xml:space="preserve">8.3. Limitations and proportionality …………………………………………………………….. 60</w:t>
      </w:r>
      <w:r>
        <w:t xml:space="preserve"> </w:t>
      </w:r>
      <w:r>
        <w:t xml:space="preserve">ANNEX 1: PROCEDURAL INFORMATION ………………………………………………………………………………… 61</w:t>
      </w:r>
      <w:r>
        <w:t xml:space="preserve"> </w:t>
      </w:r>
      <w:r>
        <w:t xml:space="preserve">1.</w:t>
      </w:r>
      <w:r>
        <w:t xml:space="preserve"> </w:t>
      </w:r>
      <w:r>
        <w:t xml:space="preserve">LEAD DG AND DECIDE PLANNING REFERENCES ………………………………………………………….. 61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61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 62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65</w:t>
      </w:r>
      <w:r>
        <w:t xml:space="preserve"> </w:t>
      </w:r>
      <w:r>
        <w:t xml:space="preserve">ANNEX 2: STAKEHOLDER CONSULTATION (SYNOPSIS REPORT) …………………………………………. 67</w:t>
      </w:r>
      <w:r>
        <w:t xml:space="preserve"> </w:t>
      </w:r>
      <w:r>
        <w:t xml:space="preserve">1. INTRODUCTION ……………………………………………………………………………………………………………………. 67</w:t>
      </w:r>
      <w:r>
        <w:t xml:space="preserve"> </w:t>
      </w:r>
      <w:r>
        <w:t xml:space="preserve">2. RESULTS OF THE CONSULTATIONS ……………………………………………………………………………………. 67</w:t>
      </w:r>
      <w:r>
        <w:t xml:space="preserve"> </w:t>
      </w:r>
      <w:r>
        <w:t xml:space="preserve">ANNEX 3: WHO IS AFFECTED AND HOW? ………………………………………………………………………………. 87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 87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……………………………………………………………………………. 89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………………………………………………………. 91</w:t>
      </w:r>
      <w:r>
        <w:t xml:space="preserve"> </w:t>
      </w:r>
      <w:r>
        <w:t xml:space="preserve">ANNEX 4: ANALYTICAL METHODS ………………………………………………………………………………………… 92</w:t>
      </w:r>
      <w:r>
        <w:t xml:space="preserve"> </w:t>
      </w:r>
      <w:r>
        <w:t xml:space="preserve">ANNEX 5: COMPETITIVENESS CHECK ……………………………………………………………………………………. 94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………………………………………………………….. 94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………………………………………………………………………………………………. 94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ASSESSMENT OF THE MOST AFFECTED SECTORS ……………………………….. 95</w:t>
      </w:r>
      <w:r>
        <w:t xml:space="preserve"> </w:t>
      </w:r>
      <w:r>
        <w:t xml:space="preserve">ANNEX 6: SME CHECK …………………………………………………………………………………………………………….. 96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Commission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Council</w:t>
      </w:r>
      <w:r>
        <w:t xml:space="preserve"> </w:t>
      </w:r>
      <w:r>
        <w:t xml:space="preserve">Council of the European Union</w:t>
      </w:r>
      <w:r>
        <w:t xml:space="preserve"> </w:t>
      </w:r>
      <w:r>
        <w:t xml:space="preserve">Data Act</w:t>
      </w:r>
      <w:r>
        <w:t xml:space="preserve"> </w:t>
      </w:r>
      <w:r>
        <w:t xml:space="preserve">Regulation (EU) 2023/2854 of the European Parliament and of</w:t>
      </w:r>
      <w:r>
        <w:t xml:space="preserve"> </w:t>
      </w:r>
      <w:r>
        <w:t xml:space="preserve">the Council of 13 December 2023 on harmonised rules on fair</w:t>
      </w:r>
      <w:r>
        <w:t xml:space="preserve"> </w:t>
      </w:r>
      <w:r>
        <w:t xml:space="preserve">access to and use of data, OJ L, 2023/2854, 22.12.2023</w:t>
      </w:r>
      <w:r>
        <w:t xml:space="preserve"> </w:t>
      </w:r>
      <w:r>
        <w:t xml:space="preserve">Database Directive</w:t>
      </w:r>
      <w:r>
        <w:t xml:space="preserve"> </w:t>
      </w:r>
      <w:r>
        <w:t xml:space="preserve">Directive 96/9/EC of the European Parliament and of the</w:t>
      </w:r>
      <w:r>
        <w:t xml:space="preserve"> </w:t>
      </w:r>
      <w:r>
        <w:t xml:space="preserve">Council of 11 March 1996 on the legal protection of databases,</w:t>
      </w:r>
      <w:r>
        <w:t xml:space="preserve"> </w:t>
      </w:r>
      <w:r>
        <w:t xml:space="preserve">OJ L 77, 27.3.1996, pp. 20–28</w:t>
      </w:r>
      <w:r>
        <w:t xml:space="preserve"> </w:t>
      </w:r>
      <w:r>
        <w:t xml:space="preserve">DG Competition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Competition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Enabling Regulation</w:t>
      </w:r>
      <w:r>
        <w:t xml:space="preserve"> </w:t>
      </w:r>
      <w:r>
        <w:t xml:space="preserve">Regulation No 19/65/EEC of 2 March 1965 on application of</w:t>
      </w:r>
      <w:r>
        <w:t xml:space="preserve"> </w:t>
      </w:r>
      <w:r>
        <w:t xml:space="preserve">Article 85 (3) TFEU to certain categories of agreements and</w:t>
      </w:r>
      <w:r>
        <w:t xml:space="preserve"> </w:t>
      </w:r>
      <w:r>
        <w:t xml:space="preserve">concerted practices, OJ P 36, 6.3.1965, p. 533-535</w:t>
      </w:r>
      <w:r>
        <w:t xml:space="preserve"> </w:t>
      </w:r>
      <w:r>
        <w:t xml:space="preserve">Evaluation Report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document,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Commission Regulation (EU) N° 316/2014 of 21 March 2014</w:t>
      </w:r>
      <w:r>
        <w:t xml:space="preserve"> </w:t>
      </w:r>
      <w:r>
        <w:t xml:space="preserve">on the application of Article 101(3) of the Treaty on the</w:t>
      </w:r>
      <w:r>
        <w:t xml:space="preserve"> </w:t>
      </w:r>
      <w:r>
        <w:t xml:space="preserve">Functioning of the European Union to categories of technology</w:t>
      </w:r>
      <w:r>
        <w:t xml:space="preserve"> </w:t>
      </w:r>
      <w:r>
        <w:t xml:space="preserve">transfer agreements, 22 November 20241</w:t>
      </w:r>
      <w:r>
        <w:t xml:space="preserve"> </w:t>
      </w:r>
      <w:r>
        <w:t xml:space="preserve">Evaluation Support Study</w:t>
      </w:r>
      <w:r>
        <w:t xml:space="preserve"> </w:t>
      </w:r>
      <w:r>
        <w:t xml:space="preserve">Final report on the Support Study for the evaluation of the</w:t>
      </w:r>
      <w:r>
        <w:t xml:space="preserve"> </w:t>
      </w:r>
      <w:r>
        <w:t xml:space="preserve">Technology Transfer Block Exemption Regulation2</w:t>
      </w:r>
      <w:r>
        <w:br/>
      </w:r>
      <w:r>
        <w:t xml:space="preserve">Expert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Data</w:t>
      </w:r>
      <w:r>
        <w:t xml:space="preserve"> </w:t>
      </w:r>
      <w:r>
        <w:t xml:space="preserve">Licensing</w:t>
      </w:r>
      <w:r>
        <w:t xml:space="preserve"> </w:t>
      </w:r>
      <w:r>
        <w:t xml:space="preserve">Expert report on data licensing and data-related provisions in</w:t>
      </w:r>
      <w:r>
        <w:t xml:space="preserve"> </w:t>
      </w:r>
      <w:r>
        <w:t xml:space="preserve">technology transfer agreements by Professor Peter Georg Picht3</w:t>
      </w:r>
      <w:r>
        <w:t xml:space="preserve"> </w:t>
      </w:r>
      <w:r>
        <w:t xml:space="preserve">Guidelines</w:t>
      </w:r>
      <w:r>
        <w:t xml:space="preserve"> </w:t>
      </w:r>
      <w:r>
        <w:t xml:space="preserve">Communication from the Commission — Guidelines on the</w:t>
      </w:r>
      <w:r>
        <w:t xml:space="preserve"> </w:t>
      </w:r>
      <w:r>
        <w:t xml:space="preserve">application of Article 101 of the Treaty on the Functioning of</w:t>
      </w:r>
      <w:r>
        <w:t xml:space="preserve"> </w:t>
      </w:r>
      <w:r>
        <w:t xml:space="preserve">the European Union to technology transfer agreements, OJ C</w:t>
      </w:r>
      <w:r>
        <w:t xml:space="preserve"> </w:t>
      </w:r>
      <w:r>
        <w:t xml:space="preserve">89, 28.3.2014, pp. 3–50</w:t>
      </w:r>
      <w:r>
        <w:t xml:space="preserve"> </w:t>
      </w:r>
      <w:r>
        <w:t xml:space="preserve">Horizontal Guidelines</w:t>
      </w:r>
      <w:r>
        <w:t xml:space="preserve"> </w:t>
      </w:r>
      <w:r>
        <w:t xml:space="preserve">Communication from the Commission – Guidelines on the</w:t>
      </w:r>
      <w:r>
        <w:t xml:space="preserve"> </w:t>
      </w:r>
      <w:r>
        <w:t xml:space="preserve">applicability of Article 101 of the Treaty on the Functioning of</w:t>
      </w:r>
    </w:p>
    <w:p>
      <w:pPr>
        <w:pStyle w:val="BodyText"/>
      </w:pPr>
      <w:r>
        <w:t xml:space="preserve">1 https://op.europa.eu/en/publication-detail/-/publication/8e7134ee-62aa-11ee-9220-01aa75ed71a1/language-</w:t>
      </w:r>
      <w:r>
        <w:t xml:space="preserve"> </w:t>
      </w:r>
      <w:r>
        <w:t xml:space="preserve">en</w:t>
      </w:r>
      <w:r>
        <w:t xml:space="preserve"> </w:t>
      </w:r>
      <w:r>
        <w:t xml:space="preserve">2 https://competition-policy.ec.europa.eu/document/download/2adab2d0-2cda-4d48-8aa5-</w:t>
      </w:r>
      <w:r>
        <w:t xml:space="preserve"> </w:t>
      </w:r>
      <w:r>
        <w:t xml:space="preserve">8381ac058eb9_en?filename=KD0124006enn_study_evaluation_of_the_technology_transfer_block_exempti</w:t>
      </w:r>
      <w:r>
        <w:t xml:space="preserve"> </w:t>
      </w:r>
      <w:r>
        <w:t xml:space="preserve">on_regulation.pdf</w:t>
      </w:r>
      <w:r>
        <w:t xml:space="preserve"> </w:t>
      </w:r>
      <w:r>
        <w:t xml:space="preserve">3 https://competition-policy.ec.europa.eu/document/download/9eff6170-627c-4d31-81f8-</w:t>
      </w:r>
      <w:r>
        <w:t xml:space="preserve"> </w:t>
      </w:r>
      <w:r>
        <w:t xml:space="preserve">9d2317f41ea0_en?filename=kd0125011enn_TTBER_study.pdf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the European Union to horizontal co-operation agreements, OJ</w:t>
      </w:r>
      <w:r>
        <w:t xml:space="preserve"> </w:t>
      </w:r>
      <w:r>
        <w:t xml:space="preserve">C 259, 21.7.2023, pp. 1–125</w:t>
      </w:r>
      <w:r>
        <w:t xml:space="preserve"> </w:t>
      </w:r>
      <w:r>
        <w:t xml:space="preserve">Informal Guidance Notice</w:t>
      </w:r>
      <w:r>
        <w:t xml:space="preserve"> </w:t>
      </w:r>
      <w:r>
        <w:t xml:space="preserve">Commission Notice on informal guidance relating to novel or</w:t>
      </w:r>
      <w:r>
        <w:t xml:space="preserve"> </w:t>
      </w:r>
      <w:r>
        <w:t xml:space="preserve">unresolved questions concerning Articles 101 and 102 of the</w:t>
      </w:r>
      <w:r>
        <w:t xml:space="preserve"> </w:t>
      </w:r>
      <w:r>
        <w:t xml:space="preserve">Treaty on the Functioning of the European Union that arise in</w:t>
      </w:r>
      <w:r>
        <w:t xml:space="preserve"> </w:t>
      </w:r>
      <w:r>
        <w:t xml:space="preserve">individual cases (guidance letters), OJ C 381, 4.10.22, pp. 9-13</w:t>
      </w:r>
      <w:r>
        <w:t xml:space="preserve"> </w:t>
      </w:r>
      <w:r>
        <w:t xml:space="preserve">IP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LNG</w:t>
      </w:r>
      <w:r>
        <w:t xml:space="preserve"> </w:t>
      </w:r>
      <w:r>
        <w:t xml:space="preserve">Licensing negotiation group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Competition Authority of an EU Member State</w:t>
      </w:r>
      <w:r>
        <w:t xml:space="preserve"> </w:t>
      </w:r>
      <w:r>
        <w:t xml:space="preserve">R&amp;D</w:t>
      </w:r>
      <w:r>
        <w:br/>
      </w:r>
      <w:r>
        <w:t xml:space="preserve">Research and development</w:t>
      </w:r>
      <w:r>
        <w:t xml:space="preserve"> </w:t>
      </w:r>
      <w:r>
        <w:t xml:space="preserve">SEPs</w:t>
      </w:r>
      <w:r>
        <w:t xml:space="preserve"> </w:t>
      </w:r>
      <w:r>
        <w:t xml:space="preserve">Standard-essential patents</w:t>
      </w:r>
      <w:r>
        <w:t xml:space="preserve"> </w:t>
      </w:r>
      <w:r>
        <w:t xml:space="preserve">SMEs</w:t>
      </w:r>
      <w:r>
        <w:t xml:space="preserve"> </w:t>
      </w:r>
      <w:r>
        <w:t xml:space="preserve">Small or medium-sized enterprises, namely those that employ</w:t>
      </w:r>
      <w:r>
        <w:t xml:space="preserve"> </w:t>
      </w:r>
      <w:r>
        <w:t xml:space="preserve">fewer than 250 people and have an annual turnover not</w:t>
      </w:r>
      <w:r>
        <w:t xml:space="preserve"> </w:t>
      </w:r>
      <w:r>
        <w:t xml:space="preserve">exceeding EUR 50 million and/or an annual balance sheet total</w:t>
      </w:r>
      <w:r>
        <w:t xml:space="preserve"> </w:t>
      </w:r>
      <w:r>
        <w:t xml:space="preserve">not exceeding EUR 43 million4</w:t>
      </w:r>
      <w:r>
        <w:br/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TTBER</w:t>
      </w:r>
      <w:r>
        <w:t xml:space="preserve"> </w:t>
      </w:r>
      <w:r>
        <w:t xml:space="preserve">Commission Regulation (EU) No 316/2014 of 21 March 2014</w:t>
      </w:r>
      <w:r>
        <w:t xml:space="preserve"> </w:t>
      </w:r>
      <w:r>
        <w:t xml:space="preserve">on the application of Article 101(3) of the Treaty on the</w:t>
      </w:r>
      <w:r>
        <w:t xml:space="preserve"> </w:t>
      </w:r>
      <w:r>
        <w:t xml:space="preserve">Functioning of the European Union to categories of technology</w:t>
      </w:r>
      <w:r>
        <w:t xml:space="preserve"> </w:t>
      </w:r>
      <w:r>
        <w:t xml:space="preserve">transfer agreements, OJ L 93, 28.3.2014, pp. 17–23</w:t>
      </w:r>
      <w:r>
        <w:t xml:space="preserve"> </w:t>
      </w:r>
      <w:r>
        <w:t xml:space="preserve">Union Courts</w:t>
      </w:r>
      <w:r>
        <w:t xml:space="preserve"> </w:t>
      </w:r>
      <w:r>
        <w:t xml:space="preserve">The Court of Justice of the European Union, composed of the</w:t>
      </w:r>
      <w:r>
        <w:t xml:space="preserve"> </w:t>
      </w:r>
      <w:r>
        <w:t xml:space="preserve">Court of Justice and the General Court</w:t>
      </w:r>
      <w:r>
        <w:t xml:space="preserve"> </w:t>
      </w:r>
      <w:r>
        <w:t xml:space="preserve">Vertical</w:t>
      </w:r>
      <w:r>
        <w:t xml:space="preserve"> </w:t>
      </w:r>
      <w:r>
        <w:t xml:space="preserve">Block</w:t>
      </w:r>
      <w:r>
        <w:t xml:space="preserve"> </w:t>
      </w:r>
      <w:r>
        <w:t xml:space="preserve">Exemption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Commission Regulation (EU) 2022/720 of 10 May 2022 on the</w:t>
      </w:r>
      <w:r>
        <w:t xml:space="preserve"> </w:t>
      </w:r>
      <w:r>
        <w:t xml:space="preserve">application of Article 101(3) of the Treaty on the Functioning</w:t>
      </w:r>
      <w:r>
        <w:t xml:space="preserve"> </w:t>
      </w:r>
      <w:r>
        <w:t xml:space="preserve">of the European Union to categories of vertical agreements and</w:t>
      </w:r>
      <w:r>
        <w:t xml:space="preserve"> </w:t>
      </w:r>
      <w:r>
        <w:t xml:space="preserve">concerted practices, OJ L 134, 11.5.2022, pp. 4–13</w:t>
      </w:r>
    </w:p>
    <w:p>
      <w:pPr>
        <w:pStyle w:val="BodyText"/>
      </w:pPr>
      <w:r>
        <w:t xml:space="preserve">4 See Commission Recommendation of 6 May 2003 concerning the definition of micro, small and medium-</w:t>
      </w:r>
      <w:r>
        <w:t xml:space="preserve"> </w:t>
      </w:r>
      <w:r>
        <w:t xml:space="preserve">sized enterprises, OJ L 124, 20.5.2003, pp. 36-41.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This initiative concerns the revision of the Technology Transfer Block Exemption</w:t>
      </w:r>
      <w:r>
        <w:t xml:space="preserve"> </w:t>
      </w:r>
      <w:r>
        <w:t xml:space="preserve">Regulation5 (“TTBER”) and the accompanying Technology Transfer Guidelines</w:t>
      </w:r>
      <w:r>
        <w:t xml:space="preserve"> </w:t>
      </w:r>
      <w:r>
        <w:t xml:space="preserve">(“Guidelines”)6. The TTBER and Guidelines provide a simplified set of rules for applying</w:t>
      </w:r>
      <w:r>
        <w:t xml:space="preserve"> </w:t>
      </w:r>
      <w:r>
        <w:t xml:space="preserve">competition law – in particular Article 101 of the Treaty on the Functioning of the European</w:t>
      </w:r>
      <w:r>
        <w:t xml:space="preserve"> </w:t>
      </w:r>
      <w:r>
        <w:t xml:space="preserve">Union (“TFEU”) – to technology transfer agreements. These agreements typically take the</w:t>
      </w:r>
      <w:r>
        <w:t xml:space="preserve"> </w:t>
      </w:r>
      <w:r>
        <w:t xml:space="preserve">form of licences, under which one party (the licensor) permits another (the licensee) to use</w:t>
      </w:r>
      <w:r>
        <w:t xml:space="preserve"> </w:t>
      </w:r>
      <w:r>
        <w:t xml:space="preserve">technology rights (for example, a patent) to produce goods or services.</w:t>
      </w:r>
      <w:r>
        <w:br/>
      </w:r>
      <w:r>
        <w:t xml:space="preserve">For a better understanding of this report, this Introduction begins by presenting the economic</w:t>
      </w:r>
      <w:r>
        <w:t xml:space="preserve"> </w:t>
      </w:r>
      <w:r>
        <w:t xml:space="preserve">environment in which the initiative takes place, with a focus on the significance of</w:t>
      </w:r>
      <w:r>
        <w:t xml:space="preserve"> </w:t>
      </w:r>
      <w:r>
        <w:t xml:space="preserve">intellectual property licensing in the economy of the EU (Section 1.1). It then explains the</w:t>
      </w:r>
      <w:r>
        <w:t xml:space="preserve"> </w:t>
      </w:r>
      <w:r>
        <w:t xml:space="preserve">role of competition policy, including Article 101 TFEU (Section 1.2). This is followed by a</w:t>
      </w:r>
      <w:r>
        <w:t xml:space="preserve"> </w:t>
      </w:r>
      <w:r>
        <w:t xml:space="preserve">description of the TTBER and the Guidelines, explaining how they facilitate the assessment</w:t>
      </w:r>
      <w:r>
        <w:t xml:space="preserve"> </w:t>
      </w:r>
      <w:r>
        <w:t xml:space="preserve">of technology transfer agreements under Article 101 (Section 1.3). Lastly, the Introduction</w:t>
      </w:r>
      <w:r>
        <w:t xml:space="preserve"> </w:t>
      </w:r>
      <w:r>
        <w:t xml:space="preserve">presents other relevant EU policy initiatives (Section 1.4) and discusses how technology</w:t>
      </w:r>
      <w:r>
        <w:t xml:space="preserve"> </w:t>
      </w:r>
      <w:r>
        <w:t xml:space="preserve">transfer agreements are assessed under the competition laws of other major jurisdictions</w:t>
      </w:r>
      <w:r>
        <w:t xml:space="preserve"> </w:t>
      </w:r>
      <w:r>
        <w:t xml:space="preserve">(Section 1.5).</w:t>
      </w:r>
      <w:r>
        <w:br/>
      </w:r>
      <w:r>
        <w:t xml:space="preserve">1.1.</w:t>
      </w:r>
      <w:r>
        <w:t xml:space="preserve"> </w:t>
      </w:r>
      <w:r>
        <w:t xml:space="preserve">The economic environment: intellectual property licensing in the EU economy</w:t>
      </w:r>
      <w:r>
        <w:t xml:space="preserve"> </w:t>
      </w:r>
      <w:r>
        <w:t xml:space="preserve">In recent decades, worldwide competition in innovation has intensified, as shown by the</w:t>
      </w:r>
      <w:r>
        <w:t xml:space="preserve"> </w:t>
      </w:r>
      <w:r>
        <w:t xml:space="preserve">increase in patenting activity and investments in intangible assets7. According to the World</w:t>
      </w:r>
      <w:r>
        <w:t xml:space="preserve"> </w:t>
      </w:r>
      <w:r>
        <w:t xml:space="preserve">Intellectual Property Organisation, 3.7 million patent applications were filed in 2024.</w:t>
      </w:r>
      <w:r>
        <w:t xml:space="preserve"> </w:t>
      </w:r>
      <w:r>
        <w:t xml:space="preserve">Together with China, the USA, Japan and Korea, Europe continues to account for a</w:t>
      </w:r>
      <w:r>
        <w:t xml:space="preserve"> </w:t>
      </w:r>
      <w:r>
        <w:t xml:space="preserve">significant share of patent applications. In 2024, the European Patent Office (“EPO”) was</w:t>
      </w:r>
      <w:r>
        <w:t xml:space="preserve"> </w:t>
      </w:r>
      <w:r>
        <w:t xml:space="preserve">among the top five patent offices worldwide in terms of applications received, with nearly</w:t>
      </w:r>
      <w:r>
        <w:t xml:space="preserve"> </w:t>
      </w:r>
      <w:r>
        <w:t xml:space="preserve">200,000 filings8.</w:t>
      </w:r>
      <w:r>
        <w:br/>
      </w:r>
      <w:r>
        <w:t xml:space="preserve">In that context, technology licensing enables firms to monetise their intellectual property</w:t>
      </w:r>
      <w:r>
        <w:t xml:space="preserve"> </w:t>
      </w:r>
      <w:r>
        <w:t xml:space="preserve">rights (“IPRs”) and to access technologies that they cannot develop in-house9. Licensing can</w:t>
      </w:r>
      <w:r>
        <w:t xml:space="preserve"> </w:t>
      </w:r>
      <w:r>
        <w:t xml:space="preserve">take place bilaterally (licensor-licensee) or via a technology pool or licensing platform,</w:t>
      </w:r>
      <w:r>
        <w:t xml:space="preserve"> </w:t>
      </w:r>
      <w:r>
        <w:t xml:space="preserve">whereby technology rights held by multiple owners (for example, patents that are essential to</w:t>
      </w:r>
    </w:p>
    <w:p>
      <w:pPr>
        <w:pStyle w:val="BodyText"/>
      </w:pPr>
      <w:r>
        <w:t xml:space="preserve">5 Commission Regulation (EU) No 316/2014 of 21 March 2014 on the application of Article 101(3) of the</w:t>
      </w:r>
      <w:r>
        <w:t xml:space="preserve"> </w:t>
      </w:r>
      <w:r>
        <w:t xml:space="preserve">Treaty on the Functioning of the European Union to categories of technology transfer agreements, OJ L 93,</w:t>
      </w:r>
      <w:r>
        <w:t xml:space="preserve"> </w:t>
      </w:r>
      <w:r>
        <w:t xml:space="preserve">28.3.2014, p. 17.</w:t>
      </w:r>
      <w:r>
        <w:t xml:space="preserve"> </w:t>
      </w:r>
      <w:r>
        <w:t xml:space="preserve">6 Communication from the Commission - Guidelines on the application of Article 101 of the Treaty on the</w:t>
      </w:r>
      <w:r>
        <w:t xml:space="preserve"> </w:t>
      </w:r>
      <w:r>
        <w:t xml:space="preserve">Functioning of the European Union to technology transfer agreements, OJ C 89, 28.03.2014, p. 3.</w:t>
      </w:r>
      <w:r>
        <w:t xml:space="preserve"> </w:t>
      </w:r>
      <w:r>
        <w:t xml:space="preserve">7 See OECD, Licensing of IP Rights and Competition Law. Background Note by the Secretariat, 2019, pp. 10-</w:t>
      </w:r>
      <w:r>
        <w:t xml:space="preserve"> </w:t>
      </w:r>
      <w:r>
        <w:t xml:space="preserve">12, available at https://www.oecd.org/content/dam/oecd/en/publications/reports/2019/04/licensing-of-ip-</w:t>
      </w:r>
      <w:r>
        <w:t xml:space="preserve"> </w:t>
      </w:r>
      <w:r>
        <w:t xml:space="preserve">rights-and-competition-law_20595b8f/6a74221e-en.pdf.</w:t>
      </w:r>
      <w:r>
        <w:t xml:space="preserve"> </w:t>
      </w:r>
      <w:r>
        <w:t xml:space="preserve">8</w:t>
      </w:r>
      <w:r>
        <w:t xml:space="preserve"> </w:t>
      </w:r>
      <w:r>
        <w:t xml:space="preserve">World Intellectual Property Organisation World Intellectual Property Indicators 2025, Geneva: WIPO, p. 10</w:t>
      </w:r>
      <w:r>
        <w:t xml:space="preserve"> </w:t>
      </w:r>
      <w:r>
        <w:t xml:space="preserve">(Figure</w:t>
      </w:r>
      <w:r>
        <w:t xml:space="preserve"> </w:t>
      </w:r>
      <w:r>
        <w:t xml:space="preserve">1.2),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https://www.wipo.int/edocs/pubdocs/en/wipo-pub-941-17-2025-en-world-</w:t>
      </w:r>
      <w:r>
        <w:t xml:space="preserve"> </w:t>
      </w:r>
      <w:r>
        <w:t xml:space="preserve">intellectual-property-indicators-2025.pdf.</w:t>
      </w:r>
      <w:r>
        <w:br/>
      </w:r>
      <w:r>
        <w:t xml:space="preserve">9 See, for example, European Research Council, Use of patents: empirical evidence from a survey of grantees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Research</w:t>
      </w:r>
      <w:r>
        <w:t xml:space="preserve"> </w:t>
      </w:r>
      <w:r>
        <w:t xml:space="preserve">Council</w:t>
      </w:r>
      <w:r>
        <w:t xml:space="preserve"> </w:t>
      </w:r>
      <w:r>
        <w:t xml:space="preserve">(ERC),</w:t>
      </w:r>
      <w:r>
        <w:t xml:space="preserve"> </w:t>
      </w:r>
      <w:r>
        <w:t xml:space="preserve">2024,</w:t>
      </w:r>
      <w:r>
        <w:t xml:space="preserve"> </w:t>
      </w:r>
      <w:r>
        <w:t xml:space="preserve">pp. </w:t>
      </w:r>
      <w:r>
        <w:t xml:space="preserve"> </w:t>
      </w:r>
      <w:r>
        <w:t xml:space="preserve">16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https://erc.europa.eu/sites/default/files/2025-02/patents-empirical-evidence-survey-grantees.pdf.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comply with a standard) are assembled into a package and licensed out under a single</w:t>
      </w:r>
      <w:r>
        <w:t xml:space="preserve"> </w:t>
      </w:r>
      <w:r>
        <w:t xml:space="preserve">agreement.</w:t>
      </w:r>
      <w:r>
        <w:br/>
      </w:r>
      <w:r>
        <w:t xml:space="preserve">Although the scale of technology licensing is difficult to quantify10, earlier economic research</w:t>
      </w:r>
      <w:r>
        <w:t xml:space="preserve"> </w:t>
      </w:r>
      <w:r>
        <w:t xml:space="preserve">provides an indication of the number and size of patent licensing agreements. One empirical</w:t>
      </w:r>
      <w:r>
        <w:t xml:space="preserve"> </w:t>
      </w:r>
      <w:r>
        <w:t xml:space="preserve">survey estimates that approximately 10% of patents registered with the EPO are licensed11,</w:t>
      </w:r>
      <w:r>
        <w:t xml:space="preserve"> </w:t>
      </w:r>
      <w:r>
        <w:t xml:space="preserve">while another places the figure at around 6%12. Previous studies also indicate that</w:t>
      </w:r>
      <w:r>
        <w:t xml:space="preserve"> </w:t>
      </w:r>
      <w:r>
        <w:t xml:space="preserve">approximately 20% of European patent-owning firms license out their patents13. While</w:t>
      </w:r>
      <w:r>
        <w:t xml:space="preserve"> </w:t>
      </w:r>
      <w:r>
        <w:t xml:space="preserve">technology licensing occurs in many industries, the biopharmaceutical sector is notable for</w:t>
      </w:r>
      <w:r>
        <w:t xml:space="preserve"> </w:t>
      </w:r>
      <w:r>
        <w:t xml:space="preserve">the volume and economic value of licensing transactions14. The values of licensing</w:t>
      </w:r>
      <w:r>
        <w:t xml:space="preserve"> </w:t>
      </w:r>
      <w:r>
        <w:t xml:space="preserve">agreements involving European firms vary substantially, with some patent-owning firms</w:t>
      </w:r>
      <w:r>
        <w:t xml:space="preserve"> </w:t>
      </w:r>
      <w:r>
        <w:t xml:space="preserve">reporting less than EUR 100,000 in annual licensing revenues and others more than</w:t>
      </w:r>
      <w:r>
        <w:t xml:space="preserve"> </w:t>
      </w:r>
      <w:r>
        <w:t xml:space="preserve">EUR 100 million15. Overall, the evidence suggests that licensing plays a non-negligible role</w:t>
      </w:r>
    </w:p>
    <w:p>
      <w:pPr>
        <w:pStyle w:val="BodyText"/>
      </w:pPr>
      <w:r>
        <w:t xml:space="preserve">10 See the Evaluation Report, p. 16 and the Evaluation Support Study, p. 165. The lack of statistics on the</w:t>
      </w:r>
      <w:r>
        <w:t xml:space="preserve"> </w:t>
      </w:r>
      <w:r>
        <w:t xml:space="preserve">number of technology licensing agreements and the businesses that use them is a long-standing issue. The</w:t>
      </w:r>
      <w:r>
        <w:t xml:space="preserve"> </w:t>
      </w:r>
      <w:r>
        <w:t xml:space="preserve">impact assessment report on the 2014 revision of the TTBER (pp. 6-9) also highlighted the lack of</w:t>
      </w:r>
      <w:r>
        <w:t xml:space="preserve"> </w:t>
      </w:r>
      <w:r>
        <w:t xml:space="preserve">comprehensive data on such agreements, and noted that, following the modernisation of the EU’s antitrust</w:t>
      </w:r>
      <w:r>
        <w:t xml:space="preserve"> </w:t>
      </w:r>
      <w:r>
        <w:t xml:space="preserve">rules in 2004, businesses can no longer notify restrictive agreements to the Commission for negative</w:t>
      </w:r>
      <w:r>
        <w:t xml:space="preserve"> </w:t>
      </w:r>
      <w:r>
        <w:t xml:space="preserve">clearance or individual exemption decisions. The Evaluation Support Study (p. 110) also noted data</w:t>
      </w:r>
      <w:r>
        <w:t xml:space="preserve"> </w:t>
      </w:r>
      <w:r>
        <w:t xml:space="preserve">limitations for related agreements, such as technology pools and licensing negotiation groups.</w:t>
      </w:r>
      <w:r>
        <w:t xml:space="preserve"> </w:t>
      </w:r>
      <w:r>
        <w:t xml:space="preserve">11 See Gambardella, A., Giuri, P. and Luzzi, A., ‘The market for patents in Europe’, Research Policy, 36, 8,</w:t>
      </w:r>
      <w:r>
        <w:t xml:space="preserve"> </w:t>
      </w:r>
      <w:r>
        <w:t xml:space="preserve">2007, pp. 1174-1175 (analysing a sample of around 7000 patents).</w:t>
      </w:r>
      <w:r>
        <w:t xml:space="preserve"> </w:t>
      </w:r>
      <w:r>
        <w:t xml:space="preserve">12 See Torrisi, S., Gambardella, A., Giuri, P., Harhoff, D., Hoisl, K. and Mariani, M., ‘Used, blocking and</w:t>
      </w:r>
      <w:r>
        <w:t xml:space="preserve"> </w:t>
      </w:r>
      <w:r>
        <w:t xml:space="preserve">sleeping patents: Empirical evidence from a large-scale inventor survey’, Research Policy, 45, 7, 2016, p. </w:t>
      </w:r>
      <w:r>
        <w:t xml:space="preserve"> </w:t>
      </w:r>
      <w:r>
        <w:t xml:space="preserve">1379 (analysing a sample of around 8000 patents).</w:t>
      </w:r>
      <w:r>
        <w:br/>
      </w:r>
      <w:r>
        <w:t xml:space="preserve">13 See Pluvia Zuniga, M. and Guellec, D., Who Licenses out Patents and Why? Lessons from a Business</w:t>
      </w:r>
      <w:r>
        <w:t xml:space="preserve"> </w:t>
      </w:r>
      <w:r>
        <w:t xml:space="preserve">Survey,</w:t>
      </w:r>
      <w:r>
        <w:t xml:space="preserve"> </w:t>
      </w:r>
      <w:r>
        <w:t xml:space="preserve">STI</w:t>
      </w:r>
      <w:r>
        <w:t xml:space="preserve"> </w:t>
      </w:r>
      <w:r>
        <w:t xml:space="preserve">WORKING</w:t>
      </w:r>
      <w:r>
        <w:t xml:space="preserve"> </w:t>
      </w:r>
      <w:r>
        <w:t xml:space="preserve">PAPER</w:t>
      </w:r>
      <w:r>
        <w:t xml:space="preserve"> </w:t>
      </w:r>
      <w:r>
        <w:t xml:space="preserve">2009/5,</w:t>
      </w:r>
      <w:r>
        <w:t xml:space="preserve"> </w:t>
      </w:r>
      <w:r>
        <w:t xml:space="preserve">2009,</w:t>
      </w:r>
      <w:r>
        <w:t xml:space="preserve"> </w:t>
      </w:r>
      <w:r>
        <w:t xml:space="preserve">p. </w:t>
      </w:r>
      <w:r>
        <w:t xml:space="preserve"> </w:t>
      </w:r>
      <w:r>
        <w:t xml:space="preserve">12,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https://www.oecd.org/en/publications/who-licenses-out-patents-and-why_224447241101.html. More recent</w:t>
      </w:r>
      <w:r>
        <w:t xml:space="preserve"> </w:t>
      </w:r>
      <w:r>
        <w:t xml:space="preserve">research surveys show for instance that only 2% of Spanish firms licensed in technology in the period</w:t>
      </w:r>
      <w:r>
        <w:t xml:space="preserve"> </w:t>
      </w:r>
      <w:r>
        <w:t xml:space="preserve">between 2005 and 2013: see Mendi, P., Moner-Colonques, R. and Sempere-Monerris, J., ‘Cooperation for</w:t>
      </w:r>
      <w:r>
        <w:t xml:space="preserve"> </w:t>
      </w:r>
      <w:r>
        <w:t xml:space="preserve">innovation and technology licensing: Empirical evidence from Spain’, Technological Forecasting and Social</w:t>
      </w:r>
      <w:r>
        <w:t xml:space="preserve"> </w:t>
      </w:r>
      <w:r>
        <w:t xml:space="preserve">Change, 154, May 2020, pp. 119976 et seq.</w:t>
      </w:r>
      <w:r>
        <w:t xml:space="preserve"> </w:t>
      </w:r>
      <w:r>
        <w:t xml:space="preserve">14 See the Evaluation Support Study, pp. 166 and 173; Anand, B.N. and Khanna, T., ‘The Structure of</w:t>
      </w:r>
      <w:r>
        <w:t xml:space="preserve"> </w:t>
      </w:r>
      <w:r>
        <w:t xml:space="preserve">Licensing Contracts’, The Journal of Industrial Economics, 48(1), 2000, p. 112; Kankanhalli, G., and Kwan,</w:t>
      </w:r>
      <w:r>
        <w:t xml:space="preserve"> </w:t>
      </w:r>
      <w:r>
        <w:t xml:space="preserve">A., ‘Bargaining power in the market for intellectual property: Evidence from licensing contract terms’,</w:t>
      </w:r>
      <w:r>
        <w:t xml:space="preserve"> </w:t>
      </w:r>
      <w:r>
        <w:t xml:space="preserve">Journal of Empirical Legal Studies, 21(1), March 2024, pp. 124 and 127. Notwithstanding their</w:t>
      </w:r>
      <w:r>
        <w:t xml:space="preserve"> </w:t>
      </w:r>
      <w:r>
        <w:t xml:space="preserve">methodological limitations, recent industry surveys provide general indications regarding the volume of</w:t>
      </w:r>
      <w:r>
        <w:t xml:space="preserve"> </w:t>
      </w:r>
      <w:r>
        <w:t xml:space="preserve">deals in the sector. See, for instance, EY, Pharma Licensing of the Future, 2023, p. 5, available at</w:t>
      </w:r>
      <w:r>
        <w:t xml:space="preserve"> </w:t>
      </w:r>
      <w:r>
        <w:t xml:space="preserve">https://www.ey.com/content/dam/ey-unified-site/ey-com/en-gl/insights/life-sciences/documents/ey-gl-</w:t>
      </w:r>
      <w:r>
        <w:t xml:space="preserve"> </w:t>
      </w:r>
      <w:r>
        <w:t xml:space="preserve">pharma-licensing-of-the-future-digital-12-2024.pdf (showing an average of approximately 680 licensing</w:t>
      </w:r>
      <w:r>
        <w:t xml:space="preserve"> </w:t>
      </w:r>
      <w:r>
        <w:t xml:space="preserve">deals per year over the period 2017-2022); and Brown, A., Cairns, E. and Elmhirst, E., Pharma, Biotech and</w:t>
      </w:r>
      <w:r>
        <w:t xml:space="preserve"> </w:t>
      </w:r>
      <w:r>
        <w:t xml:space="preserve">Medtech</w:t>
      </w:r>
      <w:r>
        <w:t xml:space="preserve"> </w:t>
      </w:r>
      <w:r>
        <w:t xml:space="preserve">2019</w:t>
      </w:r>
      <w:r>
        <w:t xml:space="preserve"> </w:t>
      </w:r>
      <w:r>
        <w:t xml:space="preserve">in</w:t>
      </w:r>
      <w:r>
        <w:t xml:space="preserve"> </w:t>
      </w:r>
      <w:r>
        <w:t xml:space="preserve">Review,</w:t>
      </w:r>
      <w:r>
        <w:t xml:space="preserve"> </w:t>
      </w:r>
      <w:r>
        <w:t xml:space="preserve">Evaluate</w:t>
      </w:r>
      <w:r>
        <w:t xml:space="preserve"> </w:t>
      </w:r>
      <w:r>
        <w:t xml:space="preserve">Ltd.,</w:t>
      </w:r>
      <w:r>
        <w:t xml:space="preserve"> </w:t>
      </w:r>
      <w:r>
        <w:t xml:space="preserve">2020,</w:t>
      </w:r>
      <w:r>
        <w:t xml:space="preserve"> </w:t>
      </w:r>
      <w:r>
        <w:t xml:space="preserve">p. </w:t>
      </w:r>
      <w:r>
        <w:t xml:space="preserve"> </w:t>
      </w:r>
      <w:r>
        <w:t xml:space="preserve">16,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https://www.medicpresents.com/medicfiles/419f_4877evaluatevantagepharmamedtech2019reviewv2.pdf</w:t>
      </w:r>
      <w:r>
        <w:t xml:space="preserve"> </w:t>
      </w:r>
      <w:r>
        <w:t xml:space="preserve">(showing an average of approximately 150 licensing deals per year over the period 2015-2019). Indications</w:t>
      </w:r>
      <w:r>
        <w:t xml:space="preserve"> </w:t>
      </w:r>
      <w:r>
        <w:t xml:space="preserve">regarding the value of licensing deals in the pharmaceutical sector are provided, inter alia, in Q4 2025</w:t>
      </w:r>
      <w:r>
        <w:t xml:space="preserve"> </w:t>
      </w:r>
      <w:r>
        <w:t xml:space="preserve">Biopharma Licensing and Venture Report, JP Morgan Chase &amp; Co., 2026, p. 7, available at</w:t>
      </w:r>
      <w:r>
        <w:t xml:space="preserve"> </w:t>
      </w:r>
      <w:r>
        <w:t xml:space="preserve">https://www.jpmorgan.com/content/dam/jpmorgan/documents/cb/insights/outlook/jpm-biopharma-deck-q4-</w:t>
      </w:r>
      <w:r>
        <w:t xml:space="preserve"> </w:t>
      </w:r>
      <w:r>
        <w:t xml:space="preserve">2025.pdf.</w:t>
      </w:r>
      <w:r>
        <w:br/>
      </w:r>
      <w:r>
        <w:t xml:space="preserve">15 See, for example, the PATLICE Survey - Survey on patent licensing activities by patenting firms,</w:t>
      </w:r>
      <w:r>
        <w:t xml:space="preserve"> </w:t>
      </w:r>
      <w:r>
        <w:t xml:space="preserve">Publications Office of the European Union, 2013, pp. 24-25. These results are consistent with anecdotal</w:t>
      </w:r>
      <w:r>
        <w:t xml:space="preserve"> </w:t>
      </w:r>
      <w:r>
        <w:t xml:space="preserve">evidence on licensing deals (see, for example, Roche agrees biggest-ever obesity drug deal, Financial Times,</w:t>
      </w:r>
      <w:r>
        <w:t xml:space="preserve"> </w:t>
      </w:r>
      <w:r>
        <w:t xml:space="preserve">12 March 2025, available at www.ft.com and Theranexus and Exeltis (Insud Pharma) announce licensing</w:t>
      </w:r>
      <w:r>
        <w:t xml:space="preserve"> </w:t>
      </w:r>
      <w:r>
        <w:t xml:space="preserve">agreement to commercialise Theranexus TX01 for two rare neurological disorders, 17 December 2024,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in the dissemination of technology and in enabling firms to access the knowledge that they</w:t>
      </w:r>
      <w:r>
        <w:t xml:space="preserve"> </w:t>
      </w:r>
      <w:r>
        <w:t xml:space="preserve">need to innovate and compete in globalised markets.</w:t>
      </w:r>
      <w:r>
        <w:t xml:space="preserve"> </w:t>
      </w:r>
      <w:r>
        <w:t xml:space="preserve">Other technological and market trends are also expected to lead to an increase in the level of</w:t>
      </w:r>
      <w:r>
        <w:t xml:space="preserve"> </w:t>
      </w:r>
      <w:r>
        <w:t xml:space="preserve">licensing. These include the digitalisation of the economy16, the growth of the internet of</w:t>
      </w:r>
      <w:r>
        <w:t xml:space="preserve"> </w:t>
      </w:r>
      <w:r>
        <w:t xml:space="preserve">things (“IoT”)17, which relies on technology standards to enable products to communicate</w:t>
      </w:r>
      <w:r>
        <w:t xml:space="preserve"> </w:t>
      </w:r>
      <w:r>
        <w:t xml:space="preserve">with each other18, the growing importance of data as an input19, and the expanding role of</w:t>
      </w:r>
      <w:r>
        <w:t xml:space="preserve"> </w:t>
      </w:r>
      <w:r>
        <w:t xml:space="preserve">artificial intelligence (“AI”)20.</w:t>
      </w:r>
      <w:r>
        <w:br/>
      </w:r>
      <w:r>
        <w:t xml:space="preserve">Access to data – including via data licensing – is of strategic importance in a wide range of</w:t>
      </w:r>
      <w:r>
        <w:t xml:space="preserve"> </w:t>
      </w:r>
      <w:r>
        <w:t xml:space="preserve">economic sectors, and in particular for the training of AI models. According to an OECD</w:t>
      </w:r>
      <w:r>
        <w:t xml:space="preserve"> </w:t>
      </w:r>
      <w:r>
        <w:t xml:space="preserve">study, data access and re-use could generate social and economic benefits worth between 1%</w:t>
      </w:r>
      <w:r>
        <w:t xml:space="preserve"> </w:t>
      </w:r>
      <w:r>
        <w:t xml:space="preserve">and 2.5% of GDP21. Another study found that increasing the level of data re-use by</w:t>
      </w:r>
      <w:r>
        <w:t xml:space="preserve"> </w:t>
      </w:r>
      <w:r>
        <w:t xml:space="preserve">businesses could add as much as EUR 1.4 trillion a year to the EU’s GDP by 202722.</w:t>
      </w:r>
      <w:r>
        <w:br/>
      </w:r>
      <w:r>
        <w:t xml:space="preserve">1.2.</w:t>
      </w:r>
      <w:r>
        <w:t xml:space="preserve"> </w:t>
      </w:r>
      <w:r>
        <w:t xml:space="preserve">The role of competition law and Article 101 TFEU</w:t>
      </w:r>
      <w:r>
        <w:br/>
      </w:r>
      <w:r>
        <w:t xml:space="preserve">EU competition law aims to prevent competition from being distorted to the detriment of the</w:t>
      </w:r>
      <w:r>
        <w:t xml:space="preserve"> </w:t>
      </w:r>
      <w:r>
        <w:t xml:space="preserve">public interest, undertakings and consumers23. Effective competition forces firms to reduce</w:t>
      </w:r>
      <w:r>
        <w:t xml:space="preserve"> </w:t>
      </w:r>
      <w:r>
        <w:t xml:space="preserve">their prices, improve the quality and variety of their products, lower their costs, become more</w:t>
      </w:r>
    </w:p>
    <w:p>
      <w:pPr>
        <w:pStyle w:val="BodyText"/>
      </w:pP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https://live.euronext.com/en/products/equities/company-news/2024-12-17-theranexus-and-</w:t>
      </w:r>
      <w:r>
        <w:t xml:space="preserve"> </w:t>
      </w:r>
      <w:r>
        <w:t xml:space="preserve">exeltis-insud-pharma-announce-licensing). However, aggregate data on the monetary value of the EU</w:t>
      </w:r>
      <w:r>
        <w:t xml:space="preserve"> </w:t>
      </w:r>
      <w:r>
        <w:t xml:space="preserve">licensing market tend not to distinguish between inter-group and intra-group licensing. As economic studies</w:t>
      </w:r>
      <w:r>
        <w:t xml:space="preserve"> </w:t>
      </w:r>
      <w:r>
        <w:t xml:space="preserve">explain, intra-group licensing represents a very significant portion of licensing deals: see Lallement, R.,</w:t>
      </w:r>
      <w:r>
        <w:t xml:space="preserve"> </w:t>
      </w:r>
      <w:r>
        <w:t xml:space="preserve">‘Marchés de la technologie et droits de propriété intellectuelle’, in Guellec, D., Madiès, T. and Prager, J., Les</w:t>
      </w:r>
      <w:r>
        <w:t xml:space="preserve"> </w:t>
      </w:r>
      <w:r>
        <w:t xml:space="preserve">marchés de brevets dans l’économie de la connaissance, Conseil d’analyse économique, 2010, p. 147</w:t>
      </w:r>
      <w:r>
        <w:t xml:space="preserve"> </w:t>
      </w:r>
      <w:r>
        <w:t xml:space="preserve">(estimating that around 90% of licensing deals in the 1990s in France and Germany were intra-group). Intra-</w:t>
      </w:r>
      <w:r>
        <w:t xml:space="preserve"> </w:t>
      </w:r>
      <w:r>
        <w:t xml:space="preserve">group licensing, however, generally does not fall within the scope of Article 101 TFEU or the TTBER.</w:t>
      </w:r>
      <w:r>
        <w:br/>
      </w:r>
      <w:r>
        <w:t xml:space="preserve">16 See, for example, OECD, Licensing of IP Rights and Competition Law, 2019, p. 13, available at</w:t>
      </w:r>
      <w:r>
        <w:t xml:space="preserve"> </w:t>
      </w:r>
      <w:r>
        <w:t xml:space="preserve">https://www.oecd.org/content/dam/oecd/en/publications/reports/2019/04/licensing-of-ip-rights-and-</w:t>
      </w:r>
      <w:r>
        <w:t xml:space="preserve"> </w:t>
      </w:r>
      <w:r>
        <w:t xml:space="preserve">competition-law_20595b8f/6a74221e-en.pdf</w:t>
      </w:r>
      <w:r>
        <w:t xml:space="preserve"> </w:t>
      </w:r>
      <w:r>
        <w:t xml:space="preserve">17 Transforma Insights forecasts that the number of IoT connected devices will grow from 13 billion in 2022 to</w:t>
      </w:r>
      <w:r>
        <w:t xml:space="preserve"> </w:t>
      </w:r>
      <w:r>
        <w:t xml:space="preserve">30 billion in 2030 (retrieved from Statista: https://www.statista.com/statistics/1194677/iot-connected-</w:t>
      </w:r>
      <w:r>
        <w:t xml:space="preserve"> </w:t>
      </w:r>
      <w:r>
        <w:t xml:space="preserve">devices-regionally/) and that the number of IoT devices connected via cellular technology will grow from</w:t>
      </w:r>
      <w:r>
        <w:t xml:space="preserve"> </w:t>
      </w:r>
      <w:r>
        <w:t xml:space="preserve">1.7 billion in 2022 to 5.4 billion in 2030 (https://transformainsights.com/research/forecast/highlights).</w:t>
      </w:r>
      <w:r>
        <w:br/>
      </w:r>
      <w:r>
        <w:t xml:space="preserve">18 See the Evaluation Support Study, Section 3.2.</w:t>
      </w:r>
      <w:r>
        <w:t xml:space="preserve"> </w:t>
      </w:r>
      <w:r>
        <w:t xml:space="preserve">19 See, for example, the Evaluation Report, p. 21.</w:t>
      </w:r>
      <w:r>
        <w:t xml:space="preserve"> </w:t>
      </w:r>
      <w:r>
        <w:t xml:space="preserve">20 See, for example, European Commission, Foresight Report 2025 – Resilience 2.0: Empowering the EU to</w:t>
      </w:r>
      <w:r>
        <w:t xml:space="preserve"> </w:t>
      </w:r>
      <w:r>
        <w:t xml:space="preserve">Thrive amid Turbulence and Uncertainty, Publications Office of the European Union, 2025, p. 13, available</w:t>
      </w:r>
      <w:r>
        <w:t xml:space="preserve"> </w:t>
      </w:r>
      <w:r>
        <w:t xml:space="preserve">at: https://commission.europa.eu/strategy-and-policy/strategic-foresight/2025-strategic-foresight-report_en.</w:t>
      </w:r>
      <w:r>
        <w:br/>
      </w:r>
      <w:r>
        <w:t xml:space="preserve">21 See OECD, Enhancing Access to and Sharing of Data: Reconciling Risks and Benefits for Data Reuse</w:t>
      </w:r>
      <w:r>
        <w:t xml:space="preserve"> </w:t>
      </w:r>
      <w:r>
        <w:t xml:space="preserve">across Societies, OECD Publishing, Paris, 2019, p. 11, available at https://doi.org/10.1787/276aaca8-en.</w:t>
      </w:r>
      <w:r>
        <w:t xml:space="preserve"> </w:t>
      </w:r>
      <w:r>
        <w:t xml:space="preserve">22 See European Commission, Impact Assessment Report, Proposal for a Regulation of the European</w:t>
      </w:r>
      <w:r>
        <w:t xml:space="preserve"> </w:t>
      </w:r>
      <w:r>
        <w:t xml:space="preserve">Parliament and of the Council on European data governance (Data Governance Act), COM(2020) 767</w:t>
      </w:r>
      <w:r>
        <w:t xml:space="preserve"> </w:t>
      </w:r>
      <w:r>
        <w:t xml:space="preserve">final, 2020, p. 9, available at https://digital-strategy.ec.europa.eu/en/library/impact-assessment-report-and-</w:t>
      </w:r>
      <w:r>
        <w:t xml:space="preserve"> </w:t>
      </w:r>
      <w:r>
        <w:t xml:space="preserve">support-study-accompanying-proposal-regulation-data-governance.</w:t>
      </w:r>
      <w:r>
        <w:t xml:space="preserve"> </w:t>
      </w:r>
      <w:r>
        <w:t xml:space="preserve">23 See also the Report on the future of European competitiveness produced by Mario Draghi, Part B, In-depth</w:t>
      </w:r>
      <w:r>
        <w:t xml:space="preserve"> </w:t>
      </w:r>
      <w:r>
        <w:t xml:space="preserve">analysis and recommendations, 2024, p. 298, which states that “stronger competition generally not only</w:t>
      </w:r>
      <w:r>
        <w:t xml:space="preserve"> </w:t>
      </w:r>
      <w:r>
        <w:t xml:space="preserve">delivers lower prices, but also tends to stimulate greater productivity, investment, and innovation”. The</w:t>
      </w:r>
      <w:r>
        <w:t xml:space="preserve"> </w:t>
      </w:r>
      <w:r>
        <w:t xml:space="preserve">report is available at: https://commission.europa.eu/topics/competitiveness/draghi-report_en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productive, and create more innovative products. Where the competitive process works well,</w:t>
      </w:r>
      <w:r>
        <w:t xml:space="preserve"> </w:t>
      </w:r>
      <w:r>
        <w:t xml:space="preserve">it drives investment, innovation, productivity growth, business dynamism and employment24.</w:t>
      </w:r>
      <w:r>
        <w:br/>
      </w:r>
      <w:r>
        <w:t xml:space="preserve">EU competition law contributes to these benefits by tackling practices that weaken</w:t>
      </w:r>
      <w:r>
        <w:t xml:space="preserve"> </w:t>
      </w:r>
      <w:r>
        <w:t xml:space="preserve">competition, such as cartels and other anti-competitive agreements. DG Competition’s report</w:t>
      </w:r>
      <w:r>
        <w:t xml:space="preserve"> </w:t>
      </w:r>
      <w:r>
        <w:t xml:space="preserve">Protecting competition in a changing world found that rising mark-ups since 2000 may have</w:t>
      </w:r>
      <w:r>
        <w:t xml:space="preserve"> </w:t>
      </w:r>
      <w:r>
        <w:t xml:space="preserve">reduced EU GDP by 5–7%, and that this reduction would have been greater (by almost 25%)</w:t>
      </w:r>
      <w:r>
        <w:t xml:space="preserve"> </w:t>
      </w:r>
      <w:r>
        <w:t xml:space="preserve">in the absence of the Commission’s enforcement action against anti-competitive practices25.</w:t>
      </w:r>
      <w:r>
        <w:t xml:space="preserve"> </w:t>
      </w:r>
      <w:r>
        <w:t xml:space="preserve">Furthermore, according to DG Competition’s 2024 Annual Report, between 2012 and 2023</w:t>
      </w:r>
      <w:r>
        <w:t xml:space="preserve"> </w:t>
      </w:r>
      <w:r>
        <w:t xml:space="preserve">the Commission’s antitrust enforcement action (including cartels) generated direct customer</w:t>
      </w:r>
      <w:r>
        <w:t xml:space="preserve"> </w:t>
      </w:r>
      <w:r>
        <w:t xml:space="preserve">savings of between EUR 5 billion and EUR 9 billion per year on average, without taking into</w:t>
      </w:r>
      <w:r>
        <w:t xml:space="preserve"> </w:t>
      </w:r>
      <w:r>
        <w:t xml:space="preserve">account the enforcement activity of the EU national competition authorities26. These savings</w:t>
      </w:r>
      <w:r>
        <w:t xml:space="preserve"> </w:t>
      </w:r>
      <w:r>
        <w:t xml:space="preserve">reflect the price increases avoided as a result of enforcement actions27.</w:t>
      </w:r>
      <w:r>
        <w:br/>
      </w:r>
      <w:r>
        <w:t xml:space="preserve">A significant portion of these economic benefits can be attributed to the enforcement of</w:t>
      </w:r>
      <w:r>
        <w:t xml:space="preserve"> </w:t>
      </w:r>
      <w:r>
        <w:t xml:space="preserve">Article 101 TFEU. Article 101(1) prohibits agreements between undertakings that prevent,</w:t>
      </w:r>
      <w:r>
        <w:t xml:space="preserve"> </w:t>
      </w:r>
      <w:r>
        <w:t xml:space="preserve">restrict or distort competition and affect trade between Member States. Article 101(3)</w:t>
      </w:r>
      <w:r>
        <w:t xml:space="preserve"> </w:t>
      </w:r>
      <w:r>
        <w:t xml:space="preserve">provides that the prohibition may be declared inapplicable in respect of agreements that are</w:t>
      </w:r>
      <w:r>
        <w:t xml:space="preserve"> </w:t>
      </w:r>
      <w:r>
        <w:t xml:space="preserve">on balance efficiency-enhancing and fulfil a number of conditions, including that the</w:t>
      </w:r>
      <w:r>
        <w:t xml:space="preserve"> </w:t>
      </w:r>
      <w:r>
        <w:t xml:space="preserve">agreement does not allow the parties to eliminate competition in respect of a substantial part</w:t>
      </w:r>
      <w:r>
        <w:t xml:space="preserve"> </w:t>
      </w:r>
      <w:r>
        <w:t xml:space="preserve">of the products concerned 28.</w:t>
      </w:r>
      <w:r>
        <w:br/>
      </w:r>
      <w:r>
        <w:t xml:space="preserve">To complement its enforcement action, the Commission issues block exemption regulations</w:t>
      </w:r>
      <w:r>
        <w:t xml:space="preserve"> </w:t>
      </w:r>
      <w:r>
        <w:t xml:space="preserve">and guidelines. Block exemption regulations disapply the Article 101(1) prohibition in</w:t>
      </w:r>
      <w:r>
        <w:t xml:space="preserve"> </w:t>
      </w:r>
      <w:r>
        <w:t xml:space="preserve">respect of categories of agreements that can be assumed to fulfil the conditions of</w:t>
      </w:r>
      <w:r>
        <w:t xml:space="preserve"> </w:t>
      </w:r>
      <w:r>
        <w:t xml:space="preserve">Article 101(3) TFEU, thereby providing a legal safe harbour. Block exemption regulations</w:t>
      </w:r>
      <w:r>
        <w:t xml:space="preserve"> </w:t>
      </w:r>
      <w:r>
        <w:t xml:space="preserve">and accompanying guidelines promote compliance with Article 101 TFEU by providing a</w:t>
      </w:r>
    </w:p>
    <w:p>
      <w:pPr>
        <w:pStyle w:val="BodyText"/>
      </w:pPr>
      <w:r>
        <w:t xml:space="preserve">24 See DG Competition, Protecting competition in a changing world - Evidence on the evolution of competition</w:t>
      </w:r>
      <w:r>
        <w:t xml:space="preserve"> </w:t>
      </w:r>
      <w:r>
        <w:t xml:space="preserve">in the EU during the past 25 years, 2024, pp. 15 and 143, available at: https://competition-</w:t>
      </w:r>
      <w:r>
        <w:t xml:space="preserve"> </w:t>
      </w:r>
      <w:r>
        <w:t xml:space="preserve">policy.ec.europa.eu/system/files/2024-</w:t>
      </w:r>
      <w:r>
        <w:t xml:space="preserve"> </w:t>
      </w:r>
      <w:r>
        <w:t xml:space="preserve">06/KD0924494enn_Protecting_competition_in_a_changing_world_staff_report_2024.pdf</w:t>
      </w:r>
      <w:r>
        <w:t xml:space="preserve"> </w:t>
      </w:r>
      <w:r>
        <w:t xml:space="preserve">(showing</w:t>
      </w:r>
      <w:r>
        <w:t xml:space="preserve"> </w:t>
      </w:r>
      <w:r>
        <w:t xml:space="preserve">for</w:t>
      </w:r>
      <w:r>
        <w:t xml:space="preserve"> </w:t>
      </w:r>
      <w:r>
        <w:t xml:space="preserve">instance that productivity growth is greater in industries that face stronger competition).</w:t>
      </w:r>
      <w:r>
        <w:t xml:space="preserve"> </w:t>
      </w:r>
      <w:r>
        <w:t xml:space="preserve">25 See Protecting competition in a changing world - Evidence on the evolution of competition in the EU during</w:t>
      </w:r>
      <w:r>
        <w:t xml:space="preserve"> </w:t>
      </w:r>
      <w:r>
        <w:t xml:space="preserve">the past 25 years, p. 13, mentioned at footnote 24.</w:t>
      </w:r>
      <w:r>
        <w:br/>
      </w:r>
      <w:r>
        <w:t xml:space="preserve">26 Report by the Commission to the European Parliament, the Council, the European Economic and Social</w:t>
      </w:r>
      <w:r>
        <w:t xml:space="preserve"> </w:t>
      </w:r>
      <w:r>
        <w:t xml:space="preserve">Committee and the Committee of the Regions, Report on Competition Policy 2024, COM(2025) 181 final,</w:t>
      </w:r>
      <w:r>
        <w:t xml:space="preserve"> </w:t>
      </w:r>
      <w:r>
        <w:t xml:space="preserve">2025, p. 29, available at https://op.europa.eu/en/publication-detail/-/publication/38f17697-21d3-11f0-92ec-</w:t>
      </w:r>
      <w:r>
        <w:t xml:space="preserve"> </w:t>
      </w:r>
      <w:r>
        <w:t xml:space="preserve">01aa75ed71a1/language-en. The EU national competition authorities share competence with the</w:t>
      </w:r>
      <w:r>
        <w:t xml:space="preserve"> </w:t>
      </w:r>
      <w:r>
        <w:t xml:space="preserve">Commission to apply Articles 101 and 102 TFEU.</w:t>
      </w:r>
      <w:r>
        <w:t xml:space="preserve"> </w:t>
      </w:r>
      <w:r>
        <w:t xml:space="preserve">27 The report estimates these price effects by comparing observed market outcomes with counterfactual</w:t>
      </w:r>
      <w:r>
        <w:t xml:space="preserve"> </w:t>
      </w:r>
      <w:r>
        <w:t xml:space="preserve">scenarios in which no intervention would have taken place. The estimation focuses on the concept of “direct</w:t>
      </w:r>
      <w:r>
        <w:t xml:space="preserve"> </w:t>
      </w:r>
      <w:r>
        <w:t xml:space="preserve">customer savings” a methodology inspired by guidance developed by OECD. Under this approach, direct</w:t>
      </w:r>
      <w:r>
        <w:t xml:space="preserve"> </w:t>
      </w:r>
      <w:r>
        <w:t xml:space="preserve">customer savings from a given intervention equal the product of estimates of (1) the price increase avoided</w:t>
      </w:r>
      <w:r>
        <w:t xml:space="preserve"> </w:t>
      </w:r>
      <w:r>
        <w:t xml:space="preserve">as a result of the intervention, (2) the size of the affected market(s) or turnover, and (3) the expected duration</w:t>
      </w:r>
      <w:r>
        <w:t xml:space="preserve"> </w:t>
      </w:r>
      <w:r>
        <w:t xml:space="preserve">of the price effect.</w:t>
      </w:r>
      <w:r>
        <w:t xml:space="preserve"> </w:t>
      </w:r>
      <w:r>
        <w:t xml:space="preserve">28 The other conditions are that the agreement must (i) contribute to improving the production or distribution of</w:t>
      </w:r>
      <w:r>
        <w:t xml:space="preserve"> </w:t>
      </w:r>
      <w:r>
        <w:t xml:space="preserve">goods or to promoting technical or economic progress; (ii) it must allow consumers a fair share of the</w:t>
      </w:r>
      <w:r>
        <w:t xml:space="preserve"> </w:t>
      </w:r>
      <w:r>
        <w:t xml:space="preserve">resulting benefits; and (iii) it must not impose restrictions that are not indispensable to the attainment of the</w:t>
      </w:r>
      <w:r>
        <w:t xml:space="preserve"> </w:t>
      </w:r>
      <w:r>
        <w:t xml:space="preserve">afore-mentioned objectives. See also the Communication from the Commission, Notice - Guidelines on the</w:t>
      </w:r>
      <w:r>
        <w:t xml:space="preserve"> </w:t>
      </w:r>
      <w:r>
        <w:t xml:space="preserve">application of Article 81(3) of the Treaty, OJ C 101, 27.4.2004, p. 97, paragraph 9.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simplified set of rules for businesses to assess the legality of their agreements. They also</w:t>
      </w:r>
      <w:r>
        <w:t xml:space="preserve"> </w:t>
      </w:r>
      <w:r>
        <w:t xml:space="preserve">simplify the administration of the antitrust rules by the Commission and national competition</w:t>
      </w:r>
      <w:r>
        <w:t xml:space="preserve"> </w:t>
      </w:r>
      <w:r>
        <w:t xml:space="preserve">authorities, by identifying categories of agreements and restrictions which generally do not</w:t>
      </w:r>
      <w:r>
        <w:t xml:space="preserve"> </w:t>
      </w:r>
      <w:r>
        <w:t xml:space="preserve">harm competition.</w:t>
      </w:r>
      <w:r>
        <w:t xml:space="preserve"> </w:t>
      </w:r>
      <w:r>
        <w:t xml:space="preserve">1.3.</w:t>
      </w:r>
      <w:r>
        <w:t xml:space="preserve"> </w:t>
      </w:r>
      <w:r>
        <w:t xml:space="preserve">The TTBER and the Guidelines</w:t>
      </w:r>
      <w:r>
        <w:t xml:space="preserve"> </w:t>
      </w:r>
      <w:r>
        <w:t xml:space="preserve">Like other agreements between undertakings, technology transfer agreements can fall within</w:t>
      </w:r>
      <w:r>
        <w:t xml:space="preserve"> </w:t>
      </w:r>
      <w:r>
        <w:t xml:space="preserve">the Article 101(1) prohibition. Businesses wishing to enter into technology transfer</w:t>
      </w:r>
      <w:r>
        <w:t xml:space="preserve"> </w:t>
      </w:r>
      <w:r>
        <w:t xml:space="preserve">agreements must therefore assess their compliance with Article 10129.</w:t>
      </w:r>
      <w:r>
        <w:br/>
      </w:r>
      <w:r>
        <w:t xml:space="preserve">Technology transfer agreements often generate pro-competitive effects: they facilitate the</w:t>
      </w:r>
      <w:r>
        <w:t xml:space="preserve"> </w:t>
      </w:r>
      <w:r>
        <w:t xml:space="preserve">diffusion of technology, incentivise initial research and development (“R&amp;D”), promote</w:t>
      </w:r>
      <w:r>
        <w:t xml:space="preserve"> </w:t>
      </w:r>
      <w:r>
        <w:t xml:space="preserve">incremental innovation, and enhance competition in downstream product markets. However,</w:t>
      </w:r>
      <w:r>
        <w:t xml:space="preserve"> </w:t>
      </w:r>
      <w:r>
        <w:t xml:space="preserve">they can also raise competition concerns. For example, they can facilitate collusion between</w:t>
      </w:r>
      <w:r>
        <w:t xml:space="preserve"> </w:t>
      </w:r>
      <w:r>
        <w:t xml:space="preserve">competing firms, impede rivals’ ability to enter or expand in the market, or limit inter- or</w:t>
      </w:r>
      <w:r>
        <w:t xml:space="preserve"> </w:t>
      </w:r>
      <w:r>
        <w:t xml:space="preserve">intra-technology competition by reducing incentives to innovate.</w:t>
      </w:r>
      <w:r>
        <w:br/>
      </w:r>
      <w:r>
        <w:t xml:space="preserve">Council Regulation (EEC) 19/6530 (“the Enabling Regulation”) empowers the Commission to</w:t>
      </w:r>
      <w:r>
        <w:t xml:space="preserve"> </w:t>
      </w:r>
      <w:r>
        <w:t xml:space="preserve">adopt block exemption regulations for certain categories of technology transfer agreements,</w:t>
      </w:r>
      <w:r>
        <w:t xml:space="preserve"> </w:t>
      </w:r>
      <w:r>
        <w:t xml:space="preserve">in particular “agreements to which only two undertakings are party and which include</w:t>
      </w:r>
      <w:r>
        <w:t xml:space="preserve"> </w:t>
      </w:r>
      <w:r>
        <w:t xml:space="preserve">restrictions imposed in relation to the acquisition or use of industrial property rights, in</w:t>
      </w:r>
      <w:r>
        <w:t xml:space="preserve"> </w:t>
      </w:r>
      <w:r>
        <w:t xml:space="preserve">particular of patents, utility models, designs or trade marks, or to the rights arising out of</w:t>
      </w:r>
      <w:r>
        <w:t xml:space="preserve"> </w:t>
      </w:r>
      <w:r>
        <w:t xml:space="preserve">contracts for assignment of, or the right to use, a method of manufacture or knowledge</w:t>
      </w:r>
      <w:r>
        <w:t xml:space="preserve"> </w:t>
      </w:r>
      <w:r>
        <w:t xml:space="preserve">relating to the use or to the application of industrial processes”.</w:t>
      </w:r>
      <w:r>
        <w:br/>
      </w:r>
      <w:r>
        <w:t xml:space="preserve">Based on the Enabling Regulation, the Commission adopted the TTBER. The TTBER applies</w:t>
      </w:r>
      <w:r>
        <w:t xml:space="preserve"> </w:t>
      </w:r>
      <w:r>
        <w:t xml:space="preserve">to agreements between no more than two undertakings under which one party licenses or</w:t>
      </w:r>
      <w:r>
        <w:t xml:space="preserve"> </w:t>
      </w:r>
      <w:r>
        <w:t xml:space="preserve">assigns31 to the other party certain intellectual property rights32 (including know-how)33 for</w:t>
      </w:r>
      <w:r>
        <w:t xml:space="preserve"> </w:t>
      </w:r>
      <w:r>
        <w:t xml:space="preserve">the purpose of producing goods or services. The block exemption provided by the TTBER is</w:t>
      </w:r>
      <w:r>
        <w:t xml:space="preserve"> </w:t>
      </w:r>
      <w:r>
        <w:t xml:space="preserve">subject to certain conditions: the market shares of the parties to the agreement must not</w:t>
      </w:r>
      <w:r>
        <w:t xml:space="preserve"> </w:t>
      </w:r>
      <w:r>
        <w:t xml:space="preserve">exceed certain thresholds34 and the agreement must not include certain severe restrictions of</w:t>
      </w:r>
      <w:r>
        <w:t xml:space="preserve"> </w:t>
      </w:r>
      <w:r>
        <w:t xml:space="preserve">competition (“hardcore restrictions”)35.</w:t>
      </w:r>
    </w:p>
    <w:p>
      <w:pPr>
        <w:pStyle w:val="BodyText"/>
      </w:pPr>
      <w:r>
        <w:t xml:space="preserve">29 Since the modernisation of the EU antitrust rules in 2003, businesses can no longer notify restrictive</w:t>
      </w:r>
      <w:r>
        <w:t xml:space="preserve"> </w:t>
      </w:r>
      <w:r>
        <w:t xml:space="preserve">agreements to the Commission to obtain a comfort letter or individual exemption decision. They must self-</w:t>
      </w:r>
      <w:r>
        <w:t xml:space="preserve"> </w:t>
      </w:r>
      <w:r>
        <w:t xml:space="preserve">assess the compliance of their agreements with Article 101 TFEU.</w:t>
      </w:r>
      <w:r>
        <w:br/>
      </w:r>
      <w:r>
        <w:t xml:space="preserve">30 Regulation No 19/65/EEC of 2 March of the Council on application of Article 85(3) of the Treaty to certain</w:t>
      </w:r>
      <w:r>
        <w:t xml:space="preserve"> </w:t>
      </w:r>
      <w:r>
        <w:t xml:space="preserve">categories of agreements and concerted practices, OJ 36, 6.3.1965, p. 35.</w:t>
      </w:r>
      <w:r>
        <w:br/>
      </w:r>
      <w:r>
        <w:t xml:space="preserve">31 More precisely, the TTBER covers agreements for the assignment of technology rights if the agreement</w:t>
      </w:r>
      <w:r>
        <w:t xml:space="preserve"> </w:t>
      </w:r>
      <w:r>
        <w:t xml:space="preserve">provides for part of the risk of exploiting the technology to remain with the assignor.</w:t>
      </w:r>
      <w:r>
        <w:br/>
      </w:r>
      <w:r>
        <w:t xml:space="preserve">32 Patents, utility models, design rights, software copyrights, semi-conductor topographies, supplementary</w:t>
      </w:r>
      <w:r>
        <w:t xml:space="preserve"> </w:t>
      </w:r>
      <w:r>
        <w:t xml:space="preserve">protection certificates for medicines and plant breeder’s certificates (TTBER, Article 1(1)(b)).</w:t>
      </w:r>
      <w:r>
        <w:t xml:space="preserve"> </w:t>
      </w:r>
      <w:r>
        <w:t xml:space="preserve">33 A package of practical information resulting from experience and testing that is useful for the production of</w:t>
      </w:r>
      <w:r>
        <w:t xml:space="preserve"> </w:t>
      </w:r>
      <w:r>
        <w:t xml:space="preserve">goods or services. The know-how must be secret, substantial and identified (TTBER, Article 1(1)(i)).</w:t>
      </w:r>
      <w:r>
        <w:t xml:space="preserve"> </w:t>
      </w:r>
      <w:r>
        <w:t xml:space="preserve">34 The market share thresholds are intended to ensure that the block exemption does not apply to agreements</w:t>
      </w:r>
      <w:r>
        <w:t xml:space="preserve"> </w:t>
      </w:r>
      <w:r>
        <w:t xml:space="preserve">between undertakings that hold market power.</w:t>
      </w:r>
      <w:r>
        <w:br/>
      </w:r>
      <w:r>
        <w:t xml:space="preserve">35 Hardcore restrictions are serious restrictions of competition that generally cause harm to consumers, such as</w:t>
      </w:r>
      <w:r>
        <w:t xml:space="preserve"> </w:t>
      </w:r>
      <w:r>
        <w:t xml:space="preserve">price fixing or output restrictions.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In addition to the TTBER, the Commission also adopted the Guidelines. The Guidelines</w:t>
      </w:r>
      <w:r>
        <w:t xml:space="preserve"> </w:t>
      </w:r>
      <w:r>
        <w:t xml:space="preserve">explain the rationale for the provisions of the TTBER and provide guidance on how to apply</w:t>
      </w:r>
      <w:r>
        <w:t xml:space="preserve"> </w:t>
      </w:r>
      <w:r>
        <w:t xml:space="preserve">them, together with practical examples. They also provide guidance on the application of</w:t>
      </w:r>
      <w:r>
        <w:t xml:space="preserve"> </w:t>
      </w:r>
      <w:r>
        <w:t xml:space="preserve">Article 101 TFEU to technology transfer agreements that fall outside the block exemption36,</w:t>
      </w:r>
      <w:r>
        <w:t xml:space="preserve"> </w:t>
      </w:r>
      <w:r>
        <w:t xml:space="preserve">as well as related agreements, such as patent dispute settlement agreements and technology</w:t>
      </w:r>
      <w:r>
        <w:t xml:space="preserve"> </w:t>
      </w:r>
      <w:r>
        <w:t xml:space="preserve">pools37.</w:t>
      </w:r>
      <w:r>
        <w:t xml:space="preserve"> </w:t>
      </w:r>
      <w:r>
        <w:t xml:space="preserve">Together, the TTBER and the Guidelines provide a simplified set of rules for assessing the</w:t>
      </w:r>
      <w:r>
        <w:t xml:space="preserve"> </w:t>
      </w:r>
      <w:r>
        <w:t xml:space="preserve">compliance of technology transfer agreements with Article 101 TFEU. It is important to note</w:t>
      </w:r>
      <w:r>
        <w:t xml:space="preserve"> </w:t>
      </w:r>
      <w:r>
        <w:t xml:space="preserve">that the obligations of businesses under competition law in relation to technology transfer</w:t>
      </w:r>
      <w:r>
        <w:t xml:space="preserve"> </w:t>
      </w:r>
      <w:r>
        <w:t xml:space="preserve">agreements derive from Article 101; the TTBER and Guidelines do not themselves impose</w:t>
      </w:r>
      <w:r>
        <w:t xml:space="preserve"> </w:t>
      </w:r>
      <w:r>
        <w:t xml:space="preserve">obligations or sanctions. Where a technology licensing agreement does not meet the</w:t>
      </w:r>
      <w:r>
        <w:t xml:space="preserve"> </w:t>
      </w:r>
      <w:r>
        <w:t xml:space="preserve">conditions of the TTBER and is not covered by the Guidelines, that does not imply that it</w:t>
      </w:r>
      <w:r>
        <w:t xml:space="preserve"> </w:t>
      </w:r>
      <w:r>
        <w:t xml:space="preserve">infringes Article 101. It simply means that the parties must carry out an individual</w:t>
      </w:r>
      <w:r>
        <w:t xml:space="preserve"> </w:t>
      </w:r>
      <w:r>
        <w:t xml:space="preserve">assessment, based on the Commission’s general guidelines and notices on the application of</w:t>
      </w:r>
      <w:r>
        <w:t xml:space="preserve"> </w:t>
      </w:r>
      <w:r>
        <w:t xml:space="preserve">Article 101, the case law of the Union Courts and the Commission’s decisional practice. Such</w:t>
      </w:r>
      <w:r>
        <w:t xml:space="preserve"> </w:t>
      </w:r>
      <w:r>
        <w:t xml:space="preserve">individual assessments are more complex and burdensome, in particular because the case law</w:t>
      </w:r>
      <w:r>
        <w:t xml:space="preserve"> </w:t>
      </w:r>
      <w:r>
        <w:t xml:space="preserve">and decisional practice are case-specific and therefore not always easily transposable to other</w:t>
      </w:r>
      <w:r>
        <w:t xml:space="preserve"> </w:t>
      </w:r>
      <w:r>
        <w:t xml:space="preserve">agreements or market contexts. Consequently, subject to the limits imposed by the Enabling</w:t>
      </w:r>
      <w:r>
        <w:t xml:space="preserve"> </w:t>
      </w:r>
      <w:r>
        <w:t xml:space="preserve">Regulation, the greater the level of legal certainty that can be provided by the TTBER and the</w:t>
      </w:r>
      <w:r>
        <w:t xml:space="preserve"> </w:t>
      </w:r>
      <w:r>
        <w:t xml:space="preserve">Guidelines, the less burdensome will be the task for businesses of assessing the compliance</w:t>
      </w:r>
      <w:r>
        <w:t xml:space="preserve"> </w:t>
      </w:r>
      <w:r>
        <w:t xml:space="preserve">of their technology transfer agreements with competition law.</w:t>
      </w:r>
      <w:r>
        <w:br/>
      </w:r>
      <w:r>
        <w:t xml:space="preserve">The TTBER entered into force on 1 May 2014 and it expires in April 2026. The Commission</w:t>
      </w:r>
      <w:r>
        <w:t xml:space="preserve"> </w:t>
      </w:r>
      <w:r>
        <w:t xml:space="preserve">conducted an evaluation of the TTBER and the Guidelines in advance of the TTBER’s</w:t>
      </w:r>
      <w:r>
        <w:t xml:space="preserve"> </w:t>
      </w:r>
      <w:r>
        <w:t xml:space="preserve">expiry. The evaluation found that these instruments remain relevant, as they facilitate the</w:t>
      </w:r>
      <w:r>
        <w:t xml:space="preserve"> </w:t>
      </w:r>
      <w:r>
        <w:t xml:space="preserve">competition law assessment of technology transfer agreements by businesses. However, the</w:t>
      </w:r>
      <w:r>
        <w:t xml:space="preserve"> </w:t>
      </w:r>
      <w:r>
        <w:t xml:space="preserve">evaluation also identified areas of the rules that do not function well, or as well as they could.</w:t>
      </w:r>
      <w:r>
        <w:t xml:space="preserve"> </w:t>
      </w:r>
      <w:r>
        <w:t xml:space="preserve">It was therefore decided to revise the TTBER and the Guidelines. Section 2.1 below presents</w:t>
      </w:r>
      <w:r>
        <w:t xml:space="preserve"> </w:t>
      </w:r>
      <w:r>
        <w:t xml:space="preserve">the areas of the rules that are the subject of policy options. It also outlines other areas of the</w:t>
      </w:r>
      <w:r>
        <w:t xml:space="preserve"> </w:t>
      </w:r>
      <w:r>
        <w:t xml:space="preserve">rules for which amendments are proposed.</w:t>
      </w:r>
      <w:r>
        <w:t xml:space="preserve"> </w:t>
      </w:r>
      <w:r>
        <w:t xml:space="preserve">The revision of the TTBER and Guidelines contributes to the policy objective of</w:t>
      </w:r>
      <w:r>
        <w:t xml:space="preserve"> </w:t>
      </w:r>
      <w:r>
        <w:t xml:space="preserve">strengthening the competitiveness of the Union, by providing effective, clear and up-to-date</w:t>
      </w:r>
      <w:r>
        <w:t xml:space="preserve"> </w:t>
      </w:r>
      <w:r>
        <w:t xml:space="preserve">rules that protect competition and incentivise businesses to innovate and become more</w:t>
      </w:r>
      <w:r>
        <w:t xml:space="preserve"> </w:t>
      </w:r>
      <w:r>
        <w:t xml:space="preserve">efficient, as set out in the Competitiveness Compass38. As also highlighted in the</w:t>
      </w:r>
      <w:r>
        <w:t xml:space="preserve"> </w:t>
      </w:r>
      <w:r>
        <w:t xml:space="preserve">Competitiveness Compass, these instruments are intended to facilitate pro-competitive</w:t>
      </w:r>
      <w:r>
        <w:t xml:space="preserve"> </w:t>
      </w:r>
      <w:r>
        <w:t xml:space="preserve">technology licensing, thereby encouraging technology dissemination, incentivising initial</w:t>
      </w:r>
      <w:r>
        <w:t xml:space="preserve"> </w:t>
      </w:r>
      <w:r>
        <w:t xml:space="preserve">R&amp;D, and promoting innovation.</w:t>
      </w:r>
    </w:p>
    <w:p>
      <w:pPr>
        <w:pStyle w:val="BodyText"/>
      </w:pPr>
      <w:r>
        <w:t xml:space="preserve">36 For example, because the TTBER’s market share thresholds are not met.</w:t>
      </w:r>
      <w:r>
        <w:t xml:space="preserve"> </w:t>
      </w:r>
      <w:r>
        <w:t xml:space="preserve">37 See Sections 4.3 and 4.4 of the Guidelines.</w:t>
      </w:r>
      <w:r>
        <w:t xml:space="preserve"> </w:t>
      </w:r>
      <w:r>
        <w:t xml:space="preserve">38 See Communication from the Commission to the European Parliament, the European Council, the Council,</w:t>
      </w:r>
      <w:r>
        <w:t xml:space="preserve"> </w:t>
      </w:r>
      <w:r>
        <w:t xml:space="preserve">the European Economic and Social Committee and the Committee of Regions, A Competitiveness Compass</w:t>
      </w:r>
      <w:r>
        <w:t xml:space="preserve"> </w:t>
      </w:r>
      <w:r>
        <w:t xml:space="preserve">for the EU, 29 January 2025, COM(2025) 30 final, pp. 6 and 7.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1.4.</w:t>
      </w:r>
      <w:r>
        <w:t xml:space="preserve"> </w:t>
      </w:r>
      <w:r>
        <w:t xml:space="preserve">Other relevant EU legislation and Commission initiatives</w:t>
      </w:r>
      <w:r>
        <w:t xml:space="preserve"> </w:t>
      </w:r>
      <w:r>
        <w:t xml:space="preserve">By facilitating technology dissemination and promoting innovation, the initiative</w:t>
      </w:r>
      <w:r>
        <w:t xml:space="preserve"> </w:t>
      </w:r>
      <w:r>
        <w:t xml:space="preserve">complements other important Commission’s initiatives39. These include: (i) the European</w:t>
      </w:r>
      <w:r>
        <w:t xml:space="preserve"> </w:t>
      </w:r>
      <w:r>
        <w:t xml:space="preserve">Innovation Act40, which seeks to create legal framework conditions to remove barriers for</w:t>
      </w:r>
      <w:r>
        <w:t xml:space="preserve"> </w:t>
      </w:r>
      <w:r>
        <w:t xml:space="preserve">bringing innovative ideas to market; (ii) the Cloud and AI Development Act41, which aims to</w:t>
      </w:r>
      <w:r>
        <w:t xml:space="preserve"> </w:t>
      </w:r>
      <w:r>
        <w:t xml:space="preserve">strengthen the EU’s data centre capacity and digital sovereignty in the cloud sector; (iii) the</w:t>
      </w:r>
      <w:r>
        <w:t xml:space="preserve"> </w:t>
      </w:r>
      <w:r>
        <w:t xml:space="preserve">EU Quantum Act42, which focuses on boosting research and innovation, scaling up industrial</w:t>
      </w:r>
      <w:r>
        <w:t xml:space="preserve"> </w:t>
      </w:r>
      <w:r>
        <w:t xml:space="preserve">capacity, including pilot lines and a design facility, as well as reinforcing supply chains and</w:t>
      </w:r>
      <w:r>
        <w:t xml:space="preserve"> </w:t>
      </w:r>
      <w:r>
        <w:t xml:space="preserve">resilience in the quantum sector; (iv) the European Research Area (ERA) Act43, which aims</w:t>
      </w:r>
      <w:r>
        <w:t xml:space="preserve"> </w:t>
      </w:r>
      <w:r>
        <w:t xml:space="preserve">to strengthen R&amp;D investment and foster the circulation of knowledge and talent</w:t>
      </w:r>
      <w:r>
        <w:t xml:space="preserve"> </w:t>
      </w:r>
      <w:r>
        <w:t xml:space="preserve">across Europe, and (v) the revision of the Standardisation Regulation44, intended to</w:t>
      </w:r>
      <w:r>
        <w:t xml:space="preserve"> </w:t>
      </w:r>
      <w:r>
        <w:t xml:space="preserve">strengthen the European standardisation system and safeguard Europe’s leadership in</w:t>
      </w:r>
      <w:r>
        <w:t xml:space="preserve"> </w:t>
      </w:r>
      <w:r>
        <w:t xml:space="preserve">developing high-quality, trusted standards.</w:t>
      </w:r>
      <w:r>
        <w:br/>
      </w:r>
      <w:r>
        <w:t xml:space="preserve">In the specific field of data access, the Union has already enacted legislation to promote the</w:t>
      </w:r>
      <w:r>
        <w:t xml:space="preserve"> </w:t>
      </w:r>
      <w:r>
        <w:t xml:space="preserve">free flow of data and create a single market for data, which is intended to ensure Europe’s</w:t>
      </w:r>
      <w:r>
        <w:t xml:space="preserve"> </w:t>
      </w:r>
      <w:r>
        <w:t xml:space="preserve">global competitiveness and data sovereignty45. This includes the Data Act46, which is</w:t>
      </w:r>
      <w:r>
        <w:t xml:space="preserve"> </w:t>
      </w:r>
      <w:r>
        <w:t xml:space="preserve">intended to empower consumers and businesses by giving them greater control over the data</w:t>
      </w:r>
      <w:r>
        <w:t xml:space="preserve"> </w:t>
      </w:r>
      <w:r>
        <w:t xml:space="preserve">generated by their connected devices, such as cars, smart TVs and industrial machinery. It</w:t>
      </w:r>
      <w:r>
        <w:t xml:space="preserve"> </w:t>
      </w:r>
      <w:r>
        <w:t xml:space="preserve">lays the foundations for a fair, innovative, and competitive European data economy.</w:t>
      </w:r>
      <w:r>
        <w:t xml:space="preserve"> </w:t>
      </w:r>
      <w:r>
        <w:t xml:space="preserve">More recently, the Commission has proposed to further refine this framework through the</w:t>
      </w:r>
      <w:r>
        <w:t xml:space="preserve"> </w:t>
      </w:r>
      <w:r>
        <w:t xml:space="preserve">Digital Omnibus Regulation Proposal47, which aims to address issues identified in the early</w:t>
      </w:r>
      <w:r>
        <w:t xml:space="preserve"> </w:t>
      </w:r>
      <w:r>
        <w:t xml:space="preserve">implementation of the Data Act, by providing additional clarity and legal certainty, while</w:t>
      </w:r>
      <w:r>
        <w:t xml:space="preserve"> </w:t>
      </w:r>
      <w:r>
        <w:t xml:space="preserve">preserving the Act’s core objectives of unlocking data and fostering innovation. In addition,</w:t>
      </w:r>
      <w:r>
        <w:t xml:space="preserve"> </w:t>
      </w:r>
      <w:r>
        <w:t xml:space="preserve">the Data Union Strategy48 identifies scaling up access to data, notably for AI applications, as</w:t>
      </w:r>
    </w:p>
    <w:p>
      <w:pPr>
        <w:pStyle w:val="BodyText"/>
      </w:pPr>
      <w:r>
        <w:t xml:space="preserve">39 See A Competitiveness Compass for the EU, mentioned at footnote 38.</w:t>
      </w:r>
      <w:r>
        <w:t xml:space="preserve"> </w:t>
      </w:r>
      <w:r>
        <w:t xml:space="preserve">40 See</w:t>
      </w:r>
      <w:r>
        <w:t xml:space="preserve"> </w:t>
      </w:r>
      <w:r>
        <w:t xml:space="preserve">the</w:t>
      </w:r>
      <w:r>
        <w:t xml:space="preserve"> </w:t>
      </w:r>
      <w:r>
        <w:t xml:space="preserve">webpage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“European</w:t>
      </w:r>
      <w:r>
        <w:t xml:space="preserve"> </w:t>
      </w:r>
      <w:r>
        <w:t xml:space="preserve">Innovation</w:t>
      </w:r>
      <w:r>
        <w:t xml:space="preserve"> </w:t>
      </w:r>
      <w:r>
        <w:t xml:space="preserve">Act”:</w:t>
      </w:r>
      <w:r>
        <w:t xml:space="preserve"> </w:t>
      </w:r>
      <w:r>
        <w:t xml:space="preserve">https://research-and-</w:t>
      </w:r>
      <w:r>
        <w:t xml:space="preserve"> </w:t>
      </w:r>
      <w:r>
        <w:t xml:space="preserve">innovation.ec.europa.eu/strategy/support-policy-making/shaping-eu-research-and-innovation-</w:t>
      </w:r>
      <w:r>
        <w:t xml:space="preserve"> </w:t>
      </w:r>
      <w:r>
        <w:t xml:space="preserve">policy/european-innovation-act_en.</w:t>
      </w:r>
      <w:r>
        <w:t xml:space="preserve"> </w:t>
      </w:r>
      <w:r>
        <w:t xml:space="preserve">41 See the webpage on “Cloud Computing”: https://digital-strategy.ec.europa.eu/en/policies/cloud-computing.</w:t>
      </w:r>
      <w:r>
        <w:br/>
      </w:r>
      <w:r>
        <w:t xml:space="preserve">42 See the webpage on “Quantum”: https://digital-strategy.ec.europa.eu/en/policies/quantum.</w:t>
      </w:r>
      <w:r>
        <w:t xml:space="preserve"> </w:t>
      </w:r>
      <w:r>
        <w:t xml:space="preserve">43 See</w:t>
      </w:r>
      <w:r>
        <w:t xml:space="preserve"> </w:t>
      </w:r>
      <w:r>
        <w:t xml:space="preserve">the</w:t>
      </w:r>
      <w:r>
        <w:t xml:space="preserve"> </w:t>
      </w:r>
      <w:r>
        <w:t xml:space="preserve">webpage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“European</w:t>
      </w:r>
      <w:r>
        <w:t xml:space="preserve"> </w:t>
      </w:r>
      <w:r>
        <w:t xml:space="preserve">Research</w:t>
      </w:r>
      <w:r>
        <w:t xml:space="preserve"> </w:t>
      </w:r>
      <w:r>
        <w:t xml:space="preserve">Area</w:t>
      </w:r>
      <w:r>
        <w:t xml:space="preserve"> </w:t>
      </w:r>
      <w:r>
        <w:t xml:space="preserve">(ERA)</w:t>
      </w:r>
      <w:r>
        <w:t xml:space="preserve"> </w:t>
      </w:r>
      <w:r>
        <w:t xml:space="preserve">Act”:</w:t>
      </w:r>
      <w:r>
        <w:t xml:space="preserve"> </w:t>
      </w:r>
      <w:r>
        <w:t xml:space="preserve">https://research-and-</w:t>
      </w:r>
      <w:r>
        <w:t xml:space="preserve"> </w:t>
      </w:r>
      <w:r>
        <w:t xml:space="preserve">innovation.ec.europa.eu/strategy/support-policy-making/shaping-eu-research-and-innovation-</w:t>
      </w:r>
      <w:r>
        <w:t xml:space="preserve"> </w:t>
      </w:r>
      <w:r>
        <w:t xml:space="preserve">policy/european-research-area-era-act_en.</w:t>
      </w:r>
      <w:r>
        <w:t xml:space="preserve"> </w:t>
      </w:r>
      <w:r>
        <w:t xml:space="preserve">44 See the webpage “Commission seeks views on future of European Standardisation”: https://single-market-</w:t>
      </w:r>
      <w:r>
        <w:t xml:space="preserve"> </w:t>
      </w:r>
      <w:r>
        <w:t xml:space="preserve">economy.ec.europa.eu/news/commission-seeks-views-future-european-standardisation-2025-09-24_en.</w:t>
      </w:r>
      <w:r>
        <w:t xml:space="preserve"> </w:t>
      </w:r>
      <w:r>
        <w:t xml:space="preserve">45 A European strategy for data, Communication from the Commission to the European Parliament, the</w:t>
      </w:r>
      <w:r>
        <w:t xml:space="preserve"> </w:t>
      </w:r>
      <w:r>
        <w:t xml:space="preserve">Council, the European Economic and Social Committee and the Committee of Regions, COM(2020) 66,</w:t>
      </w:r>
      <w:r>
        <w:t xml:space="preserve"> </w:t>
      </w:r>
      <w:r>
        <w:t xml:space="preserve">19.2.2020.</w:t>
      </w:r>
      <w:r>
        <w:t xml:space="preserve"> </w:t>
      </w:r>
      <w:r>
        <w:t xml:space="preserve">46 Regulation (EU) 2023/2854 of the European Parliament and of the Council of 13 December 2023 on</w:t>
      </w:r>
      <w:r>
        <w:t xml:space="preserve"> </w:t>
      </w:r>
      <w:r>
        <w:t xml:space="preserve">harmonised rules on fair access to and use of data and amending Regulation (EU) 2017/2394 and Directive</w:t>
      </w:r>
      <w:r>
        <w:t xml:space="preserve"> </w:t>
      </w:r>
      <w:r>
        <w:t xml:space="preserve">(EU) 2020/1828 (Data Act), OJ L, 2023/2854.</w:t>
      </w:r>
      <w:r>
        <w:t xml:space="preserve"> </w:t>
      </w:r>
      <w:r>
        <w:t xml:space="preserve">47 See Proposal for a Regulation of the European Parliament and of the Council amending Regulations (EU)</w:t>
      </w:r>
      <w:r>
        <w:t xml:space="preserve"> </w:t>
      </w:r>
      <w:r>
        <w:t xml:space="preserve">2016/679, (EU) 2018/1724, (EU) 2018/1725, (EU) 2023/2854 and Directives 2002/58/EC, (EU) 2022/2555</w:t>
      </w:r>
      <w:r>
        <w:t xml:space="preserve"> </w:t>
      </w:r>
      <w:r>
        <w:t xml:space="preserve">and (EU) 2022/2557 as regards the simplification of the digital legislative framework, and repealing</w:t>
      </w:r>
      <w:r>
        <w:t xml:space="preserve"> </w:t>
      </w:r>
      <w:r>
        <w:t xml:space="preserve">Regulations (EU) 2018/1807, (EU) 2019/1150, (EU) 2022/868, and Directive (EU) 2019/1024 (Digital</w:t>
      </w:r>
      <w:r>
        <w:t xml:space="preserve"> </w:t>
      </w:r>
      <w:r>
        <w:t xml:space="preserve">Omnibus), COM(2025) 837.</w:t>
      </w:r>
      <w:r>
        <w:t xml:space="preserve"> </w:t>
      </w:r>
      <w:r>
        <w:t xml:space="preserve">48 See Communication from the Commission to the European parliament and the Council – Data Union</w:t>
      </w:r>
      <w:r>
        <w:t xml:space="preserve"> </w:t>
      </w:r>
      <w:r>
        <w:t xml:space="preserve">Strategy. Unlocking data for AI, 19.11.2025 COM(2025) 835.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 strategic priority for the Union, alongside initiatives such as the European Innovation Act</w:t>
      </w:r>
      <w:r>
        <w:t xml:space="preserve"> </w:t>
      </w:r>
      <w:r>
        <w:t xml:space="preserve">and the proposed Cloud and AI Development Act mentioned above. As stated in President</w:t>
      </w:r>
      <w:r>
        <w:t xml:space="preserve"> </w:t>
      </w:r>
      <w:r>
        <w:t xml:space="preserve">von der Leyen’s political guidelines, access to data is not only a major driver of</w:t>
      </w:r>
      <w:r>
        <w:t xml:space="preserve"> </w:t>
      </w:r>
      <w:r>
        <w:t xml:space="preserve">competitiveness, accounting for almost 4% of EU GDP, but it is also essential for</w:t>
      </w:r>
      <w:r>
        <w:t xml:space="preserve"> </w:t>
      </w:r>
      <w:r>
        <w:t xml:space="preserve">productivity and societal innovations, ranging from personalised medicine to energy</w:t>
      </w:r>
      <w:r>
        <w:t xml:space="preserve"> </w:t>
      </w:r>
      <w:r>
        <w:t xml:space="preserve">savings49. These initiatives are intended to facilitate data access and re-use, support</w:t>
      </w:r>
      <w:r>
        <w:t xml:space="preserve"> </w:t>
      </w:r>
      <w:r>
        <w:t xml:space="preserve">innovation ecosystems and strengthen Europe’s technological capabilities, including for the</w:t>
      </w:r>
      <w:r>
        <w:t xml:space="preserve"> </w:t>
      </w:r>
      <w:r>
        <w:t xml:space="preserve">development and deployment of AI.</w:t>
      </w:r>
      <w:r>
        <w:t xml:space="preserve"> </w:t>
      </w:r>
      <w:r>
        <w:t xml:space="preserve">1.5.</w:t>
      </w:r>
      <w:r>
        <w:t xml:space="preserve"> </w:t>
      </w:r>
      <w:r>
        <w:t xml:space="preserve">Antitrust law on IP licensing in other major jurisdictions</w:t>
      </w:r>
      <w:r>
        <w:br/>
      </w:r>
      <w:r>
        <w:t xml:space="preserve">Technology licences may cover more than one world region or may indeed be worldwide in</w:t>
      </w:r>
      <w:r>
        <w:t xml:space="preserve"> </w:t>
      </w:r>
      <w:r>
        <w:t xml:space="preserve">scope. Businesses may therefore need to assess the compliance of their agreements with the</w:t>
      </w:r>
      <w:r>
        <w:t xml:space="preserve"> </w:t>
      </w:r>
      <w:r>
        <w:t xml:space="preserve">antitrust rules of multiple jurisdictions. Like the EU, several other major jurisdictions provide</w:t>
      </w:r>
      <w:r>
        <w:t xml:space="preserve"> </w:t>
      </w:r>
      <w:r>
        <w:t xml:space="preserve">positive guidance and safe harbours for technology licensing agreements.</w:t>
      </w:r>
      <w:r>
        <w:t xml:space="preserve"> </w:t>
      </w:r>
      <w:r>
        <w:t xml:space="preserve">The USA, China and Japan, among other jurisdictions, have published guidelines on the</w:t>
      </w:r>
      <w:r>
        <w:t xml:space="preserve"> </w:t>
      </w:r>
      <w:r>
        <w:t xml:space="preserve">application of antitrust law to intellectual property licensing and SEP licensing. The Antitrust</w:t>
      </w:r>
      <w:r>
        <w:t xml:space="preserve"> </w:t>
      </w:r>
      <w:r>
        <w:t xml:space="preserve">Guidelines for the Licensing of Intellectual Property50 issued by the US Department of</w:t>
      </w:r>
      <w:r>
        <w:t xml:space="preserve"> </w:t>
      </w:r>
      <w:r>
        <w:t xml:space="preserve">Justice and Federal Trade Commission in 2017 note that IP licensing arrangements are</w:t>
      </w:r>
      <w:r>
        <w:t xml:space="preserve"> </w:t>
      </w:r>
      <w:r>
        <w:t xml:space="preserve">typically welfare-enhancing, because they enable the combination of complementary factors</w:t>
      </w:r>
      <w:r>
        <w:t xml:space="preserve"> </w:t>
      </w:r>
      <w:r>
        <w:t xml:space="preserve">of production, and state that restrictions in IP licensing agreements are generally assessed</w:t>
      </w:r>
      <w:r>
        <w:t xml:space="preserve"> </w:t>
      </w:r>
      <w:r>
        <w:t xml:space="preserve">under the “rule of reason”, i.e. they are not unlawful per se. These guidelines also provide</w:t>
      </w:r>
      <w:r>
        <w:t xml:space="preserve"> </w:t>
      </w:r>
      <w:r>
        <w:t xml:space="preserve">safe harbours for IP licensing agreements and R&amp;D agreements between firms that do not</w:t>
      </w:r>
      <w:r>
        <w:t xml:space="preserve"> </w:t>
      </w:r>
      <w:r>
        <w:t xml:space="preserve">hold market power. The Chinese competition authority (SAMR) published Anti-Monopoly</w:t>
      </w:r>
      <w:r>
        <w:t xml:space="preserve"> </w:t>
      </w:r>
      <w:r>
        <w:t xml:space="preserve">Guidelines for Standard Essential Patents in 202451. These guidelines aim to prevent the</w:t>
      </w:r>
      <w:r>
        <w:t xml:space="preserve"> </w:t>
      </w:r>
      <w:r>
        <w:t xml:space="preserve">abuse of SEPs, protect fair competition, encourage innovation, improve economic efficiency,</w:t>
      </w:r>
      <w:r>
        <w:t xml:space="preserve"> </w:t>
      </w:r>
      <w:r>
        <w:t xml:space="preserve">and safeguard consumer and public interests. The Japan Fair Trade Commission issued</w:t>
      </w:r>
      <w:r>
        <w:t xml:space="preserve"> </w:t>
      </w:r>
      <w:r>
        <w:t xml:space="preserve">revised Guidelines for the Use of Intellectual Property in 2016. These guidelines provide</w:t>
      </w:r>
      <w:r>
        <w:t xml:space="preserve"> </w:t>
      </w:r>
      <w:r>
        <w:t xml:space="preserve">guidance for an effects-based analysis, as well as limited safe harbours. The United Kingdom</w:t>
      </w:r>
      <w:r>
        <w:t xml:space="preserve"> </w:t>
      </w:r>
      <w:r>
        <w:t xml:space="preserve">inherited the TTBER from the EU when it left the Union. The UK’s Competition and</w:t>
      </w:r>
      <w:r>
        <w:t xml:space="preserve"> </w:t>
      </w:r>
      <w:r>
        <w:t xml:space="preserve">Markets Authority (CMA) is currently revising the UK version of the TTBER and has</w:t>
      </w:r>
      <w:r>
        <w:t xml:space="preserve"> </w:t>
      </w:r>
      <w:r>
        <w:t xml:space="preserve">recommended that the UK government adopts a revised block exemption which resembles</w:t>
      </w:r>
      <w:r>
        <w:t xml:space="preserve"> </w:t>
      </w:r>
      <w:r>
        <w:t xml:space="preserve">the proposed revised TTBER.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evaluation found that market and other developments that have occurred since the</w:t>
      </w:r>
      <w:r>
        <w:t xml:space="preserve"> </w:t>
      </w:r>
      <w:r>
        <w:t xml:space="preserve">adoption of the TTBER and Guidelines in 2014 raise questions about the effectiveness and</w:t>
      </w:r>
      <w:r>
        <w:t xml:space="preserve"> </w:t>
      </w:r>
      <w:r>
        <w:t xml:space="preserve">relevance of the rules in six areas52. Three of those areas are the subject of policy options that</w:t>
      </w:r>
    </w:p>
    <w:p>
      <w:pPr>
        <w:pStyle w:val="BodyText"/>
      </w:pPr>
      <w:r>
        <w:t xml:space="preserve">49 See President Ursula von der Leyen’s Political guidelines for the next European Commission 2024-2029,</w:t>
      </w:r>
      <w:r>
        <w:t xml:space="preserve"> </w:t>
      </w:r>
      <w:r>
        <w:t xml:space="preserve">p. 10.</w:t>
      </w:r>
      <w:r>
        <w:br/>
      </w:r>
      <w:r>
        <w:t xml:space="preserve">50 https://www.justice.gov/atr/guidelines-and-policy-statements-0</w:t>
      </w:r>
      <w:r>
        <w:t xml:space="preserve"> </w:t>
      </w:r>
      <w:r>
        <w:t xml:space="preserve">51 https://www.chinaiplawupdate.com/2024/11/chinas-state-administration-for-market-regulation-releases-anti-</w:t>
      </w:r>
      <w:r>
        <w:t xml:space="preserve"> </w:t>
      </w:r>
      <w:r>
        <w:t xml:space="preserve">monopoly-guidelines-in-the-field-of-standard-essential-patents/</w:t>
      </w:r>
      <w:r>
        <w:t xml:space="preserve"> </w:t>
      </w:r>
      <w:r>
        <w:t xml:space="preserve">52 See Section 5.1 of the Evaluation Report (Conclusions).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are impact-assessed in this report. The other three areas are outlined at the end of this section,</w:t>
      </w:r>
      <w:r>
        <w:t xml:space="preserve"> </w:t>
      </w:r>
      <w:r>
        <w:t xml:space="preserve">together with an explanation of why those areas are not the subject of policy options.</w:t>
      </w:r>
      <w:r>
        <w:t xml:space="preserve"> </w:t>
      </w:r>
      <w:r>
        <w:t xml:space="preserve">Problem 1 – Businesses find it difficult to determine whether their technology transfer</w:t>
      </w:r>
      <w:r>
        <w:t xml:space="preserve"> </w:t>
      </w:r>
      <w:r>
        <w:t xml:space="preserve">agreements meet the TTBER’s market share thresholds for technology markets</w:t>
      </w:r>
      <w:r>
        <w:br/>
      </w:r>
      <w:r>
        <w:t xml:space="preserve">The evaluation found that market participants encounter practical difficulties when applying</w:t>
      </w:r>
      <w:r>
        <w:t xml:space="preserve"> </w:t>
      </w:r>
      <w:r>
        <w:t xml:space="preserve">the TTBER’s market share thresholds for technology markets53. The block exemption</w:t>
      </w:r>
      <w:r>
        <w:t xml:space="preserve"> </w:t>
      </w:r>
      <w:r>
        <w:t xml:space="preserve">provided by the TTBER is conditional upon the parties to the technology transfer agreement</w:t>
      </w:r>
      <w:r>
        <w:t xml:space="preserve"> </w:t>
      </w:r>
      <w:r>
        <w:t xml:space="preserve">holding market shares below certain thresholds. In particular, the TTBER block-exempts</w:t>
      </w:r>
      <w:r>
        <w:t xml:space="preserve"> </w:t>
      </w:r>
      <w:r>
        <w:t xml:space="preserve">agreements between competing undertakings where the parties’ combined market share does</w:t>
      </w:r>
      <w:r>
        <w:t xml:space="preserve"> </w:t>
      </w:r>
      <w:r>
        <w:t xml:space="preserve">not exceed 20%, and agreements between non-competitors where the parties’ individual</w:t>
      </w:r>
      <w:r>
        <w:t xml:space="preserve"> </w:t>
      </w:r>
      <w:r>
        <w:t xml:space="preserve">market shares do not exceed 30%. These thresholds apply both in relation to relevant</w:t>
      </w:r>
      <w:r>
        <w:t xml:space="preserve"> </w:t>
      </w:r>
      <w:r>
        <w:t xml:space="preserve">technology markets (markets for the sale of technology by licence) and relevant product</w:t>
      </w:r>
      <w:r>
        <w:t xml:space="preserve"> </w:t>
      </w:r>
      <w:r>
        <w:t xml:space="preserve">markets (markets for the sale of products produced using the licensed technology). The</w:t>
      </w:r>
      <w:r>
        <w:t xml:space="preserve"> </w:t>
      </w:r>
      <w:r>
        <w:t xml:space="preserve">separate thresholds for technology markets and product markets ensure that the TTBER</w:t>
      </w:r>
      <w:r>
        <w:t xml:space="preserve"> </w:t>
      </w:r>
      <w:r>
        <w:t xml:space="preserve">captures the competitive effects of technology transfer agreements at the upstream</w:t>
      </w:r>
      <w:r>
        <w:t xml:space="preserve"> </w:t>
      </w:r>
      <w:r>
        <w:t xml:space="preserve">(technology licensing) level and the downstream (supply of products) level. Competitive</w:t>
      </w:r>
      <w:r>
        <w:t xml:space="preserve"> </w:t>
      </w:r>
      <w:r>
        <w:t xml:space="preserve">conditions may differ between the two levels, and firms may be active at one or both levels.</w:t>
      </w:r>
      <w:r>
        <w:br/>
      </w:r>
      <w:r>
        <w:t xml:space="preserve">To apply the TTBER’s market share thresholds for technology markets, the parties’ market</w:t>
      </w:r>
      <w:r>
        <w:t xml:space="preserve"> </w:t>
      </w:r>
      <w:r>
        <w:t xml:space="preserve">shares are calculated based on the presence of their technology rights in the relevant market</w:t>
      </w:r>
      <w:r>
        <w:t xml:space="preserve"> </w:t>
      </w:r>
      <w:r>
        <w:t xml:space="preserve">where the contract products54 are sold (the “footprint methodology”)55. Although the TTBER</w:t>
      </w:r>
      <w:r>
        <w:t xml:space="preserve"> </w:t>
      </w:r>
      <w:r>
        <w:t xml:space="preserve">itself does not mention the scenario of a new technology that has not yet generated any</w:t>
      </w:r>
      <w:r>
        <w:t xml:space="preserve"> </w:t>
      </w:r>
      <w:r>
        <w:t xml:space="preserve">product sales, paragraph 90 of the Guidelines briefly notes that such technologies are</w:t>
      </w:r>
      <w:r>
        <w:t xml:space="preserve"> </w:t>
      </w:r>
      <w:r>
        <w:t xml:space="preserve">considered to have a zero market share. Where the parties initially fall within the TTBER’s</w:t>
      </w:r>
      <w:r>
        <w:t xml:space="preserve"> </w:t>
      </w:r>
      <w:r>
        <w:t xml:space="preserve">market share thresholds but their market shares rise above the thresholds during the life of the</w:t>
      </w:r>
      <w:r>
        <w:t xml:space="preserve"> </w:t>
      </w:r>
      <w:r>
        <w:t xml:space="preserve">agreement, the TTBER provides a “grace period”, i.e. the block exemption continues to apply</w:t>
      </w:r>
      <w:r>
        <w:t xml:space="preserve"> </w:t>
      </w:r>
      <w:r>
        <w:t xml:space="preserve">for two years following the year in which the thresholds are exceeded.</w:t>
      </w:r>
      <w:r>
        <w:br/>
      </w:r>
      <w:r>
        <w:t xml:space="preserve">For technology transfer agreements that fall outside the block exemption, for example</w:t>
      </w:r>
      <w:r>
        <w:t xml:space="preserve"> </w:t>
      </w:r>
      <w:r>
        <w:t xml:space="preserve">because the parties’ market shares exceed the TTBER’s thresholds, the Guidelines provide an</w:t>
      </w:r>
      <w:r>
        <w:t xml:space="preserve"> </w:t>
      </w:r>
      <w:r>
        <w:t xml:space="preserve">additional ‘soft’ safe harbour. This states that if an agreement does not contain hardcore</w:t>
      </w:r>
      <w:r>
        <w:t xml:space="preserve"> </w:t>
      </w:r>
      <w:r>
        <w:t xml:space="preserve">restrictions, it is unlikely to infringe Article 101 TFEU where there are at least four other</w:t>
      </w:r>
      <w:r>
        <w:t xml:space="preserve"> </w:t>
      </w:r>
      <w:r>
        <w:t xml:space="preserve">independently controlled and substitutable technologies on the market (the “4+ test”)56.</w:t>
      </w:r>
      <w:r>
        <w:br/>
      </w:r>
      <w:r>
        <w:t xml:space="preserve">Agreements that fall outside the block exemption because the parties’ market shares exceed</w:t>
      </w:r>
      <w:r>
        <w:t xml:space="preserve"> </w:t>
      </w:r>
      <w:r>
        <w:t xml:space="preserve">the TTBER’s thresholds or which do not meet the 4+ test in the Guidelines are not presumed</w:t>
      </w:r>
      <w:r>
        <w:t xml:space="preserve"> </w:t>
      </w:r>
      <w:r>
        <w:t xml:space="preserve">to infringe Article 101 TFEU. These agreements simply require a more detailed individual</w:t>
      </w:r>
      <w:r>
        <w:t xml:space="preserve"> </w:t>
      </w:r>
      <w:r>
        <w:t xml:space="preserve">assessment, as explained in Section 1.3 above.</w:t>
      </w:r>
    </w:p>
    <w:p>
      <w:pPr>
        <w:pStyle w:val="BodyText"/>
      </w:pPr>
      <w:r>
        <w:t xml:space="preserve">53 See the Evaluation Report, p. 42.</w:t>
      </w:r>
      <w:r>
        <w:t xml:space="preserve"> </w:t>
      </w:r>
      <w:r>
        <w:t xml:space="preserve">54 The contract products are the goods or services that are produced using the technology rights licensed under</w:t>
      </w:r>
      <w:r>
        <w:t xml:space="preserve"> </w:t>
      </w:r>
      <w:r>
        <w:t xml:space="preserve">the technology transfer agreement.</w:t>
      </w:r>
      <w:r>
        <w:t xml:space="preserve"> </w:t>
      </w:r>
      <w:r>
        <w:t xml:space="preserve">55 Thus, where a party to the agreement is active as a licensor of technology that is used in products sold on the</w:t>
      </w:r>
      <w:r>
        <w:t xml:space="preserve"> </w:t>
      </w:r>
      <w:r>
        <w:t xml:space="preserve">relevant product market, it is necessary to aggregate the sales of all products that incorporate that party’s</w:t>
      </w:r>
      <w:r>
        <w:t xml:space="preserve"> </w:t>
      </w:r>
      <w:r>
        <w:t xml:space="preserve">technology (the party’s own sales and the sales of its licensees) and then calculate their share of the total</w:t>
      </w:r>
      <w:r>
        <w:t xml:space="preserve"> </w:t>
      </w:r>
      <w:r>
        <w:t xml:space="preserve">sales in that product market.</w:t>
      </w:r>
      <w:r>
        <w:t xml:space="preserve"> </w:t>
      </w:r>
      <w:r>
        <w:t xml:space="preserve">56 See paragraph 157 of the Guidelines.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In the evaluation and impact assessment, some stakeholders reported practical difficulties in</w:t>
      </w:r>
      <w:r>
        <w:t xml:space="preserve"> </w:t>
      </w:r>
      <w:r>
        <w:t xml:space="preserve">applying the TTBER’s market share thresholds for technology markets and thus in</w:t>
      </w:r>
      <w:r>
        <w:t xml:space="preserve"> </w:t>
      </w:r>
      <w:r>
        <w:t xml:space="preserve">determining whether their agreements could benefit from the block exemption. Specifically,</w:t>
      </w:r>
      <w:r>
        <w:t xml:space="preserve"> </w:t>
      </w:r>
      <w:r>
        <w:t xml:space="preserve">they said that it is challenging to define the relevant market and calculate market shares when</w:t>
      </w:r>
      <w:r>
        <w:t xml:space="preserve"> </w:t>
      </w:r>
      <w:r>
        <w:t xml:space="preserve">technologies are at an early stage of development or commercialisation (“early licensing”).</w:t>
      </w:r>
      <w:r>
        <w:t xml:space="preserve"> </w:t>
      </w:r>
      <w:r>
        <w:t xml:space="preserve">They also explained that limited data on competing technologies and uncertainty about the</w:t>
      </w:r>
      <w:r>
        <w:t xml:space="preserve"> </w:t>
      </w:r>
      <w:r>
        <w:t xml:space="preserve">future commercial uptake of technologies and about their substitutability can make it difficult</w:t>
      </w:r>
      <w:r>
        <w:t xml:space="preserve"> </w:t>
      </w:r>
      <w:r>
        <w:t xml:space="preserve">to define markets and calculate shares57. Stakeholders further highlighted that, at the early</w:t>
      </w:r>
      <w:r>
        <w:t xml:space="preserve"> </w:t>
      </w:r>
      <w:r>
        <w:t xml:space="preserve">stages of technology uptake, there are often fewer than four alternative technologies present</w:t>
      </w:r>
      <w:r>
        <w:t xml:space="preserve"> </w:t>
      </w:r>
      <w:r>
        <w:t xml:space="preserve">on the market. This feedback suggests that paragraph 90 of the Guidelines does not provide</w:t>
      </w:r>
      <w:r>
        <w:t xml:space="preserve"> </w:t>
      </w:r>
      <w:r>
        <w:t xml:space="preserve">sufficient clarity and legal certainty on the application of the TTBER’s market share</w:t>
      </w:r>
      <w:r>
        <w:t xml:space="preserve"> </w:t>
      </w:r>
      <w:r>
        <w:t xml:space="preserve">thresholds for technology markets in cases of early licensing58. It also indicates that the</w:t>
      </w:r>
      <w:r>
        <w:t xml:space="preserve"> </w:t>
      </w:r>
      <w:r>
        <w:t xml:space="preserve">4+ test in the Guidelines may not address the difficulties faced by stakeholders.</w:t>
      </w:r>
      <w:r>
        <w:br/>
      </w:r>
      <w:r>
        <w:t xml:space="preserve">Problem 2 – Businesses do not know how to apply Article 101 TFEU to data licensing</w:t>
      </w:r>
      <w:r>
        <w:t xml:space="preserve"> </w:t>
      </w:r>
      <w:r>
        <w:t xml:space="preserve">agreements</w:t>
      </w:r>
      <w:r>
        <w:t xml:space="preserve"> </w:t>
      </w:r>
      <w:r>
        <w:t xml:space="preserve">The evaluation found that data is increasingly important in the digital economy, and that the</w:t>
      </w:r>
      <w:r>
        <w:t xml:space="preserve"> </w:t>
      </w:r>
      <w:r>
        <w:t xml:space="preserve">licensing of data has become more frequent, yet the TTBER and Guidelines do not expressly</w:t>
      </w:r>
      <w:r>
        <w:t xml:space="preserve"> </w:t>
      </w:r>
      <w:r>
        <w:t xml:space="preserve">cover data or rights in data59. This calls into question the effectiveness and relevance of the</w:t>
      </w:r>
      <w:r>
        <w:t xml:space="preserve"> </w:t>
      </w:r>
      <w:r>
        <w:t xml:space="preserve">rules60.</w:t>
      </w:r>
      <w:r>
        <w:t xml:space="preserve"> </w:t>
      </w:r>
      <w:r>
        <w:t xml:space="preserve">Through data licensing agreements, businesses license the data that they hold to other</w:t>
      </w:r>
      <w:r>
        <w:t xml:space="preserve"> </w:t>
      </w:r>
      <w:r>
        <w:t xml:space="preserve">businesses, allowing the latter to use the data in their business activities. Data licensing</w:t>
      </w:r>
      <w:r>
        <w:t xml:space="preserve"> </w:t>
      </w:r>
      <w:r>
        <w:t xml:space="preserve">enables businesses to share, access and monetise data, often in ways that are essential for</w:t>
      </w:r>
      <w:r>
        <w:t xml:space="preserve"> </w:t>
      </w:r>
      <w:r>
        <w:t xml:space="preserve">innovation, market entry, and the development of interoperable products61. Data is however a</w:t>
      </w:r>
      <w:r>
        <w:t xml:space="preserve"> </w:t>
      </w:r>
      <w:r>
        <w:t xml:space="preserve">complex asset that does not always fit easily into existing categories of technology or</w:t>
      </w:r>
      <w:r>
        <w:t xml:space="preserve"> </w:t>
      </w:r>
      <w:r>
        <w:t xml:space="preserve">intellectual property rights62. For this reason, businesses do not know how to assess the</w:t>
      </w:r>
      <w:r>
        <w:t xml:space="preserve"> </w:t>
      </w:r>
      <w:r>
        <w:t xml:space="preserve">compliance of their data licensing agreements with competition law63.</w:t>
      </w:r>
    </w:p>
    <w:p>
      <w:pPr>
        <w:pStyle w:val="BodyText"/>
      </w:pPr>
      <w:r>
        <w:t xml:space="preserve">57 See, for example, the Evaluation Report, pp. 28-31 and the Evaluation Support Study, pp. 66-67, 83-88.</w:t>
      </w:r>
      <w:r>
        <w:t xml:space="preserve"> </w:t>
      </w:r>
      <w:r>
        <w:t xml:space="preserve">58 For example, some stakeholders noted that when technologies have long development timelines and</w:t>
      </w:r>
      <w:r>
        <w:t xml:space="preserve"> </w:t>
      </w:r>
      <w:r>
        <w:t xml:space="preserve">licensing occurs at an early stage, the parties do not have data on the future market share of the technology.</w:t>
      </w:r>
      <w:r>
        <w:t xml:space="preserve"> </w:t>
      </w:r>
      <w:r>
        <w:t xml:space="preserve">However, in that scenario, it follows from paragraph 90 of the Guidelines and Article 8(e) of the TTBER that</w:t>
      </w:r>
      <w:r>
        <w:t xml:space="preserve"> </w:t>
      </w:r>
      <w:r>
        <w:t xml:space="preserve">the agreement can benefit from the block exemption, provided that it does not contain hardcore restrictions.</w:t>
      </w:r>
      <w:r>
        <w:t xml:space="preserve"> </w:t>
      </w:r>
      <w:r>
        <w:t xml:space="preserve">See, for example, the Evaluation Support Study, p. 85.</w:t>
      </w:r>
      <w:r>
        <w:t xml:space="preserve"> </w:t>
      </w:r>
      <w:r>
        <w:t xml:space="preserve">59 See the Evaluation Report, p. 42. The absence of guidance on data licensing is not surprising, since data</w:t>
      </w:r>
      <w:r>
        <w:t xml:space="preserve"> </w:t>
      </w:r>
      <w:r>
        <w:t xml:space="preserve">licensing is a relatively new market development which was not significant in 2014. See the Evaluation</w:t>
      </w:r>
      <w:r>
        <w:t xml:space="preserve"> </w:t>
      </w:r>
      <w:r>
        <w:t xml:space="preserve">Report, Section 3.2.</w:t>
      </w:r>
      <w:r>
        <w:t xml:space="preserve"> </w:t>
      </w:r>
      <w:r>
        <w:t xml:space="preserve">60 See the Evaluation Report, p. 42.</w:t>
      </w:r>
      <w:r>
        <w:t xml:space="preserve"> </w:t>
      </w:r>
      <w:r>
        <w:t xml:space="preserve">61 See the Expert Report on Data Licensing, p. 12.</w:t>
      </w:r>
      <w:r>
        <w:t xml:space="preserve"> </w:t>
      </w:r>
      <w:r>
        <w:t xml:space="preserve">62 See Graux, H., What is data ownership, and does it still matter under EU data law? An exploration of</w:t>
      </w:r>
      <w:r>
        <w:t xml:space="preserve"> </w:t>
      </w:r>
      <w:r>
        <w:t xml:space="preserve">traditional concepts of data ownership, and of the expected impact of the Data Act, Publications Office of</w:t>
      </w:r>
      <w:r>
        <w:t xml:space="preserve"> </w:t>
      </w:r>
      <w:r>
        <w:t xml:space="preserve">the European Union, 2024, pp. 6-7, available at data.europa.eu. Where businesses share or license data, they</w:t>
      </w:r>
      <w:r>
        <w:t xml:space="preserve"> </w:t>
      </w:r>
      <w:r>
        <w:t xml:space="preserve">exercise control over the data through a variety of intellectual property rights (in particular, copyright),</w:t>
      </w:r>
      <w:r>
        <w:t xml:space="preserve"> </w:t>
      </w:r>
      <w:r>
        <w:t xml:space="preserve">sui generis rights (in particular, the database sui generis right) and a mix of other types of rights or</w:t>
      </w:r>
      <w:r>
        <w:t xml:space="preserve"> </w:t>
      </w:r>
      <w:r>
        <w:t xml:space="preserve">contractual provisions; see the Expert Report on Data Licensing, pp. 19 et seq. and p. 24.</w:t>
      </w:r>
      <w:r>
        <w:t xml:space="preserve"> </w:t>
      </w:r>
      <w:r>
        <w:t xml:space="preserve">63 See Picht, P.G., Caught in the Acts: Framing Mandatory Data Access Transactions under the Data Act,</w:t>
      </w:r>
      <w:r>
        <w:t xml:space="preserve"> </w:t>
      </w:r>
      <w:r>
        <w:t xml:space="preserve">further EU Digital Regulation Acts, and Competition Law, Max Planck Institute for Innovation and</w:t>
      </w:r>
      <w:r>
        <w:t xml:space="preserve"> </w:t>
      </w:r>
      <w:r>
        <w:t xml:space="preserve">Competition Research Paper No. 22-12, 2022, p. 12, available at ssrn.com (explaining that in relation to the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In the evaluation, businesses explained that they do not know whether the TTBER can apply</w:t>
      </w:r>
      <w:r>
        <w:t xml:space="preserve"> </w:t>
      </w:r>
      <w:r>
        <w:t xml:space="preserve">to data licensing agreements64. In particular, they are unsure whether the data that they are</w:t>
      </w:r>
      <w:r>
        <w:t xml:space="preserve"> </w:t>
      </w:r>
      <w:r>
        <w:t xml:space="preserve">licensing can qualify as one of the technology rights (including know-how) that are already</w:t>
      </w:r>
      <w:r>
        <w:t xml:space="preserve"> </w:t>
      </w:r>
      <w:r>
        <w:t xml:space="preserve">covered by the TTBER65. Furthermore, stakeholders criticised the fact that the TTBER and</w:t>
      </w:r>
      <w:r>
        <w:t xml:space="preserve"> </w:t>
      </w:r>
      <w:r>
        <w:t xml:space="preserve">Guidelines do not provide specific guidance on the licensing of data or datasets66.</w:t>
      </w:r>
      <w:r>
        <w:t xml:space="preserve"> </w:t>
      </w:r>
      <w:r>
        <w:t xml:space="preserve">Problem 3 – Businesses do not know how to apply Article 101 TFEU to licensing</w:t>
      </w:r>
      <w:r>
        <w:t xml:space="preserve"> </w:t>
      </w:r>
      <w:r>
        <w:t xml:space="preserve">negotiation groups</w:t>
      </w:r>
      <w:r>
        <w:t xml:space="preserve"> </w:t>
      </w:r>
      <w:r>
        <w:t xml:space="preserve">The evaluation found that the relevance of the TTBER and Guidelines may be affected by the</w:t>
      </w:r>
      <w:r>
        <w:t xml:space="preserve"> </w:t>
      </w:r>
      <w:r>
        <w:t xml:space="preserve">emergence of licensing negotiation groups (“LNGs”), for which there is currently no antitrust</w:t>
      </w:r>
      <w:r>
        <w:t xml:space="preserve"> </w:t>
      </w:r>
      <w:r>
        <w:t xml:space="preserve">guidance67. LNGs are arrangements between technology implementers to negotiate jointly the</w:t>
      </w:r>
      <w:r>
        <w:t xml:space="preserve"> </w:t>
      </w:r>
      <w:r>
        <w:t xml:space="preserve">terms of the technology licences that they wish to obtain from technology owners68.</w:t>
      </w:r>
      <w:r>
        <w:t xml:space="preserve"> </w:t>
      </w:r>
      <w:r>
        <w:t xml:space="preserve">Implementers consider that LNGs are capable of reducing licensing transaction costs by</w:t>
      </w:r>
      <w:r>
        <w:t xml:space="preserve"> </w:t>
      </w:r>
      <w:r>
        <w:t xml:space="preserve">replacing multiple bilateral negotiations with a single multilateral negotiation69. They also</w:t>
      </w:r>
      <w:r>
        <w:t xml:space="preserve"> </w:t>
      </w:r>
      <w:r>
        <w:t xml:space="preserve">consider that LNGs allow implementers to pool their legal and technical expertise and</w:t>
      </w:r>
      <w:r>
        <w:t xml:space="preserve"> </w:t>
      </w:r>
      <w:r>
        <w:t xml:space="preserve">resources, thereby promoting more informed and balanced negotiations70. By contrast,</w:t>
      </w:r>
      <w:r>
        <w:t xml:space="preserve"> </w:t>
      </w:r>
      <w:r>
        <w:t xml:space="preserve">technology owners consider that implementers may use LNGs to exert buyer power and drive</w:t>
      </w:r>
      <w:r>
        <w:t xml:space="preserve"> </w:t>
      </w:r>
      <w:r>
        <w:t xml:space="preserve">royalty rates below competitive levels, for example by engaging in coordinated hold-outs71.</w:t>
      </w:r>
      <w:r>
        <w:br/>
      </w:r>
      <w:r>
        <w:t xml:space="preserve">Although DG Competition has been informed about plans to set up LNGs in several sectors,</w:t>
      </w:r>
      <w:r>
        <w:t xml:space="preserve"> </w:t>
      </w:r>
      <w:r>
        <w:t xml:space="preserve">it is not yet aware of any LNG operating on the market. Consequently, the actual impact of</w:t>
      </w:r>
      <w:r>
        <w:t xml:space="preserve"> </w:t>
      </w:r>
      <w:r>
        <w:t xml:space="preserve">LNGs on technology licensing is not yet known and is debated in the academic literature72.</w:t>
      </w:r>
    </w:p>
    <w:p>
      <w:pPr>
        <w:pStyle w:val="BodyText"/>
      </w:pPr>
      <w:r>
        <w:t xml:space="preserve">competition law assessment there is “an even greater lack of ready to use-solutions for the data licensing</w:t>
      </w:r>
      <w:r>
        <w:t xml:space="preserve"> </w:t>
      </w:r>
      <w:r>
        <w:t xml:space="preserve">context”).</w:t>
      </w:r>
      <w:r>
        <w:t xml:space="preserve"> </w:t>
      </w:r>
      <w:r>
        <w:t xml:space="preserve">64 See the Evaluation Support Study, pp. 44 and 65.</w:t>
      </w:r>
      <w:r>
        <w:br/>
      </w:r>
      <w:r>
        <w:t xml:space="preserve">65 See the Evaluation Support Study, pp. 65-66, which discusses how various forms of data transfer fall within</w:t>
      </w:r>
      <w:r>
        <w:t xml:space="preserve"> </w:t>
      </w:r>
      <w:r>
        <w:t xml:space="preserve">the scope of the TTBER and the Guidelines. See also, for example, the response of a business association to</w:t>
      </w:r>
      <w:r>
        <w:t xml:space="preserve"> </w:t>
      </w:r>
      <w:r>
        <w:t xml:space="preserve">the evaluation public consultation questionnaire, which stated “Under the current TTBER is doubtful that</w:t>
      </w:r>
      <w:r>
        <w:t xml:space="preserve"> </w:t>
      </w:r>
      <w:r>
        <w:t xml:space="preserve">raw data are included in the definition of know how adopted by the TTBER”.</w:t>
      </w:r>
      <w:r>
        <w:t xml:space="preserve"> </w:t>
      </w:r>
      <w:r>
        <w:t xml:space="preserve">66 See the Evaluation Report, p. 42. See also Evaluation Support Study, p. 90.</w:t>
      </w:r>
      <w:r>
        <w:t xml:space="preserve"> </w:t>
      </w:r>
      <w:r>
        <w:t xml:space="preserve">67 See the Evaluation Report, p. 42.</w:t>
      </w:r>
      <w:r>
        <w:br/>
      </w:r>
      <w:r>
        <w:t xml:space="preserve">68 In the public consultation on the draft revised texts, some stakeholders (businesses that implement</w:t>
      </w:r>
      <w:r>
        <w:t xml:space="preserve"> </w:t>
      </w:r>
      <w:r>
        <w:t xml:space="preserve">technology) specified that LNGs provide one additional means for technology licensors and licensees to</w:t>
      </w:r>
      <w:r>
        <w:t xml:space="preserve"> </w:t>
      </w:r>
      <w:r>
        <w:t xml:space="preserve">negotiate licensing terms, i.e. they are not intended to completely replace bilateral negotiations or licensing</w:t>
      </w:r>
      <w:r>
        <w:t xml:space="preserve"> </w:t>
      </w:r>
      <w:r>
        <w:t xml:space="preserve">through pools or licensing platforms.</w:t>
      </w:r>
      <w:r>
        <w:br/>
      </w:r>
      <w:r>
        <w:t xml:space="preserve">69 Technology pools allow a similar reduction in transaction costs: implementers who take a licence from a</w:t>
      </w:r>
      <w:r>
        <w:t xml:space="preserve"> </w:t>
      </w:r>
      <w:r>
        <w:t xml:space="preserve">pool gain access to the rights of multiple technology owners, without the need to negotiate with each of them</w:t>
      </w:r>
      <w:r>
        <w:t xml:space="preserve"> </w:t>
      </w:r>
      <w:r>
        <w:t xml:space="preserve">individually.</w:t>
      </w:r>
      <w:r>
        <w:t xml:space="preserve"> </w:t>
      </w:r>
      <w:r>
        <w:t xml:space="preserve">70 See Group of Experts on Licensing and Valuation of Standard Essential Patents, Contribution to the Debate</w:t>
      </w:r>
      <w:r>
        <w:t xml:space="preserve"> </w:t>
      </w:r>
      <w:r>
        <w:t xml:space="preserve">on SEPs, 2021, pp. 168 et seq., available at: https://ec.europa.eu/docsroom/documents/45217. .</w:t>
      </w:r>
      <w:r>
        <w:t xml:space="preserve"> </w:t>
      </w:r>
      <w:r>
        <w:t xml:space="preserve">71 Hold-out means a refusal or unreasonable delay by a technology implementer to take a licence of the</w:t>
      </w:r>
      <w:r>
        <w:t xml:space="preserve"> </w:t>
      </w:r>
      <w:r>
        <w:t xml:space="preserve">technology.</w:t>
      </w:r>
      <w:r>
        <w:t xml:space="preserve"> </w:t>
      </w:r>
      <w:r>
        <w:t xml:space="preserve">72 See Barnett, J.M., The economic case against Licensing Negotiation Groups in the Internet of Things, 4iP</w:t>
      </w:r>
      <w:r>
        <w:t xml:space="preserve"> </w:t>
      </w:r>
      <w:r>
        <w:t xml:space="preserve">Council,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https://www.4ipcouncil.com/research/economic-case-against-licensing-</w:t>
      </w:r>
      <w:r>
        <w:t xml:space="preserve"> </w:t>
      </w:r>
      <w:r>
        <w:t xml:space="preserve">negotiation-groups-internet-things, which states: “In the short term, LNGs would simply redistribute</w:t>
      </w:r>
      <w:r>
        <w:t xml:space="preserve"> </w:t>
      </w:r>
      <w:r>
        <w:t xml:space="preserve">economic value from innovators to implementers in the technology supply chain without necessarily passing</w:t>
      </w:r>
      <w:r>
        <w:t xml:space="preserve"> </w:t>
      </w:r>
      <w:r>
        <w:t xml:space="preserve">on cost savings to consumers. In the medium to longer term, LNGs would pose a risk to the standard-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Based on DG Competition’s contacts with stakeholders and the evidence gathered in the</w:t>
      </w:r>
      <w:r>
        <w:t xml:space="preserve"> </w:t>
      </w:r>
      <w:r>
        <w:t xml:space="preserve">evaluation and impact assessment, it appears that there is uncertainty among stakeholders</w:t>
      </w:r>
      <w:r>
        <w:t xml:space="preserve"> </w:t>
      </w:r>
      <w:r>
        <w:t xml:space="preserve">regarding the application of Article 101 TFEU to LNGs and indeed about whether it is</w:t>
      </w:r>
      <w:r>
        <w:t xml:space="preserve"> </w:t>
      </w:r>
      <w:r>
        <w:t xml:space="preserve">possible to set up and operate LNGs in compliance with competition law. It also appears that</w:t>
      </w:r>
      <w:r>
        <w:t xml:space="preserve"> </w:t>
      </w:r>
      <w:r>
        <w:t xml:space="preserve">this uncertainty has led to a reluctance by implementers to set up LNGs, for fear of infringing</w:t>
      </w:r>
      <w:r>
        <w:t xml:space="preserve"> </w:t>
      </w:r>
      <w:r>
        <w:t xml:space="preserve">competition law and incurring sanctions73.</w:t>
      </w:r>
      <w:r>
        <w:t xml:space="preserve"> </w:t>
      </w:r>
      <w:r>
        <w:t xml:space="preserve">This uncertainty is illustrated by the recent request for informal guidance made by a group of</w:t>
      </w:r>
      <w:r>
        <w:t xml:space="preserve"> </w:t>
      </w:r>
      <w:r>
        <w:t xml:space="preserve">car manufacturers wishing to set up an LNG to negotiate the terms of SEPs licences for cars</w:t>
      </w:r>
      <w:r>
        <w:t xml:space="preserve"> </w:t>
      </w:r>
      <w:r>
        <w:t xml:space="preserve">(the Automotive LNG or “ALNG”)74. The fact that the Commission decided to issue an</w:t>
      </w:r>
      <w:r>
        <w:t xml:space="preserve"> </w:t>
      </w:r>
      <w:r>
        <w:t xml:space="preserve">informal guidance letter in that case75 (only two such letters have been issued since this</w:t>
      </w:r>
      <w:r>
        <w:t xml:space="preserve"> </w:t>
      </w:r>
      <w:r>
        <w:t xml:space="preserve">power was introduced in 2003) confirms that LNGs raise novel competition law issues.</w:t>
      </w:r>
      <w:r>
        <w:t xml:space="preserve"> </w:t>
      </w:r>
      <w:r>
        <w:t xml:space="preserve">Although the ALNG guidance letter has been published, the letter makes clear that the</w:t>
      </w:r>
      <w:r>
        <w:t xml:space="preserve"> </w:t>
      </w:r>
      <w:r>
        <w:t xml:space="preserve">guidance is limited to the facts of that case76. It therefore cannot be relied upon by other</w:t>
      </w:r>
      <w:r>
        <w:t xml:space="preserve"> </w:t>
      </w:r>
      <w:r>
        <w:t xml:space="preserve">businesses for the assessment of other LNGs. Indeed, DG Competition has been approached</w:t>
      </w:r>
      <w:r>
        <w:t xml:space="preserve"> </w:t>
      </w:r>
      <w:r>
        <w:t xml:space="preserve">informally by implementers in other sectors wishing to explore the possibility of setting up</w:t>
      </w:r>
      <w:r>
        <w:t xml:space="preserve"> </w:t>
      </w:r>
      <w:r>
        <w:t xml:space="preserve">LNGs.</w:t>
      </w:r>
      <w:r>
        <w:t xml:space="preserve"> </w:t>
      </w:r>
      <w:r>
        <w:t xml:space="preserve">The problem of legal uncertainty is exacerbated by the risk of diverging regulatory</w:t>
      </w:r>
      <w:r>
        <w:t xml:space="preserve"> </w:t>
      </w:r>
      <w:r>
        <w:t xml:space="preserve">approaches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Union.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shares</w:t>
      </w:r>
      <w:r>
        <w:t xml:space="preserve"> </w:t>
      </w:r>
      <w:r>
        <w:t xml:space="preserve">competence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Article 101 TFEU with the national competition authorities (“NCAs”). Given that LNGs may</w:t>
      </w:r>
      <w:r>
        <w:t xml:space="preserve"> </w:t>
      </w:r>
      <w:r>
        <w:t xml:space="preserve">involve collective negotiations between implementers and technology owners located in more</w:t>
      </w:r>
      <w:r>
        <w:t xml:space="preserve"> </w:t>
      </w:r>
      <w:r>
        <w:t xml:space="preserve">than one Member State, NCAs may reach differing conclusions regarding their legality. The</w:t>
      </w:r>
      <w:r>
        <w:t xml:space="preserve"> </w:t>
      </w:r>
      <w:r>
        <w:t xml:space="preserve">absence of Commission guidance on the competition law assessment of LNGs increases this</w:t>
      </w:r>
      <w:r>
        <w:t xml:space="preserve"> </w:t>
      </w:r>
      <w:r>
        <w:t xml:space="preserve">risk77. Concretely, where an LNG consists of technology implementers based in multiple</w:t>
      </w:r>
      <w:r>
        <w:t xml:space="preserve"> </w:t>
      </w:r>
      <w:r>
        <w:t xml:space="preserve">Member States and/or seeks to engage with technology owners based in multiple Member</w:t>
      </w:r>
      <w:r>
        <w:t xml:space="preserve"> </w:t>
      </w:r>
      <w:r>
        <w:t xml:space="preserve">States, and the NCA of one or more of those Member States finds that the LNG infringes</w:t>
      </w:r>
      <w:r>
        <w:t xml:space="preserve"> </w:t>
      </w:r>
      <w:r>
        <w:t xml:space="preserve">Article 101, this is likely to lead to the termination of the LNG throughout the Union.</w:t>
      </w:r>
      <w:r>
        <w:t xml:space="preserve"> </w:t>
      </w:r>
      <w:r>
        <w:t xml:space="preserve">As regards the scale of the problem, DG Competition has so far been informed about plans to</w:t>
      </w:r>
      <w:r>
        <w:t xml:space="preserve"> </w:t>
      </w:r>
      <w:r>
        <w:t xml:space="preserve">set up LNGs in three sectors, involving 1-10 undertakings in each case. Evidence gathered</w:t>
      </w:r>
      <w:r>
        <w:t xml:space="preserve"> </w:t>
      </w:r>
      <w:r>
        <w:t xml:space="preserve">during the evaluation and impact assessment indicates that implementers consider that LNGs</w:t>
      </w:r>
    </w:p>
    <w:p>
      <w:pPr>
        <w:pStyle w:val="BodyText"/>
      </w:pPr>
      <w:r>
        <w:t xml:space="preserve">development and licensing-based monetization strategies that have supported the wireless communications</w:t>
      </w:r>
      <w:r>
        <w:t xml:space="preserve"> </w:t>
      </w:r>
      <w:r>
        <w:t xml:space="preserve">industry’s iterative model of technology development.”</w:t>
      </w:r>
      <w:r>
        <w:t xml:space="preserve"> </w:t>
      </w:r>
      <w:r>
        <w:t xml:space="preserve">73 This was confirmed by the replies to the impact assessment public consultation questionnaire. When asked</w:t>
      </w:r>
      <w:r>
        <w:t xml:space="preserve"> </w:t>
      </w:r>
      <w:r>
        <w:t xml:space="preserve">whether the guidance on joint purchasing agreements in Chapter 4 of the Horizontal Guidelines provides an</w:t>
      </w:r>
      <w:r>
        <w:t xml:space="preserve"> </w:t>
      </w:r>
      <w:r>
        <w:t xml:space="preserve">appropriate analytical framework for assessing LNGs, the majority of respondents answered in the negative.</w:t>
      </w:r>
      <w:r>
        <w:br/>
      </w:r>
      <w:r>
        <w:t xml:space="preserve">74 Pursuant to the Informal Guidance Notice, the Commission may provide informal guidance to businesses in</w:t>
      </w:r>
      <w:r>
        <w:t xml:space="preserve"> </w:t>
      </w:r>
      <w:r>
        <w:t xml:space="preserve">cases which present novel or unresolved questions for the application of Articles 101 or 102 TFEU; see</w:t>
      </w:r>
      <w:r>
        <w:t xml:space="preserve"> </w:t>
      </w:r>
      <w:r>
        <w:t xml:space="preserve">Commission Notice on informal guidance relating to novel or unresolved questions concerning Articles 101</w:t>
      </w:r>
      <w:r>
        <w:t xml:space="preserve"> </w:t>
      </w:r>
      <w:r>
        <w:t xml:space="preserve">and 102 of the Treaty on the Functioning of the European Union that arise in individual cases (guidance</w:t>
      </w:r>
      <w:r>
        <w:t xml:space="preserve"> </w:t>
      </w:r>
      <w:r>
        <w:t xml:space="preserve">letters), OJ C 381, 4.10.22, pp. 9-13.</w:t>
      </w:r>
      <w:r>
        <w:t xml:space="preserve"> </w:t>
      </w:r>
      <w:r>
        <w:t xml:space="preserve">75 See the Commission press release of 9 July 2025 on the issuance of an informal guidance letter relating to</w:t>
      </w:r>
      <w:r>
        <w:br/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Automotive</w:t>
      </w:r>
      <w:r>
        <w:t xml:space="preserve"> </w:t>
      </w:r>
      <w:r>
        <w:t xml:space="preserve">Licensing</w:t>
      </w:r>
      <w:r>
        <w:t xml:space="preserve"> </w:t>
      </w:r>
      <w:r>
        <w:t xml:space="preserve">Negotiation</w:t>
      </w:r>
      <w:r>
        <w:t xml:space="preserve"> </w:t>
      </w:r>
      <w:r>
        <w:t xml:space="preserve">Group:</w:t>
      </w:r>
      <w:r>
        <w:t xml:space="preserve"> </w:t>
      </w:r>
      <w:r>
        <w:t xml:space="preserve">https://ec.europa.eu/commission/presscorner/detail/mt/ip_25_1768.</w:t>
      </w:r>
      <w:r>
        <w:br/>
      </w:r>
      <w:r>
        <w:t xml:space="preserve">76 See</w:t>
      </w:r>
      <w:r>
        <w:t xml:space="preserve"> </w:t>
      </w:r>
      <w:r>
        <w:t xml:space="preserve">paragraph 32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ALNG</w:t>
      </w:r>
      <w:r>
        <w:t xml:space="preserve"> </w:t>
      </w:r>
      <w:r>
        <w:t xml:space="preserve">informal</w:t>
      </w:r>
      <w:r>
        <w:t xml:space="preserve"> </w:t>
      </w:r>
      <w:r>
        <w:t xml:space="preserve">guidance</w:t>
      </w:r>
      <w:r>
        <w:t xml:space="preserve"> </w:t>
      </w:r>
      <w:r>
        <w:t xml:space="preserve">letter:</w:t>
      </w:r>
      <w:r>
        <w:t xml:space="preserve"> </w:t>
      </w:r>
      <w:r>
        <w:t xml:space="preserve">https://ec.europa.eu/competition/antitrust/cases1/202536/AT_40979_104.pdf.</w:t>
      </w:r>
      <w:r>
        <w:t xml:space="preserve"> </w:t>
      </w:r>
      <w:r>
        <w:t xml:space="preserve">77 NCAs and national courts are not legally bound by Commission guidelines for the application of</w:t>
      </w:r>
      <w:r>
        <w:t xml:space="preserve"> </w:t>
      </w:r>
      <w:r>
        <w:t xml:space="preserve">Article 101 TFEU, however they typically take such guidelines into account in their enforcement practice.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may be useful, in particular, for the negotiation of licences of standard-essential technology</w:t>
      </w:r>
      <w:r>
        <w:t xml:space="preserve"> </w:t>
      </w:r>
      <w:r>
        <w:t xml:space="preserve">and pooled technology rights. Pools and technology licensing platforms now offer technology</w:t>
      </w:r>
      <w:r>
        <w:t xml:space="preserve"> </w:t>
      </w:r>
      <w:r>
        <w:t xml:space="preserve">packages targeted at several sectors, including automotive, logistics, healthcare, domestic</w:t>
      </w:r>
      <w:r>
        <w:t xml:space="preserve"> </w:t>
      </w:r>
      <w:r>
        <w:t xml:space="preserve">appliances and consumer electronics78. It therefore appears that LNGs may be of interest for</w:t>
      </w:r>
      <w:r>
        <w:t xml:space="preserve"> </w:t>
      </w:r>
      <w:r>
        <w:t xml:space="preserve">implementers in a range of economic sectors.</w:t>
      </w:r>
      <w:r>
        <w:br/>
      </w:r>
      <w:r>
        <w:t xml:space="preserve">2.2.</w:t>
      </w:r>
      <w:r>
        <w:t xml:space="preserve"> </w:t>
      </w:r>
      <w:r>
        <w:t xml:space="preserve">Other areas of the rules that are not the subject of policy options</w:t>
      </w:r>
      <w:r>
        <w:t xml:space="preserve"> </w:t>
      </w:r>
      <w:r>
        <w:t xml:space="preserve">In addition to the three problems set out in Section 2.1 above, the evaluation found that</w:t>
      </w:r>
      <w:r>
        <w:t xml:space="preserve"> </w:t>
      </w:r>
      <w:r>
        <w:t xml:space="preserve">market and other developments since the adoption of the TTBER and Guidelines raise</w:t>
      </w:r>
      <w:r>
        <w:t xml:space="preserve"> </w:t>
      </w:r>
      <w:r>
        <w:t xml:space="preserve">questions about the effectiveness and relevance of the rules in three other areas, namely:</w:t>
      </w:r>
      <w:r>
        <w:t xml:space="preserve"> </w:t>
      </w:r>
      <w:r>
        <w:t xml:space="preserve">(i) the soft safe harbour in the guidance on technology pools; (ii) the guidance on patent</w:t>
      </w:r>
      <w:r>
        <w:t xml:space="preserve"> </w:t>
      </w:r>
      <w:r>
        <w:t xml:space="preserve">dispute settlement agreements, and (iii) the coherence of certain provisions of the TTBER</w:t>
      </w:r>
      <w:r>
        <w:t xml:space="preserve"> </w:t>
      </w:r>
      <w:r>
        <w:t xml:space="preserve">with equivalent provisions in other recently revised block exemption regulations79.</w:t>
      </w:r>
      <w:r>
        <w:t xml:space="preserve"> </w:t>
      </w:r>
      <w:r>
        <w:t xml:space="preserve">The proposed changes to these areas of the rules consist mainly of technical amendments80 or</w:t>
      </w:r>
      <w:r>
        <w:t xml:space="preserve"> </w:t>
      </w:r>
      <w:r>
        <w:t xml:space="preserve">clarifications that do not allow for the formulation of meaningful policy options. For</w:t>
      </w:r>
      <w:r>
        <w:t xml:space="preserve"> </w:t>
      </w:r>
      <w:r>
        <w:t xml:space="preserve">example, regarding the soft safe harbour for technology pools, the evaluation and impact</w:t>
      </w:r>
      <w:r>
        <w:t xml:space="preserve"> </w:t>
      </w:r>
      <w:r>
        <w:t xml:space="preserve">assessment confirmed the continued relevance of the soft safe harbour, but indicated that the</w:t>
      </w:r>
      <w:r>
        <w:t xml:space="preserve"> </w:t>
      </w:r>
      <w:r>
        <w:t xml:space="preserve">effectiveness of some of its conditions could be improved. The proposed changes therefore</w:t>
      </w:r>
      <w:r>
        <w:t xml:space="preserve"> </w:t>
      </w:r>
      <w:r>
        <w:t xml:space="preserve">further specify some of these conditions. As these changes are not the subject of policy</w:t>
      </w:r>
      <w:r>
        <w:t xml:space="preserve"> </w:t>
      </w:r>
      <w:r>
        <w:t xml:space="preserve">options, they are not discussed further in this report.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consequences of the problems and who is affected?</w:t>
      </w:r>
      <w:r>
        <w:t xml:space="preserve"> </w:t>
      </w:r>
      <w:r>
        <w:t xml:space="preserve">The problems described above primarily affect businesses that use the TTBER and</w:t>
      </w:r>
      <w:r>
        <w:t xml:space="preserve"> </w:t>
      </w:r>
      <w:r>
        <w:t xml:space="preserve">Guidelines to assess the compatibility of their technology transfer agreements with the</w:t>
      </w:r>
      <w:r>
        <w:t xml:space="preserve"> </w:t>
      </w:r>
      <w:r>
        <w:t xml:space="preserve">EU competition rules.</w:t>
      </w:r>
      <w:r>
        <w:br/>
      </w:r>
      <w:r>
        <w:t xml:space="preserve">To the extent that, in the areas identified above, the rules do not function well or as well as</w:t>
      </w:r>
      <w:r>
        <w:t xml:space="preserve"> </w:t>
      </w:r>
      <w:r>
        <w:t xml:space="preserve">they could, they do not fully meet their objectives81, leading, in particular, to a lack of</w:t>
      </w:r>
      <w:r>
        <w:t xml:space="preserve"> </w:t>
      </w:r>
      <w:r>
        <w:t xml:space="preserve">effectiveness and efficiency82.</w:t>
      </w:r>
    </w:p>
    <w:p>
      <w:pPr>
        <w:pStyle w:val="BodyText"/>
      </w:pPr>
      <w:r>
        <w:t xml:space="preserve">78 See, for example, the websites of Avanci (https://www.avanci.com/) and Sisvel (https://www.sisvel.com).</w:t>
      </w:r>
      <w:r>
        <w:t xml:space="preserve"> </w:t>
      </w:r>
      <w:r>
        <w:t xml:space="preserve">79 See Section 5.1 of the Evaluation Report (Conclusions).</w:t>
      </w:r>
      <w:r>
        <w:t xml:space="preserve"> </w:t>
      </w:r>
      <w:r>
        <w:t xml:space="preserve">80 In particular, the evaluation found that the TTBER and Guidelines do not reflect recent case law and</w:t>
      </w:r>
      <w:r>
        <w:t xml:space="preserve"> </w:t>
      </w:r>
      <w:r>
        <w:t xml:space="preserve">decisional practice in relation to: (i) the concept of potential competitor; (ii) patent litigation settlement</w:t>
      </w:r>
      <w:r>
        <w:t xml:space="preserve"> </w:t>
      </w:r>
      <w:r>
        <w:t xml:space="preserve">agreements, in particular pay-for-delay agreements, and (iii) the approach towards (non-software) copyright</w:t>
      </w:r>
      <w:r>
        <w:t xml:space="preserve"> </w:t>
      </w:r>
      <w:r>
        <w:t xml:space="preserve">licences. The evaluation also found that, unlike the recently revised block exemption regulations for</w:t>
      </w:r>
      <w:r>
        <w:t xml:space="preserve"> </w:t>
      </w:r>
      <w:r>
        <w:t xml:space="preserve">horizontal agreements and vertical agreements, the TTBER does not contain definitions of ‘active’ and</w:t>
      </w:r>
      <w:r>
        <w:t xml:space="preserve"> </w:t>
      </w:r>
      <w:r>
        <w:t xml:space="preserve">‘passive’ sales, which are concepts that are relevant for the application of the TTBER’s list of hardcore</w:t>
      </w:r>
      <w:r>
        <w:t xml:space="preserve"> </w:t>
      </w:r>
      <w:r>
        <w:t xml:space="preserve">restrictions.</w:t>
      </w:r>
      <w:r>
        <w:t xml:space="preserve"> </w:t>
      </w:r>
      <w:r>
        <w:t xml:space="preserve">81 In particular, the objective of providing businesses with simpler, clearer and up-to-date rules and guidance</w:t>
      </w:r>
      <w:r>
        <w:t xml:space="preserve"> </w:t>
      </w:r>
      <w:r>
        <w:t xml:space="preserve">that can help them to assess the compliance of their technology-related agreements with Article 101 TFEU.</w:t>
      </w:r>
      <w:r>
        <w:t xml:space="preserve"> </w:t>
      </w:r>
      <w:r>
        <w:t xml:space="preserve">The objectives of the TTBER and Guidelines are explained in more detail in Section 2.1.3 of the Evaluation</w:t>
      </w:r>
      <w:r>
        <w:t xml:space="preserve"> </w:t>
      </w:r>
      <w:r>
        <w:t xml:space="preserve">Report and in Section 4 below.</w:t>
      </w:r>
      <w:r>
        <w:t xml:space="preserve"> </w:t>
      </w:r>
      <w:r>
        <w:t xml:space="preserve">82 See, for example, the Evaluation Report, pp. 28-31 and 35-36; see also pages 84-86 of the Evaluation</w:t>
      </w:r>
      <w:r>
        <w:t xml:space="preserve"> </w:t>
      </w:r>
      <w:r>
        <w:t xml:space="preserve">Support Study, which state that the practical difficulties encountered in relation to the TTBER’s market</w:t>
      </w:r>
      <w:r>
        <w:t xml:space="preserve"> </w:t>
      </w:r>
      <w:r>
        <w:t xml:space="preserve">share thresholds affect the TTBER’s relevance and effectiveness (the latter in the sense of encouraging pro-</w:t>
      </w:r>
      <w:r>
        <w:t xml:space="preserve"> </w:t>
      </w:r>
      <w:r>
        <w:t xml:space="preserve">competitive licensing).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In the evaluation and impact assessment83, stakeholders stated that legal certainty is an</w:t>
      </w:r>
      <w:r>
        <w:t xml:space="preserve"> </w:t>
      </w:r>
      <w:r>
        <w:t xml:space="preserve">important factor that leads to lower compliance costs and influences their commercial</w:t>
      </w:r>
      <w:r>
        <w:t xml:space="preserve"> </w:t>
      </w:r>
      <w:r>
        <w:t xml:space="preserve">strategy.</w:t>
      </w:r>
      <w:r>
        <w:br/>
      </w:r>
      <w:r>
        <w:t xml:space="preserve">Compliance costs for businesses consist mainly of internal resources and the cost of external</w:t>
      </w:r>
      <w:r>
        <w:t xml:space="preserve"> </w:t>
      </w:r>
      <w:r>
        <w:t xml:space="preserve">advisers – notably lawyers and economists – employed to ensure that technology-related</w:t>
      </w:r>
      <w:r>
        <w:t xml:space="preserve"> </w:t>
      </w:r>
      <w:r>
        <w:t xml:space="preserve">agreements comply with Article 101 TFEU. Stakeholders emphasised that these costs would</w:t>
      </w:r>
      <w:r>
        <w:t xml:space="preserve"> </w:t>
      </w:r>
      <w:r>
        <w:t xml:space="preserve">increase in the absence of the TTBER and Guidelines, as the legal certainty provided by these</w:t>
      </w:r>
      <w:r>
        <w:t xml:space="preserve"> </w:t>
      </w:r>
      <w:r>
        <w:t xml:space="preserve">instruments would decrease or disappear. They also indicated that the low level of legal</w:t>
      </w:r>
      <w:r>
        <w:t xml:space="preserve"> </w:t>
      </w:r>
      <w:r>
        <w:t xml:space="preserve">certainty in the areas where the rules were considered to be not functioning well is primarily</w:t>
      </w:r>
      <w:r>
        <w:t xml:space="preserve"> </w:t>
      </w:r>
      <w:r>
        <w:t xml:space="preserve">caused by the complexity of certain provisions, and the fact that the rules do not currently</w:t>
      </w:r>
      <w:r>
        <w:t xml:space="preserve"> </w:t>
      </w:r>
      <w:r>
        <w:t xml:space="preserve">provide guidance in relation to certain emerging market practices84.</w:t>
      </w:r>
      <w:r>
        <w:br/>
      </w:r>
      <w:r>
        <w:t xml:space="preserve">However, it proved particularly difficult to obtain quantitative evidence on compliance costs,</w:t>
      </w:r>
      <w:r>
        <w:t xml:space="preserve"> </w:t>
      </w:r>
      <w:r>
        <w:t xml:space="preserve">even when using targeted stakeholder surveys85. Although stakeholder participation in these</w:t>
      </w:r>
      <w:r>
        <w:t xml:space="preserve"> </w:t>
      </w:r>
      <w:r>
        <w:t xml:space="preserve">surveys was limited, stakeholders did provide some indications of the magnitude of these</w:t>
      </w:r>
      <w:r>
        <w:t xml:space="preserve"> </w:t>
      </w:r>
      <w:r>
        <w:t xml:space="preserve">costs86. Based on this feedback, it is estimated that: (i) assessing compliance with the TTBER</w:t>
      </w:r>
      <w:r>
        <w:t xml:space="preserve"> </w:t>
      </w:r>
      <w:r>
        <w:t xml:space="preserve">typically requires between 0.25 to 6 full days per agreement87, giving an average of</w:t>
      </w:r>
      <w:r>
        <w:t xml:space="preserve"> </w:t>
      </w:r>
      <w:r>
        <w:t xml:space="preserve">3.125 days; and that (ii) coverage of an agreement by the TTBER and Guidelines reduces</w:t>
      </w:r>
      <w:r>
        <w:t xml:space="preserve"> </w:t>
      </w:r>
      <w:r>
        <w:t xml:space="preserve">businesses’ compliance costs significantly – by an average of 33% – compared with a</w:t>
      </w:r>
      <w:r>
        <w:t xml:space="preserve"> </w:t>
      </w:r>
      <w:r>
        <w:t xml:space="preserve">situation in which the assessment has to be performed solely on the basis of Article 101</w:t>
      </w:r>
      <w:r>
        <w:t xml:space="preserve"> </w:t>
      </w:r>
      <w:r>
        <w:t xml:space="preserve">TFEU and the case law88. The present impact assessment therefore relies primarily on</w:t>
      </w:r>
      <w:r>
        <w:t xml:space="preserve"> </w:t>
      </w:r>
      <w:r>
        <w:t xml:space="preserve">qualitative evidence, in particular the qualitative feedback of stakeholders on the proposed</w:t>
      </w:r>
      <w:r>
        <w:t xml:space="preserve"> </w:t>
      </w:r>
      <w:r>
        <w:t xml:space="preserve">policy options, as well as the Commission’s enforcement experience and the legal and</w:t>
      </w:r>
      <w:r>
        <w:t xml:space="preserve"> </w:t>
      </w:r>
      <w:r>
        <w:t xml:space="preserve">economic literature on technology licensing. Quantitative evidence has been provided where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83 See, for example, pages 27 and 35-36 of the Evaluation Report and page 309 of the Evaluation Support</w:t>
      </w:r>
      <w:r>
        <w:t xml:space="preserve"> </w:t>
      </w:r>
      <w:r>
        <w:t xml:space="preserve">Study.</w:t>
      </w:r>
      <w:r>
        <w:t xml:space="preserve"> </w:t>
      </w:r>
      <w:r>
        <w:t xml:space="preserve">84 See, for example, Evaluation Report pp. 28-29, 40-42.</w:t>
      </w:r>
      <w:r>
        <w:br/>
      </w:r>
      <w:r>
        <w:t xml:space="preserve">85 The evaluation showed that these costs are challenging for stakeholders to quantify, for instance because</w:t>
      </w:r>
      <w:r>
        <w:t xml:space="preserve"> </w:t>
      </w:r>
      <w:r>
        <w:t xml:space="preserve">they assess the compliance of their activities with the law in general, without distinguishing between</w:t>
      </w:r>
      <w:r>
        <w:t xml:space="preserve"> </w:t>
      </w:r>
      <w:r>
        <w:t xml:space="preserve">competition law and other applicable legislation. See the Evaluation Support Study, pp. 91 and 110. The</w:t>
      </w:r>
      <w:r>
        <w:t xml:space="preserve"> </w:t>
      </w:r>
      <w:r>
        <w:t xml:space="preserve">evaluation attempted to gather data through stakeholder interviews, however participation was relatively</w:t>
      </w:r>
      <w:r>
        <w:t xml:space="preserve"> </w:t>
      </w:r>
      <w:r>
        <w:t xml:space="preserve">limited and the interviews yielded only very general information. See the Evaluation Report, p. 36 and the</w:t>
      </w:r>
      <w:r>
        <w:t xml:space="preserve"> </w:t>
      </w:r>
      <w:r>
        <w:t xml:space="preserve">Evaluation Support Study, pp. 19–25. To attempt to overcome these challenges in the impact assessment,</w:t>
      </w:r>
      <w:r>
        <w:t xml:space="preserve"> </w:t>
      </w:r>
      <w:r>
        <w:t xml:space="preserve">participants in the reality check workshop were asked a series of simple questions about their compliance</w:t>
      </w:r>
      <w:r>
        <w:t xml:space="preserve"> </w:t>
      </w:r>
      <w:r>
        <w:t xml:space="preserve">assessment costs. Although participation in this survey was relatively limited, it did provide some</w:t>
      </w:r>
      <w:r>
        <w:t xml:space="preserve"> </w:t>
      </w:r>
      <w:r>
        <w:t xml:space="preserve">indications of the magnitude of these costs; see Section 2.3 of Annex 2. Similar quantification challenges</w:t>
      </w:r>
      <w:r>
        <w:t xml:space="preserve"> </w:t>
      </w:r>
      <w:r>
        <w:t xml:space="preserve">were encountered in the recent revisions of the block exemption regulations and guidelines for vertical</w:t>
      </w:r>
      <w:r>
        <w:t xml:space="preserve"> </w:t>
      </w:r>
      <w:r>
        <w:t xml:space="preserve">agreements and horizontal agreements; see, for example, the Commission Staff Working Document,</w:t>
      </w:r>
      <w:r>
        <w:t xml:space="preserve"> </w:t>
      </w:r>
      <w:r>
        <w:t xml:space="preserve">Evaluation of the Vertical Block Exemption Regulation, SWD(2020) 172 final, p. 27, available at</w:t>
      </w:r>
      <w:r>
        <w:t xml:space="preserve"> </w:t>
      </w:r>
      <w:r>
        <w:t xml:space="preserve">https://op.europa.eu/en/publication-detail/-/publication/04939c28-19f0-11eb-b57e-01aa75ed71a1/language-</w:t>
      </w:r>
      <w:r>
        <w:t xml:space="preserve"> </w:t>
      </w:r>
      <w:r>
        <w:t xml:space="preserve">en.</w:t>
      </w:r>
      <w:r>
        <w:t xml:space="preserve"> </w:t>
      </w:r>
      <w:r>
        <w:t xml:space="preserve">86 See Section 2.3 of Annex 2.</w:t>
      </w:r>
      <w:r>
        <w:t xml:space="preserve"> </w:t>
      </w:r>
      <w:r>
        <w:t xml:space="preserve">87 See the Evaluation Support Study, pp. 91, 225-227. This order of magnitude is consistent with the results of</w:t>
      </w:r>
      <w:r>
        <w:t xml:space="preserve"> </w:t>
      </w:r>
      <w:r>
        <w:t xml:space="preserve">the survey conducted at the reality check workshop (see Section 2.3 of Annex 2). According to that survey,</w:t>
      </w:r>
      <w:r>
        <w:t xml:space="preserve"> </w:t>
      </w:r>
      <w:r>
        <w:t xml:space="preserve">businesses spend on average 3.04 days per licensing agreement to assess compliance with competition law.</w:t>
      </w:r>
      <w:r>
        <w:br/>
      </w:r>
      <w:r>
        <w:t xml:space="preserve">88 See Section 2.3 of Annex 2.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Beyond its impact on compliance assessment costs, a low level of legal certainty can also</w:t>
      </w:r>
      <w:r>
        <w:t xml:space="preserve"> </w:t>
      </w:r>
      <w:r>
        <w:t xml:space="preserve">influence firms’ commercial strategy. Economic literature shows that legal uncertainty may</w:t>
      </w:r>
      <w:r>
        <w:t xml:space="preserve"> </w:t>
      </w:r>
      <w:r>
        <w:t xml:space="preserve">lead firms to delay or avoid business conduct that is pro-competitive89, including pro-</w:t>
      </w:r>
      <w:r>
        <w:t xml:space="preserve"> </w:t>
      </w:r>
      <w:r>
        <w:t xml:space="preserve">competitive licensing agreements. This is confirmed by the evaluations of other block</w:t>
      </w:r>
      <w:r>
        <w:t xml:space="preserve"> </w:t>
      </w:r>
      <w:r>
        <w:t xml:space="preserve">exemption regulations, such as the Vertical Block Exemption Regulation, where some SMEs</w:t>
      </w:r>
      <w:r>
        <w:t xml:space="preserve"> </w:t>
      </w:r>
      <w:r>
        <w:t xml:space="preserve">reported that uncertainty regarding the assessment of their agreements discouraged them from</w:t>
      </w:r>
      <w:r>
        <w:t xml:space="preserve"> </w:t>
      </w:r>
      <w:r>
        <w:t xml:space="preserve">pursuing these agreements altogether90. Clearer and more predictable competition rules can,</w:t>
      </w:r>
      <w:r>
        <w:t xml:space="preserve"> </w:t>
      </w:r>
      <w:r>
        <w:t xml:space="preserve">conversely, encourage contracting, by enabling businesses to better assess their compliance</w:t>
      </w:r>
      <w:r>
        <w:t xml:space="preserve"> </w:t>
      </w:r>
      <w:r>
        <w:t xml:space="preserve">with Article 101 TFEU. In addition, increased legal certainty may deter forms of cooperation</w:t>
      </w:r>
      <w:r>
        <w:t xml:space="preserve"> </w:t>
      </w:r>
      <w:r>
        <w:t xml:space="preserve">that are more likely to be incompatible with competition law91.</w:t>
      </w:r>
      <w:r>
        <w:t xml:space="preserve"> </w:t>
      </w:r>
      <w:r>
        <w:t xml:space="preserve">As the TTBER and the Guidelines are also used by SMEs92, SMEs are also affected by the</w:t>
      </w:r>
      <w:r>
        <w:t xml:space="preserve"> </w:t>
      </w:r>
      <w:r>
        <w:t xml:space="preserve">low level of legal certainty mentioned above. Although there was limited direct participation</w:t>
      </w:r>
      <w:r>
        <w:t xml:space="preserve"> </w:t>
      </w:r>
      <w:r>
        <w:t xml:space="preserve">from SMEs in the evaluation and impact assessment (see Annex 6), other evidence suggests</w:t>
      </w:r>
      <w:r>
        <w:t xml:space="preserve"> </w:t>
      </w:r>
      <w:r>
        <w:t xml:space="preserve">that greater legal certainty would also be helpful for SMEs. For instance, the Evaluation</w:t>
      </w:r>
      <w:r>
        <w:t xml:space="preserve"> </w:t>
      </w:r>
      <w:r>
        <w:t xml:space="preserve">Support Study notes that, for SMEs, the cost of obtaining specialised legal advice may be too</w:t>
      </w:r>
      <w:r>
        <w:t xml:space="preserve"> </w:t>
      </w:r>
      <w:r>
        <w:t xml:space="preserve">high, making simple compliance assessment tools particularly useful for them93.</w:t>
      </w:r>
      <w:r>
        <w:br/>
      </w:r>
      <w:r>
        <w:t xml:space="preserve">The difficulty of determining whether technology transfer agreements meet the TTBER’s</w:t>
      </w:r>
      <w:r>
        <w:t xml:space="preserve"> </w:t>
      </w:r>
      <w:r>
        <w:t xml:space="preserve">market share thresholds for technology markets</w:t>
      </w:r>
      <w:r>
        <w:t xml:space="preserve"> </w:t>
      </w:r>
      <w:r>
        <w:t xml:space="preserve">As regards the TTBER’s market share thresholds for technology markets, the problem</w:t>
      </w:r>
      <w:r>
        <w:t xml:space="preserve"> </w:t>
      </w:r>
      <w:r>
        <w:t xml:space="preserve">identified above leads to legal uncertainty and increased compliance assessment costs for</w:t>
      </w:r>
      <w:r>
        <w:t xml:space="preserve"> </w:t>
      </w:r>
      <w:r>
        <w:t xml:space="preserve">businesses, particularly where technologies are at an early stage of uptake. This affects</w:t>
      </w:r>
      <w:r>
        <w:t xml:space="preserve"> </w:t>
      </w:r>
      <w:r>
        <w:t xml:space="preserve">businesses that wish to enter into technology licensing agreements.</w:t>
      </w:r>
      <w:r>
        <w:br/>
      </w:r>
      <w:r>
        <w:t xml:space="preserve">While precise quantification of the number of affected businesses and agreements is</w:t>
      </w:r>
      <w:r>
        <w:t xml:space="preserve"> </w:t>
      </w:r>
      <w:r>
        <w:t xml:space="preserve">challenging, this report provides indicative estimates based on extrapolation, combining</w:t>
      </w:r>
      <w:r>
        <w:t xml:space="preserve"> </w:t>
      </w:r>
      <w:r>
        <w:t xml:space="preserve">earlier economic research and a set of assumptions. The number of bilateral patent licensing</w:t>
      </w:r>
      <w:r>
        <w:t xml:space="preserve"> </w:t>
      </w:r>
      <w:r>
        <w:t xml:space="preserve">agreements concerning EU patents likely to be concluded annually is estimated to lie between</w:t>
      </w:r>
      <w:r>
        <w:t xml:space="preserve"> </w:t>
      </w:r>
      <w:r>
        <w:t xml:space="preserve">1,500 and 6,00094. Although this estimate considers only patent licensing agreements, and</w:t>
      </w:r>
    </w:p>
    <w:p>
      <w:pPr>
        <w:pStyle w:val="BodyText"/>
      </w:pPr>
      <w:r>
        <w:t xml:space="preserve">89 See, for example, Broulik, J., ‘Predictability: a mistreated virtue of competition law’, Journal of Antitrust</w:t>
      </w:r>
      <w:r>
        <w:t xml:space="preserve"> </w:t>
      </w:r>
      <w:r>
        <w:t xml:space="preserve">Enforcement, 12, 2024, pp. 363.</w:t>
      </w:r>
      <w:r>
        <w:t xml:space="preserve"> </w:t>
      </w:r>
      <w:r>
        <w:t xml:space="preserve">90 Commission SWD, Evaluation of the Vertical Block Exemption Regulation, SWD(2020) 172 final, p. 61,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https://op.europa.eu/en/publication-detail/-/publication/04939c28-19f0-11eb-b57e-</w:t>
      </w:r>
      <w:r>
        <w:t xml:space="preserve"> </w:t>
      </w:r>
      <w:r>
        <w:t xml:space="preserve">01aa75ed71a1/language-en.</w:t>
      </w:r>
      <w:r>
        <w:t xml:space="preserve"> </w:t>
      </w:r>
      <w:r>
        <w:t xml:space="preserve">91 See, for example, Broulik, J., ‘Predictability: a mistreated virtue of competition law’, pp. 364 et seq.,</w:t>
      </w:r>
      <w:r>
        <w:t xml:space="preserve"> </w:t>
      </w:r>
      <w:r>
        <w:t xml:space="preserve">mentioned at footnote 89.</w:t>
      </w:r>
      <w:r>
        <w:t xml:space="preserve"> </w:t>
      </w:r>
      <w:r>
        <w:t xml:space="preserve">92 See, for example, the Evaluation Support Study, pp. 28, 192.</w:t>
      </w:r>
      <w:r>
        <w:t xml:space="preserve"> </w:t>
      </w:r>
      <w:r>
        <w:t xml:space="preserve">93 See the Evaluation Support Study, p. 29.</w:t>
      </w:r>
      <w:r>
        <w:t xml:space="preserve"> </w:t>
      </w:r>
      <w:r>
        <w:t xml:space="preserve">94 This extrapolation is based on the following assumptions and data: 1. The empirical surveys by</w:t>
      </w:r>
      <w:r>
        <w:t xml:space="preserve"> </w:t>
      </w:r>
      <w:r>
        <w:t xml:space="preserve">Gambardella, A., et al., and by Torrisi, S., et al., (see footnotes 11 and 12 of this Report) suggest that</w:t>
      </w:r>
      <w:r>
        <w:t xml:space="preserve"> </w:t>
      </w:r>
      <w:r>
        <w:t xml:space="preserve">between 6% and 11% of EPO patents are licensed; 2. EPO data indicate that approximately 110,000 patents</w:t>
      </w:r>
      <w:r>
        <w:t xml:space="preserve"> </w:t>
      </w:r>
      <w:r>
        <w:t xml:space="preserve">were granted in 2024 (see EPO, Patent Index 2024. Statistics at a glance, March 2025, p. 8, available at</w:t>
      </w:r>
      <w:r>
        <w:t xml:space="preserve"> </w:t>
      </w:r>
      <w:r>
        <w:t xml:space="preserve">epo.org); 3). Empirical literature shows that licensing agreements often bundle multiple patents, with some</w:t>
      </w:r>
      <w:r>
        <w:t xml:space="preserve"> </w:t>
      </w:r>
      <w:r>
        <w:t xml:space="preserve">agreements covering dozens of patents, and that patents may be licensed to more than one licensee. As data</w:t>
      </w:r>
      <w:r>
        <w:t xml:space="preserve"> </w:t>
      </w:r>
      <w:r>
        <w:t xml:space="preserve">on the average number of patents per licensing agreement and the average number of licensees per patent are</w:t>
      </w:r>
      <w:r>
        <w:t xml:space="preserve"> </w:t>
      </w:r>
      <w:r>
        <w:t xml:space="preserve">not available, the extrapolation relies on two assumptions: each licensing agreement contains between 2 and</w:t>
      </w:r>
      <w:r>
        <w:t xml:space="preserve"> </w:t>
      </w:r>
      <w:r>
        <w:t xml:space="preserve">4 patents, and each patent is licensed to 1 licensee. These assumptions are intended to reflect predominantly</w:t>
      </w:r>
      <w:r>
        <w:t xml:space="preserve"> </w:t>
      </w:r>
      <w:r>
        <w:t xml:space="preserve">bilateral licensing and to exclude patent pool and other multilateral licensing schemes (which do not fall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may therefore be conservative95, it can serve as a proxy for the number of agreements that</w:t>
      </w:r>
      <w:r>
        <w:t xml:space="preserve"> </w:t>
      </w:r>
      <w:r>
        <w:t xml:space="preserve">potentially fall within the scope of the TTBER and that are affected by the identified</w:t>
      </w:r>
      <w:r>
        <w:t xml:space="preserve"> </w:t>
      </w:r>
      <w:r>
        <w:t xml:space="preserve">problem. These figures should however be treated with caution, providing only a general</w:t>
      </w:r>
      <w:r>
        <w:t xml:space="preserve"> </w:t>
      </w:r>
      <w:r>
        <w:t xml:space="preserve">indication of the population affected by the identified problem96.</w:t>
      </w:r>
      <w:r>
        <w:t xml:space="preserve"> </w:t>
      </w:r>
      <w:r>
        <w:t xml:space="preserve">The main consequences of the problem can be summarised as follows. First, businesses that</w:t>
      </w:r>
      <w:r>
        <w:t xml:space="preserve"> </w:t>
      </w:r>
      <w:r>
        <w:t xml:space="preserve">enter into licensing agreements must engage in market definition and market share</w:t>
      </w:r>
      <w:r>
        <w:t xml:space="preserve"> </w:t>
      </w:r>
      <w:r>
        <w:t xml:space="preserve">calculations, which can be more complex when technologies are at an early stage of uptake.</w:t>
      </w:r>
      <w:r>
        <w:t xml:space="preserve"> </w:t>
      </w:r>
      <w:r>
        <w:t xml:space="preserve">Building on data provided by stakeholders, the compliance assessment costs required for</w:t>
      </w:r>
      <w:r>
        <w:t xml:space="preserve"> </w:t>
      </w:r>
      <w:r>
        <w:t xml:space="preserve">applying the TTBER’s market share thresholds are estimated at approximately EUR 787.5</w:t>
      </w:r>
      <w:r>
        <w:t xml:space="preserve"> </w:t>
      </w:r>
      <w:r>
        <w:t xml:space="preserve">per licensing agreement97. Applying this figure to the estimated population of the population</w:t>
      </w:r>
      <w:r>
        <w:t xml:space="preserve"> </w:t>
      </w:r>
      <w:r>
        <w:t xml:space="preserve">of affected agreements gives total compliance assessment costs of around EUR 1,181,250–</w:t>
      </w:r>
      <w:r>
        <w:t xml:space="preserve"> </w:t>
      </w:r>
      <w:r>
        <w:t xml:space="preserve">4,725,000 per year. Given the challenges of obtaining precise quantitative data, these figures</w:t>
      </w:r>
      <w:r>
        <w:t xml:space="preserve"> </w:t>
      </w:r>
      <w:r>
        <w:t xml:space="preserve">should be treated with caution, providing only a general indication of the main costs incurred</w:t>
      </w:r>
      <w:r>
        <w:t xml:space="preserve"> </w:t>
      </w:r>
      <w:r>
        <w:t xml:space="preserve">by businesses.</w:t>
      </w:r>
      <w:r>
        <w:br/>
      </w:r>
      <w:r>
        <w:t xml:space="preserve">Secondly, as shown by the results of the impact assessment public consultation98, some</w:t>
      </w:r>
      <w:r>
        <w:t xml:space="preserve"> </w:t>
      </w:r>
      <w:r>
        <w:t xml:space="preserve">businesses enter into technology transfer agreements without certainty regarding their</w:t>
      </w:r>
      <w:r>
        <w:t xml:space="preserve"> </w:t>
      </w:r>
      <w:r>
        <w:t xml:space="preserve">compliance with Article 101 TFEU, or carry out an individual assessment of the agreement</w:t>
      </w:r>
      <w:r>
        <w:t xml:space="preserve"> </w:t>
      </w:r>
      <w:r>
        <w:t xml:space="preserve">under Article 101, which is more complex and burdensome than assessing whether the</w:t>
      </w:r>
      <w:r>
        <w:t xml:space="preserve"> </w:t>
      </w:r>
      <w:r>
        <w:t xml:space="preserve">agreement meets the conditions of the TTBER.</w:t>
      </w:r>
    </w:p>
    <w:p>
      <w:pPr>
        <w:pStyle w:val="BodyText"/>
      </w:pPr>
      <w:r>
        <w:t xml:space="preserve">within the scope of the TTBER). Based on these assumptions, the range of estimated licensing agreements is</w:t>
      </w:r>
      <w:r>
        <w:t xml:space="preserve"> </w:t>
      </w:r>
      <w:r>
        <w:t xml:space="preserve">calculated as follows: Lower bound: (number of EPO patents granted in 2024 × 6 %) ÷ 4 × 1; Upper bound:</w:t>
      </w:r>
      <w:r>
        <w:t xml:space="preserve"> </w:t>
      </w:r>
      <w:r>
        <w:t xml:space="preserve">(number of EPO patents granted in 2024 × 11 %) ÷ 2 × 1.</w:t>
      </w:r>
      <w:r>
        <w:br/>
      </w:r>
      <w:r>
        <w:t xml:space="preserve">95 This figure does not capture the licensing of technology rights other than patents (for example, know-how).</w:t>
      </w:r>
      <w:r>
        <w:t xml:space="preserve"> </w:t>
      </w:r>
      <w:r>
        <w:t xml:space="preserve">It should be interpreted with caution for additional reasons. First, it may overestimate the number of</w:t>
      </w:r>
      <w:r>
        <w:t xml:space="preserve"> </w:t>
      </w:r>
      <w:r>
        <w:t xml:space="preserve">agreements potentially falling within the scope of the TTBER, as it may include licensing agreements for</w:t>
      </w:r>
      <w:r>
        <w:t xml:space="preserve"> </w:t>
      </w:r>
      <w:r>
        <w:t xml:space="preserve">purposes other than the production of contract products, as well as licensing agreements entered into by</w:t>
      </w:r>
      <w:r>
        <w:t xml:space="preserve"> </w:t>
      </w:r>
      <w:r>
        <w:t xml:space="preserve">undertakings which, due to their market shares, would clearly fall outside the scope of the TTBER. Second,</w:t>
      </w:r>
      <w:r>
        <w:t xml:space="preserve"> </w:t>
      </w:r>
      <w:r>
        <w:t xml:space="preserve">the number of licensing agreement concerning EPO patents does not precisely correspond to the number of</w:t>
      </w:r>
      <w:r>
        <w:t xml:space="preserve"> </w:t>
      </w:r>
      <w:r>
        <w:t xml:space="preserve">licensing agreements falling within the scope of Article 101 TFEU. For example, even an agreement</w:t>
      </w:r>
      <w:r>
        <w:t xml:space="preserve"> </w:t>
      </w:r>
      <w:r>
        <w:t xml:space="preserve">concerning a patent registered exclusively in the patent office of a single Member State can fall within the</w:t>
      </w:r>
      <w:r>
        <w:t xml:space="preserve"> </w:t>
      </w:r>
      <w:r>
        <w:t xml:space="preserve">scope of Article 101. However, the existence of an EPO patent can be used as a proxy for licensing</w:t>
      </w:r>
      <w:r>
        <w:t xml:space="preserve"> </w:t>
      </w:r>
      <w:r>
        <w:t xml:space="preserve">agreements that may have effects on EU markets and, for the purpose of our extrapolation, is therefore used</w:t>
      </w:r>
      <w:r>
        <w:t xml:space="preserve"> </w:t>
      </w:r>
      <w:r>
        <w:t xml:space="preserve">to estimate the number of licensing agreements potentially falling within the scope of the TTBER.</w:t>
      </w:r>
      <w:r>
        <w:br/>
      </w:r>
      <w:r>
        <w:t xml:space="preserve">96 For instance, the two empirical surveys on which the extrapolation is based (i.e. those by Gambardella, A., et</w:t>
      </w:r>
      <w:r>
        <w:t xml:space="preserve"> </w:t>
      </w:r>
      <w:r>
        <w:t xml:space="preserve">al., and by Torrisi, S., et al.) concern datasets or agreements from more than ten years ago and therefore do</w:t>
      </w:r>
      <w:r>
        <w:t xml:space="preserve"> </w:t>
      </w:r>
      <w:r>
        <w:t xml:space="preserve">not capture potential changes in the technology licensing market since then, such as a possible increase in</w:t>
      </w:r>
      <w:r>
        <w:t xml:space="preserve"> </w:t>
      </w:r>
      <w:r>
        <w:t xml:space="preserve">sectoral vertical integration.</w:t>
      </w:r>
      <w:r>
        <w:br/>
      </w:r>
      <w:r>
        <w:t xml:space="preserve">97 As mentioned at the beginning of this Section, stakeholders indicated that assessing compliance with the</w:t>
      </w:r>
      <w:r>
        <w:t xml:space="preserve"> </w:t>
      </w:r>
      <w:r>
        <w:t xml:space="preserve">TTBER typically requires between 0.25 to 6 full days per agreement, resulting in an average of 3.125 days.</w:t>
      </w:r>
      <w:r>
        <w:t xml:space="preserve"> </w:t>
      </w:r>
      <w:r>
        <w:t xml:space="preserve">The replies to the survey conducted at the reality check workshop showed that stakeholders spend, on</w:t>
      </w:r>
      <w:r>
        <w:t xml:space="preserve"> </w:t>
      </w:r>
      <w:r>
        <w:t xml:space="preserve">average, around 21% of their total compliance assessment costs on the assessment required for applying the</w:t>
      </w:r>
      <w:r>
        <w:t xml:space="preserve"> </w:t>
      </w:r>
      <w:r>
        <w:t xml:space="preserve">TTBER’s market share thresholds. See Section 2.3 of Annex 2. As the evaluation showed that businesses use</w:t>
      </w:r>
      <w:r>
        <w:t xml:space="preserve"> </w:t>
      </w:r>
      <w:r>
        <w:t xml:space="preserve">both internal and external resources to assess whether their agreements meet the conditions of the TTBER,</w:t>
      </w:r>
      <w:r>
        <w:t xml:space="preserve"> </w:t>
      </w:r>
      <w:r>
        <w:t xml:space="preserve">this report uses the lower bound of hourly fees for lawyer services (i.e. EUR 150) to estimate the costs</w:t>
      </w:r>
      <w:r>
        <w:t xml:space="preserve"> </w:t>
      </w:r>
      <w:r>
        <w:t xml:space="preserve">associated with an average of 3.125 working days per agreement. This value is consistent with that used in</w:t>
      </w:r>
      <w:r>
        <w:t xml:space="preserve"> </w:t>
      </w:r>
      <w:r>
        <w:t xml:space="preserve">other Commission impact assessment reports. On that basis, the total cost of assessing compliance with the</w:t>
      </w:r>
      <w:r>
        <w:t xml:space="preserve"> </w:t>
      </w:r>
      <w:r>
        <w:t xml:space="preserve">TTBER is estimated at approximately EUR 3,750 per licensing agreement. The cost of applying the market</w:t>
      </w:r>
      <w:r>
        <w:t xml:space="preserve"> </w:t>
      </w:r>
      <w:r>
        <w:t xml:space="preserve">share thresholds is therefore estimated at approximately EUR 787.5 per licensing agreement.</w:t>
      </w:r>
      <w:r>
        <w:br/>
      </w:r>
      <w:r>
        <w:t xml:space="preserve">98 For more detail, see Section 2.1 of Annex 2.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While it is possible that, faced with such difficulties, businesses may prefer to err on the side</w:t>
      </w:r>
      <w:r>
        <w:t xml:space="preserve"> </w:t>
      </w:r>
      <w:r>
        <w:t xml:space="preserve">of caution and refrain from entering into technology transfer agreements, the magnitude of</w:t>
      </w:r>
      <w:r>
        <w:t xml:space="preserve"> </w:t>
      </w:r>
      <w:r>
        <w:t xml:space="preserve">that risk appears to be limited. The majority of the respondents to the impact assessment</w:t>
      </w:r>
      <w:r>
        <w:t xml:space="preserve"> </w:t>
      </w:r>
      <w:r>
        <w:t xml:space="preserve">public consultation stated that they still entered into technology transfer agreements despite</w:t>
      </w:r>
      <w:r>
        <w:t xml:space="preserve"> </w:t>
      </w:r>
      <w:r>
        <w:t xml:space="preserve">encountering practical difficulties in calculating market shares99. This is consistent with the</w:t>
      </w:r>
      <w:r>
        <w:t xml:space="preserve"> </w:t>
      </w:r>
      <w:r>
        <w:t xml:space="preserve">survey conducted for the impact assessment of the previous version of the TTBER, which</w:t>
      </w:r>
      <w:r>
        <w:t xml:space="preserve"> </w:t>
      </w:r>
      <w:r>
        <w:t xml:space="preserve">indicated that legal and regulatory barriers limit technology licensing only to a limited</w:t>
      </w:r>
      <w:r>
        <w:t xml:space="preserve"> </w:t>
      </w:r>
      <w:r>
        <w:t xml:space="preserve">extent100.</w:t>
      </w:r>
      <w:r>
        <w:t xml:space="preserve"> </w:t>
      </w:r>
      <w:r>
        <w:t xml:space="preserve">The lack of guidance for assessing the compliance of data licensing agreements</w:t>
      </w:r>
      <w:r>
        <w:t xml:space="preserve"> </w:t>
      </w:r>
      <w:r>
        <w:t xml:space="preserve">The lack of guidance in the TTBER and Guidelines on data licensing agreements creates</w:t>
      </w:r>
      <w:r>
        <w:t xml:space="preserve"> </w:t>
      </w:r>
      <w:r>
        <w:t xml:space="preserve">legal uncertainty for companies that wish to enter into such agreements, which has both direct</w:t>
      </w:r>
      <w:r>
        <w:t xml:space="preserve"> </w:t>
      </w:r>
      <w:r>
        <w:t xml:space="preserve">and indirect negative consequences.</w:t>
      </w:r>
      <w:r>
        <w:t xml:space="preserve"> </w:t>
      </w:r>
      <w:r>
        <w:t xml:space="preserve">First, the direct consequence for businesses is higher costs to assess the compliance of their</w:t>
      </w:r>
      <w:r>
        <w:t xml:space="preserve"> </w:t>
      </w:r>
      <w:r>
        <w:t xml:space="preserve">data licensing agreements with Article 101 TFEU101. Indeed, the lack of guidance in the</w:t>
      </w:r>
      <w:r>
        <w:t xml:space="preserve"> </w:t>
      </w:r>
      <w:r>
        <w:t xml:space="preserve">TTBER and Guidelines does not remove the general obligation of businesses to comply with</w:t>
      </w:r>
      <w:r>
        <w:t xml:space="preserve"> </w:t>
      </w:r>
      <w:r>
        <w:t xml:space="preserve">Article 101. Instead, as mentioned in Section 1.3 above and earlier in this Section, businesses</w:t>
      </w:r>
      <w:r>
        <w:t xml:space="preserve"> </w:t>
      </w:r>
      <w:r>
        <w:t xml:space="preserve">have to carry out a more complex individual assessment of their data licensing agreements</w:t>
      </w:r>
      <w:r>
        <w:t xml:space="preserve"> </w:t>
      </w:r>
      <w:r>
        <w:t xml:space="preserve">using the Commission’s general guidelines on the application of Article 101 and the case law.</w:t>
      </w:r>
      <w:r>
        <w:t xml:space="preserve"> </w:t>
      </w:r>
      <w:r>
        <w:t xml:space="preserve">The complexity of this assessment is compounded by the fact that data licensing is still a</w:t>
      </w:r>
      <w:r>
        <w:t xml:space="preserve"> </w:t>
      </w:r>
      <w:r>
        <w:t xml:space="preserve">fairly recent practice and therefore there is very limited jurisprudence or decisional practice</w:t>
      </w:r>
      <w:r>
        <w:t xml:space="preserve"> </w:t>
      </w:r>
      <w:r>
        <w:t xml:space="preserve">by competition authorities on this type of agreement.</w:t>
      </w:r>
      <w:r>
        <w:t xml:space="preserve"> </w:t>
      </w:r>
      <w:r>
        <w:t xml:space="preserve">On the basis of the available data, it has not been possible to measure precisely the number of</w:t>
      </w:r>
      <w:r>
        <w:t xml:space="preserve"> </w:t>
      </w:r>
      <w:r>
        <w:t xml:space="preserve">data licensing agreements that are affected by this lack of guidance. It has therefore been</w:t>
      </w:r>
      <w:r>
        <w:t xml:space="preserve"> </w:t>
      </w:r>
      <w:r>
        <w:t xml:space="preserve">necessary to rely on estimates and approximation102. On this basis, the number of bilateral</w:t>
      </w:r>
      <w:r>
        <w:t xml:space="preserve"> </w:t>
      </w:r>
      <w:r>
        <w:t xml:space="preserve">data licensing agreements for production purposes entered into every year in the Union can</w:t>
      </w:r>
      <w:r>
        <w:t xml:space="preserve"> </w:t>
      </w:r>
      <w:r>
        <w:t xml:space="preserve">be estimated to be of the order of a few thousand, in particular between 1,000 and 10,000.</w:t>
      </w:r>
    </w:p>
    <w:p>
      <w:pPr>
        <w:pStyle w:val="BodyText"/>
      </w:pPr>
      <w:r>
        <w:t xml:space="preserve">99 For more detail, see Section 2.1 of Annex 2.</w:t>
      </w:r>
      <w:r>
        <w:br/>
      </w:r>
      <w:r>
        <w:t xml:space="preserve">100 See the impact assessment report on the previous revision of the TTBER, pp. 8-9 and the PATLICE Survey -</w:t>
      </w:r>
      <w:r>
        <w:t xml:space="preserve"> </w:t>
      </w:r>
      <w:r>
        <w:t xml:space="preserve">Survey on patent licensing activities by patenting firms, Publications Office of the European Union, 2013.</w:t>
      </w:r>
      <w:r>
        <w:t xml:space="preserve"> </w:t>
      </w:r>
      <w:r>
        <w:t xml:space="preserve">101 This was, for example, reported by a stakeholder in response to the impact assessment public questionnaire.</w:t>
      </w:r>
      <w:r>
        <w:t xml:space="preserve"> </w:t>
      </w:r>
      <w:r>
        <w:t xml:space="preserve">102 Data licensing agreements are private agreements between undertakings that are not generally published or</w:t>
      </w:r>
      <w:r>
        <w:t xml:space="preserve"> </w:t>
      </w:r>
      <w:r>
        <w:t xml:space="preserve">reported. Consequently, it has not been possible to obtain reliable estimates of the numbers of such</w:t>
      </w:r>
      <w:r>
        <w:t xml:space="preserve"> </w:t>
      </w:r>
      <w:r>
        <w:t xml:space="preserve">agreements. For example, some sources report fewer than 200 known data licensing agreements (see</w:t>
      </w:r>
      <w:r>
        <w:t xml:space="preserve"> </w:t>
      </w:r>
      <w:r>
        <w:t xml:space="preserve">https://www.neudata.co/blog/ai-data-licensing-market-analysis). However, this number likely represents a</w:t>
      </w:r>
      <w:r>
        <w:t xml:space="preserve"> </w:t>
      </w:r>
      <w:r>
        <w:t xml:space="preserve">small fraction of the total population of data licensing agreements. To arrive at a more realistic estimate, it is</w:t>
      </w:r>
      <w:r>
        <w:t xml:space="preserve"> </w:t>
      </w:r>
      <w:r>
        <w:t xml:space="preserve">therefore useful to analyse more general data about the players active in the data market. The type of</w:t>
      </w:r>
      <w:r>
        <w:t xml:space="preserve"> </w:t>
      </w:r>
      <w:r>
        <w:t xml:space="preserve">companies operating in this market are the data supplier companies, namely companies that have as their</w:t>
      </w:r>
      <w:r>
        <w:t xml:space="preserve"> </w:t>
      </w:r>
      <w:r>
        <w:t xml:space="preserve">main activity the production and delivery of digital data-related products, services, and technologies. In</w:t>
      </w:r>
      <w:r>
        <w:t xml:space="preserve"> </w:t>
      </w:r>
      <w:r>
        <w:t xml:space="preserve">2024, there were an estimated 266,173 data supplier companies in the Union and this number was expected</w:t>
      </w:r>
      <w:r>
        <w:t xml:space="preserve"> </w:t>
      </w:r>
      <w:r>
        <w:t xml:space="preserve">to grow to 280,173 in 2025. See La Croce, C. et al., First Report on Facts and Figures, The European Data</w:t>
      </w:r>
      <w:r>
        <w:t xml:space="preserve"> </w:t>
      </w:r>
      <w:r>
        <w:t xml:space="preserve">Market Study 2024-2026, CNECT/LUX/2023/OP/0043 (2025), p. 77, available at https://digital-</w:t>
      </w:r>
      <w:r>
        <w:t xml:space="preserve"> </w:t>
      </w:r>
      <w:r>
        <w:t xml:space="preserve">strategy.ec.europa.eu/en/library/european-data-market-study-2024-2026. However, it is likely that only a</w:t>
      </w:r>
      <w:r>
        <w:t xml:space="preserve"> </w:t>
      </w:r>
      <w:r>
        <w:t xml:space="preserve">fraction of these companies will license data through bilateral licences entered into for the purpose of</w:t>
      </w:r>
      <w:r>
        <w:t xml:space="preserve"> </w:t>
      </w:r>
      <w:r>
        <w:t xml:space="preserve">production (i.e. that could possibly benefit from the TTBER safe harbour).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As explained above at the beginning of this Section, stakeholders confirmed that the</w:t>
      </w:r>
      <w:r>
        <w:t xml:space="preserve"> </w:t>
      </w:r>
      <w:r>
        <w:t xml:space="preserve">competition law assessment of agreements is significantly more costly where only general</w:t>
      </w:r>
      <w:r>
        <w:t xml:space="preserve"> </w:t>
      </w:r>
      <w:r>
        <w:t xml:space="preserve">principles and case law can be used, compared to a situation where the TTBER and</w:t>
      </w:r>
      <w:r>
        <w:t xml:space="preserve"> </w:t>
      </w:r>
      <w:r>
        <w:t xml:space="preserve">Guidelines provide guidance. In particular, the costs of assessing the compliance of an</w:t>
      </w:r>
      <w:r>
        <w:t xml:space="preserve"> </w:t>
      </w:r>
      <w:r>
        <w:t xml:space="preserve">agreement103 without the TTBER and Guidelines can be estimated at 4.66 full-time104 days or</w:t>
      </w:r>
      <w:r>
        <w:t xml:space="preserve"> </w:t>
      </w:r>
      <w:r>
        <w:t xml:space="preserve">EUR 5,600105. Applying this figure to the estimated population of affected agreements gives</w:t>
      </w:r>
      <w:r>
        <w:t xml:space="preserve"> </w:t>
      </w:r>
      <w:r>
        <w:t xml:space="preserve">a total compliance assessment cost in the range of EUR 5,600,000–56,000,000 per year.</w:t>
      </w:r>
      <w:r>
        <w:br/>
      </w:r>
      <w:r>
        <w:t xml:space="preserve">Second, the lack of guidance on data licensing agreements may have indirect negative</w:t>
      </w:r>
      <w:r>
        <w:t xml:space="preserve"> </w:t>
      </w:r>
      <w:r>
        <w:t xml:space="preserve">consequences, as already explained in the introduction to this Section. In particular, some</w:t>
      </w:r>
      <w:r>
        <w:t xml:space="preserve"> </w:t>
      </w:r>
      <w:r>
        <w:t xml:space="preserve">businesses may decide to enter into data licensing agreements without doing a compliance</w:t>
      </w:r>
      <w:r>
        <w:t xml:space="preserve"> </w:t>
      </w:r>
      <w:r>
        <w:t xml:space="preserve">assessment. This may create an increased risk of anti-competitive agreements. Conversely,</w:t>
      </w:r>
      <w:r>
        <w:t xml:space="preserve"> </w:t>
      </w:r>
      <w:r>
        <w:t xml:space="preserve">the lack of guidance may make some businesses reluctant to enter into data licensing</w:t>
      </w:r>
      <w:r>
        <w:t xml:space="preserve"> </w:t>
      </w:r>
      <w:r>
        <w:t xml:space="preserve">agreements. While it has not been possible to isolate the effect of the lack of guidance from</w:t>
      </w:r>
      <w:r>
        <w:t xml:space="preserve"> </w:t>
      </w:r>
      <w:r>
        <w:t xml:space="preserve">the effect of other economic and regulatory considerations, it is possible that the lack of</w:t>
      </w:r>
      <w:r>
        <w:t xml:space="preserve"> </w:t>
      </w:r>
      <w:r>
        <w:t xml:space="preserve">guidance may contribute to the problem of scarcity and under-use of data highlighted by the</w:t>
      </w:r>
      <w:r>
        <w:t xml:space="preserve"> </w:t>
      </w:r>
      <w:r>
        <w:t xml:space="preserve">Commission’s Data Union Strategy106.</w:t>
      </w:r>
      <w:r>
        <w:t xml:space="preserve"> </w:t>
      </w:r>
      <w:r>
        <w:t xml:space="preserve">The lack of guidance for assessing the compliance of licensing negotiation groups</w:t>
      </w:r>
      <w:r>
        <w:t xml:space="preserve"> </w:t>
      </w:r>
      <w:r>
        <w:t xml:space="preserve">The direct consequence of the legal uncertainty resulting from the absence of guidance on the</w:t>
      </w:r>
      <w:r>
        <w:t xml:space="preserve"> </w:t>
      </w:r>
      <w:r>
        <w:t xml:space="preserve">competition law assessment of LNGs is that businesses wishing to set up LNGs face higher</w:t>
      </w:r>
      <w:r>
        <w:t xml:space="preserve"> </w:t>
      </w:r>
      <w:r>
        <w:t xml:space="preserve">compliance assessment costs. In particular, they are obliged to assess the compatibility of</w:t>
      </w:r>
      <w:r>
        <w:t xml:space="preserve"> </w:t>
      </w:r>
      <w:r>
        <w:t xml:space="preserve">LNGs with Article 101 TFEU using only the Commission’s general guidelines on the</w:t>
      </w:r>
      <w:r>
        <w:t xml:space="preserve"> </w:t>
      </w:r>
      <w:r>
        <w:t xml:space="preserve">application of Article 101, the case law and the Commission’s decisional practice107. As set</w:t>
      </w:r>
      <w:r>
        <w:t xml:space="preserve"> </w:t>
      </w:r>
      <w:r>
        <w:t xml:space="preserve">out above, a majority of the stakeholders surveyed at the reality check workshop considered</w:t>
      </w:r>
      <w:r>
        <w:t xml:space="preserve"> </w:t>
      </w:r>
      <w:r>
        <w:t xml:space="preserve">that the coverage of an agreement by the TTBER and Guidelines reduces their compliance</w:t>
      </w:r>
      <w:r>
        <w:t xml:space="preserve"> </w:t>
      </w:r>
      <w:r>
        <w:t xml:space="preserve">costs significantly. These negative consequences also affect SMEs108.</w:t>
      </w:r>
    </w:p>
    <w:p>
      <w:pPr>
        <w:pStyle w:val="BodyText"/>
      </w:pPr>
      <w:r>
        <w:t xml:space="preserve">103 While the data on number of full-time days per agreement used for the purpose of this calculation relate to</w:t>
      </w:r>
      <w:r>
        <w:t xml:space="preserve"> </w:t>
      </w:r>
      <w:r>
        <w:t xml:space="preserve">technology transfer agreements, it has been used by analogy for data licensing agreements.</w:t>
      </w:r>
      <w:r>
        <w:t xml:space="preserve"> </w:t>
      </w:r>
      <w:r>
        <w:t xml:space="preserve">104 Based on the evaluation and other data collection activities, we know that (i) assessing the compliance of an</w:t>
      </w:r>
      <w:r>
        <w:t xml:space="preserve"> </w:t>
      </w:r>
      <w:r>
        <w:t xml:space="preserve">agreement with the TTBER takes on average 3.125 full-time days; (ii) the ability to use the TTBER and the</w:t>
      </w:r>
      <w:r>
        <w:t xml:space="preserve"> </w:t>
      </w:r>
      <w:r>
        <w:t xml:space="preserve">Guidelines to assess the compliance of an agreement with Article 101 TFEU reduces those compliance</w:t>
      </w:r>
      <w:r>
        <w:t xml:space="preserve"> </w:t>
      </w:r>
      <w:r>
        <w:t xml:space="preserve">assessment costs by an average of 33%. Consequently, the costs of assessing the compliance of an agreement</w:t>
      </w:r>
      <w:r>
        <w:t xml:space="preserve"> </w:t>
      </w:r>
      <w:r>
        <w:t xml:space="preserve">without the TTBER and Guidelines can be estimated at 4.66 full-time days.</w:t>
      </w:r>
      <w:r>
        <w:br/>
      </w:r>
      <w:r>
        <w:t xml:space="preserve">105 The cost per agreement has been calculated by multiplying the number of 4.66 full-time days by an average</w:t>
      </w:r>
      <w:r>
        <w:t xml:space="preserve"> </w:t>
      </w:r>
      <w:r>
        <w:t xml:space="preserve">cost per hour of EUR 150 (the lower bound of hourly fees for lawyer services; see footnote 97 for more</w:t>
      </w:r>
      <w:r>
        <w:t xml:space="preserve"> </w:t>
      </w:r>
      <w:r>
        <w:t xml:space="preserve">details).</w:t>
      </w:r>
      <w:r>
        <w:t xml:space="preserve"> </w:t>
      </w:r>
      <w:r>
        <w:t xml:space="preserve">106 Available at: https://digital-strategy.ec.europa.eu/en/library/data-union-strategy-unlocking-data-ai.</w:t>
      </w:r>
      <w:r>
        <w:t xml:space="preserve"> </w:t>
      </w:r>
      <w:r>
        <w:t xml:space="preserve">107 There is currently no case law of the Union Courts or Commission decisions on LNGs. Businesses may refer</w:t>
      </w:r>
      <w:r>
        <w:t xml:space="preserve"> </w:t>
      </w:r>
      <w:r>
        <w:t xml:space="preserve">to the assessment contained in the informal guidance letter issued by the Commission in relation to the</w:t>
      </w:r>
      <w:r>
        <w:t xml:space="preserve"> </w:t>
      </w:r>
      <w:r>
        <w:t xml:space="preserve">ALNG, however the guidance in that letter is expressly limited to the specific facts and market context of the</w:t>
      </w:r>
      <w:r>
        <w:t xml:space="preserve"> </w:t>
      </w:r>
      <w:r>
        <w:t xml:space="preserve">ALNG itself.</w:t>
      </w:r>
      <w:r>
        <w:br/>
      </w:r>
      <w:r>
        <w:t xml:space="preserve">108 According to the Commission’s Impact Assessment Report accompanying the Proposal for a Regulation on</w:t>
      </w:r>
      <w:r>
        <w:t xml:space="preserve"> </w:t>
      </w:r>
      <w:r>
        <w:t xml:space="preserve">standard essential patents, there were around 3,800 potential SEP implementers in the EU in 2022, of which</w:t>
      </w:r>
      <w:r>
        <w:t xml:space="preserve"> </w:t>
      </w:r>
      <w:r>
        <w:t xml:space="preserve">84% were SMEs. Approximately 230 EU-based firms conclude new SEP licence agreements per year,</w:t>
      </w:r>
      <w:r>
        <w:t xml:space="preserve"> </w:t>
      </w:r>
      <w:r>
        <w:t xml:space="preserve">including approximately 80 SMEs; see Commission Staff Working Document SWD/2023/124 final, pp. 78-</w:t>
      </w:r>
      <w:r>
        <w:t xml:space="preserve"> </w:t>
      </w:r>
      <w:r>
        <w:t xml:space="preserve">79, available at: https://eur-lex.europa.eu/legal-content/EN/TXT/?uri=CELEX%3A52023SC0124.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The legal uncertainty may also have indirect negative consequences for competition. First,</w:t>
      </w:r>
      <w:r>
        <w:t xml:space="preserve"> </w:t>
      </w:r>
      <w:r>
        <w:t xml:space="preserve">businesses may establish or operate LNGs in a manner that restricts competition, for</w:t>
      </w:r>
      <w:r>
        <w:t xml:space="preserve"> </w:t>
      </w:r>
      <w:r>
        <w:t xml:space="preserve">example, they may use the LNG as a vehicle to collude in downstream product markets.</w:t>
      </w:r>
      <w:r>
        <w:t xml:space="preserve"> </w:t>
      </w:r>
      <w:r>
        <w:t xml:space="preserve">Second, the legal uncertainty may deter businesses from establishing or participating in</w:t>
      </w:r>
      <w:r>
        <w:t xml:space="preserve"> </w:t>
      </w:r>
      <w:r>
        <w:t xml:space="preserve">LNGs. As a consequence, those businesses will not benefit from the potential pro-competitive</w:t>
      </w:r>
      <w:r>
        <w:t xml:space="preserve"> </w:t>
      </w:r>
      <w:r>
        <w:t xml:space="preserve">effects of LNGs, in particular reductions in licensing transaction costs and more informed and</w:t>
      </w:r>
      <w:r>
        <w:t xml:space="preserve"> </w:t>
      </w:r>
      <w:r>
        <w:t xml:space="preserve">balanced licensing negotiations109.</w:t>
      </w:r>
      <w:r>
        <w:br/>
      </w:r>
      <w:r>
        <w:t xml:space="preserve">2.4.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dynamics of technological uptake and early licensing</w:t>
      </w:r>
      <w:r>
        <w:t xml:space="preserve"> </w:t>
      </w:r>
      <w:r>
        <w:t xml:space="preserve">Regarding the market share thresholds for technology markets, the main drivers of the</w:t>
      </w:r>
      <w:r>
        <w:t xml:space="preserve"> </w:t>
      </w:r>
      <w:r>
        <w:t xml:space="preserve">problem relate to the dynamics of technological uptake110. Although these dynamics are not</w:t>
      </w:r>
      <w:r>
        <w:t xml:space="preserve"> </w:t>
      </w:r>
      <w:r>
        <w:t xml:space="preserve">entirely new, some recent trends may have increased the significance, or the perceived</w:t>
      </w:r>
      <w:r>
        <w:t xml:space="preserve"> </w:t>
      </w:r>
      <w:r>
        <w:t xml:space="preserve">significance, of the challenges they pose for the assessment of market power, for instance, in</w:t>
      </w:r>
      <w:r>
        <w:t xml:space="preserve"> </w:t>
      </w:r>
      <w:r>
        <w:t xml:space="preserve">the case of early-stage licensing, i.e. when the licensed technology has not yet generated any</w:t>
      </w:r>
      <w:r>
        <w:t xml:space="preserve"> </w:t>
      </w:r>
      <w:r>
        <w:t xml:space="preserve">product sales or is still at early stage of commercialisation111.</w:t>
      </w:r>
      <w:r>
        <w:br/>
      </w:r>
      <w:r>
        <w:t xml:space="preserve">Economic research indicates that there is often a significant time lag between the date of the</w:t>
      </w:r>
      <w:r>
        <w:t xml:space="preserve"> </w:t>
      </w:r>
      <w:r>
        <w:t xml:space="preserve">licensing agreement and the date at which the technology begins to generate meaningful sales</w:t>
      </w:r>
      <w:r>
        <w:t xml:space="preserve"> </w:t>
      </w:r>
      <w:r>
        <w:t xml:space="preserve">in downstream product markets112. While methodologies exist to identify competing</w:t>
      </w:r>
      <w:r>
        <w:t xml:space="preserve"> </w:t>
      </w:r>
      <w:r>
        <w:t xml:space="preserve">technologies and their competitive position at an early stage113, these rely on more complex</w:t>
      </w:r>
      <w:r>
        <w:t xml:space="preserve"> </w:t>
      </w:r>
      <w:r>
        <w:t xml:space="preserve">assessments and data collection compared to situations where the technology has already</w:t>
      </w:r>
      <w:r>
        <w:t xml:space="preserve"> </w:t>
      </w:r>
      <w:r>
        <w:t xml:space="preserve">generated significant sales. In the latter case, businesses use sales data and the actual price of</w:t>
      </w:r>
      <w:r>
        <w:t xml:space="preserve"> </w:t>
      </w:r>
      <w:r>
        <w:t xml:space="preserve">competing products to calculate market shares.</w:t>
      </w:r>
      <w:r>
        <w:br/>
      </w:r>
      <w:r>
        <w:t xml:space="preserve">Moreover, the rate of adoption and the commercial success of a technology may be subject to</w:t>
      </w:r>
      <w:r>
        <w:t xml:space="preserve"> </w:t>
      </w:r>
      <w:r>
        <w:t xml:space="preserve">significant uncertainty and volatility114, particularly when the technology is still at an early</w:t>
      </w:r>
    </w:p>
    <w:p>
      <w:pPr>
        <w:pStyle w:val="BodyText"/>
      </w:pPr>
      <w:r>
        <w:t xml:space="preserve">109 See Section 2.1 (Problem 3) above.</w:t>
      </w:r>
      <w:r>
        <w:t xml:space="preserve"> </w:t>
      </w:r>
      <w:r>
        <w:t xml:space="preserve">110 See, for example, the Evaluation Support Study, pp. 85-88 and 285-286.</w:t>
      </w:r>
      <w:r>
        <w:br/>
      </w:r>
      <w:r>
        <w:t xml:space="preserve">111 The evaluation and the literature indicate that early licensing is common in some industrial sectors and</w:t>
      </w:r>
      <w:r>
        <w:t xml:space="preserve"> </w:t>
      </w:r>
      <w:r>
        <w:t xml:space="preserve">among certain actors, such as public research organisations. See, for example, the Evaluation Support Study,</w:t>
      </w:r>
      <w:r>
        <w:t xml:space="preserve"> </w:t>
      </w:r>
      <w:r>
        <w:t xml:space="preserve">pp. 85, 90 and 203 (which mention the agricultural and pharmaceutical sectors); Song, S. and Lee, J.,</w:t>
      </w:r>
      <w:r>
        <w:t xml:space="preserve"> </w:t>
      </w:r>
      <w:r>
        <w:t xml:space="preserve">‘Licensing early-versus late-stage technologies: The licensee perspective’, Technology in Society 72 (2023)</w:t>
      </w:r>
      <w:r>
        <w:t xml:space="preserve"> </w:t>
      </w:r>
      <w:r>
        <w:t xml:space="preserve">102199, p. 5; Spiegel, Y., Licensing interim R&amp;D knowledge, CSIO Working Paper no. 88, Northwestern</w:t>
      </w:r>
      <w:r>
        <w:t xml:space="preserve"> </w:t>
      </w:r>
      <w:r>
        <w:t xml:space="preserve">University, 2007, p. 2, available at https://sites.northwestern.edu/csiobackup/category/working-papers/;</w:t>
      </w:r>
      <w:r>
        <w:t xml:space="preserve"> </w:t>
      </w:r>
      <w:r>
        <w:t xml:space="preserve">Elfenbein, D.W., ‘Publications, patents and the market for university inventions’, Journal of Economic,</w:t>
      </w:r>
      <w:r>
        <w:t xml:space="preserve"> </w:t>
      </w:r>
      <w:r>
        <w:t xml:space="preserve">Behaviour and Organization, 63, 2007, pp. 692-693 (concerning early licensing of university-generated</w:t>
      </w:r>
      <w:r>
        <w:t xml:space="preserve"> </w:t>
      </w:r>
      <w:r>
        <w:t xml:space="preserve">inventions). As noted in the Introduction, there is little statistical data on the number of licensing</w:t>
      </w:r>
      <w:r>
        <w:t xml:space="preserve"> </w:t>
      </w:r>
      <w:r>
        <w:t xml:space="preserve">agreements, and obtaining reliable quantitative data on early licensing has proved to be equally challenging.</w:t>
      </w:r>
      <w:r>
        <w:br/>
      </w:r>
      <w:r>
        <w:t xml:space="preserve">112 See, for example, Reinganum, J.F., ‘The Timing of Innovation: Research, Development and Diffusion’, in</w:t>
      </w:r>
      <w:r>
        <w:t xml:space="preserve"> </w:t>
      </w:r>
      <w:r>
        <w:t xml:space="preserve">Schmalensee, R. and Willig, R.D., Handbook of Industrial Organization, Volume I, Elsevier Science</w:t>
      </w:r>
      <w:r>
        <w:t xml:space="preserve"> </w:t>
      </w:r>
      <w:r>
        <w:t xml:space="preserve">Publishers B.V., 1989, pp. 893 et seq., emphasising that the timing of the adoption of a technology depends</w:t>
      </w:r>
      <w:r>
        <w:t xml:space="preserve"> </w:t>
      </w:r>
      <w:r>
        <w:t xml:space="preserve">on several factors and may vary significantly across firms and industries.</w:t>
      </w:r>
      <w:r>
        <w:t xml:space="preserve"> </w:t>
      </w:r>
      <w:r>
        <w:t xml:space="preserve">113 For an overview of the concepts and methodologies used to define markets in which innovation plays a</w:t>
      </w:r>
      <w:r>
        <w:t xml:space="preserve"> </w:t>
      </w:r>
      <w:r>
        <w:t xml:space="preserve">significant role, see, for example, Hausemer, P. et al., Support study accompanying the evaluation of the</w:t>
      </w:r>
      <w:r>
        <w:t xml:space="preserve"> </w:t>
      </w:r>
      <w:r>
        <w:t xml:space="preserve">Commission Notice on the definition of relevant market for the purposes of Community competition law,</w:t>
      </w:r>
      <w:r>
        <w:t xml:space="preserve"> </w:t>
      </w:r>
      <w:r>
        <w:t xml:space="preserve">Final Report, Publications Office of the European Union, 2021.</w:t>
      </w:r>
      <w:r>
        <w:t xml:space="preserve"> </w:t>
      </w:r>
      <w:r>
        <w:t xml:space="preserve">114 For instance, in a highly dynamic market with limited barriers to entry, a substitutable technology may be</w:t>
      </w:r>
      <w:r>
        <w:t xml:space="preserve"> </w:t>
      </w:r>
      <w:r>
        <w:t xml:space="preserve">developed by another company and compete with the licensed technology.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stage of adoption. For instance, technologies at this stage may experience fluctuating market</w:t>
      </w:r>
      <w:r>
        <w:t xml:space="preserve"> </w:t>
      </w:r>
      <w:r>
        <w:t xml:space="preserve">shares – including temporary spikes in demand – that are not necessarily representative of</w:t>
      </w:r>
      <w:r>
        <w:t xml:space="preserve"> </w:t>
      </w:r>
      <w:r>
        <w:t xml:space="preserve">their market power, particularly in fast-growing sectors115. An early and temporary surge in</w:t>
      </w:r>
      <w:r>
        <w:t xml:space="preserve"> </w:t>
      </w:r>
      <w:r>
        <w:t xml:space="preserve">demand may cause a company to exceed the TTBER market share thresholds even though the</w:t>
      </w:r>
      <w:r>
        <w:t xml:space="preserve"> </w:t>
      </w:r>
      <w:r>
        <w:t xml:space="preserve">parties do not actually possess meaningful market power.</w:t>
      </w:r>
      <w:r>
        <w:br/>
      </w:r>
      <w:r>
        <w:t xml:space="preserve">However, such volatility is far from universal. The evidence shows, for instance, that</w:t>
      </w:r>
      <w:r>
        <w:t xml:space="preserve"> </w:t>
      </w:r>
      <w:r>
        <w:t xml:space="preserve">significant market shares can stabilise over time, which increases the risk of anti-competitive</w:t>
      </w:r>
      <w:r>
        <w:t xml:space="preserve"> </w:t>
      </w:r>
      <w:r>
        <w:t xml:space="preserve">effects116. Commission merger practice indicates that in some licensing markets, market</w:t>
      </w:r>
      <w:r>
        <w:t xml:space="preserve"> </w:t>
      </w:r>
      <w:r>
        <w:t xml:space="preserve">shares have remained consistently high over several years, raising competition concerns117.</w:t>
      </w:r>
      <w:r>
        <w:t xml:space="preserve"> </w:t>
      </w:r>
      <w:r>
        <w:t xml:space="preserve">Such high market shares amplify, for instance, both the ability of firms to engage in</w:t>
      </w:r>
      <w:r>
        <w:t xml:space="preserve"> </w:t>
      </w:r>
      <w:r>
        <w:t xml:space="preserve">restrictive practices, and the likely share of the market affected, thereby significantly raising</w:t>
      </w:r>
      <w:r>
        <w:t xml:space="preserve"> </w:t>
      </w:r>
      <w:r>
        <w:t xml:space="preserve">the risk of harm to competition118. This is broadly consistent with the Commission’s report</w:t>
      </w:r>
      <w:r>
        <w:t xml:space="preserve"> </w:t>
      </w:r>
      <w:r>
        <w:t xml:space="preserve">“Protecting Competition in a Changing World”, which highlights that concentration levels</w:t>
      </w:r>
      <w:r>
        <w:t xml:space="preserve"> </w:t>
      </w:r>
      <w:r>
        <w:t xml:space="preserve">and market shares in several sectors have significantly increased; the intensity of competition</w:t>
      </w:r>
      <w:r>
        <w:t xml:space="preserve"> </w:t>
      </w:r>
      <w:r>
        <w:t xml:space="preserve">and business dynamism has decreased; productivity growth has slowed, and productivity</w:t>
      </w:r>
      <w:r>
        <w:t xml:space="preserve"> </w:t>
      </w:r>
      <w:r>
        <w:t xml:space="preserve">dispersion has increased119.</w:t>
      </w:r>
      <w:r>
        <w:br/>
      </w:r>
      <w:r>
        <w:t xml:space="preserve">The increase in the number of data licensing agreements</w:t>
      </w:r>
      <w:r>
        <w:br/>
      </w:r>
      <w:r>
        <w:t xml:space="preserve">For data licensing, the main driver of the problem is the increase in the number of data</w:t>
      </w:r>
      <w:r>
        <w:t xml:space="preserve"> </w:t>
      </w:r>
      <w:r>
        <w:t xml:space="preserve">licensing agreements in the market in recent years.</w:t>
      </w:r>
    </w:p>
    <w:p>
      <w:pPr>
        <w:pStyle w:val="BodyText"/>
      </w:pPr>
      <w:r>
        <w:t xml:space="preserve">115 See, for example, judgment of 11 December 2013, Cisco Systems and Messagenet v Commission, T-79/12,</w:t>
      </w:r>
      <w:r>
        <w:t xml:space="preserve"> </w:t>
      </w:r>
      <w:r>
        <w:t xml:space="preserve">EU:T:2013:635, paragraph 69.</w:t>
      </w:r>
      <w:r>
        <w:t xml:space="preserve"> </w:t>
      </w:r>
      <w:r>
        <w:t xml:space="preserve">116 The literature also highlights the risks arising from high levels of concentration in technology markets (see,</w:t>
      </w:r>
      <w:r>
        <w:t xml:space="preserve"> </w:t>
      </w:r>
      <w:r>
        <w:t xml:space="preserve">for example, Gambardella A., Giuri P., and Luzzi A., ‘The market for patents in Europe’, Research Policy,</w:t>
      </w:r>
      <w:r>
        <w:t xml:space="preserve"> </w:t>
      </w:r>
      <w:r>
        <w:t xml:space="preserve">36, 8, 2007, pp. 1168).</w:t>
      </w:r>
      <w:r>
        <w:t xml:space="preserve"> </w:t>
      </w:r>
      <w:r>
        <w:t xml:space="preserve">117 In its merger practice, the Commission has highlighted that certain licensing markets within the</w:t>
      </w:r>
      <w:r>
        <w:t xml:space="preserve"> </w:t>
      </w:r>
      <w:r>
        <w:t xml:space="preserve">agrochemical industry, particularly seed and trait licensing markets, are characterised by stable and high</w:t>
      </w:r>
      <w:r>
        <w:t xml:space="preserve"> </w:t>
      </w:r>
      <w:r>
        <w:t xml:space="preserve">market shares, and that further concentration of these shares could have detrimental effects on competition.</w:t>
      </w:r>
      <w:r>
        <w:t xml:space="preserve"> </w:t>
      </w:r>
      <w:r>
        <w:t xml:space="preserve">For example, in M.5675 – Syngenta/Monsanto’s Sunflower Seed Business (Commission Decision of 17</w:t>
      </w:r>
      <w:r>
        <w:t xml:space="preserve"> </w:t>
      </w:r>
      <w:r>
        <w:t xml:space="preserve">November 2010, paragraphs 152 et seq.), the Commission noted the consolidation trend among licensors of</w:t>
      </w:r>
      <w:r>
        <w:t xml:space="preserve"> </w:t>
      </w:r>
      <w:r>
        <w:t xml:space="preserve">sunflower varieties and the competition risks arising from further concentration. In that case, the combined</w:t>
      </w:r>
      <w:r>
        <w:t xml:space="preserve"> </w:t>
      </w:r>
      <w:r>
        <w:t xml:space="preserve">market share of the (competing) merging parties would have been between 25% and 45% (paragraph 155).</w:t>
      </w:r>
      <w:r>
        <w:t xml:space="preserve"> </w:t>
      </w:r>
      <w:r>
        <w:t xml:space="preserve">This concentration heightened the risk of negative effects on downstream markets, due, for example, to the</w:t>
      </w:r>
      <w:r>
        <w:t xml:space="preserve"> </w:t>
      </w:r>
      <w:r>
        <w:t xml:space="preserve">parties’ larger market share and their greater ability to raise royalties or impose restrictive conditions. A</w:t>
      </w:r>
      <w:r>
        <w:t xml:space="preserve"> </w:t>
      </w:r>
      <w:r>
        <w:t xml:space="preserve">subsequent decision in the same industry (M.8084 – Bayer/Monsanto, Commission Decision of 21 March</w:t>
      </w:r>
      <w:r>
        <w:t xml:space="preserve"> </w:t>
      </w:r>
      <w:r>
        <w:t xml:space="preserve">2018) also noted the competitive risks stemming from the combined high market shares of the merging</w:t>
      </w:r>
      <w:r>
        <w:t xml:space="preserve"> </w:t>
      </w:r>
      <w:r>
        <w:t xml:space="preserve">parties in the licensing of cotton varieties. The concentration would have led to a combined market share of</w:t>
      </w:r>
      <w:r>
        <w:t xml:space="preserve"> </w:t>
      </w:r>
      <w:r>
        <w:t xml:space="preserve">60-80 % in that licensing market (paras. 771 et seq.). The level of combined market shares and the</w:t>
      </w:r>
      <w:r>
        <w:t xml:space="preserve"> </w:t>
      </w:r>
      <w:r>
        <w:t xml:space="preserve">associated competitive concerns were even more significant for certain markets for the licensing of broad</w:t>
      </w:r>
      <w:r>
        <w:t xml:space="preserve"> </w:t>
      </w:r>
      <w:r>
        <w:t xml:space="preserve">acre crop traits (see paras. 903 et seq.). However, other licensing markets are more competitive, and even</w:t>
      </w:r>
      <w:r>
        <w:t xml:space="preserve"> </w:t>
      </w:r>
      <w:r>
        <w:t xml:space="preserve">temporarily high market shares do not automatically create significant competitive concerns. See, for</w:t>
      </w:r>
      <w:r>
        <w:t xml:space="preserve"> </w:t>
      </w:r>
      <w:r>
        <w:t xml:space="preserve">instance, the Commission Decision of 2 June 2023, in M.10783 – EQT Future/AM Fresh/SNFL/IFG,</w:t>
      </w:r>
      <w:r>
        <w:t xml:space="preserve"> </w:t>
      </w:r>
      <w:r>
        <w:t xml:space="preserve">paragraphs 108 et seq., analysing market shares and their evolution in the breeding and licensing of protected</w:t>
      </w:r>
      <w:r>
        <w:t xml:space="preserve"> </w:t>
      </w:r>
      <w:r>
        <w:t xml:space="preserve">seedless table grapes.</w:t>
      </w:r>
      <w:r>
        <w:br/>
      </w:r>
      <w:r>
        <w:t xml:space="preserve">118 See, for example, the Commission Decisions mentioned in the footnote above.</w:t>
      </w:r>
      <w:r>
        <w:br/>
      </w:r>
      <w:r>
        <w:t xml:space="preserve">119 See DG Competition, Protecting competition in a changing world. Evidence on the evolution of competition</w:t>
      </w:r>
      <w:r>
        <w:t xml:space="preserve"> </w:t>
      </w:r>
      <w:r>
        <w:t xml:space="preserve">in the EU during the past 25 years, Publications Office of the European Union, 2024, pp. 4-10.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Data licensing has become more common in the market since the TTBER and Guidelines</w:t>
      </w:r>
      <w:r>
        <w:t xml:space="preserve"> </w:t>
      </w:r>
      <w:r>
        <w:t xml:space="preserve">entered into force in 2014, due to changes in the available technologies and in the economy</w:t>
      </w:r>
      <w:r>
        <w:t xml:space="preserve"> </w:t>
      </w:r>
      <w:r>
        <w:t xml:space="preserve">itself120. Data licensing agreements now occur in a variety of contexts, including for example:</w:t>
      </w:r>
      <w:r>
        <w:t xml:space="preserve"> </w:t>
      </w:r>
      <w:r>
        <w:t xml:space="preserve">(i) data licensed together with a main technology right, for example where such data takes the</w:t>
      </w:r>
      <w:r>
        <w:t xml:space="preserve"> </w:t>
      </w:r>
      <w:r>
        <w:t xml:space="preserve">form of know-how121; (ii) data licensing embedded in broader contracts for the provision of</w:t>
      </w:r>
      <w:r>
        <w:t xml:space="preserve"> </w:t>
      </w:r>
      <w:r>
        <w:t xml:space="preserve">digital or software-based services, for example where data access or usage rights are</w:t>
      </w:r>
      <w:r>
        <w:t xml:space="preserve"> </w:t>
      </w:r>
      <w:r>
        <w:t xml:space="preserve">contractually integrated into broader service agreements; (iii) licensing of device-related data</w:t>
      </w:r>
      <w:r>
        <w:t xml:space="preserve"> </w:t>
      </w:r>
      <w:r>
        <w:t xml:space="preserve">portfolio, and (iv) data licensing for AI products, including for the purpose of training AI</w:t>
      </w:r>
      <w:r>
        <w:t xml:space="preserve"> </w:t>
      </w:r>
      <w:r>
        <w:t xml:space="preserve">models122.</w:t>
      </w:r>
      <w:r>
        <w:br/>
      </w:r>
      <w:r>
        <w:t xml:space="preserve">The available data indicate a substantial increase in the licensing of data in recent years, a</w:t>
      </w:r>
      <w:r>
        <w:t xml:space="preserve"> </w:t>
      </w:r>
      <w:r>
        <w:t xml:space="preserve">trend which is expected to continue:</w:t>
      </w:r>
      <w:r>
        <w:br/>
      </w:r>
      <w:r>
        <w:t xml:space="preserve">i.</w:t>
      </w:r>
      <w:r>
        <w:t xml:space="preserve"> </w:t>
      </w:r>
      <w:r>
        <w:t xml:space="preserve">The analysis of a sample of licensing agreements performed in the Evaluation Support</w:t>
      </w:r>
      <w:r>
        <w:t xml:space="preserve"> </w:t>
      </w:r>
      <w:r>
        <w:t xml:space="preserve">Study found that there has been a large increase in the use of data-related clauses (for</w:t>
      </w:r>
      <w:r>
        <w:t xml:space="preserve"> </w:t>
      </w:r>
      <w:r>
        <w:t xml:space="preserve">example, mentions of safety data in licensing agreements increased from 15% in the</w:t>
      </w:r>
      <w:r>
        <w:t xml:space="preserve"> </w:t>
      </w:r>
      <w:r>
        <w:t xml:space="preserve">period 2012-2014 to 32% in the period post-2018)123.</w:t>
      </w:r>
    </w:p>
    <w:p>
      <w:pPr>
        <w:pStyle w:val="Compact"/>
        <w:numPr>
          <w:ilvl w:val="0"/>
          <w:numId w:val="1001"/>
        </w:numPr>
      </w:pPr>
      <w:r>
        <w:t xml:space="preserve">The number of datasets available in public repositories that are subject to open data</w:t>
      </w:r>
      <w:r>
        <w:t xml:space="preserve"> </w:t>
      </w:r>
      <w:r>
        <w:t xml:space="preserve">policies has increased significantly. For example, the current number of datasets</w:t>
      </w:r>
      <w:r>
        <w:t xml:space="preserve"> </w:t>
      </w:r>
      <w:r>
        <w:t xml:space="preserve">available on data.europa.eu is around 1,750,000 with significant growth in the last</w:t>
      </w:r>
      <w:r>
        <w:t xml:space="preserve"> </w:t>
      </w:r>
      <w:r>
        <w:t xml:space="preserve">5 years:</w:t>
      </w:r>
    </w:p>
    <w:p>
      <w:pPr>
        <w:pStyle w:val="FirstParagraph"/>
      </w:pPr>
      <w:r>
        <w:t xml:space="preserve">Screenshot from the website of data.europa.eu showing the evolution</w:t>
      </w:r>
      <w:r>
        <w:br/>
      </w:r>
      <w:r>
        <w:t xml:space="preserve">of the number of available datasets (taken on 01/03/2026)</w:t>
      </w:r>
    </w:p>
    <w:p>
      <w:pPr>
        <w:pStyle w:val="BodyText"/>
      </w:pPr>
      <w:r>
        <w:t xml:space="preserve">120 See the Evaluation Report, Section 3.2.</w:t>
      </w:r>
      <w:r>
        <w:t xml:space="preserve"> </w:t>
      </w:r>
      <w:r>
        <w:t xml:space="preserve">121 According to the Expert Report on Data Licensing, paragraph 37, such know-how can, for example, concern</w:t>
      </w:r>
      <w:r>
        <w:t xml:space="preserve"> </w:t>
      </w:r>
      <w:r>
        <w:t xml:space="preserve">best (manufacturing) practices for handling the licensed technology.</w:t>
      </w:r>
      <w:r>
        <w:t xml:space="preserve"> </w:t>
      </w:r>
      <w:r>
        <w:t xml:space="preserve">122 Expert Report on Data Licensing, Section 4.01.</w:t>
      </w:r>
      <w:r>
        <w:t xml:space="preserve"> </w:t>
      </w:r>
      <w:r>
        <w:t xml:space="preserve">123 See Evaluation Support Study, p. 31.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iii.</w:t>
      </w:r>
      <w:r>
        <w:t xml:space="preserve"> </w:t>
      </w:r>
      <w:r>
        <w:t xml:space="preserve">The EU data monetisation market (i.e. the revenue that data suppliers earn from</w:t>
      </w:r>
      <w:r>
        <w:t xml:space="preserve"> </w:t>
      </w:r>
      <w:r>
        <w:t xml:space="preserve">selling data) is expected to grow from around EUR 29 billion in 2024 to around EUR</w:t>
      </w:r>
      <w:r>
        <w:t xml:space="preserve"> </w:t>
      </w:r>
      <w:r>
        <w:t xml:space="preserve">46 billion in 2030. Moreover, data supplier companies operating in the Union are</w:t>
      </w:r>
      <w:r>
        <w:t xml:space="preserve"> </w:t>
      </w:r>
      <w:r>
        <w:t xml:space="preserve">expected to grow from 266,173 in 2024 to around 330,000 by 2030124.</w:t>
      </w:r>
      <w:r>
        <w:br/>
      </w:r>
      <w:r>
        <w:t xml:space="preserve">iv.</w:t>
      </w:r>
      <w:r>
        <w:t xml:space="preserve"> </w:t>
      </w:r>
      <w:r>
        <w:t xml:space="preserve">Public data on the AI sector shows that the relevance of data licensing in that sector is</w:t>
      </w:r>
      <w:r>
        <w:t xml:space="preserve"> </w:t>
      </w:r>
      <w:r>
        <w:t xml:space="preserve">expected to grow significantly. For example, a study by Grand View Research</w:t>
      </w:r>
      <w:r>
        <w:t xml:space="preserve"> </w:t>
      </w:r>
      <w:r>
        <w:t xml:space="preserve">estimates that the global market for AI datasets &amp; licensing for academic research and</w:t>
      </w:r>
      <w:r>
        <w:t xml:space="preserve"> </w:t>
      </w:r>
      <w:r>
        <w:t xml:space="preserve">publishing was worth USD 381.8 million in 2024 and projects it to reach USD</w:t>
      </w:r>
      <w:r>
        <w:t xml:space="preserve"> </w:t>
      </w:r>
      <w:r>
        <w:t xml:space="preserve">1.59 billion by 2030125.</w:t>
      </w:r>
      <w:r>
        <w:t xml:space="preserve"> </w:t>
      </w:r>
      <w:r>
        <w:t xml:space="preserve">While not all the data licensing agreements covered by the above statistics will be bilateral</w:t>
      </w:r>
      <w:r>
        <w:t xml:space="preserve"> </w:t>
      </w:r>
      <w:r>
        <w:t xml:space="preserve">agreements relating to the production of goods or services (as is the case for the licensing</w:t>
      </w:r>
      <w:r>
        <w:t xml:space="preserve"> </w:t>
      </w:r>
      <w:r>
        <w:t xml:space="preserve">agreements covered by the TTBER), those statistics indicate that data licensing agreements</w:t>
      </w:r>
      <w:r>
        <w:t xml:space="preserve"> </w:t>
      </w:r>
      <w:r>
        <w:t xml:space="preserve">are more and more common.</w:t>
      </w:r>
      <w:r>
        <w:t xml:space="preserve"> </w:t>
      </w:r>
      <w:r>
        <w:t xml:space="preserve">The increased importance of technology standards and the licensing of standard-essential</w:t>
      </w:r>
      <w:r>
        <w:t xml:space="preserve"> </w:t>
      </w:r>
      <w:r>
        <w:t xml:space="preserve">technology via pools and platforms</w:t>
      </w:r>
      <w:r>
        <w:br/>
      </w:r>
      <w:r>
        <w:t xml:space="preserve">For LNGs, the drivers of the problem are the market developments that have prompted</w:t>
      </w:r>
      <w:r>
        <w:t xml:space="preserve"> </w:t>
      </w:r>
      <w:r>
        <w:t xml:space="preserve">technology implementers to consider setting up LNGs126.</w:t>
      </w:r>
      <w:r>
        <w:br/>
      </w:r>
      <w:r>
        <w:t xml:space="preserve">First, the digitalisation of the economy has increased the importance of technology standards,</w:t>
      </w:r>
      <w:r>
        <w:t xml:space="preserve"> </w:t>
      </w:r>
      <w:r>
        <w:t xml:space="preserve">which enable product inter-operability127. A notable example is the standards for mobile</w:t>
      </w:r>
      <w:r>
        <w:t xml:space="preserve"> </w:t>
      </w:r>
      <w:r>
        <w:t xml:space="preserve">telecommunications128. Whereas these standards were originally developed to enable inter-</w:t>
      </w:r>
      <w:r>
        <w:t xml:space="preserve"> </w:t>
      </w:r>
      <w:r>
        <w:t xml:space="preserve">operability for mobile telephones and networks, the development of the internet of things129</w:t>
      </w:r>
      <w:r>
        <w:t xml:space="preserve"> </w:t>
      </w:r>
      <w:r>
        <w:t xml:space="preserve">means that these standards are now implemented by manufacturers and service providers in a</w:t>
      </w:r>
      <w:r>
        <w:t xml:space="preserve"> </w:t>
      </w:r>
      <w:r>
        <w:t xml:space="preserve">variety of sectors130, including automotive, consumer electronics131 and industrial equipment.</w:t>
      </w:r>
    </w:p>
    <w:p>
      <w:pPr>
        <w:pStyle w:val="BodyText"/>
      </w:pPr>
      <w:r>
        <w:t xml:space="preserve">124 See La Croce, C. et al., First Report on Facts and Figures, The European Data Market Study 2024-2026,</w:t>
      </w:r>
      <w:r>
        <w:t xml:space="preserve"> </w:t>
      </w:r>
      <w:r>
        <w:t xml:space="preserve">CNECT/LUX/2023/OP/0043 (2025).</w:t>
      </w:r>
      <w:r>
        <w:t xml:space="preserve"> </w:t>
      </w:r>
      <w:r>
        <w:t xml:space="preserve">125 These figures are publicly available at https://www.grandviewresearch.com/industry-analysis/ai-datasets-</w:t>
      </w:r>
      <w:r>
        <w:t xml:space="preserve"> </w:t>
      </w:r>
      <w:r>
        <w:t xml:space="preserve">licensing-academic-research-publishing-market-report (last visited on 01/03/2026).</w:t>
      </w:r>
      <w:r>
        <w:br/>
      </w:r>
      <w:r>
        <w:t xml:space="preserve">126 The Evaluation Support Study reported a lack of information on the number and size of LNGs operating in</w:t>
      </w:r>
      <w:r>
        <w:t xml:space="preserve"> </w:t>
      </w:r>
      <w:r>
        <w:t xml:space="preserve">the EEA and attributed this to the fact that LNGs were only starting to emerge and/or do not operate</w:t>
      </w:r>
      <w:r>
        <w:t xml:space="preserve"> </w:t>
      </w:r>
      <w:r>
        <w:t xml:space="preserve">officially as LNGs.</w:t>
      </w:r>
      <w:r>
        <w:t xml:space="preserve"> </w:t>
      </w:r>
      <w:r>
        <w:t xml:space="preserve">127 See the Evaluation Report, Section 3.1 and the Evaluation Support Study, Section 3.2.</w:t>
      </w:r>
      <w:r>
        <w:t xml:space="preserve"> </w:t>
      </w:r>
      <w:r>
        <w:t xml:space="preserve">128 See CRA, The global SEP landscape: Estimating royalty flows and out of Germany (2024), pp. 10 and 12,</w:t>
      </w:r>
      <w:r>
        <w:t xml:space="preserve"> </w:t>
      </w:r>
      <w:r>
        <w:t xml:space="preserve">available at https://www.crai.com/insights-events/publications/the-global-sep-landscape-estimating-royalty-</w:t>
      </w:r>
      <w:r>
        <w:t xml:space="preserve"> </w:t>
      </w:r>
      <w:r>
        <w:t xml:space="preserve">flows-in-and-out-of-germany/, which notes that the 4G licences granted by the Avanci platform’s</w:t>
      </w:r>
      <w:r>
        <w:t xml:space="preserve"> </w:t>
      </w:r>
      <w:r>
        <w:t xml:space="preserve">4G licences covered more than 130 million connected vehicles in 2023 and that the SEP licensing revenue of</w:t>
      </w:r>
      <w:r>
        <w:t xml:space="preserve"> </w:t>
      </w:r>
      <w:r>
        <w:t xml:space="preserve">the seven largest patent pools totalled EUR 1.3 billion in 2022, with the Avanci 4G vehicle pool contributing</w:t>
      </w:r>
      <w:r>
        <w:t xml:space="preserve"> </w:t>
      </w:r>
      <w:r>
        <w:t xml:space="preserve">approximately EUR 488 million.</w:t>
      </w:r>
      <w:r>
        <w:t xml:space="preserve"> </w:t>
      </w:r>
      <w:r>
        <w:t xml:space="preserve">129 The EU’s Internet of Things policy highlights that the number of installed connected devices is set to</w:t>
      </w:r>
      <w:r>
        <w:t xml:space="preserve"> </w:t>
      </w:r>
      <w:r>
        <w:t xml:space="preserve">increase from roughly 40 billion in 2023 to 49 billion by 2026, growing at an annual rate of 7%. See</w:t>
      </w:r>
      <w:r>
        <w:t xml:space="preserve"> </w:t>
      </w:r>
      <w:r>
        <w:t xml:space="preserve">https://digital-strategy.ec.europa.eu/en/policies/internet-things-policy.</w:t>
      </w:r>
      <w:r>
        <w:t xml:space="preserve"> </w:t>
      </w:r>
      <w:r>
        <w:t xml:space="preserve">130 See, for example, the IoT licensing programmes offered by Sisvel (https://www.sisvel.com/licensing-</w:t>
      </w:r>
      <w:r>
        <w:t xml:space="preserve"> </w:t>
      </w:r>
      <w:r>
        <w:t xml:space="preserve">programmes/iot/) and Avanci (https://www.avanci.com/).</w:t>
      </w:r>
      <w:r>
        <w:t xml:space="preserve"> </w:t>
      </w:r>
      <w:r>
        <w:t xml:space="preserve">131 In 2024, around 76 % of EU internet users used internet-connected devices or systems, illustrating</w:t>
      </w:r>
      <w:r>
        <w:t xml:space="preserve"> </w:t>
      </w:r>
      <w:r>
        <w:t xml:space="preserve">widespread digital connectivity, See Eurostat, Digitalisation in Europe – 2025 edition, available at</w:t>
      </w:r>
      <w:r>
        <w:t xml:space="preserve"> </w:t>
      </w:r>
      <w:r>
        <w:t xml:space="preserve">https://ec.europa.eu/eurostat/web/interactive-publications/digitalisation-2025.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As a result, the number and diversity of implementers that require access to technology rights</w:t>
      </w:r>
      <w:r>
        <w:t xml:space="preserve"> </w:t>
      </w:r>
      <w:r>
        <w:t xml:space="preserve">(generally patents) that are essential to implement a standard has increased132.</w:t>
      </w:r>
      <w:r>
        <w:t xml:space="preserve"> </w:t>
      </w:r>
      <w:r>
        <w:t xml:space="preserve">Second, technology standards are often supported by technology pools and licensing</w:t>
      </w:r>
      <w:r>
        <w:t xml:space="preserve"> </w:t>
      </w:r>
      <w:r>
        <w:t xml:space="preserve">platforms, which assemble a package of technology rights (generally patents) that are</w:t>
      </w:r>
      <w:r>
        <w:t xml:space="preserve"> </w:t>
      </w:r>
      <w:r>
        <w:t xml:space="preserve">essential to implement a standard, and license them out using a single agreement.</w:t>
      </w:r>
      <w:r>
        <w:t xml:space="preserve"> </w:t>
      </w:r>
      <w:r>
        <w:t xml:space="preserve">Manufacturers wishing to obtain a licence from such pools or platforms are often faced with</w:t>
      </w:r>
      <w:r>
        <w:t xml:space="preserve"> </w:t>
      </w:r>
      <w:r>
        <w:t xml:space="preserve">take-it-or-leave it licensing terms133. In that context, some implementers wish to be able to</w:t>
      </w:r>
      <w:r>
        <w:t xml:space="preserve"> </w:t>
      </w:r>
      <w:r>
        <w:t xml:space="preserve">join together to negotiate the terms of SEP134 licences with technology owners, technology</w:t>
      </w:r>
      <w:r>
        <w:t xml:space="preserve"> </w:t>
      </w:r>
      <w:r>
        <w:t xml:space="preserve">pools and licensing platforms.</w:t>
      </w:r>
      <w:r>
        <w:t xml:space="preserve"> </w:t>
      </w:r>
      <w:r>
        <w:t xml:space="preserve">2.5.</w:t>
      </w:r>
      <w:r>
        <w:t xml:space="preserve"> </w:t>
      </w:r>
      <w:r>
        <w:t xml:space="preserve">How likely is it that the problems will persist?</w:t>
      </w:r>
      <w:r>
        <w:t xml:space="preserve"> </w:t>
      </w:r>
      <w:r>
        <w:t xml:space="preserve">The obligation for businesses to self-assess the compliance of their agreements with</w:t>
      </w:r>
      <w:r>
        <w:t xml:space="preserve"> </w:t>
      </w:r>
      <w:r>
        <w:t xml:space="preserve">Article 101 TFEU is not expected to change in the future.</w:t>
      </w:r>
      <w:r>
        <w:t xml:space="preserve"> </w:t>
      </w:r>
      <w:r>
        <w:t xml:space="preserve">In the absence of an intervention to address the problems identified, it can be expected that</w:t>
      </w:r>
      <w:r>
        <w:t xml:space="preserve"> </w:t>
      </w:r>
      <w:r>
        <w:t xml:space="preserve">the TTBER and Guidelines will continue to not fully deliver on their objectives, and the</w:t>
      </w:r>
      <w:r>
        <w:t xml:space="preserve"> </w:t>
      </w:r>
      <w:r>
        <w:t xml:space="preserve">above-mentioned problems will either persist or become more pronounced.</w:t>
      </w:r>
      <w:r>
        <w:br/>
      </w:r>
      <w:r>
        <w:t xml:space="preserve">First, the complexity associated with applying the TTBER’s market share thresholds for</w:t>
      </w:r>
      <w:r>
        <w:t xml:space="preserve"> </w:t>
      </w:r>
      <w:r>
        <w:t xml:space="preserve">technology markets is likely to remain. Businesses are very likely to continue engaging in</w:t>
      </w:r>
      <w:r>
        <w:t xml:space="preserve"> </w:t>
      </w:r>
      <w:r>
        <w:t xml:space="preserve">technology licensing135, including at early stages of technology uptake. Accordingly, it can</w:t>
      </w:r>
      <w:r>
        <w:t xml:space="preserve"> </w:t>
      </w:r>
      <w:r>
        <w:t xml:space="preserve">be expected that businesses will continue to find it difficult to determine whether their</w:t>
      </w:r>
      <w:r>
        <w:t xml:space="preserve"> </w:t>
      </w:r>
      <w:r>
        <w:t xml:space="preserve">agreements fall within the TTBER’s market share thresholds.</w:t>
      </w:r>
      <w:r>
        <w:br/>
      </w:r>
      <w:r>
        <w:t xml:space="preserve">Second, the number of data licensing agreements is expected to grow substantially in the</w:t>
      </w:r>
      <w:r>
        <w:t xml:space="preserve"> </w:t>
      </w:r>
      <w:r>
        <w:t xml:space="preserve">coming years, especially in view of the expected increase in products that rely heavily on data</w:t>
      </w:r>
      <w:r>
        <w:t xml:space="preserve"> </w:t>
      </w:r>
      <w:r>
        <w:t xml:space="preserve">for their creation or functioning, including AI-related products136.</w:t>
      </w:r>
      <w:r>
        <w:t xml:space="preserve"> </w:t>
      </w:r>
      <w:r>
        <w:t xml:space="preserve">Third, in view of the continuing digitalisation of the economy, there is no indication that the</w:t>
      </w:r>
      <w:r>
        <w:t xml:space="preserve"> </w:t>
      </w:r>
      <w:r>
        <w:t xml:space="preserve">importance of technology standards, the associated technology pools and licensing platforms</w:t>
      </w:r>
    </w:p>
    <w:p>
      <w:pPr>
        <w:pStyle w:val="BodyText"/>
      </w:pPr>
      <w:r>
        <w:t xml:space="preserve">132 Although standard-essential patents (“SEPs”) represent only a limited share of all patents in force, they are</w:t>
      </w:r>
      <w:r>
        <w:t xml:space="preserve"> </w:t>
      </w:r>
      <w:r>
        <w:t xml:space="preserve">central in sectors where compliance with technical standards is indispensable for market access. See also</w:t>
      </w:r>
      <w:r>
        <w:t xml:space="preserve"> </w:t>
      </w:r>
      <w:r>
        <w:t xml:space="preserve">page 33 of the SEPs Expert Group Contribution to the Debate on SEPs (2021), pp. 195-196, which notes</w:t>
      </w:r>
      <w:r>
        <w:t xml:space="preserve"> </w:t>
      </w:r>
      <w:r>
        <w:t xml:space="preserve">that the total stock of declared SEPs continues to increase and will likely continue to do so in the foreseeable</w:t>
      </w:r>
      <w:r>
        <w:t xml:space="preserve"> </w:t>
      </w:r>
      <w:r>
        <w:t xml:space="preserve">future, because the number of new patents being registered is currently significantly larger than the number</w:t>
      </w:r>
      <w:r>
        <w:t xml:space="preserve"> </w:t>
      </w:r>
      <w:r>
        <w:t xml:space="preserve">of patents expiring or lapsing.</w:t>
      </w:r>
      <w:r>
        <w:t xml:space="preserve"> </w:t>
      </w:r>
      <w:r>
        <w:t xml:space="preserve">133 See the Evaluation Report, pp. 33-34.</w:t>
      </w:r>
      <w:r>
        <w:br/>
      </w:r>
      <w:r>
        <w:t xml:space="preserve">134 Businesses that contribute technology rights to a technology standard generally commit to the standard-</w:t>
      </w:r>
      <w:r>
        <w:t xml:space="preserve"> </w:t>
      </w:r>
      <w:r>
        <w:t xml:space="preserve">setting organisation that they will license out their rights on Fair, Reasonable and Non-discriminatory</w:t>
      </w:r>
      <w:r>
        <w:t xml:space="preserve"> </w:t>
      </w:r>
      <w:r>
        <w:t xml:space="preserve">(“FRAND”) terms. However, what constitutes FRAND is often the subject of litigation between technology</w:t>
      </w:r>
      <w:r>
        <w:t xml:space="preserve"> </w:t>
      </w:r>
      <w:r>
        <w:t xml:space="preserve">owners and implementers. See the Evaluation Support Study, Section 3.1. See also the judgment of the Court</w:t>
      </w:r>
      <w:r>
        <w:t xml:space="preserve"> </w:t>
      </w:r>
      <w:r>
        <w:t xml:space="preserve">of Justice of 16 July 2015 in case C-170/13, Huawei v ZTE, ECLI:EU:C:2015:477 and the Horizontal</w:t>
      </w:r>
      <w:r>
        <w:t xml:space="preserve"> </w:t>
      </w:r>
      <w:r>
        <w:t xml:space="preserve">Guidelines, paras. 460-462.</w:t>
      </w:r>
      <w:r>
        <w:t xml:space="preserve"> </w:t>
      </w:r>
      <w:r>
        <w:t xml:space="preserve">135 See, for example, Nokia signs multi-year patent license agreement with Samsung, Reuters, 15 January 2025,</w:t>
      </w:r>
      <w:r>
        <w:t xml:space="preserve"> </w:t>
      </w:r>
      <w:r>
        <w:t xml:space="preserve">available at www.reuters.com; Olcott, E., Western companies drive Chinese biotech licensing deal blitz.</w:t>
      </w:r>
      <w:r>
        <w:t xml:space="preserve"> </w:t>
      </w:r>
      <w:r>
        <w:t xml:space="preserve">Financial Times, 26 May 2024, available at www.ft.com.</w:t>
      </w:r>
      <w:r>
        <w:br/>
      </w:r>
      <w:r>
        <w:t xml:space="preserve">136 See, for example, Posnett, K., The new markets for AI data, Financial Times, 19 May 2025, available at</w:t>
      </w:r>
      <w:r>
        <w:t xml:space="preserve"> </w:t>
      </w:r>
      <w:r>
        <w:t xml:space="preserve">www.ft.com.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will diminish in the foreseeable future. It is therefore likely that implementers that use these</w:t>
      </w:r>
      <w:r>
        <w:t xml:space="preserve"> </w:t>
      </w:r>
      <w:r>
        <w:t xml:space="preserve">standards will continue to wish to join together in LNGs to negotiate licensing terms.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Under the Enabling Regulation, the Commission is empowered to adopt block exemption</w:t>
      </w:r>
      <w:r>
        <w:t xml:space="preserve"> </w:t>
      </w:r>
      <w:r>
        <w:t xml:space="preserve">regulations for categories of technology transfer agreements that can be assumed to fulfil the</w:t>
      </w:r>
      <w:r>
        <w:t xml:space="preserve"> </w:t>
      </w:r>
      <w:r>
        <w:t xml:space="preserve">conditions of Article 101(3) TFEU.</w:t>
      </w:r>
      <w:r>
        <w:br/>
      </w:r>
      <w:r>
        <w:t xml:space="preserve">3.2.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Competition law is an area of policy in which the EU has exclusive competence, as set out in</w:t>
      </w:r>
      <w:r>
        <w:t xml:space="preserve"> </w:t>
      </w:r>
      <w:r>
        <w:t xml:space="preserve">Article 3 TFEU. Furthermore, the Enabling Regulation grants only the Commission, and not</w:t>
      </w:r>
      <w:r>
        <w:t xml:space="preserve"> </w:t>
      </w:r>
      <w:r>
        <w:t xml:space="preserve">the Member States, the power to adopt block exemption regulations for technology transfer</w:t>
      </w:r>
      <w:r>
        <w:t xml:space="preserve"> </w:t>
      </w:r>
      <w:r>
        <w:t xml:space="preserve">agreements. Accordingly, the subsidiarity principle does not apply.</w:t>
      </w:r>
      <w:r>
        <w:br/>
      </w:r>
      <w:r>
        <w:t xml:space="preserve">In any event, there is an added value to EU action in this area. The TTBER also binds NCAs</w:t>
      </w:r>
      <w:r>
        <w:t xml:space="preserve"> </w:t>
      </w:r>
      <w:r>
        <w:t xml:space="preserve">and national courts. Together with the Guidelines137, it promotes a harmonised approach to</w:t>
      </w:r>
      <w:r>
        <w:t xml:space="preserve"> </w:t>
      </w:r>
      <w:r>
        <w:t xml:space="preserve">the assessment of technology transfer agreements across the Union, reducing the scope for</w:t>
      </w:r>
      <w:r>
        <w:t xml:space="preserve"> </w:t>
      </w:r>
      <w:r>
        <w:t xml:space="preserve">diverging interpretations by NCAs and national courts, and thus reducing compliance costs</w:t>
      </w:r>
      <w:r>
        <w:t xml:space="preserve"> </w:t>
      </w:r>
      <w:r>
        <w:t xml:space="preserve">for businesses that operate in more than one Member State138. Moreover, these instruments</w:t>
      </w:r>
      <w:r>
        <w:t xml:space="preserve"> </w:t>
      </w:r>
      <w:r>
        <w:t xml:space="preserve">provide greater legal certainty for businesses that wish to enter into technology transfer</w:t>
      </w:r>
      <w:r>
        <w:t xml:space="preserve"> </w:t>
      </w:r>
      <w:r>
        <w:t xml:space="preserve">agreements than the Commission’s general guidelines and notices on the application of</w:t>
      </w:r>
      <w:r>
        <w:t xml:space="preserve"> </w:t>
      </w:r>
      <w:r>
        <w:t xml:space="preserve">Article 101 TFEU.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initiative consists of a revised TTBER and revised Guidelines. The general objective of</w:t>
      </w:r>
      <w:r>
        <w:t xml:space="preserve"> </w:t>
      </w:r>
      <w:r>
        <w:t xml:space="preserve">the TTBER and the Guidelines is to ensure the effective protection of competition, in</w:t>
      </w:r>
      <w:r>
        <w:t xml:space="preserve"> </w:t>
      </w:r>
      <w:r>
        <w:t xml:space="preserve">particular by exempting only those technology transfer agreements that can be assumed to</w:t>
      </w:r>
      <w:r>
        <w:t xml:space="preserve"> </w:t>
      </w:r>
      <w:r>
        <w:t xml:space="preserve">meet the conditions of Article 101(3) TFEU, and by giving guidance on the competition law</w:t>
      </w:r>
      <w:r>
        <w:t xml:space="preserve"> </w:t>
      </w:r>
      <w:r>
        <w:t xml:space="preserve">assessment of technology transfer and other technology-related agreements, to provide legal</w:t>
      </w:r>
      <w:r>
        <w:t xml:space="preserve"> </w:t>
      </w:r>
      <w:r>
        <w:t xml:space="preserve">certainty for businesses.</w:t>
      </w:r>
      <w:r>
        <w:t xml:space="preserve"> </w:t>
      </w:r>
      <w:r>
        <w:t xml:space="preserve">In this context, ensuring the effective protection of competition means ensuring that</w:t>
      </w:r>
      <w:r>
        <w:t xml:space="preserve"> </w:t>
      </w:r>
      <w:r>
        <w:t xml:space="preserve">technology transfer agreements do not distort competition in technology licensing markets</w:t>
      </w:r>
      <w:r>
        <w:t xml:space="preserve"> </w:t>
      </w:r>
      <w:r>
        <w:t xml:space="preserve">and in the downstream markets where products incorporating those technologies are sold.</w:t>
      </w:r>
      <w:r>
        <w:t xml:space="preserve"> </w:t>
      </w:r>
      <w:r>
        <w:t xml:space="preserve">While these agreements are often pro-competitive, in certain cases undertakings may use</w:t>
      </w:r>
      <w:r>
        <w:t xml:space="preserve"> </w:t>
      </w:r>
      <w:r>
        <w:t xml:space="preserve">them to pursue anti-competitive objectives that ultimately harm consumers.</w:t>
      </w:r>
    </w:p>
    <w:p>
      <w:pPr>
        <w:pStyle w:val="BodyText"/>
      </w:pPr>
      <w:r>
        <w:t xml:space="preserve">137 The Guidelines do not bind NCAs or national courts. However, NCAs and courts typically take Commission</w:t>
      </w:r>
      <w:r>
        <w:t xml:space="preserve"> </w:t>
      </w:r>
      <w:r>
        <w:t xml:space="preserve">guidelines and notices on the application of Article 101 TFEU into account when they assess the</w:t>
      </w:r>
      <w:r>
        <w:t xml:space="preserve"> </w:t>
      </w:r>
      <w:r>
        <w:t xml:space="preserve">compatibility of agreements with Article 101.</w:t>
      </w:r>
      <w:r>
        <w:t xml:space="preserve"> </w:t>
      </w:r>
      <w:r>
        <w:t xml:space="preserve">138 This is confirmed by the stakeholder feedback in the evaluation: see page 39 of the Evaluation Report.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Restrictive technology transfer agreements may reduce inter-technology competition, for</w:t>
      </w:r>
      <w:r>
        <w:t xml:space="preserve"> </w:t>
      </w:r>
      <w:r>
        <w:t xml:space="preserve">example where reciprocal obligations prevent either competitor from gaining a technological</w:t>
      </w:r>
      <w:r>
        <w:t xml:space="preserve"> </w:t>
      </w:r>
      <w:r>
        <w:t xml:space="preserve">lead over the other, or where agreements increase transparency in the market in a way that</w:t>
      </w:r>
      <w:r>
        <w:t xml:space="preserve"> </w:t>
      </w:r>
      <w:r>
        <w:t xml:space="preserve">facilitates coordination between competitors. They may also foreclose competitors, for</w:t>
      </w:r>
      <w:r>
        <w:t xml:space="preserve"> </w:t>
      </w:r>
      <w:r>
        <w:t xml:space="preserve">example where licensors impose non-compete obligations on licensees to such an extent that</w:t>
      </w:r>
      <w:r>
        <w:t xml:space="preserve"> </w:t>
      </w:r>
      <w:r>
        <w:t xml:space="preserve">it becomes difficult for competing licensors to enter or expand, or where agreements restrict</w:t>
      </w:r>
      <w:r>
        <w:t xml:space="preserve"> </w:t>
      </w:r>
      <w:r>
        <w:t xml:space="preserve">access to inputs, thereby creating and/or increasing barriers to entry or expansion. Certain</w:t>
      </w:r>
      <w:r>
        <w:t xml:space="preserve"> </w:t>
      </w:r>
      <w:r>
        <w:t xml:space="preserve">restrictions may also reduce intra-technology competition, for example from the imposition</w:t>
      </w:r>
      <w:r>
        <w:t xml:space="preserve"> </w:t>
      </w:r>
      <w:r>
        <w:t xml:space="preserve">on licensees of resale price maintenance or territorial or customer sales restrictions. This can</w:t>
      </w:r>
      <w:r>
        <w:t xml:space="preserve"> </w:t>
      </w:r>
      <w:r>
        <w:t xml:space="preserve">weaken price competition, segment markets and limit choice and innovation for businesses</w:t>
      </w:r>
      <w:r>
        <w:t xml:space="preserve"> </w:t>
      </w:r>
      <w:r>
        <w:t xml:space="preserve">and consumers.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the initiative reflect the problems described above and are as</w:t>
      </w:r>
      <w:r>
        <w:t xml:space="preserve"> </w:t>
      </w:r>
      <w:r>
        <w:t xml:space="preserve">follows. The first specific objective is to reduce the complexity for businesses of applying the</w:t>
      </w:r>
      <w:r>
        <w:t xml:space="preserve"> </w:t>
      </w:r>
      <w:r>
        <w:t xml:space="preserve">TTBER’s market share thresholds for technology markets. The second specific objective is to</w:t>
      </w:r>
      <w:r>
        <w:t xml:space="preserve"> </w:t>
      </w:r>
      <w:r>
        <w:t xml:space="preserve">facilitate the assessment of data licensing agreements by businesses under Article 101 TFEU,</w:t>
      </w:r>
      <w:r>
        <w:t xml:space="preserve"> </w:t>
      </w:r>
      <w:r>
        <w:t xml:space="preserve">and the third specific objective is to facilitate the assessment of LNGs by businesses under</w:t>
      </w:r>
      <w:r>
        <w:t xml:space="preserve"> </w:t>
      </w:r>
      <w:r>
        <w:t xml:space="preserve">Article 101 TFEU.</w:t>
      </w:r>
      <w:r>
        <w:t xml:space="preserve"> </w:t>
      </w:r>
      <w:r>
        <w:t xml:space="preserve">The following table illustrates the relationship between the problem drivers, the problems and</w:t>
      </w:r>
      <w:r>
        <w:t xml:space="preserve"> </w:t>
      </w:r>
      <w:r>
        <w:t xml:space="preserve">the objectives:</w:t>
      </w:r>
    </w:p>
    <w:p>
      <w:pPr>
        <w:pStyle w:val="BodyText"/>
      </w:pP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• Early licensing and</w:t>
      </w:r>
      <w:r>
        <w:t xml:space="preserve"> </w:t>
      </w:r>
      <w:r>
        <w:t xml:space="preserve">dynamics of</w:t>
      </w:r>
      <w:r>
        <w:t xml:space="preserve"> </w:t>
      </w:r>
      <w:r>
        <w:t xml:space="preserve">technological uptake.</w:t>
      </w:r>
      <w:r>
        <w:t xml:space="preserve"> </w:t>
      </w:r>
      <w:r>
        <w:t xml:space="preserve">• Increase of the number</w:t>
      </w:r>
      <w:r>
        <w:t xml:space="preserve"> </w:t>
      </w:r>
      <w:r>
        <w:t xml:space="preserve">of data licensing</w:t>
      </w:r>
      <w:r>
        <w:t xml:space="preserve"> </w:t>
      </w:r>
      <w:r>
        <w:t xml:space="preserve">agreements in the</w:t>
      </w:r>
      <w:r>
        <w:t xml:space="preserve"> </w:t>
      </w:r>
      <w:r>
        <w:t xml:space="preserve">market.</w:t>
      </w:r>
      <w:r>
        <w:t xml:space="preserve"> </w:t>
      </w:r>
      <w:r>
        <w:t xml:space="preserve">• Increased importance</w:t>
      </w:r>
      <w:r>
        <w:t xml:space="preserve"> </w:t>
      </w:r>
      <w:r>
        <w:t xml:space="preserve">of technology standards</w:t>
      </w:r>
      <w:r>
        <w:t xml:space="preserve"> </w:t>
      </w:r>
      <w:r>
        <w:t xml:space="preserve">and the licensing of</w:t>
      </w:r>
      <w:r>
        <w:t xml:space="preserve"> </w:t>
      </w:r>
      <w:r>
        <w:t xml:space="preserve">standard-essential</w:t>
      </w:r>
      <w:r>
        <w:t xml:space="preserve"> </w:t>
      </w:r>
      <w:r>
        <w:t xml:space="preserve">technology via pools</w:t>
      </w:r>
      <w:r>
        <w:t xml:space="preserve"> </w:t>
      </w:r>
      <w:r>
        <w:t xml:space="preserve">and platforms.</w:t>
      </w:r>
    </w:p>
    <w:p>
      <w:pPr>
        <w:pStyle w:val="BodyText"/>
      </w:pPr>
      <w:r>
        <w:t xml:space="preserve">• Reduce the</w:t>
      </w:r>
      <w:r>
        <w:t xml:space="preserve"> </w:t>
      </w:r>
      <w:r>
        <w:t xml:space="preserve">complexity for</w:t>
      </w:r>
      <w:r>
        <w:t xml:space="preserve"> </w:t>
      </w:r>
      <w:r>
        <w:t xml:space="preserve">businesses of</w:t>
      </w:r>
      <w:r>
        <w:t xml:space="preserve"> </w:t>
      </w:r>
      <w:r>
        <w:t xml:space="preserve">applying the</w:t>
      </w:r>
      <w:r>
        <w:t xml:space="preserve"> </w:t>
      </w:r>
      <w:r>
        <w:t xml:space="preserve">TTBER’s market</w:t>
      </w:r>
      <w:r>
        <w:t xml:space="preserve"> </w:t>
      </w:r>
      <w:r>
        <w:t xml:space="preserve">share thresholds</w:t>
      </w:r>
      <w:r>
        <w:t xml:space="preserve"> </w:t>
      </w:r>
      <w:r>
        <w:t xml:space="preserve">for technology</w:t>
      </w:r>
      <w:r>
        <w:t xml:space="preserve"> </w:t>
      </w:r>
      <w:r>
        <w:t xml:space="preserve">markets.</w:t>
      </w:r>
      <w:r>
        <w:br/>
      </w:r>
      <w:r>
        <w:t xml:space="preserve">• Facilitate the</w:t>
      </w:r>
      <w:r>
        <w:t xml:space="preserve"> </w:t>
      </w:r>
      <w:r>
        <w:t xml:space="preserve">assessment of</w:t>
      </w:r>
      <w:r>
        <w:t xml:space="preserve"> </w:t>
      </w:r>
      <w:r>
        <w:t xml:space="preserve">data licensing</w:t>
      </w:r>
      <w:r>
        <w:t xml:space="preserve"> </w:t>
      </w:r>
      <w:r>
        <w:t xml:space="preserve">agreements and</w:t>
      </w:r>
      <w:r>
        <w:t xml:space="preserve"> </w:t>
      </w:r>
      <w:r>
        <w:t xml:space="preserve">LNGs by</w:t>
      </w:r>
      <w:r>
        <w:t xml:space="preserve"> </w:t>
      </w:r>
      <w:r>
        <w:t xml:space="preserve">businesses under</w:t>
      </w:r>
      <w:r>
        <w:t xml:space="preserve"> </w:t>
      </w:r>
      <w:r>
        <w:t xml:space="preserve">Article 101</w:t>
      </w:r>
      <w:r>
        <w:t xml:space="preserve"> </w:t>
      </w:r>
      <w:r>
        <w:t xml:space="preserve">TFEU.</w:t>
      </w:r>
      <w:r>
        <w:t xml:space="preserve"> </w:t>
      </w:r>
      <w:r>
        <w:t xml:space="preserve">• Businesses find</w:t>
      </w:r>
      <w:r>
        <w:t xml:space="preserve"> </w:t>
      </w:r>
      <w:r>
        <w:t xml:space="preserve">it difficult 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 their</w:t>
      </w:r>
      <w:r>
        <w:t xml:space="preserve"> </w:t>
      </w:r>
      <w:r>
        <w:t xml:space="preserve">technology</w:t>
      </w:r>
      <w:r>
        <w:t xml:space="preserve"> </w:t>
      </w:r>
      <w:r>
        <w:t xml:space="preserve">licensing</w:t>
      </w:r>
      <w:r>
        <w:t xml:space="preserve"> </w:t>
      </w:r>
      <w:r>
        <w:t xml:space="preserve">agreements</w:t>
      </w:r>
      <w:r>
        <w:t xml:space="preserve"> </w:t>
      </w:r>
      <w:r>
        <w:t xml:space="preserve">meet the</w:t>
      </w:r>
      <w:r>
        <w:t xml:space="preserve"> </w:t>
      </w:r>
      <w:r>
        <w:t xml:space="preserve">TTBER’s</w:t>
      </w:r>
      <w:r>
        <w:t xml:space="preserve"> </w:t>
      </w:r>
      <w:r>
        <w:t xml:space="preserve">market share</w:t>
      </w:r>
      <w:r>
        <w:t xml:space="preserve"> </w:t>
      </w:r>
      <w:r>
        <w:t xml:space="preserve">thresholds.</w:t>
      </w:r>
      <w:r>
        <w:br/>
      </w:r>
      <w:r>
        <w:t xml:space="preserve">• Businesses do</w:t>
      </w:r>
      <w:r>
        <w:t xml:space="preserve"> </w:t>
      </w:r>
      <w:r>
        <w:t xml:space="preserve">not know how</w:t>
      </w:r>
      <w:r>
        <w:t xml:space="preserve"> </w:t>
      </w:r>
      <w:r>
        <w:t xml:space="preserve">to apply Article</w:t>
      </w:r>
      <w:r>
        <w:t xml:space="preserve"> </w:t>
      </w:r>
      <w:r>
        <w:t xml:space="preserve">101 TFEU to</w:t>
      </w:r>
      <w:r>
        <w:t xml:space="preserve"> </w:t>
      </w:r>
      <w:r>
        <w:t xml:space="preserve">data licensing</w:t>
      </w:r>
      <w:r>
        <w:t xml:space="preserve"> </w:t>
      </w:r>
      <w:r>
        <w:t xml:space="preserve">agreements and</w:t>
      </w:r>
      <w:r>
        <w:t xml:space="preserve"> </w:t>
      </w:r>
      <w:r>
        <w:t xml:space="preserve">LNGs.</w:t>
      </w:r>
    </w:p>
    <w:p>
      <w:pPr>
        <w:pStyle w:val="BodyText"/>
      </w:pPr>
      <w:r>
        <w:t xml:space="preserve">• Ensure the effective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competition,</w:t>
      </w:r>
      <w:r>
        <w:t xml:space="preserve"> </w:t>
      </w:r>
      <w:r>
        <w:t xml:space="preserve">through the correct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Article 101(3)</w:t>
      </w:r>
      <w:r>
        <w:t xml:space="preserve"> </w:t>
      </w:r>
      <w:r>
        <w:t xml:space="preserve">TFEU and the</w:t>
      </w:r>
      <w:r>
        <w:t xml:space="preserve"> </w:t>
      </w:r>
      <w:r>
        <w:t xml:space="preserve">provision of</w:t>
      </w:r>
      <w:r>
        <w:t xml:space="preserve"> </w:t>
      </w:r>
      <w:r>
        <w:t xml:space="preserve">appropriate</w:t>
      </w:r>
      <w:r>
        <w:t xml:space="preserve"> </w:t>
      </w:r>
      <w:r>
        <w:t xml:space="preserve">guidance, while</w:t>
      </w:r>
      <w:r>
        <w:t xml:space="preserve"> </w:t>
      </w:r>
      <w:r>
        <w:t xml:space="preserve">providing adequate</w:t>
      </w:r>
      <w:r>
        <w:t xml:space="preserve"> </w:t>
      </w:r>
      <w:r>
        <w:t xml:space="preserve">legal certainty to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framework for assessing technology transfer agreements under EU competition law is the</w:t>
      </w:r>
      <w:r>
        <w:t xml:space="preserve"> </w:t>
      </w:r>
      <w:r>
        <w:t xml:space="preserve">TTBER and Guidelines that were adopted in 2014. For the reasons set out below, these rules</w:t>
      </w:r>
      <w:r>
        <w:t xml:space="preserve"> </w:t>
      </w:r>
      <w:r>
        <w:t xml:space="preserve">are the relevant baseline for assessing the policy options identified to address the three</w:t>
      </w:r>
      <w:r>
        <w:t xml:space="preserve"> </w:t>
      </w:r>
      <w:r>
        <w:t xml:space="preserve">problem areas identified above.</w:t>
      </w:r>
      <w:r>
        <w:br/>
      </w:r>
      <w:r>
        <w:t xml:space="preserve">First, the evaluation and the impact assessment have shown that, overall, the TTBER and the</w:t>
      </w:r>
      <w:r>
        <w:t xml:space="preserve"> </w:t>
      </w:r>
      <w:r>
        <w:t xml:space="preserve">Guidelines remain useful instruments, as they facilitate the assessment of technology transfer</w:t>
      </w:r>
      <w:r>
        <w:t xml:space="preserve"> </w:t>
      </w:r>
      <w:r>
        <w:t xml:space="preserve">agreements and increase legal certainty as compared to a situation without them (see</w:t>
      </w:r>
      <w:r>
        <w:t xml:space="preserve"> </w:t>
      </w:r>
      <w:r>
        <w:t xml:space="preserve">Section 2.3). Coverage of an agreement by the TTBER and Guidelines reduces businesses’</w:t>
      </w:r>
      <w:r>
        <w:t xml:space="preserve"> </w:t>
      </w:r>
      <w:r>
        <w:t xml:space="preserve">compliance costs significantly – by an average of 33% – compared with a situation in which</w:t>
      </w:r>
      <w:r>
        <w:t xml:space="preserve"> </w:t>
      </w:r>
      <w:r>
        <w:t xml:space="preserve">the assessment has to be performed solely on the basis of Article 101 TFEU and the case law.</w:t>
      </w:r>
      <w:r>
        <w:t xml:space="preserve"> </w:t>
      </w:r>
      <w:r>
        <w:t xml:space="preserve">Second, the current version of the TTBER and Guidelines constitute the relevant baseline,</w:t>
      </w:r>
      <w:r>
        <w:t xml:space="preserve"> </w:t>
      </w:r>
      <w:r>
        <w:t xml:space="preserve">rather than any earlier version of those instruments, because the changes made in 2014</w:t>
      </w:r>
      <w:r>
        <w:t xml:space="preserve"> </w:t>
      </w:r>
      <w:r>
        <w:t xml:space="preserve">(which consisted mainly in adding a soft safe harbour for technology pools in the Guidelines</w:t>
      </w:r>
      <w:r>
        <w:t xml:space="preserve"> </w:t>
      </w:r>
      <w:r>
        <w:t xml:space="preserve">and amending the list of excluded restrictions in the TTBER) are still relevant, according to</w:t>
      </w:r>
      <w:r>
        <w:t xml:space="preserve"> </w:t>
      </w:r>
      <w:r>
        <w:t xml:space="preserve">the results of the evaluation139.</w:t>
      </w:r>
      <w:r>
        <w:br/>
      </w:r>
      <w:r>
        <w:t xml:space="preserve">As explained in more detail in Section 2.5 above, under the baseline scenario (maintenance of</w:t>
      </w:r>
      <w:r>
        <w:t xml:space="preserve"> </w:t>
      </w:r>
      <w:r>
        <w:t xml:space="preserve">the current rules) the identified problems are likely to persist. These problems result, on the</w:t>
      </w:r>
      <w:r>
        <w:t xml:space="preserve"> </w:t>
      </w:r>
      <w:r>
        <w:t xml:space="preserve">one hand, from the complexity of applying the TTBER’s market share thresholds in the</w:t>
      </w:r>
      <w:r>
        <w:t xml:space="preserve"> </w:t>
      </w:r>
      <w:r>
        <w:t xml:space="preserve">context of early licensing and, on the other hand, from the emergence of new market</w:t>
      </w:r>
      <w:r>
        <w:t xml:space="preserve"> </w:t>
      </w:r>
      <w:r>
        <w:t xml:space="preserve">practices, namely data licensing and LNGs, for which there are currently no specific</w:t>
      </w:r>
      <w:r>
        <w:t xml:space="preserve"> </w:t>
      </w:r>
      <w:r>
        <w:t xml:space="preserve">competition law rules or guidance. Since early licensing and these new market practices are</w:t>
      </w:r>
      <w:r>
        <w:t xml:space="preserve"> </w:t>
      </w:r>
      <w:r>
        <w:t xml:space="preserve">likely to continue in the future, under the baseline scenario the current rules would continue</w:t>
      </w:r>
      <w:r>
        <w:t xml:space="preserve"> </w:t>
      </w:r>
      <w:r>
        <w:t xml:space="preserve">not to meet their objectives.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As explained in Section 2.1 above, the impact assessment has focused on one area of the</w:t>
      </w:r>
      <w:r>
        <w:t xml:space="preserve"> </w:t>
      </w:r>
      <w:r>
        <w:t xml:space="preserve">existing rules that is complex to apply in certain contexts, namely the TTBER’s market share</w:t>
      </w:r>
      <w:r>
        <w:t xml:space="preserve"> </w:t>
      </w:r>
      <w:r>
        <w:t xml:space="preserve">thresholds for technology markets, and the current lack of guidance on two developing</w:t>
      </w:r>
      <w:r>
        <w:t xml:space="preserve"> </w:t>
      </w:r>
      <w:r>
        <w:t xml:space="preserve">market practices, namely data licensing and licensing negotiation groups. The policy options</w:t>
      </w:r>
      <w:r>
        <w:t xml:space="preserve"> </w:t>
      </w:r>
      <w:r>
        <w:t xml:space="preserve">presented in the call for evidence have been further refined on the basis of the evidence</w:t>
      </w:r>
      <w:r>
        <w:t xml:space="preserve"> </w:t>
      </w:r>
      <w:r>
        <w:t xml:space="preserve">gathered in the impact assessment. The final options take into account the general objective</w:t>
      </w:r>
      <w:r>
        <w:t xml:space="preserve"> </w:t>
      </w:r>
      <w:r>
        <w:t xml:space="preserve">of ensuring the effective protection of competition, as well as the limits imposed by the</w:t>
      </w:r>
      <w:r>
        <w:t xml:space="preserve"> </w:t>
      </w:r>
      <w:r>
        <w:t xml:space="preserve">Enabling Regulation140.</w:t>
      </w:r>
    </w:p>
    <w:p>
      <w:pPr>
        <w:pStyle w:val="BodyText"/>
      </w:pPr>
      <w:r>
        <w:t xml:space="preserve">139 See the Evaluation Report, pp. 39-40 and the Evaluation Support Study, pp. 28-29.</w:t>
      </w:r>
      <w:r>
        <w:t xml:space="preserve"> </w:t>
      </w:r>
      <w:r>
        <w:t xml:space="preserve">140 See Section 1.3 above for an explanation of the relationship between the TTBER, the Enabling Regulation</w:t>
      </w:r>
      <w:r>
        <w:t xml:space="preserve"> </w:t>
      </w:r>
      <w:r>
        <w:t xml:space="preserve">and Article 101 TFEU.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5.2.1. Policy options for the TTBER’s market share thresholds for technology</w:t>
      </w:r>
      <w:r>
        <w:t xml:space="preserve"> </w:t>
      </w:r>
      <w:r>
        <w:t xml:space="preserve">markets</w:t>
      </w:r>
      <w:r>
        <w:t xml:space="preserve"> </w:t>
      </w:r>
      <w:r>
        <w:t xml:space="preserve">Under the baseline scenario for this area, the application of the block exemption would</w:t>
      </w:r>
      <w:r>
        <w:t xml:space="preserve"> </w:t>
      </w:r>
      <w:r>
        <w:t xml:space="preserve">continue to be conditional upon the parties’ satisfying the TTBER’s market share thresholds</w:t>
      </w:r>
      <w:r>
        <w:t xml:space="preserve"> </w:t>
      </w:r>
      <w:r>
        <w:t xml:space="preserve">for technology markets. Under this scenario, the rules would continue to provide insufficient</w:t>
      </w:r>
      <w:r>
        <w:t xml:space="preserve"> </w:t>
      </w:r>
      <w:r>
        <w:t xml:space="preserve">clarity on how market shares should be calculated for new technologies that have not yet</w:t>
      </w:r>
      <w:r>
        <w:t xml:space="preserve"> </w:t>
      </w:r>
      <w:r>
        <w:t xml:space="preserve">generated product sales. Two policy options have been identified for this area141.</w:t>
      </w:r>
      <w:r>
        <w:t xml:space="preserve"> </w:t>
      </w:r>
      <w:r>
        <w:t xml:space="preserve">Under Option 1, the block exemption would, as a general rule, continue to be conditional</w:t>
      </w:r>
      <w:r>
        <w:t xml:space="preserve"> </w:t>
      </w:r>
      <w:r>
        <w:t xml:space="preserve">upon the calculation of market shares in the technology market. However, the application of</w:t>
      </w:r>
      <w:r>
        <w:t xml:space="preserve"> </w:t>
      </w:r>
      <w:r>
        <w:t xml:space="preserve">the thresholds would be clarified and simplified for technologies at an early stage of</w:t>
      </w:r>
      <w:r>
        <w:t xml:space="preserve"> </w:t>
      </w:r>
      <w:r>
        <w:t xml:space="preserve">commercialisation. As explained in more detail in Section 2.1, the evaluation identified</w:t>
      </w:r>
      <w:r>
        <w:t xml:space="preserve"> </w:t>
      </w:r>
      <w:r>
        <w:t xml:space="preserve">complexities in applying the market share thresholds in such cases. More specifically,</w:t>
      </w:r>
      <w:r>
        <w:t xml:space="preserve"> </w:t>
      </w:r>
      <w:r>
        <w:t xml:space="preserve">Option 1 would introduce the following incremental changes:</w:t>
      </w:r>
      <w:r>
        <w:t xml:space="preserve"> </w:t>
      </w:r>
      <w:r>
        <w:t xml:space="preserve">-</w:t>
      </w:r>
      <w:r>
        <w:t xml:space="preserve"> </w:t>
      </w:r>
      <w:r>
        <w:t xml:space="preserve">the TTBER would specify that technologies that have not yet generated product sales</w:t>
      </w:r>
      <w:r>
        <w:t xml:space="preserve"> </w:t>
      </w:r>
      <w:r>
        <w:t xml:space="preserve">are considered to hold a zero market share. Although this rule is already mentioned in</w:t>
      </w:r>
      <w:r>
        <w:t xml:space="preserve"> </w:t>
      </w:r>
      <w:r>
        <w:t xml:space="preserve">a passage of the Guidelines, several stakeholder comments received during the</w:t>
      </w:r>
      <w:r>
        <w:t xml:space="preserve"> </w:t>
      </w:r>
      <w:r>
        <w:t xml:space="preserve">evaluation and impact assessment revealed a lack of awareness and understanding142.</w:t>
      </w:r>
      <w:r>
        <w:t xml:space="preserve"> </w:t>
      </w:r>
      <w:r>
        <w:t xml:space="preserve">Incorporating this rule in the TTBER and further elaborating on it in the Guidelines</w:t>
      </w:r>
      <w:r>
        <w:t xml:space="preserve"> </w:t>
      </w:r>
      <w:r>
        <w:t xml:space="preserve">would increase legal certainty and raise awareness that agreements for the licensing of</w:t>
      </w:r>
      <w:r>
        <w:t xml:space="preserve"> </w:t>
      </w:r>
      <w:r>
        <w:t xml:space="preserve">such technologies will benefit from the block exemption for at least the duration of</w:t>
      </w:r>
      <w:r>
        <w:t xml:space="preserve"> </w:t>
      </w:r>
      <w:r>
        <w:t xml:space="preserve">the grace period143;</w:t>
      </w:r>
    </w:p>
    <w:p>
      <w:pPr>
        <w:pStyle w:val="BodyText"/>
      </w:pPr>
      <w:r>
        <w:t xml:space="preserve">141 Regarding possible options concerning the TTBER’s market share thresholds, stakeholder feedback in the</w:t>
      </w:r>
      <w:r>
        <w:t xml:space="preserve"> </w:t>
      </w:r>
      <w:r>
        <w:t xml:space="preserve">impact assessment phase was relatively limited. Around 20 stakeholders provided input. The only option that</w:t>
      </w:r>
      <w:r>
        <w:t xml:space="preserve"> </w:t>
      </w:r>
      <w:r>
        <w:t xml:space="preserve">was supported by a majority of respondents was to improve the guidance on the application of the TTBER’s</w:t>
      </w:r>
      <w:r>
        <w:t xml:space="preserve"> </w:t>
      </w:r>
      <w:r>
        <w:t xml:space="preserve">market share thresholds and on the 4+ test in the Guidelines. A few stakeholders (including large businesses,</w:t>
      </w:r>
      <w:r>
        <w:t xml:space="preserve"> </w:t>
      </w:r>
      <w:r>
        <w:t xml:space="preserve">one association of lawyers, two business associations and one academic institute) supported the complete</w:t>
      </w:r>
      <w:r>
        <w:t xml:space="preserve"> </w:t>
      </w:r>
      <w:r>
        <w:t xml:space="preserve">removal of the market share thresholds. Among those who did, most argued that applying the thresholds is</w:t>
      </w:r>
      <w:r>
        <w:t xml:space="preserve"> </w:t>
      </w:r>
      <w:r>
        <w:t xml:space="preserve">particularly problematic for technologies at an early stage of uptake and/or that technology markets are</w:t>
      </w:r>
      <w:r>
        <w:t xml:space="preserve"> </w:t>
      </w:r>
      <w:r>
        <w:t xml:space="preserve">generally dynamic, with market shares fluctuating significantly, thereby limiting the risk of market power.</w:t>
      </w:r>
      <w:r>
        <w:t xml:space="preserve"> </w:t>
      </w:r>
      <w:r>
        <w:t xml:space="preserve">On this basis, they criticised the TTBER’s reliance on market shares. Some respondents (including large</w:t>
      </w:r>
      <w:r>
        <w:t xml:space="preserve"> </w:t>
      </w:r>
      <w:r>
        <w:t xml:space="preserve">businesses, one law firm and two research institutes) supported a test based on the existence of a certain</w:t>
      </w:r>
      <w:r>
        <w:t xml:space="preserve"> </w:t>
      </w:r>
      <w:r>
        <w:t xml:space="preserve">number of alternative technologies. Most of these advocated using a threshold of less than four technologies.</w:t>
      </w:r>
      <w:r>
        <w:t xml:space="preserve"> </w:t>
      </w:r>
      <w:r>
        <w:t xml:space="preserve">In this respect, some respondents stated that, particularly at an early stage of technological uptake, it is likely</w:t>
      </w:r>
      <w:r>
        <w:t xml:space="preserve"> </w:t>
      </w:r>
      <w:r>
        <w:t xml:space="preserve">that there will be fewer than four alternative technologies on the market in addition to those controlled by the</w:t>
      </w:r>
      <w:r>
        <w:t xml:space="preserve"> </w:t>
      </w:r>
      <w:r>
        <w:t xml:space="preserve">parties. Some stakeholders (including one business association and one academic) proposed the introduction</w:t>
      </w:r>
      <w:r>
        <w:t xml:space="preserve"> </w:t>
      </w:r>
      <w:r>
        <w:t xml:space="preserve">of a simplified test for technologies that are at an early stage of uptake or at low levels of technological</w:t>
      </w:r>
      <w:r>
        <w:t xml:space="preserve"> </w:t>
      </w:r>
      <w:r>
        <w:t xml:space="preserve">readiness. Other stakeholder contributions mirrored the feedback received in the evaluation (described in</w:t>
      </w:r>
      <w:r>
        <w:t xml:space="preserve"> </w:t>
      </w:r>
      <w:r>
        <w:t xml:space="preserve">Section 2.1 above).</w:t>
      </w:r>
      <w:r>
        <w:br/>
      </w:r>
      <w:r>
        <w:t xml:space="preserve">142 See Section 2.1 (Problem 1) of this Report.</w:t>
      </w:r>
      <w:r>
        <w:t xml:space="preserve"> </w:t>
      </w:r>
      <w:r>
        <w:t xml:space="preserve">143 See, for example, the replies of two major industry associations to the consultation on the proposed revised</w:t>
      </w:r>
      <w:r>
        <w:t xml:space="preserve"> </w:t>
      </w:r>
      <w:r>
        <w:t xml:space="preserve">texts (which incorporated this change), emphasising that “the principle set out in [the] recital of the TTBER</w:t>
      </w:r>
      <w:r>
        <w:t xml:space="preserve"> </w:t>
      </w:r>
      <w:r>
        <w:t xml:space="preserve">is also supported […]. This approach helps to recognise the innovative potential of emerging technologies</w:t>
      </w:r>
      <w:r>
        <w:t xml:space="preserve"> </w:t>
      </w:r>
      <w:r>
        <w:t xml:space="preserve">and avoids penalising business models that rely on intangible assets and high-risk R&amp;D” and that “the</w:t>
      </w:r>
      <w:r>
        <w:t xml:space="preserve"> </w:t>
      </w:r>
      <w:r>
        <w:t xml:space="preserve">clarification in [the] recital [of the TTBER] is an important step […]. It is particularly helpful to specify that</w:t>
      </w:r>
      <w:r>
        <w:t xml:space="preserve"> </w:t>
      </w:r>
      <w:r>
        <w:t xml:space="preserve">the market share on a technology market is “zero” when products are not yet available on the market. This</w:t>
      </w:r>
      <w:r>
        <w:t xml:space="preserve"> </w:t>
      </w:r>
      <w:r>
        <w:t xml:space="preserve">significantly reduces legal uncertainty”.</w:t>
      </w:r>
    </w:p>
    <w:bookmarkStart w:id="9" w:name="section"/>
    <w:p>
      <w:pPr>
        <w:pStyle w:val="Heading2"/>
      </w:pPr>
      <w:r>
        <w:t xml:space="preserve">32</w:t>
      </w:r>
    </w:p>
    <w:p>
      <w:pPr>
        <w:pStyle w:val="FirstParagraph"/>
      </w:pPr>
      <w:r>
        <w:t xml:space="preserve">the grace period provided in Article 8(e) of the TTBER144 would be extended by one</w:t>
      </w:r>
      <w:r>
        <w:t xml:space="preserve"> </w:t>
      </w:r>
      <w:r>
        <w:t xml:space="preserve">year (from two to three years). This would extend the application of the block</w:t>
      </w:r>
      <w:r>
        <w:t xml:space="preserve"> </w:t>
      </w:r>
      <w:r>
        <w:t xml:space="preserve">exemption for an additional calendar year in cases where the parties’ market shares</w:t>
      </w:r>
      <w:r>
        <w:t xml:space="preserve"> </w:t>
      </w:r>
      <w:r>
        <w:t xml:space="preserve">rise above the thresholds during the agreement. The evaluation showed that the grace</w:t>
      </w:r>
      <w:r>
        <w:t xml:space="preserve"> </w:t>
      </w:r>
      <w:r>
        <w:t xml:space="preserve">period provides businesses with a degree of comfort when applying the market share</w:t>
      </w:r>
      <w:r>
        <w:t xml:space="preserve"> </w:t>
      </w:r>
      <w:r>
        <w:t xml:space="preserve">thresholds, for example, in situations involving fluctuating market shares145. As</w:t>
      </w:r>
      <w:r>
        <w:t xml:space="preserve"> </w:t>
      </w:r>
      <w:r>
        <w:t xml:space="preserve">stakeholders noted during the impact assessment, extending the grace period by one</w:t>
      </w:r>
      <w:r>
        <w:t xml:space="preserve"> </w:t>
      </w:r>
      <w:r>
        <w:t xml:space="preserve">year increases legal certainty for companies introducing new technologies or</w:t>
      </w:r>
      <w:r>
        <w:t xml:space="preserve"> </w:t>
      </w:r>
      <w:r>
        <w:t xml:space="preserve">operating in markets with volatile shares146. Extending it further would, however,</w:t>
      </w:r>
      <w:r>
        <w:t xml:space="preserve"> </w:t>
      </w:r>
      <w:r>
        <w:t xml:space="preserve">conflict with empirical findings on the speed of technology adoption147.</w:t>
      </w:r>
      <w:r>
        <w:br/>
      </w:r>
      <w:r>
        <w:t xml:space="preserve">The practical effect of Option 1 is that parties licensing technologies that have not yet</w:t>
      </w:r>
      <w:r>
        <w:t xml:space="preserve"> </w:t>
      </w:r>
      <w:r>
        <w:t xml:space="preserve">generated sales (“early licensing”) could benefit from the block exemption for at least four</w:t>
      </w:r>
      <w:r>
        <w:t xml:space="preserve"> </w:t>
      </w:r>
      <w:r>
        <w:t xml:space="preserve">years from the date of signing148, without the need for them to calculate their market shares.</w:t>
      </w:r>
      <w:r>
        <w:br/>
      </w:r>
      <w:r>
        <w:t xml:space="preserve">Option 2 would introduce a 3+ test in the TTBER, as an alternative condition to the current</w:t>
      </w:r>
      <w:r>
        <w:t xml:space="preserve"> </w:t>
      </w:r>
      <w:r>
        <w:t xml:space="preserve">market share thresholds for technology markets. The baseline scenario already includes the</w:t>
      </w:r>
      <w:r>
        <w:t xml:space="preserve"> </w:t>
      </w:r>
      <w:r>
        <w:t xml:space="preserve">4+ test as a soft safe harbour: the Guidelines already explain that Article 101 is unlikely to be</w:t>
      </w:r>
      <w:r>
        <w:t xml:space="preserve"> </w:t>
      </w:r>
      <w:r>
        <w:t xml:space="preserve">infringed where there are four or more independently controlled technologies in addition to</w:t>
      </w:r>
      <w:r>
        <w:t xml:space="preserve"> </w:t>
      </w:r>
      <w:r>
        <w:t xml:space="preserve">those controlled by the parties. Stakeholders are already familiar with this soft safe harbour</w:t>
      </w:r>
      <w:r>
        <w:t xml:space="preserve"> </w:t>
      </w:r>
      <w:r>
        <w:t xml:space="preserve">and rely on it to assess their compliance with competition law. Under Option 2, an agreement</w:t>
      </w:r>
      <w:r>
        <w:t xml:space="preserve"> </w:t>
      </w:r>
      <w:r>
        <w:t xml:space="preserve">could still benefit from the block exemption provided that there were fewer than four, namely</w:t>
      </w:r>
      <w:r>
        <w:t xml:space="preserve"> </w:t>
      </w:r>
      <w:r>
        <w:t xml:space="preserve">three, alternative technologies on the market. The main practical consequence of this Option</w:t>
      </w:r>
      <w:r>
        <w:t xml:space="preserve"> </w:t>
      </w:r>
      <w:r>
        <w:t xml:space="preserve">would therefore be to simplify the application of the market share thresholds for technology</w:t>
      </w:r>
      <w:r>
        <w:t xml:space="preserve"> </w:t>
      </w:r>
      <w:r>
        <w:t xml:space="preserve">transfer agreements in markets with fewer than four – namely, three – alternative competing</w:t>
      </w:r>
    </w:p>
    <w:p>
      <w:pPr>
        <w:pStyle w:val="BodyText"/>
      </w:pPr>
      <w:r>
        <w:t xml:space="preserve">144 For an explanation of the grace period, see Section 2.1 (Problem 1) above.</w:t>
      </w:r>
      <w:r>
        <w:t xml:space="preserve"> </w:t>
      </w:r>
      <w:r>
        <w:t xml:space="preserve">145 See for example, Rab, S., ‘New EU Technology Transfer Block Exemption: A Note of Caution’, Journal of</w:t>
      </w:r>
      <w:r>
        <w:t xml:space="preserve"> </w:t>
      </w:r>
      <w:r>
        <w:t xml:space="preserve">European Competition Law &amp; Practice (2014), pp. 436 et seq.</w:t>
      </w:r>
      <w:r>
        <w:t xml:space="preserve"> </w:t>
      </w:r>
      <w:r>
        <w:t xml:space="preserve">146 See, for example, the replies of two major industry associations to the consultation on the proposed revised</w:t>
      </w:r>
      <w:r>
        <w:t xml:space="preserve"> </w:t>
      </w:r>
      <w:r>
        <w:t xml:space="preserve">texts, emphasising that “Extending the grace period [by one year] provides greater flexibility in assessing</w:t>
      </w:r>
      <w:r>
        <w:t xml:space="preserve"> </w:t>
      </w:r>
      <w:r>
        <w:t xml:space="preserve">structural changes and improves predictability for subsequent antitrust action, allowing for fluctuations in</w:t>
      </w:r>
      <w:r>
        <w:t xml:space="preserve"> </w:t>
      </w:r>
      <w:r>
        <w:t xml:space="preserve">the parties’ market shares following the introduction of new technologies and the need to recover their</w:t>
      </w:r>
      <w:r>
        <w:t xml:space="preserve"> </w:t>
      </w:r>
      <w:r>
        <w:t xml:space="preserve">investments” and that the extension of the grace period by one year positively “takes into account the</w:t>
      </w:r>
      <w:r>
        <w:t xml:space="preserve"> </w:t>
      </w:r>
      <w:r>
        <w:t xml:space="preserve">volatility of young technology markets and […] increases legal certainty”.</w:t>
      </w:r>
      <w:r>
        <w:t xml:space="preserve"> </w:t>
      </w:r>
      <w:r>
        <w:t xml:space="preserve">147 The literature on the speed of technology adoption shows that the time required for technologies to reach</w:t>
      </w:r>
      <w:r>
        <w:t xml:space="preserve"> </w:t>
      </w:r>
      <w:r>
        <w:t xml:space="preserve">wide market adoption has decreased in recent decades. While it is difficult to pinpoint an exact number of</w:t>
      </w:r>
      <w:r>
        <w:t xml:space="preserve"> </w:t>
      </w:r>
      <w:r>
        <w:t xml:space="preserve">years for adoption across different industries, historical cases indicate that certain technologies (for example,</w:t>
      </w:r>
      <w:r>
        <w:t xml:space="preserve"> </w:t>
      </w:r>
      <w:r>
        <w:t xml:space="preserve">the videocassette recorder) took around 8 years for achieving widespread commercialisation after their</w:t>
      </w:r>
      <w:r>
        <w:t xml:space="preserve"> </w:t>
      </w:r>
      <w:r>
        <w:t xml:space="preserve">introduction. The literature also shows that in some industries technological uptake has substantially</w:t>
      </w:r>
      <w:r>
        <w:t xml:space="preserve"> </w:t>
      </w:r>
      <w:r>
        <w:t xml:space="preserve">accelerated over the past years. See Gross, R., et al., ‘How long does innovation and commercialisation in</w:t>
      </w:r>
      <w:r>
        <w:t xml:space="preserve"> </w:t>
      </w:r>
      <w:r>
        <w:t xml:space="preserve">the energy sectors take? Historical case studies of the timescale from invention to widespread</w:t>
      </w:r>
      <w:r>
        <w:t xml:space="preserve"> </w:t>
      </w:r>
      <w:r>
        <w:t xml:space="preserve">commercialisation in energy supply and end use technology’, Energy Policy, 123, 2018, pp. 628 et seq.</w:t>
      </w:r>
      <w:r>
        <w:t xml:space="preserve"> </w:t>
      </w:r>
      <w:r>
        <w:t xml:space="preserve">(examining the period between market introduction and widespread commercialisation for various</w:t>
      </w:r>
      <w:r>
        <w:t xml:space="preserve"> </w:t>
      </w:r>
      <w:r>
        <w:t xml:space="preserve">technologies); Comin, D. and Hobijn, B., ‘An Exploration of Technology Diffusion’, The American</w:t>
      </w:r>
      <w:r>
        <w:t xml:space="preserve"> </w:t>
      </w:r>
      <w:r>
        <w:t xml:space="preserve">Economic Review, 100, 5, 2010, p. 2049 (explaining the evolution of technology uptake in certain</w:t>
      </w:r>
      <w:r>
        <w:t xml:space="preserve"> </w:t>
      </w:r>
      <w:r>
        <w:t xml:space="preserve">industries).</w:t>
      </w:r>
      <w:r>
        <w:t xml:space="preserve"> </w:t>
      </w:r>
      <w:r>
        <w:t xml:space="preserve">148 This would be the case where the technology generates sales of contract products in the same calendar year</w:t>
      </w:r>
      <w:r>
        <w:t xml:space="preserve"> </w:t>
      </w:r>
      <w:r>
        <w:t xml:space="preserve">the agreement is signed and, in that same year, the sales of the contract products result in the market share</w:t>
      </w:r>
      <w:r>
        <w:t xml:space="preserve"> </w:t>
      </w:r>
      <w:r>
        <w:t xml:space="preserve">thresholds being exceeded. This is because according to Art. 8(e) of the TTBER, the grace period applies for</w:t>
      </w:r>
      <w:r>
        <w:t xml:space="preserve"> </w:t>
      </w:r>
      <w:r>
        <w:t xml:space="preserve">a number of ‘consecutive calendar years’ (three years under Option 1) ‘following the year in which the’</w:t>
      </w:r>
      <w:r>
        <w:t xml:space="preserve"> </w:t>
      </w:r>
      <w:r>
        <w:t xml:space="preserve">thresholds are exceeded.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technologies. In such cases, parties would no longer need to calculate market shares, although</w:t>
      </w:r>
      <w:r>
        <w:t xml:space="preserve"> </w:t>
      </w:r>
      <w:r>
        <w:t xml:space="preserve">they would still need to identify substitutable technologies.</w:t>
      </w:r>
      <w:r>
        <w:br/>
      </w:r>
      <w:r>
        <w:t xml:space="preserve">Options 1 and 2 are not mutually exclusive and could therefore be introduced together.</w:t>
      </w:r>
      <w:r>
        <w:t xml:space="preserve"> </w:t>
      </w:r>
      <w:r>
        <w:t xml:space="preserve">5.2.2. Policy options for data licensing</w:t>
      </w:r>
      <w:r>
        <w:t xml:space="preserve"> </w:t>
      </w:r>
      <w:r>
        <w:t xml:space="preserve">The baseline scenario for this area consists of not providing guidance on data licensing</w:t>
      </w:r>
      <w:r>
        <w:t xml:space="preserve"> </w:t>
      </w:r>
      <w:r>
        <w:t xml:space="preserve">agreements in the revised TTBER and Guidelines, which would therefore continue to remain</w:t>
      </w:r>
      <w:r>
        <w:t xml:space="preserve"> </w:t>
      </w:r>
      <w:r>
        <w:t xml:space="preserve">silent on the issue. Therefore, under this baseline scenario, businesses would continue to</w:t>
      </w:r>
      <w:r>
        <w:t xml:space="preserve"> </w:t>
      </w:r>
      <w:r>
        <w:t xml:space="preserve">assess the compliance of their data licensing agreements using only Article 101 TFEU and</w:t>
      </w:r>
      <w:r>
        <w:t xml:space="preserve"> </w:t>
      </w:r>
      <w:r>
        <w:t xml:space="preserve">the case law and decisional practice (which is currently rather scarce).</w:t>
      </w:r>
      <w:r>
        <w:br/>
      </w:r>
      <w:r>
        <w:t xml:space="preserve">Two policy options have been identified for this area, both of which aim to provide guidance</w:t>
      </w:r>
      <w:r>
        <w:t xml:space="preserve"> </w:t>
      </w:r>
      <w:r>
        <w:t xml:space="preserve">on the competition law assessment of data licensing agreements149. While both options would</w:t>
      </w:r>
      <w:r>
        <w:t xml:space="preserve"> </w:t>
      </w:r>
      <w:r>
        <w:t xml:space="preserve">increase legal certainty, the two options are incremental: Option 1 focuses only on clarifying</w:t>
      </w:r>
      <w:r>
        <w:t xml:space="preserve"> </w:t>
      </w:r>
      <w:r>
        <w:t xml:space="preserve">which types of data licensing agreements are covered by the block exemption provided by the</w:t>
      </w:r>
      <w:r>
        <w:t xml:space="preserve"> </w:t>
      </w:r>
      <w:r>
        <w:t xml:space="preserve">TTBER. Option 2 – in addition to the clarification to be provided under Option 1 – foresees</w:t>
      </w:r>
      <w:r>
        <w:t xml:space="preserve"> </w:t>
      </w:r>
      <w:r>
        <w:t xml:space="preserve">the inclusion in the rules of additional guidance on certain data licensing agreements that fall</w:t>
      </w:r>
      <w:r>
        <w:t xml:space="preserve"> </w:t>
      </w:r>
      <w:r>
        <w:t xml:space="preserve">outside the scope of the TTBER150. In more detail:</w:t>
      </w:r>
      <w:r>
        <w:t xml:space="preserve"> </w:t>
      </w:r>
      <w:r>
        <w:t xml:space="preserve">Option 1 would update the current rules to clarify under which circumstances data licensing</w:t>
      </w:r>
      <w:r>
        <w:t xml:space="preserve"> </w:t>
      </w:r>
      <w:r>
        <w:t xml:space="preserve">agreements can benefit from the block exemption provided by the TTBER. The updated</w:t>
      </w:r>
      <w:r>
        <w:t xml:space="preserve"> </w:t>
      </w:r>
      <w:r>
        <w:t xml:space="preserve">guidance would not expand the scope of the TTBER to include new rights in data, but would</w:t>
      </w:r>
      <w:r>
        <w:t xml:space="preserve"> </w:t>
      </w:r>
      <w:r>
        <w:t xml:space="preserve">clarify that data licensing can benefit from the block exemption where:</w:t>
      </w:r>
    </w:p>
    <w:p>
      <w:pPr>
        <w:pStyle w:val="BodyText"/>
      </w:pPr>
      <w:r>
        <w:t xml:space="preserve">149 The policy options for data licensing agreements elicited limited feedback from stakeholders. In response to</w:t>
      </w:r>
      <w:r>
        <w:t xml:space="preserve"> </w:t>
      </w:r>
      <w:r>
        <w:t xml:space="preserve">the impact assessment public consultation, 9 stakeholders responded that at least certain types of data can</w:t>
      </w:r>
      <w:r>
        <w:t xml:space="preserve"> </w:t>
      </w:r>
      <w:r>
        <w:t xml:space="preserve">qualify as know-how (including 5 businesses in the automotive, energy and telecoms sectors; 2 associations,</w:t>
      </w:r>
      <w:r>
        <w:t xml:space="preserve"> </w:t>
      </w:r>
      <w:r>
        <w:t xml:space="preserve">2 universities/academics), while 4 expressed doubts about this (1 company in the telecoms sector, 2</w:t>
      </w:r>
      <w:r>
        <w:t xml:space="preserve"> </w:t>
      </w:r>
      <w:r>
        <w:t xml:space="preserve">associations and 1 law firm). Stakeholders interviewed by the external expert for the Evaluation Support</w:t>
      </w:r>
      <w:r>
        <w:t xml:space="preserve"> </w:t>
      </w:r>
      <w:r>
        <w:t xml:space="preserve">Study were also asked to address how data fits the TTBER’s definition of know-how (see page 194 of the</w:t>
      </w:r>
      <w:r>
        <w:t xml:space="preserve"> </w:t>
      </w:r>
      <w:r>
        <w:t xml:space="preserve">Evaluation Support Study). The Expert Report on Data Licensing confirmed that data can qualify as know-</w:t>
      </w:r>
      <w:r>
        <w:t xml:space="preserve"> </w:t>
      </w:r>
      <w:r>
        <w:t xml:space="preserve">how, but also as software copyright or as a patent. As regards the possibility to provide guidance in the</w:t>
      </w:r>
      <w:r>
        <w:t xml:space="preserve"> </w:t>
      </w:r>
      <w:r>
        <w:t xml:space="preserve">TTBER and the Guidelines on data licensing agreements that do not fall within the scope of the TTBER, a</w:t>
      </w:r>
      <w:r>
        <w:t xml:space="preserve"> </w:t>
      </w:r>
      <w:r>
        <w:t xml:space="preserve">majority of respondents in the impact assessment public consultation agreed with that option. In particular,</w:t>
      </w:r>
      <w:r>
        <w:t xml:space="preserve"> </w:t>
      </w:r>
      <w:r>
        <w:t xml:space="preserve">when asked whether providing guidance in the Guidelines on data licensing agreements would provide legal</w:t>
      </w:r>
      <w:r>
        <w:t xml:space="preserve"> </w:t>
      </w:r>
      <w:r>
        <w:t xml:space="preserve">certainty, 8 respondents agreed (3 businesses in the automotive and health technology sectors, 3 associations,</w:t>
      </w:r>
      <w:r>
        <w:t xml:space="preserve"> </w:t>
      </w:r>
      <w:r>
        <w:t xml:space="preserve">2 academic/research institutions), while 1 (a law firm) disagreed. Lastly, many stakeholders throughout the</w:t>
      </w:r>
      <w:r>
        <w:t xml:space="preserve"> </w:t>
      </w:r>
      <w:r>
        <w:t xml:space="preserve">evaluation and impact assessment phases were in favour of expanding the list of technologies covered by the</w:t>
      </w:r>
      <w:r>
        <w:t xml:space="preserve"> </w:t>
      </w:r>
      <w:r>
        <w:t xml:space="preserve">TTBER to directly cover certain IP or similar rights that are specific to data. However, as explained in</w:t>
      </w:r>
      <w:r>
        <w:t xml:space="preserve"> </w:t>
      </w:r>
      <w:r>
        <w:t xml:space="preserve">Section 5.3 below, that option was discarded.</w:t>
      </w:r>
      <w:r>
        <w:t xml:space="preserve"> </w:t>
      </w:r>
      <w:r>
        <w:t xml:space="preserve">150 Regardless of the policy option, it should be emphasised that the TTBER and the Guidelines cannot provide</w:t>
      </w:r>
      <w:r>
        <w:t xml:space="preserve"> </w:t>
      </w:r>
      <w:r>
        <w:t xml:space="preserve">guidance on every type of data licensing agreement or for every possible type of restriction contained in such</w:t>
      </w:r>
      <w:r>
        <w:t xml:space="preserve"> </w:t>
      </w:r>
      <w:r>
        <w:t xml:space="preserve">agreements. This applies to competition law guidance in general, but is particularly true for a fast-evolving</w:t>
      </w:r>
      <w:r>
        <w:t xml:space="preserve"> </w:t>
      </w:r>
      <w:r>
        <w:t xml:space="preserve">practice such as data licensing, where there is so far very little enforcement practice. For this reason, the</w:t>
      </w:r>
      <w:r>
        <w:t xml:space="preserve"> </w:t>
      </w:r>
      <w:r>
        <w:t xml:space="preserve">options focus on providing guidance for those data licensing agreements that most closely resemble</w:t>
      </w:r>
      <w:r>
        <w:t xml:space="preserve"> </w:t>
      </w:r>
      <w:r>
        <w:t xml:space="preserve">technology transfer agreements.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i.</w:t>
      </w:r>
      <w:r>
        <w:t xml:space="preserve"> </w:t>
      </w:r>
      <w:r>
        <w:t xml:space="preserve">the licensed data qualifies as one of the technology rights (including know-how)151</w:t>
      </w:r>
      <w:r>
        <w:t xml:space="preserve"> </w:t>
      </w:r>
      <w:r>
        <w:t xml:space="preserve">covered by the TTBER, for example patents or software copyright, as defined in</w:t>
      </w:r>
      <w:r>
        <w:t xml:space="preserve"> </w:t>
      </w:r>
      <w:r>
        <w:t xml:space="preserve">Article 1 of the TTBER; or</w:t>
      </w:r>
      <w:r>
        <w:t xml:space="preserve"> </w:t>
      </w:r>
      <w:r>
        <w:t xml:space="preserve">ii.</w:t>
      </w:r>
      <w:r>
        <w:t xml:space="preserve"> </w:t>
      </w:r>
      <w:r>
        <w:t xml:space="preserve">the data licensing satisfies the conditions of Article 2(3) of the TTBER, namely (a) it</w:t>
      </w:r>
      <w:r>
        <w:t xml:space="preserve"> </w:t>
      </w:r>
      <w:r>
        <w:t xml:space="preserve">takes place within a technology transfer agreement that itself fulfils the conditions of</w:t>
      </w:r>
      <w:r>
        <w:t xml:space="preserve"> </w:t>
      </w:r>
      <w:r>
        <w:t xml:space="preserve">the TTBER; (b) it is directly related to the production or sale of the contract products,</w:t>
      </w:r>
      <w:r>
        <w:t xml:space="preserve"> </w:t>
      </w:r>
      <w:r>
        <w:t xml:space="preserve">and (c) it qualifies as the licensing or assignment of intellectual property rights or</w:t>
      </w:r>
      <w:r>
        <w:t xml:space="preserve"> </w:t>
      </w:r>
      <w:r>
        <w:t xml:space="preserve">know-how to the licensee.</w:t>
      </w:r>
      <w:r>
        <w:t xml:space="preserve"> </w:t>
      </w:r>
      <w:r>
        <w:t xml:space="preserve">Under this option, the guidance to be provided would concern only those data licensing</w:t>
      </w:r>
      <w:r>
        <w:t xml:space="preserve"> </w:t>
      </w:r>
      <w:r>
        <w:t xml:space="preserve">agreements that meet the conditions of the TTBER, while no guidance would be provided for</w:t>
      </w:r>
      <w:r>
        <w:t xml:space="preserve"> </w:t>
      </w:r>
      <w:r>
        <w:t xml:space="preserve">the competition law assessment of data licensing agreements that do not meet such</w:t>
      </w:r>
      <w:r>
        <w:t xml:space="preserve"> </w:t>
      </w:r>
      <w:r>
        <w:t xml:space="preserve">conditions.</w:t>
      </w:r>
      <w:r>
        <w:t xml:space="preserve"> </w:t>
      </w:r>
      <w:r>
        <w:t xml:space="preserve">Option 2 is to provide the guidance described under Option 1 and, in addition, to provide</w:t>
      </w:r>
      <w:r>
        <w:t xml:space="preserve"> </w:t>
      </w:r>
      <w:r>
        <w:t xml:space="preserve">guidance on data licensing agreements that fall outside the TTBER.</w:t>
      </w:r>
      <w:r>
        <w:br/>
      </w:r>
      <w:r>
        <w:t xml:space="preserve">As regards its scope, this new guidance would focus on the licensing of those types of data</w:t>
      </w:r>
      <w:r>
        <w:t xml:space="preserve"> </w:t>
      </w:r>
      <w:r>
        <w:t xml:space="preserve">that are most similar to the technology rights already covered by the TTBER, including in</w:t>
      </w:r>
      <w:r>
        <w:t xml:space="preserve"> </w:t>
      </w:r>
      <w:r>
        <w:t xml:space="preserve">terms of competitive effects, i.e. databases protected by copyright or by the sui generis right</w:t>
      </w:r>
      <w:r>
        <w:t xml:space="preserve"> </w:t>
      </w:r>
      <w:r>
        <w:t xml:space="preserve">defined in Article 7 of the Database Directive (the ‘database sui generis right’)152. The</w:t>
      </w:r>
      <w:r>
        <w:t xml:space="preserve"> </w:t>
      </w:r>
      <w:r>
        <w:t xml:space="preserve">assessment of agreements for the licensing of such databases gives rise to similar</w:t>
      </w:r>
      <w:r>
        <w:t xml:space="preserve"> </w:t>
      </w:r>
      <w:r>
        <w:t xml:space="preserve">considerations as the licensing of technology rights covered by the TTBER. In particular, the</w:t>
      </w:r>
      <w:r>
        <w:t xml:space="preserve"> </w:t>
      </w:r>
      <w:r>
        <w:t xml:space="preserve">creation of databases protected by copyright or by the database sui generis right may entail</w:t>
      </w:r>
      <w:r>
        <w:t xml:space="preserve"> </w:t>
      </w:r>
      <w:r>
        <w:t xml:space="preserve">significant investments and the licensing of such databases is, in general, pro-competitive. It</w:t>
      </w:r>
      <w:r>
        <w:t xml:space="preserve"> </w:t>
      </w:r>
      <w:r>
        <w:t xml:space="preserve">promotes innovation, by allowing database creators to earn a return on their R&amp;D costs. It</w:t>
      </w:r>
      <w:r>
        <w:t xml:space="preserve"> </w:t>
      </w:r>
      <w:r>
        <w:t xml:space="preserve">also leads to the dissemination of data protected by intellectual property rights, which may</w:t>
      </w:r>
      <w:r>
        <w:t xml:space="preserve"> </w:t>
      </w:r>
      <w:r>
        <w:t xml:space="preserve">increase downstream innovation and create value, by reducing the production costs of</w:t>
      </w:r>
      <w:r>
        <w:t xml:space="preserve"> </w:t>
      </w:r>
      <w:r>
        <w:t xml:space="preserve">licensees or by enabling them to produce new or improved products.</w:t>
      </w:r>
      <w:r>
        <w:t xml:space="preserve"> </w:t>
      </w:r>
      <w:r>
        <w:t xml:space="preserve">As regards the content of this new guidance, the guidance would explain that the Commission</w:t>
      </w:r>
      <w:r>
        <w:t xml:space="preserve"> </w:t>
      </w:r>
      <w:r>
        <w:t xml:space="preserve">will generally apply the principles of the TTBER and the Guidelines when assessing</w:t>
      </w:r>
      <w:r>
        <w:t xml:space="preserve"> </w:t>
      </w:r>
      <w:r>
        <w:t xml:space="preserve">licensing of databases protected by copyright or the database sui generis right. This would</w:t>
      </w:r>
    </w:p>
    <w:p>
      <w:pPr>
        <w:pStyle w:val="BodyText"/>
      </w:pPr>
      <w:r>
        <w:t xml:space="preserve">151 For example, the data could consist of the method to be used for a production process, such as a new method</w:t>
      </w:r>
      <w:r>
        <w:t xml:space="preserve"> </w:t>
      </w:r>
      <w:r>
        <w:t xml:space="preserve">of chemical synthesis. Such data could constitute know-how within the meaning of the TTBER. The method</w:t>
      </w:r>
      <w:r>
        <w:t xml:space="preserve"> </w:t>
      </w:r>
      <w:r>
        <w:t xml:space="preserve">could also be patentable.</w:t>
      </w:r>
      <w:r>
        <w:br/>
      </w:r>
      <w:r>
        <w:t xml:space="preserve">152 Stakeholders were divided on the need to cover additional types of data. Some respondents to the public</w:t>
      </w:r>
      <w:r>
        <w:t xml:space="preserve"> </w:t>
      </w:r>
      <w:r>
        <w:t xml:space="preserve">consultation stated that the licensing of other types of data, such as for example raw data or data not</w:t>
      </w:r>
      <w:r>
        <w:t xml:space="preserve"> </w:t>
      </w:r>
      <w:r>
        <w:t xml:space="preserve">protected by any type of intellectual property, can have significantly different effects on competition</w:t>
      </w:r>
      <w:r>
        <w:t xml:space="preserve"> </w:t>
      </w:r>
      <w:r>
        <w:t xml:space="preserve">compared to the licensing of technologies covered by the TTBER. For example, a business association</w:t>
      </w:r>
      <w:r>
        <w:t xml:space="preserve"> </w:t>
      </w:r>
      <w:r>
        <w:t xml:space="preserve">recognised the difficulties of applying the TTBER framework to all types of data. Another business</w:t>
      </w:r>
      <w:r>
        <w:t xml:space="preserve"> </w:t>
      </w:r>
      <w:r>
        <w:t xml:space="preserve">association agreed that database copyright and the database sui generis right are the only rights in data that</w:t>
      </w:r>
      <w:r>
        <w:t xml:space="preserve"> </w:t>
      </w:r>
      <w:r>
        <w:t xml:space="preserve">are sufficiently clear and specified to be included in the TTBER framework. It has been pointed out that in</w:t>
      </w:r>
      <w:r>
        <w:t xml:space="preserve"> </w:t>
      </w:r>
      <w:r>
        <w:t xml:space="preserve">the absence of significant investments to collect the data, restrictions of competition included in the licensing</w:t>
      </w:r>
      <w:r>
        <w:t xml:space="preserve"> </w:t>
      </w:r>
      <w:r>
        <w:t xml:space="preserve">of such data may be harder to justify under Article 101(3) compared to similar restrictions in technology</w:t>
      </w:r>
      <w:r>
        <w:t xml:space="preserve"> </w:t>
      </w:r>
      <w:r>
        <w:t xml:space="preserve">transfer agreements. Overall, the lack of enforcement experience in this particular field does not allow the</w:t>
      </w:r>
      <w:r>
        <w:t xml:space="preserve"> </w:t>
      </w:r>
      <w:r>
        <w:t xml:space="preserve">Commission to provide specific guidance within the TTBER framework on the application of Article 101 to</w:t>
      </w:r>
      <w:r>
        <w:t xml:space="preserve"> </w:t>
      </w:r>
      <w:r>
        <w:t xml:space="preserve">the licensing of other types of data (namely, those that are less similar to the technology rights covered by</w:t>
      </w:r>
      <w:r>
        <w:t xml:space="preserve"> </w:t>
      </w:r>
      <w:r>
        <w:t xml:space="preserve">the TTBER).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provide companies with a clear indication of the rules that the Commission will apply when</w:t>
      </w:r>
      <w:r>
        <w:t xml:space="preserve"> </w:t>
      </w:r>
      <w:r>
        <w:t xml:space="preserve">assessing those types of data licensing agreements under Article 101 TFEU153. The new</w:t>
      </w:r>
      <w:r>
        <w:t xml:space="preserve"> </w:t>
      </w:r>
      <w:r>
        <w:t xml:space="preserve">guidance would also include explanations on the applicable rules concerning the exchange of</w:t>
      </w:r>
      <w:r>
        <w:t xml:space="preserve"> </w:t>
      </w:r>
      <w:r>
        <w:t xml:space="preserve">commercially sensitive information through data licensing agreements and a clarification on</w:t>
      </w:r>
      <w:r>
        <w:t xml:space="preserve"> </w:t>
      </w:r>
      <w:r>
        <w:t xml:space="preserve">how the Commission will assess under Article 101 the data-sharing agreements mandated by</w:t>
      </w:r>
      <w:r>
        <w:t xml:space="preserve"> </w:t>
      </w:r>
      <w:r>
        <w:t xml:space="preserve">Chapter II of the Data Act154.</w:t>
      </w:r>
      <w:r>
        <w:br/>
      </w:r>
      <w:r>
        <w:t xml:space="preserve">5.2.3. Policy options for licensing negotiation groups</w:t>
      </w:r>
      <w:r>
        <w:t xml:space="preserve"> </w:t>
      </w:r>
      <w:r>
        <w:t xml:space="preserve">The baseline scenario for this area is the continued absence of guidance for this type of</w:t>
      </w:r>
      <w:r>
        <w:t xml:space="preserve"> </w:t>
      </w:r>
      <w:r>
        <w:t xml:space="preserve">agreement. Businesses wishing to set up LNGs would therefore continue to face a high level</w:t>
      </w:r>
      <w:r>
        <w:t xml:space="preserve"> </w:t>
      </w:r>
      <w:r>
        <w:t xml:space="preserve">of legal uncertainty and high compliance assessment costs. Two policy options have been</w:t>
      </w:r>
      <w:r>
        <w:t xml:space="preserve"> </w:t>
      </w:r>
      <w:r>
        <w:t xml:space="preserve">identified for this area.</w:t>
      </w:r>
      <w:r>
        <w:t xml:space="preserve"> </w:t>
      </w:r>
      <w:r>
        <w:t xml:space="preserve">Option 1 is to provide new guidance for the assessment of LNGs under Article 101 TFEU.</w:t>
      </w:r>
      <w:r>
        <w:t xml:space="preserve"> </w:t>
      </w:r>
      <w:r>
        <w:t xml:space="preserve">The guidance would provide a framework for assessing whether an LNG restricts competition</w:t>
      </w:r>
      <w:r>
        <w:t xml:space="preserve"> </w:t>
      </w:r>
      <w:r>
        <w:t xml:space="preserve">within the meaning of Article 101(1) TFEU and, if so, whether it meets the conditions of the</w:t>
      </w:r>
      <w:r>
        <w:t xml:space="preserve"> </w:t>
      </w:r>
      <w:r>
        <w:t xml:space="preserve">exception provided by Article 101(3) TFEU. As LNGs typically involve an agreement</w:t>
      </w:r>
      <w:r>
        <w:t xml:space="preserve"> </w:t>
      </w:r>
      <w:r>
        <w:t xml:space="preserve">between competitors, the guidance would explain the distinction between a genuine LNG and</w:t>
      </w:r>
      <w:r>
        <w:t xml:space="preserve"> </w:t>
      </w:r>
      <w:r>
        <w:t xml:space="preserve">a buyer cartel, and set out factors for assessing whether an LNG is likely to restrict</w:t>
      </w:r>
      <w:r>
        <w:t xml:space="preserve"> </w:t>
      </w:r>
      <w:r>
        <w:t xml:space="preserve">competition ‘by object’ or ‘by effect’155. Regarding restrictive effects, the guidance would</w:t>
      </w:r>
      <w:r>
        <w:t xml:space="preserve"> </w:t>
      </w:r>
      <w:r>
        <w:t xml:space="preserve">emphasise the need to consider whether the members of the LNG hold market power,</w:t>
      </w:r>
      <w:r>
        <w:t xml:space="preserve"> </w:t>
      </w:r>
      <w:r>
        <w:t xml:space="preserve">whether they seek to coerce technology owners into negotiating with the LNG and whether</w:t>
      </w:r>
      <w:r>
        <w:t xml:space="preserve"> </w:t>
      </w:r>
      <w:r>
        <w:t xml:space="preserve">the joint negotiation of licences through the LNG is likely to lead to a high degree of</w:t>
      </w:r>
      <w:r>
        <w:t xml:space="preserve"> </w:t>
      </w:r>
      <w:r>
        <w:t xml:space="preserve">commonality of costs between the LNG members, such as to be capable of facilitating</w:t>
      </w:r>
      <w:r>
        <w:t xml:space="preserve"> </w:t>
      </w:r>
      <w:r>
        <w:t xml:space="preserve">downstream collusion. The guidance would cover the competitive effects of LNGs in</w:t>
      </w:r>
      <w:r>
        <w:t xml:space="preserve"> </w:t>
      </w:r>
      <w:r>
        <w:t xml:space="preserve">upstream technology licensing markets and in downstream product markets156. Lastly, the</w:t>
      </w:r>
      <w:r>
        <w:t xml:space="preserve"> </w:t>
      </w:r>
      <w:r>
        <w:t xml:space="preserve">guidance would recall that agreements which produce restrictive effects may nonetheless be</w:t>
      </w:r>
      <w:r>
        <w:t xml:space="preserve"> </w:t>
      </w:r>
      <w:r>
        <w:t xml:space="preserve">compatible with Article 101 where they generate efficiencies that outweigh the negative</w:t>
      </w:r>
      <w:r>
        <w:t xml:space="preserve"> </w:t>
      </w:r>
      <w:r>
        <w:t xml:space="preserve">effects and meet the conditions of Article 101(3).</w:t>
      </w:r>
      <w:r>
        <w:br/>
      </w:r>
      <w:r>
        <w:t xml:space="preserve">Option 2 is to provide the new guidance outlined under Option 1, together with a soft safe</w:t>
      </w:r>
      <w:r>
        <w:t xml:space="preserve"> </w:t>
      </w:r>
      <w:r>
        <w:t xml:space="preserve">harbour. This would state that LNGs that meet a series of conditions regarding their</w:t>
      </w:r>
      <w:r>
        <w:t xml:space="preserve"> </w:t>
      </w:r>
      <w:r>
        <w:t xml:space="preserve">establishment and operation are generally unlikely to infringe Article 101 TFEU, i.e. these</w:t>
      </w:r>
      <w:r>
        <w:t xml:space="preserve"> </w:t>
      </w:r>
      <w:r>
        <w:t xml:space="preserve">LNGs would benefit from a soft law presumption of compliance157.</w:t>
      </w:r>
    </w:p>
    <w:p>
      <w:pPr>
        <w:pStyle w:val="BodyText"/>
      </w:pPr>
      <w:r>
        <w:t xml:space="preserve">153 This guidance would be included in the Guidelines, which bind the Commission in its enforcement practice</w:t>
      </w:r>
      <w:r>
        <w:t xml:space="preserve"> </w:t>
      </w:r>
      <w:r>
        <w:t xml:space="preserve">and are therefore able to provide a good degree of legal certainty to businesses.</w:t>
      </w:r>
      <w:r>
        <w:t xml:space="preserve"> </w:t>
      </w:r>
      <w:r>
        <w:t xml:space="preserve">154 Regulation (EU) 2023/2854 of the European Parliament and of the Council of 13 December 2023 on</w:t>
      </w:r>
      <w:r>
        <w:t xml:space="preserve"> </w:t>
      </w:r>
      <w:r>
        <w:t xml:space="preserve">harmonised rules on fair access to and use of data and amending Regulation (EU) 2017/2394 and Directive</w:t>
      </w:r>
      <w:r>
        <w:t xml:space="preserve"> </w:t>
      </w:r>
      <w:r>
        <w:t xml:space="preserve">(EU) 2020/1828 (Data Act), OJ L, 2023/2854.</w:t>
      </w:r>
      <w:r>
        <w:t xml:space="preserve"> </w:t>
      </w:r>
      <w:r>
        <w:t xml:space="preserve">155 Restrictions ‘by object’ are a category of particularly harmful restrictions of competition, for which it is not</w:t>
      </w:r>
      <w:r>
        <w:t xml:space="preserve"> </w:t>
      </w:r>
      <w:r>
        <w:t xml:space="preserve">necessary to demonstrate actual or potential effects on the market. Price-fixing and market-sharing</w:t>
      </w:r>
      <w:r>
        <w:t xml:space="preserve"> </w:t>
      </w:r>
      <w:r>
        <w:t xml:space="preserve">agreements between competitors are examples of restrictions by object.</w:t>
      </w:r>
      <w:r>
        <w:br/>
      </w:r>
      <w:r>
        <w:t xml:space="preserve">156 In the impact assessment public consultation, the proposal to provide guidance on LNGs was supported by</w:t>
      </w:r>
      <w:r>
        <w:t xml:space="preserve"> </w:t>
      </w:r>
      <w:r>
        <w:t xml:space="preserve">technology implementers (businesses and business associations) and opposed by technology owners</w:t>
      </w:r>
      <w:r>
        <w:t xml:space="preserve"> </w:t>
      </w:r>
      <w:r>
        <w:t xml:space="preserve">(businesses and business associations); see Annex 2, Section 2.1 for the results of the consultation.</w:t>
      </w:r>
      <w:r>
        <w:br/>
      </w:r>
      <w:r>
        <w:t xml:space="preserve">157 The Commission has provided soft safe harbours for various types of multilateral agreements, with the aim</w:t>
      </w:r>
      <w:r>
        <w:t xml:space="preserve"> </w:t>
      </w:r>
      <w:r>
        <w:t xml:space="preserve">of increasing legal certainty. These include technology pools (see Chapter 4.4 of the Guidelines), joint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Letting the TTBER expire</w:t>
      </w:r>
      <w:r>
        <w:t xml:space="preserve"> </w:t>
      </w:r>
      <w:r>
        <w:t xml:space="preserve">Allowing the TTBER to expire was an option discarded at an early stage as this would</w:t>
      </w:r>
      <w:r>
        <w:t xml:space="preserve"> </w:t>
      </w:r>
      <w:r>
        <w:t xml:space="preserve">conflict with the Union’s objectives of promoting innovation, growth and competitiveness.</w:t>
      </w:r>
      <w:r>
        <w:t xml:space="preserve"> </w:t>
      </w:r>
      <w:r>
        <w:t xml:space="preserve">Technology licensing is an important means of disseminating innovation, and a block</w:t>
      </w:r>
      <w:r>
        <w:t xml:space="preserve"> </w:t>
      </w:r>
      <w:r>
        <w:t xml:space="preserve">exemption framework facilitates such dissemination by enabling businesses to conclude</w:t>
      </w:r>
      <w:r>
        <w:t xml:space="preserve"> </w:t>
      </w:r>
      <w:r>
        <w:t xml:space="preserve">licences with greater legal certainty. Letting the TTBER expire would potentially discourage</w:t>
      </w:r>
      <w:r>
        <w:t xml:space="preserve"> </w:t>
      </w:r>
      <w:r>
        <w:t xml:space="preserve">technology licensing, because it would make it harder for businesses to assess the compliance</w:t>
      </w:r>
      <w:r>
        <w:t xml:space="preserve"> </w:t>
      </w:r>
      <w:r>
        <w:t xml:space="preserve">of their agreements with Article 101 TFEU. This approach is also consistent with the clear</w:t>
      </w:r>
      <w:r>
        <w:t xml:space="preserve"> </w:t>
      </w:r>
      <w:r>
        <w:t xml:space="preserve">finding of the Evaluation that the TTBER and Guidelines remain relevant, as they facilitate</w:t>
      </w:r>
      <w:r>
        <w:t xml:space="preserve"> </w:t>
      </w:r>
      <w:r>
        <w:t xml:space="preserve">the competition law assessment of technology transfer agreements by businesses158.</w:t>
      </w:r>
      <w:r>
        <w:t xml:space="preserve"> </w:t>
      </w:r>
      <w:r>
        <w:t xml:space="preserve">The TTBER’s market share thresholds for technology markets</w:t>
      </w:r>
      <w:r>
        <w:t xml:space="preserve"> </w:t>
      </w:r>
      <w:r>
        <w:t xml:space="preserve">The call for evidence of the impact assessment phase set out two policy options - the second</w:t>
      </w:r>
      <w:r>
        <w:t xml:space="preserve"> </w:t>
      </w:r>
      <w:r>
        <w:t xml:space="preserve">including two sub-policy options - to address the practical difficulties reported by</w:t>
      </w:r>
      <w:r>
        <w:t xml:space="preserve"> </w:t>
      </w:r>
      <w:r>
        <w:t xml:space="preserve">stakeholders in applying the TTBER’s market share thresholds for technology markets. One</w:t>
      </w:r>
      <w:r>
        <w:t xml:space="preserve"> </w:t>
      </w:r>
      <w:r>
        <w:t xml:space="preserve">of these options was discarded at an early stage, i.e. removing the market share thresholds for</w:t>
      </w:r>
      <w:r>
        <w:t xml:space="preserve"> </w:t>
      </w:r>
      <w:r>
        <w:t xml:space="preserve">technology markets altogether, leaving only the thresholds for relevant product markets.</w:t>
      </w:r>
      <w:r>
        <w:br/>
      </w:r>
      <w:r>
        <w:t xml:space="preserve">This policy option was discarded because it would not take into account the possibility that</w:t>
      </w:r>
      <w:r>
        <w:t xml:space="preserve"> </w:t>
      </w:r>
      <w:r>
        <w:t xml:space="preserve">the parties may hold market power in relevant technology licensing markets. As explained in</w:t>
      </w:r>
      <w:r>
        <w:t xml:space="preserve"> </w:t>
      </w:r>
      <w:r>
        <w:t xml:space="preserve">Section 2.1 above, competitive conditions may differ between the relevant technology market</w:t>
      </w:r>
      <w:r>
        <w:t xml:space="preserve"> </w:t>
      </w:r>
      <w:r>
        <w:t xml:space="preserve">and the relevant product market. For instance, under this option, a technology owner that has</w:t>
      </w:r>
      <w:r>
        <w:t xml:space="preserve"> </w:t>
      </w:r>
      <w:r>
        <w:t xml:space="preserve">market power in technology licensing but is not active in the product market would be able to</w:t>
      </w:r>
      <w:r>
        <w:t xml:space="preserve"> </w:t>
      </w:r>
      <w:r>
        <w:t xml:space="preserve">enter into restrictive licensing agreements (with competitors or non-competitors) within the</w:t>
      </w:r>
      <w:r>
        <w:t xml:space="preserve"> </w:t>
      </w:r>
      <w:r>
        <w:t xml:space="preserve">block exemption provided that each licensee held a market share below 20% or 30% in the</w:t>
      </w:r>
      <w:r>
        <w:t xml:space="preserve"> </w:t>
      </w:r>
      <w:r>
        <w:t xml:space="preserve">relevant product market159. Several stakeholders highlighted this risk in their contributions to</w:t>
      </w:r>
      <w:r>
        <w:t xml:space="preserve"> </w:t>
      </w:r>
      <w:r>
        <w:t xml:space="preserve">the impact assessment public consultation160.</w:t>
      </w:r>
    </w:p>
    <w:p>
      <w:pPr>
        <w:pStyle w:val="BodyText"/>
      </w:pPr>
      <w:r>
        <w:t xml:space="preserve">purchasing agreements, standardisation agreements and sustainability standardisation agreements (see</w:t>
      </w:r>
      <w:r>
        <w:t xml:space="preserve"> </w:t>
      </w:r>
      <w:r>
        <w:t xml:space="preserve">Chapters 4, 7 and 9 respectively of the Horizontal Guidelines). Commission Guidelines bind only the</w:t>
      </w:r>
      <w:r>
        <w:t xml:space="preserve"> </w:t>
      </w:r>
      <w:r>
        <w:t xml:space="preserve">Commission, not the Union Courts, NCAs or national courts, however NCAs and national courts typically</w:t>
      </w:r>
      <w:r>
        <w:t xml:space="preserve"> </w:t>
      </w:r>
      <w:r>
        <w:t xml:space="preserve">take the Commission’s guidelines into account when they assess agreements under Article 101 TFEU.</w:t>
      </w:r>
      <w:r>
        <w:t xml:space="preserve"> </w:t>
      </w:r>
      <w:r>
        <w:t xml:space="preserve">158 See pages 42-43 of the Evaluation Report, which confirms the need for a block exemption regulation for</w:t>
      </w:r>
      <w:r>
        <w:t xml:space="preserve"> </w:t>
      </w:r>
      <w:r>
        <w:t xml:space="preserve">technology transfer agreements, and concludes that the TTBER and Guidelines have overall met their</w:t>
      </w:r>
      <w:r>
        <w:t xml:space="preserve"> </w:t>
      </w:r>
      <w:r>
        <w:t xml:space="preserve">objectives and achieved these objectives in an efficient way.</w:t>
      </w:r>
      <w:r>
        <w:t xml:space="preserve"> </w:t>
      </w:r>
      <w:r>
        <w:t xml:space="preserve">159 Under the footprint methodology imposed by the TTBER for calculating market shares in technology</w:t>
      </w:r>
      <w:r>
        <w:t xml:space="preserve"> </w:t>
      </w:r>
      <w:r>
        <w:t xml:space="preserve">markets, a technology owner’s market share in the technology market is inferred from the combined market</w:t>
      </w:r>
      <w:r>
        <w:t xml:space="preserve"> </w:t>
      </w:r>
      <w:r>
        <w:t xml:space="preserve">shares of all its licensees in the product market. The removal of the market share thresholds for technology</w:t>
      </w:r>
      <w:r>
        <w:t xml:space="preserve"> </w:t>
      </w:r>
      <w:r>
        <w:t xml:space="preserve">markets would be particularly problematic for agreements between competing technology licensors. For</w:t>
      </w:r>
      <w:r>
        <w:t xml:space="preserve"> </w:t>
      </w:r>
      <w:r>
        <w:t xml:space="preserve">example, let us assume that there are only two technologies to manufacture a certain product. Technology</w:t>
      </w:r>
      <w:r>
        <w:t xml:space="preserve"> </w:t>
      </w:r>
      <w:r>
        <w:t xml:space="preserve">owner A does not itself manufacture the product but licenses its technology to manufacturers of the product.</w:t>
      </w:r>
      <w:r>
        <w:t xml:space="preserve"> </w:t>
      </w:r>
      <w:r>
        <w:t xml:space="preserve">Technology owner B owns the competing technology and licenses it to manufacturers, but also manufactures</w:t>
      </w:r>
      <w:r>
        <w:t xml:space="preserve"> </w:t>
      </w:r>
      <w:r>
        <w:t xml:space="preserve">the product itself and has a market share below 20 % in the product market. Under the current TTBER, these</w:t>
      </w:r>
      <w:r>
        <w:t xml:space="preserve"> </w:t>
      </w:r>
      <w:r>
        <w:t xml:space="preserve">two firms would have a 100% share of the relevant technology market, therefore any technology licensing</w:t>
      </w:r>
      <w:r>
        <w:t xml:space="preserve"> </w:t>
      </w:r>
      <w:r>
        <w:t xml:space="preserve">agreement between them would fall outside the block exemption. If the TTBER’s market share thresholds</w:t>
      </w:r>
      <w:r>
        <w:t xml:space="preserve"> </w:t>
      </w:r>
      <w:r>
        <w:t xml:space="preserve">for technology markets were to be removed, it would be possible for technology owner A to grant a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Data licensing agreements</w:t>
      </w:r>
      <w:r>
        <w:t xml:space="preserve"> </w:t>
      </w:r>
      <w:r>
        <w:t xml:space="preserve">The call for evidence of the impact assessment phase also presented as an alternative option</w:t>
      </w:r>
      <w:r>
        <w:t xml:space="preserve"> </w:t>
      </w:r>
      <w:r>
        <w:t xml:space="preserve">the possibility of expanding the definition of “technology rights” included in the TTBER to</w:t>
      </w:r>
      <w:r>
        <w:t xml:space="preserve"> </w:t>
      </w:r>
      <w:r>
        <w:t xml:space="preserve">bring within the scope of the block exemption the licensing of data protected by intellectual</w:t>
      </w:r>
      <w:r>
        <w:t xml:space="preserve"> </w:t>
      </w:r>
      <w:r>
        <w:t xml:space="preserve">property rights that do not fall within the current definition of “technology rights” (for</w:t>
      </w:r>
      <w:r>
        <w:t xml:space="preserve"> </w:t>
      </w:r>
      <w:r>
        <w:t xml:space="preserve">example, database sui generis rights). This would go further than Option 2, because it would</w:t>
      </w:r>
      <w:r>
        <w:t xml:space="preserve"> </w:t>
      </w:r>
      <w:r>
        <w:t xml:space="preserve">use the TTBER, rather than the Guidelines to provide rules for assessing agreements for the</w:t>
      </w:r>
      <w:r>
        <w:t xml:space="preserve"> </w:t>
      </w:r>
      <w:r>
        <w:t xml:space="preserve">licensing of data that does not fall within the current definition of technology rights included</w:t>
      </w:r>
      <w:r>
        <w:t xml:space="preserve"> </w:t>
      </w:r>
      <w:r>
        <w:t xml:space="preserve">in the TTBER.</w:t>
      </w:r>
      <w:r>
        <w:t xml:space="preserve"> </w:t>
      </w:r>
      <w:r>
        <w:t xml:space="preserve">This policy option was discarded because of the lack of experience in the enforcement of</w:t>
      </w:r>
      <w:r>
        <w:t xml:space="preserve"> </w:t>
      </w:r>
      <w:r>
        <w:t xml:space="preserve">antitrust rules in this sector and because it is not certain that the Enabling Regulation</w:t>
      </w:r>
      <w:r>
        <w:t xml:space="preserve"> </w:t>
      </w:r>
      <w:r>
        <w:t xml:space="preserve">empowers the Commission to extend the scope of the TTBER to this type of licensing. In</w:t>
      </w:r>
      <w:r>
        <w:t xml:space="preserve"> </w:t>
      </w:r>
      <w:r>
        <w:t xml:space="preserve">particular, the Enabling Regulation empowers the Commission to block-exempt agreements</w:t>
      </w:r>
      <w:r>
        <w:t xml:space="preserve"> </w:t>
      </w:r>
      <w:r>
        <w:t xml:space="preserve">for the licensing of industrial property rights and production know-how (see Section 1.3</w:t>
      </w:r>
      <w:r>
        <w:t xml:space="preserve"> </w:t>
      </w:r>
      <w:r>
        <w:t xml:space="preserve">above). Consequently, by extending the scope of the TTBER in this way, the Commission</w:t>
      </w:r>
      <w:r>
        <w:t xml:space="preserve"> </w:t>
      </w:r>
      <w:r>
        <w:t xml:space="preserve">might exceed its powers, thereby rendering the revised TTBER invalid.</w:t>
      </w:r>
      <w:r>
        <w:br/>
      </w:r>
      <w:r>
        <w:t xml:space="preserve">The Commission also discarded at an early stage the option to present to the Council a</w:t>
      </w:r>
      <w:r>
        <w:t xml:space="preserve"> </w:t>
      </w:r>
      <w:r>
        <w:t xml:space="preserve">proposal to modify the Enabling Regulation to allow the inclusion of this type of licensing in</w:t>
      </w:r>
      <w:r>
        <w:t xml:space="preserve"> </w:t>
      </w:r>
      <w:r>
        <w:t xml:space="preserve">the TTBER. Through enabling regulations, the Council allows the Commission to adopt</w:t>
      </w:r>
      <w:r>
        <w:t xml:space="preserve"> </w:t>
      </w:r>
      <w:r>
        <w:t xml:space="preserve">block exemption regulations to exempt certain agreements from Article 101 TFEU where the</w:t>
      </w:r>
      <w:r>
        <w:t xml:space="preserve"> </w:t>
      </w:r>
      <w:r>
        <w:t xml:space="preserve">experience allows the Commission to conclude, with sufficient certainty, that the conditions</w:t>
      </w:r>
      <w:r>
        <w:t xml:space="preserve"> </w:t>
      </w:r>
      <w:r>
        <w:t xml:space="preserve">set in Article 101(3) would be fulfilled. This generally occurs in sectors or for agreements</w:t>
      </w:r>
      <w:r>
        <w:t xml:space="preserve"> </w:t>
      </w:r>
      <w:r>
        <w:t xml:space="preserve">where the competitive effects of certain practices are clear and where enforcement experience</w:t>
      </w:r>
      <w:r>
        <w:t xml:space="preserve"> </w:t>
      </w:r>
      <w:r>
        <w:t xml:space="preserve">of the Commission has been sufficiently developed, to ensure that the exemption is not</w:t>
      </w:r>
      <w:r>
        <w:t xml:space="preserve"> </w:t>
      </w:r>
      <w:r>
        <w:t xml:space="preserve">granted to agreements that are anti-competitive. Given the novelty of data licensing, and the</w:t>
      </w:r>
      <w:r>
        <w:t xml:space="preserve"> </w:t>
      </w:r>
      <w:r>
        <w:t xml:space="preserve">scarcity of antitrust enforcement in that sector, it would have been premature to present to the</w:t>
      </w:r>
      <w:r>
        <w:t xml:space="preserve"> </w:t>
      </w:r>
      <w:r>
        <w:t xml:space="preserve">Council a proposal to modify the Enabling Regulation in this regard.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presents the main impacts of the policy options described in Section 5.2</w:t>
      </w:r>
      <w:r>
        <w:t xml:space="preserve"> </w:t>
      </w:r>
      <w:r>
        <w:t xml:space="preserve">compared to the baseline scenario. These policy options would primarily affect businesses</w:t>
      </w:r>
      <w:r>
        <w:t xml:space="preserve"> </w:t>
      </w:r>
      <w:r>
        <w:t xml:space="preserve">that use the TTBER and Guidelines to assess the compliance of their technology transfer</w:t>
      </w:r>
    </w:p>
    <w:p>
      <w:pPr>
        <w:pStyle w:val="BodyText"/>
      </w:pPr>
      <w:r>
        <w:t xml:space="preserve">worldwide exclusive licence to technology owner B. This would mean that potential licensees would no</w:t>
      </w:r>
      <w:r>
        <w:t xml:space="preserve"> </w:t>
      </w:r>
      <w:r>
        <w:t xml:space="preserve">longer benefit from competition between the two technology owners for the grant of licences. Technology</w:t>
      </w:r>
      <w:r>
        <w:t xml:space="preserve"> </w:t>
      </w:r>
      <w:r>
        <w:t xml:space="preserve">owner B would be able to increase the price of the technologies. Competition in the relevant technology</w:t>
      </w:r>
      <w:r>
        <w:t xml:space="preserve"> </w:t>
      </w:r>
      <w:r>
        <w:t xml:space="preserve">market would be eliminated, contrary to the conditions of Article 101(3) TFEU.</w:t>
      </w:r>
      <w:r>
        <w:br/>
      </w:r>
      <w:r>
        <w:t xml:space="preserve">160 Only a few stakeholders advocated removing the market share thresholds, based on the arguments set out in</w:t>
      </w:r>
      <w:r>
        <w:t xml:space="preserve"> </w:t>
      </w:r>
      <w:r>
        <w:t xml:space="preserve">Section 5.2.1: one of these stakeholders (a business) acknowledged the risk that such removal could result in</w:t>
      </w:r>
      <w:r>
        <w:t xml:space="preserve"> </w:t>
      </w:r>
      <w:r>
        <w:t xml:space="preserve">block-exempting all agreements entered into by licensors with market power in the technology market, but</w:t>
      </w:r>
      <w:r>
        <w:t xml:space="preserve"> </w:t>
      </w:r>
      <w:r>
        <w:t xml:space="preserve">not in the product market. The Commission’s enforcement experience also shows that technology markets</w:t>
      </w:r>
      <w:r>
        <w:t xml:space="preserve"> </w:t>
      </w:r>
      <w:r>
        <w:t xml:space="preserve">are not always dynamic, particularly when technologies are at an advanced stage of uptake. The risk of</w:t>
      </w:r>
      <w:r>
        <w:t xml:space="preserve"> </w:t>
      </w:r>
      <w:r>
        <w:t xml:space="preserve">block-exempting anti-competitive agreements was also highlighted by other stakeholders in response to the</w:t>
      </w:r>
      <w:r>
        <w:t xml:space="preserve"> </w:t>
      </w:r>
      <w:r>
        <w:t xml:space="preserve">impact assessment public consultation (including two research institutes and one academic).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agreements with EU competition law161. Indirectly, the policy options would also affect</w:t>
      </w:r>
      <w:r>
        <w:t xml:space="preserve"> </w:t>
      </w:r>
      <w:r>
        <w:t xml:space="preserve">consumers. By facilitating compliance assessments for businesses, the policy options should</w:t>
      </w:r>
      <w:r>
        <w:t xml:space="preserve"> </w:t>
      </w:r>
      <w:r>
        <w:t xml:space="preserve">encourage the conclusion of a greater number of technology-related agreements. This would,</w:t>
      </w:r>
      <w:r>
        <w:t xml:space="preserve"> </w:t>
      </w:r>
      <w:r>
        <w:t xml:space="preserve">in turn, increase the diffusion of technology, which can be expected to benefit consumers in</w:t>
      </w:r>
      <w:r>
        <w:t xml:space="preserve"> </w:t>
      </w:r>
      <w:r>
        <w:t xml:space="preserve">the form of more innovative products, greater quality and variety, and lower prices.</w:t>
      </w:r>
      <w:r>
        <w:br/>
      </w:r>
      <w:r>
        <w:t xml:space="preserve">The following sub-sections assess the impacts of the options on: (i) competition in the</w:t>
      </w:r>
      <w:r>
        <w:t xml:space="preserve"> </w:t>
      </w:r>
      <w:r>
        <w:t xml:space="preserve">market; (ii) businesses (including SMEs), and (iii) innovation and competitiveness. The direct</w:t>
      </w:r>
      <w:r>
        <w:t xml:space="preserve"> </w:t>
      </w:r>
      <w:r>
        <w:t xml:space="preserve">impacts (on competition and businesses) are assessed in more depth than the indirect impacts</w:t>
      </w:r>
      <w:r>
        <w:t xml:space="preserve"> </w:t>
      </w:r>
      <w:r>
        <w:t xml:space="preserve">(on innovation and competitiveness). The evidence gathered during the impact assessment,</w:t>
      </w:r>
      <w:r>
        <w:t xml:space="preserve"> </w:t>
      </w:r>
      <w:r>
        <w:t xml:space="preserve">notably the feedback from stakeholders and NCAs, shows that the policy options would have</w:t>
      </w:r>
      <w:r>
        <w:t xml:space="preserve"> </w:t>
      </w:r>
      <w:r>
        <w:t xml:space="preserve">limited or no impact on social issues, environmental issues162 or fundamental rights. These</w:t>
      </w:r>
      <w:r>
        <w:t xml:space="preserve"> </w:t>
      </w:r>
      <w:r>
        <w:t xml:space="preserve">areas are therefore not further assessed.</w:t>
      </w:r>
      <w:r>
        <w:br/>
      </w:r>
      <w:r>
        <w:t xml:space="preserve">The assessment of the impacts of the policy options is subject to limitations similar to those</w:t>
      </w:r>
      <w:r>
        <w:t xml:space="preserve"> </w:t>
      </w:r>
      <w:r>
        <w:t xml:space="preserve">faced during the evaluation of the current rules163. Stakeholders provided qualitative, albeit</w:t>
      </w:r>
      <w:r>
        <w:t xml:space="preserve"> </w:t>
      </w:r>
      <w:r>
        <w:t xml:space="preserve">limited, feedback on the costs and benefits of the policy options164. However, it proved</w:t>
      </w:r>
      <w:r>
        <w:t xml:space="preserve"> </w:t>
      </w:r>
      <w:r>
        <w:t xml:space="preserve">difficult to obtain quantitative evidence.</w:t>
      </w:r>
      <w:r>
        <w:br/>
      </w:r>
      <w:r>
        <w:t xml:space="preserve">The assessment of impacts therefore relies heavily on qualitative evidence. Where available,</w:t>
      </w:r>
      <w:r>
        <w:t xml:space="preserve"> </w:t>
      </w:r>
      <w:r>
        <w:t xml:space="preserve">quantitative evidence was generated by extrapolating from the data in Section 2.3. The</w:t>
      </w:r>
      <w:r>
        <w:t xml:space="preserve"> </w:t>
      </w:r>
      <w:r>
        <w:t xml:space="preserve">qualitative evidence included: the feedback from stakeholders, the enforcement experience of</w:t>
      </w:r>
      <w:r>
        <w:t xml:space="preserve"> </w:t>
      </w:r>
      <w:r>
        <w:t xml:space="preserve">the Commission, the Evaluation Support Study and the Expert Report on Data Licensing. The</w:t>
      </w:r>
      <w:r>
        <w:t xml:space="preserve"> </w:t>
      </w:r>
      <w:r>
        <w:t xml:space="preserve">feedback of stakeholders is of particular importance, since businesses that use the rules to</w:t>
      </w:r>
      <w:r>
        <w:t xml:space="preserve"> </w:t>
      </w:r>
      <w:r>
        <w:t xml:space="preserve">assess the compliance of their technology transfer agreements with Article 101 TFEU are the</w:t>
      </w:r>
      <w:r>
        <w:t xml:space="preserve"> </w:t>
      </w:r>
      <w:r>
        <w:t xml:space="preserve">primary users of the TTBER and Guidelines. They therefore have practical experience of the</w:t>
      </w:r>
      <w:r>
        <w:t xml:space="preserve"> </w:t>
      </w:r>
      <w:r>
        <w:t xml:space="preserve">impacts of the rules.</w:t>
      </w:r>
    </w:p>
    <w:p>
      <w:pPr>
        <w:pStyle w:val="BodyText"/>
      </w:pPr>
      <w:r>
        <w:t xml:space="preserve">161 The results of the evaluation indicate that the policy options would have only a limited impact on NCAs and</w:t>
      </w:r>
      <w:r>
        <w:t xml:space="preserve"> </w:t>
      </w:r>
      <w:r>
        <w:t xml:space="preserve">national courts. The Evaluation Support Study found very limited case law and enforcement practice directly</w:t>
      </w:r>
      <w:r>
        <w:t xml:space="preserve"> </w:t>
      </w:r>
      <w:r>
        <w:t xml:space="preserve">applying the TTBER and Guidelines. The NCAs also confirmed that they have limited experience of</w:t>
      </w:r>
      <w:r>
        <w:t xml:space="preserve"> </w:t>
      </w:r>
      <w:r>
        <w:t xml:space="preserve">applying the TTBER. See, for example, pages 29 and 30 of the Evaluation Support Study.</w:t>
      </w:r>
      <w:r>
        <w:br/>
      </w:r>
      <w:r>
        <w:t xml:space="preserve">162 Technology transfer agreements play a role in the Union’s green transition, but the policy options do not</w:t>
      </w:r>
      <w:r>
        <w:t xml:space="preserve"> </w:t>
      </w:r>
      <w:r>
        <w:t xml:space="preserve">relate specifically to technology transfer agreements that pursue sustainability objectives. Moreover,</w:t>
      </w:r>
      <w:r>
        <w:t xml:space="preserve"> </w:t>
      </w:r>
      <w:r>
        <w:t xml:space="preserve">sustainability attracted almost no attention from stakeholders during the evaluation: see the Evaluation</w:t>
      </w:r>
      <w:r>
        <w:t xml:space="preserve"> </w:t>
      </w:r>
      <w:r>
        <w:t xml:space="preserve">Support Study, p. 96.</w:t>
      </w:r>
      <w:r>
        <w:t xml:space="preserve"> </w:t>
      </w:r>
      <w:r>
        <w:t xml:space="preserve">163 See Section 2.3 above. For example, in the impact assessment public consultation, one of the impact-related</w:t>
      </w:r>
      <w:r>
        <w:t xml:space="preserve"> </w:t>
      </w:r>
      <w:r>
        <w:t xml:space="preserve">questions that elicited the highest number of responses received only 14 replies, including 2 stakeholders</w:t>
      </w:r>
      <w:r>
        <w:t xml:space="preserve"> </w:t>
      </w:r>
      <w:r>
        <w:t xml:space="preserve">who answered “Do not know”. More generally, the Evaluation Support Study (pp. 13–14, 16–18, 30) noted</w:t>
      </w:r>
      <w:r>
        <w:t xml:space="preserve"> </w:t>
      </w:r>
      <w:r>
        <w:t xml:space="preserve">the limited number of recent studies in the field covered by the TTBER and Guidelines; the limited</w:t>
      </w:r>
      <w:r>
        <w:t xml:space="preserve"> </w:t>
      </w:r>
      <w:r>
        <w:t xml:space="preserve">decisional practice and case law in the area, as well as the limited amount of public information on licensing</w:t>
      </w:r>
      <w:r>
        <w:t xml:space="preserve"> </w:t>
      </w:r>
      <w:r>
        <w:t xml:space="preserve">agreements.</w:t>
      </w:r>
      <w:r>
        <w:br/>
      </w:r>
      <w:r>
        <w:t xml:space="preserve">164 In the impact assessment public consultation questionnaire, stakeholders were asked about the expected</w:t>
      </w:r>
      <w:r>
        <w:t xml:space="preserve"> </w:t>
      </w:r>
      <w:r>
        <w:t xml:space="preserve">impact on their compliance assessment costs of options relating to the TTBER’s market share thresholds and</w:t>
      </w:r>
      <w:r>
        <w:t xml:space="preserve"> </w:t>
      </w:r>
      <w:r>
        <w:t xml:space="preserve">data licensing. The responses provided qualitative, albeit limited, evidence about whether some of the</w:t>
      </w:r>
      <w:r>
        <w:t xml:space="preserve"> </w:t>
      </w:r>
      <w:r>
        <w:t xml:space="preserve">options would have a positive, neutral or negative impact on compliance assessment costs. In particular, ten</w:t>
      </w:r>
      <w:r>
        <w:t xml:space="preserve"> </w:t>
      </w:r>
      <w:r>
        <w:t xml:space="preserve">stakeholders indicated that providing guidance on data licensing would have a positive impact on their</w:t>
      </w:r>
      <w:r>
        <w:t xml:space="preserve"> </w:t>
      </w:r>
      <w:r>
        <w:t xml:space="preserve">compliance assessment costs. Additional qualitative feedback was gathered during the consultation on the</w:t>
      </w:r>
      <w:r>
        <w:t xml:space="preserve"> </w:t>
      </w:r>
      <w:r>
        <w:t xml:space="preserve">draft revised texts. The draft revised texts that were published for consultation incorporated one of the</w:t>
      </w:r>
      <w:r>
        <w:t xml:space="preserve"> </w:t>
      </w:r>
      <w:r>
        <w:t xml:space="preserve">options assessed below. For more details on the results of the public consultation on the draft revised texts,</w:t>
      </w:r>
      <w:r>
        <w:t xml:space="preserve"> </w:t>
      </w:r>
      <w:r>
        <w:t xml:space="preserve">see Annex 2.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In the assessment of the stakeholder feedback, due account was given to the fact that the</w:t>
      </w:r>
      <w:r>
        <w:t xml:space="preserve"> </w:t>
      </w:r>
      <w:r>
        <w:t xml:space="preserve">feedback was not necessarily representative165. For certain areas (for example, LNGs), the</w:t>
      </w:r>
      <w:r>
        <w:t xml:space="preserve"> </w:t>
      </w:r>
      <w:r>
        <w:t xml:space="preserve">report takes account of the fact that technology owners and technology implementers have</w:t>
      </w:r>
      <w:r>
        <w:t xml:space="preserve"> </w:t>
      </w:r>
      <w:r>
        <w:t xml:space="preserve">opposing interests and therefore their views may differ. Overall, but especially where there</w:t>
      </w:r>
      <w:r>
        <w:t xml:space="preserve"> </w:t>
      </w:r>
      <w:r>
        <w:t xml:space="preserve">were diverging opinions, the assessment gave particular weight to the arguments raised. As</w:t>
      </w:r>
      <w:r>
        <w:t xml:space="preserve"> </w:t>
      </w:r>
      <w:r>
        <w:t xml:space="preserve">explained in Annex 4, for each area of the rules, the assessment applied a triangulation</w:t>
      </w:r>
      <w:r>
        <w:t xml:space="preserve"> </w:t>
      </w:r>
      <w:r>
        <w:t xml:space="preserve">approach, giving particular weight to stakeholder views that were consistent with other</w:t>
      </w:r>
      <w:r>
        <w:t xml:space="preserve"> </w:t>
      </w:r>
      <w:r>
        <w:t xml:space="preserve">sources of evidence (for example, the findings of the evaluation, the Commission’s</w:t>
      </w:r>
      <w:r>
        <w:t xml:space="preserve"> </w:t>
      </w:r>
      <w:r>
        <w:t xml:space="preserve">enforcement practice and the Expert Report on Data Licensing).</w:t>
      </w:r>
      <w:r>
        <w:t xml:space="preserve"> </w:t>
      </w:r>
      <w:r>
        <w:t xml:space="preserve">6.1.</w:t>
      </w:r>
      <w:r>
        <w:t xml:space="preserve"> </w:t>
      </w:r>
      <w:r>
        <w:t xml:space="preserve">The TTBER’s market share thresholds for technology markets</w:t>
      </w:r>
      <w:r>
        <w:t xml:space="preserve"> </w:t>
      </w:r>
      <w:r>
        <w:t xml:space="preserve">6.1.1. Impact on competition in the market</w:t>
      </w:r>
      <w:r>
        <w:t xml:space="preserve"> </w:t>
      </w:r>
      <w:r>
        <w:t xml:space="preserve">Option 1 (clarifying that “early licensing” is deemed to have a zero market share in the</w:t>
      </w:r>
      <w:r>
        <w:t xml:space="preserve"> </w:t>
      </w:r>
      <w:r>
        <w:t xml:space="preserve">technology market and extending the TTBER’s grace period by one year) would, on balance,</w:t>
      </w:r>
      <w:r>
        <w:t xml:space="preserve"> </w:t>
      </w:r>
      <w:r>
        <w:t xml:space="preserve">have a positive impact on competition. As noted above, a key consequence of this option</w:t>
      </w:r>
      <w:r>
        <w:t xml:space="preserve"> </w:t>
      </w:r>
      <w:r>
        <w:t xml:space="preserve">would be that early licensing could benefit from the block exemption for a period of at least</w:t>
      </w:r>
      <w:r>
        <w:t xml:space="preserve"> </w:t>
      </w:r>
      <w:r>
        <w:t xml:space="preserve">4 years from the date of the licensing agreement. Although the pace of technological uptake</w:t>
      </w:r>
      <w:r>
        <w:t xml:space="preserve"> </w:t>
      </w:r>
      <w:r>
        <w:t xml:space="preserve">varies considerably between technologies, the economic literature shows that adoption can</w:t>
      </w:r>
      <w:r>
        <w:t xml:space="preserve"> </w:t>
      </w:r>
      <w:r>
        <w:t xml:space="preserve">often take years166 and that technology markets are often competitive in the early stages of a</w:t>
      </w:r>
      <w:r>
        <w:t xml:space="preserve"> </w:t>
      </w:r>
      <w:r>
        <w:t xml:space="preserve">technology’s life cycle167. During this period, the parties are less likely to hold market power</w:t>
      </w:r>
      <w:r>
        <w:t xml:space="preserve"> </w:t>
      </w:r>
      <w:r>
        <w:t xml:space="preserve">in the technology market. Furthermore, by encouraging early licensing, this option would</w:t>
      </w:r>
      <w:r>
        <w:t xml:space="preserve"> </w:t>
      </w:r>
      <w:r>
        <w:t xml:space="preserve">promote the dissemination of new technologies, thereby enhancing competition. Even though</w:t>
      </w:r>
      <w:r>
        <w:t xml:space="preserve"> </w:t>
      </w:r>
      <w:r>
        <w:t xml:space="preserve">it cannot be excluded that, in specific scenarios, a technology that is subject to early licensing</w:t>
      </w:r>
      <w:r>
        <w:t xml:space="preserve"> </w:t>
      </w:r>
      <w:r>
        <w:t xml:space="preserve">may hold market power, in such scenarios the block exemption would only apply for the</w:t>
      </w:r>
      <w:r>
        <w:t xml:space="preserve"> </w:t>
      </w:r>
      <w:r>
        <w:t xml:space="preserve">duration of the grace period168.</w:t>
      </w:r>
      <w:r>
        <w:br/>
      </w:r>
      <w:r>
        <w:t xml:space="preserve">Option 2 (introducing an alternative test based on the presence on the market of at least three</w:t>
      </w:r>
      <w:r>
        <w:t xml:space="preserve"> </w:t>
      </w:r>
      <w:r>
        <w:t xml:space="preserve">other substitutable technologies, i.e. the 3+ test) would, on balance, have a negative impact</w:t>
      </w:r>
      <w:r>
        <w:t xml:space="preserve"> </w:t>
      </w:r>
      <w:r>
        <w:t xml:space="preserve">on competition. Under this option, technology transfer agreements could benefit from the</w:t>
      </w:r>
      <w:r>
        <w:t xml:space="preserve"> </w:t>
      </w:r>
      <w:r>
        <w:t xml:space="preserve">block exemption if at least three other independently controlled substitutable technologies</w:t>
      </w:r>
      <w:r>
        <w:t xml:space="preserve"> </w:t>
      </w:r>
      <w:r>
        <w:t xml:space="preserve">were present on the market, irrespective of whether the technology licensed under the</w:t>
      </w:r>
      <w:r>
        <w:t xml:space="preserve"> </w:t>
      </w:r>
      <w:r>
        <w:t xml:space="preserve">agreement generated sales of products. Experience shows that technology markets can sustain</w:t>
      </w:r>
    </w:p>
    <w:p>
      <w:pPr>
        <w:pStyle w:val="BodyText"/>
      </w:pPr>
      <w:r>
        <w:t xml:space="preserve">165 The impact assessment included a call for evidence, an open public consultation based on an online</w:t>
      </w:r>
      <w:r>
        <w:t xml:space="preserve"> </w:t>
      </w:r>
      <w:r>
        <w:t xml:space="preserve">questionnaire and a public consultation on draft revised rules. Participation in these consultations was</w:t>
      </w:r>
      <w:r>
        <w:t xml:space="preserve"> </w:t>
      </w:r>
      <w:r>
        <w:t xml:space="preserve">voluntary and therefore did not necessarily produce representative results, even though the Commission</w:t>
      </w:r>
      <w:r>
        <w:t xml:space="preserve"> </w:t>
      </w:r>
      <w:r>
        <w:t xml:space="preserve">reached out to categories of stakeholders that are typically under-represented, such as micro- and small</w:t>
      </w:r>
      <w:r>
        <w:t xml:space="preserve"> </w:t>
      </w:r>
      <w:r>
        <w:t xml:space="preserve">stakeholders, representatives of SMEs, and consumer associations.</w:t>
      </w:r>
      <w:r>
        <w:t xml:space="preserve"> </w:t>
      </w:r>
      <w:r>
        <w:t xml:space="preserve">166 See Section 2.4 above.</w:t>
      </w:r>
      <w:r>
        <w:t xml:space="preserve"> </w:t>
      </w:r>
      <w:r>
        <w:t xml:space="preserve">167 See, for example, Arora, A. and Gambardella, A. ‘Ideas for rent: an overview of markets for technology’,</w:t>
      </w:r>
      <w:r>
        <w:t xml:space="preserve"> </w:t>
      </w:r>
      <w:r>
        <w:t xml:space="preserve">Industrial and Corporate Change, 19, 3, 2010, p. 789.</w:t>
      </w:r>
      <w:r>
        <w:t xml:space="preserve"> </w:t>
      </w:r>
      <w:r>
        <w:t xml:space="preserve">168 Moreover, the evaluation showed that the current TTBER has been successful in exempting only those</w:t>
      </w:r>
      <w:r>
        <w:t xml:space="preserve"> </w:t>
      </w:r>
      <w:r>
        <w:t xml:space="preserve">agreements that meet the conditions of Article 101(3) TFEU (see, for example, page 25 of the Evaluation</w:t>
      </w:r>
      <w:r>
        <w:t xml:space="preserve"> </w:t>
      </w:r>
      <w:r>
        <w:t xml:space="preserve">Report). The proposed changes can be regarded as incremental to the existing framework, since under</w:t>
      </w:r>
      <w:r>
        <w:t xml:space="preserve"> </w:t>
      </w:r>
      <w:r>
        <w:t xml:space="preserve">Option 1, the text of the TTBER would simply incorporate what is already stated in the Guidelines, and the</w:t>
      </w:r>
      <w:r>
        <w:t xml:space="preserve"> </w:t>
      </w:r>
      <w:r>
        <w:t xml:space="preserve">grace period would be extended by one year. Furthermore, the TTBER only block-exempts agreements from</w:t>
      </w:r>
      <w:r>
        <w:t xml:space="preserve"> </w:t>
      </w:r>
      <w:r>
        <w:t xml:space="preserve">the application of Article 101 TFEU and is without prejudice to the application of other legislation (see also</w:t>
      </w:r>
      <w:r>
        <w:t xml:space="preserve"> </w:t>
      </w:r>
      <w:r>
        <w:t xml:space="preserve">recital 14 of the TTBER).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several technologies even though market power is held by only one or a few firms. In such</w:t>
      </w:r>
      <w:r>
        <w:t xml:space="preserve"> </w:t>
      </w:r>
      <w:r>
        <w:t xml:space="preserve">cases, where competitors operate only at the margins, technology transfer agreements</w:t>
      </w:r>
      <w:r>
        <w:t xml:space="preserve"> </w:t>
      </w:r>
      <w:r>
        <w:t xml:space="preserve">involving firms with market power may produce appreciable anti-competitive effects.</w:t>
      </w:r>
      <w:r>
        <w:t xml:space="preserve"> </w:t>
      </w:r>
      <w:r>
        <w:t xml:space="preserve">Enforcement experience demonstrates that even where three other substitutable technologies</w:t>
      </w:r>
      <w:r>
        <w:t xml:space="preserve"> </w:t>
      </w:r>
      <w:r>
        <w:t xml:space="preserve">exist in addition to those controlled by the parties, the agreement may still result in significant</w:t>
      </w:r>
      <w:r>
        <w:t xml:space="preserve"> </w:t>
      </w:r>
      <w:r>
        <w:t xml:space="preserve">competitive harm contrary to Article 101(1) TFEU169. This option would therefore create the</w:t>
      </w:r>
      <w:r>
        <w:t xml:space="preserve"> </w:t>
      </w:r>
      <w:r>
        <w:t xml:space="preserve">risk of block-exempting agreements for which it cannot be assumed that their efficiencies</w:t>
      </w:r>
      <w:r>
        <w:t xml:space="preserve"> </w:t>
      </w:r>
      <w:r>
        <w:t xml:space="preserve">outweigh their anti-competitive effects.</w:t>
      </w:r>
      <w:r>
        <w:br/>
      </w:r>
      <w:r>
        <w:t xml:space="preserve">6.1.2. Impact on businesses (including SMEs)</w:t>
      </w:r>
      <w:r>
        <w:t xml:space="preserve"> </w:t>
      </w:r>
      <w:r>
        <w:t xml:space="preserve">Option 1 would have a positive impact on businesses, as it would increase legal certainty for</w:t>
      </w:r>
      <w:r>
        <w:t xml:space="preserve"> </w:t>
      </w:r>
      <w:r>
        <w:t xml:space="preserve">businesses wishing to enter into technology transfer agreements and reduce their compliance</w:t>
      </w:r>
      <w:r>
        <w:t xml:space="preserve"> </w:t>
      </w:r>
      <w:r>
        <w:t xml:space="preserve">costs, thereby encouraging them to conclude such agreements. This is also confirmed by the</w:t>
      </w:r>
      <w:r>
        <w:t xml:space="preserve"> </w:t>
      </w:r>
      <w:r>
        <w:t xml:space="preserve">views of stakeholders collected during the consultation on the proposed revised texts170.</w:t>
      </w:r>
      <w:r>
        <w:br/>
      </w:r>
      <w:r>
        <w:t xml:space="preserve">In the case of early licensing, businesses could refrain from engaging in market definition and</w:t>
      </w:r>
      <w:r>
        <w:t xml:space="preserve"> </w:t>
      </w:r>
      <w:r>
        <w:t xml:space="preserve">calculation of market shares for at least 4 years from the date of licensing as a consequence of</w:t>
      </w:r>
      <w:r>
        <w:t xml:space="preserve"> </w:t>
      </w:r>
      <w:r>
        <w:t xml:space="preserve">Option 1. In particular, this delay would benefit businesses that are less experienced with the</w:t>
      </w:r>
      <w:r>
        <w:t xml:space="preserve"> </w:t>
      </w:r>
      <w:r>
        <w:t xml:space="preserve">definition of downstream markets171 and calculating market shares, as it would give them</w:t>
      </w:r>
      <w:r>
        <w:t xml:space="preserve"> </w:t>
      </w:r>
      <w:r>
        <w:t xml:space="preserve">time to better understand technological uptake and possible substitutes.</w:t>
      </w:r>
      <w:r>
        <w:br/>
      </w:r>
      <w:r>
        <w:t xml:space="preserve">To give an indication of the potential cost savings, this report attempts to provide a rough</w:t>
      </w:r>
      <w:r>
        <w:t xml:space="preserve"> </w:t>
      </w:r>
      <w:r>
        <w:t xml:space="preserve">estimate of the potential reduction in compliance assessment costs per licensing agreement,</w:t>
      </w:r>
      <w:r>
        <w:t xml:space="preserve"> </w:t>
      </w:r>
      <w:r>
        <w:t xml:space="preserve">based on indicative figures suggesting that assessing whether an agreement falls within the</w:t>
      </w:r>
      <w:r>
        <w:t xml:space="preserve"> </w:t>
      </w:r>
      <w:r>
        <w:t xml:space="preserve">scope of the TTBER requires, on average, EUR 3,750 per agreement, and that the cost of</w:t>
      </w:r>
      <w:r>
        <w:t xml:space="preserve"> </w:t>
      </w:r>
      <w:r>
        <w:t xml:space="preserve">applying the market share thresholds is approximately EUR 787.5 per licensing agreement</w:t>
      </w:r>
      <w:r>
        <w:t xml:space="preserve"> </w:t>
      </w:r>
      <w:r>
        <w:t xml:space="preserve">(see Section 2.3). Costs for verifying compliance with the market share thresholds consist of:</w:t>
      </w:r>
      <w:r>
        <w:t xml:space="preserve"> </w:t>
      </w:r>
      <w:r>
        <w:t xml:space="preserve">one-off costs, generally incurred before signing (initial market definition and market share</w:t>
      </w:r>
      <w:r>
        <w:t xml:space="preserve"> </w:t>
      </w:r>
      <w:r>
        <w:t xml:space="preserve">estimation), and periodic costs, incurred after signature to verify that the agreement continues</w:t>
      </w:r>
      <w:r>
        <w:t xml:space="preserve"> </w:t>
      </w:r>
      <w:r>
        <w:t xml:space="preserve">to respect the thresholds. For the purposes of the present analysis, an annual frequency is</w:t>
      </w:r>
      <w:r>
        <w:t xml:space="preserve"> </w:t>
      </w:r>
      <w:r>
        <w:t xml:space="preserve">assumed (with assessments at the end of year 1 and each subsequent year of the licensing</w:t>
      </w:r>
      <w:r>
        <w:t xml:space="preserve"> </w:t>
      </w:r>
      <w:r>
        <w:t xml:space="preserve">agreement)172. Under Option 1, firms could generally postpone one-off costs until the end of</w:t>
      </w:r>
    </w:p>
    <w:p>
      <w:pPr>
        <w:pStyle w:val="BodyText"/>
      </w:pPr>
      <w:r>
        <w:t xml:space="preserve">169 See, for example, Commission decision of 20.12.2012 in Case AT.39230 Rio Tinto Alcan, paragraph 107</w:t>
      </w:r>
      <w:r>
        <w:t xml:space="preserve"> </w:t>
      </w:r>
      <w:r>
        <w:t xml:space="preserve">and footnote 57.</w:t>
      </w:r>
      <w:r>
        <w:t xml:space="preserve"> </w:t>
      </w:r>
      <w:r>
        <w:t xml:space="preserve">170 The majority of stakeholders - including one public authority, three industry associations, one company, one</w:t>
      </w:r>
      <w:r>
        <w:t xml:space="preserve"> </w:t>
      </w:r>
      <w:r>
        <w:t xml:space="preserve">think tank, one association of lawyers, two association of IP advisors and litigators - who commented on the</w:t>
      </w:r>
      <w:r>
        <w:t xml:space="preserve"> </w:t>
      </w:r>
      <w:r>
        <w:t xml:space="preserve">market share thresholds for technology markets expressed support for the proposed revisions to the TTBER</w:t>
      </w:r>
      <w:r>
        <w:t xml:space="preserve"> </w:t>
      </w:r>
      <w:r>
        <w:t xml:space="preserve">and Guidelines, which reflect Option 1.</w:t>
      </w:r>
      <w:r>
        <w:br/>
      </w:r>
      <w:r>
        <w:t xml:space="preserve">171 See Section 2.1 above. Furthermore, in the consultation on the proposed revised texts, two industry</w:t>
      </w:r>
      <w:r>
        <w:t xml:space="preserve"> </w:t>
      </w:r>
      <w:r>
        <w:t xml:space="preserve">associations stated that certain actors - particularly those specialising in R&amp;D activities and technology</w:t>
      </w:r>
      <w:r>
        <w:t xml:space="preserve"> </w:t>
      </w:r>
      <w:r>
        <w:t xml:space="preserve">valorisation - face greater complexities than others when applying the market share thresholds. They also</w:t>
      </w:r>
      <w:r>
        <w:t xml:space="preserve"> </w:t>
      </w:r>
      <w:r>
        <w:t xml:space="preserve">noted that the revisions to the TTBER and Guidelines reflecting Option 1 would help to address these</w:t>
      </w:r>
      <w:r>
        <w:t xml:space="preserve"> </w:t>
      </w:r>
      <w:r>
        <w:t xml:space="preserve">complexities.</w:t>
      </w:r>
      <w:r>
        <w:t xml:space="preserve"> </w:t>
      </w:r>
      <w:r>
        <w:t xml:space="preserve">172 This annual periodicity was, for instance, mentioned by one industry association in the context of the public</w:t>
      </w:r>
      <w:r>
        <w:t xml:space="preserve"> </w:t>
      </w:r>
      <w:r>
        <w:t xml:space="preserve">consultation on the proposed revised texts. The baseline scenario reflects the most conservative scenario, in</w:t>
      </w:r>
      <w:r>
        <w:t xml:space="preserve"> </w:t>
      </w:r>
      <w:r>
        <w:t xml:space="preserve">which firms are completely uncertain about how the market share thresholds and the grace period apply to</w:t>
      </w:r>
      <w:r>
        <w:t xml:space="preserve"> </w:t>
      </w:r>
      <w:r>
        <w:t xml:space="preserve">early licensing and therefore carry out market share assessments on an annual basis. It is nevertheless</w:t>
      </w:r>
      <w:r>
        <w:t xml:space="preserve"> </w:t>
      </w:r>
      <w:r>
        <w:t xml:space="preserve">plausible that many firms understand at least that the grace period applies once the licensed technology</w:t>
      </w:r>
      <w:r>
        <w:t xml:space="preserve"> </w:t>
      </w:r>
      <w:r>
        <w:t xml:space="preserve">begins to generate sales. Accordingly, a sensitivity analysis is carried out assuming biannual periodic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year 4 and could avoid several periodic assessments during the term of the agreement,</w:t>
      </w:r>
      <w:r>
        <w:t xml:space="preserve"> </w:t>
      </w:r>
      <w:r>
        <w:t xml:space="preserve">conducting the first periodic assessment only at the end of year 5. Based on a number of</w:t>
      </w:r>
      <w:r>
        <w:t xml:space="preserve"> </w:t>
      </w:r>
      <w:r>
        <w:t xml:space="preserve">assumptions, Option 1 is estimated to reduce compliance assessment costs for applying the</w:t>
      </w:r>
      <w:r>
        <w:t xml:space="preserve"> </w:t>
      </w:r>
      <w:r>
        <w:t xml:space="preserve">market share thresholds by approximately 19-39 % on average per licensing agreement,</w:t>
      </w:r>
      <w:r>
        <w:t xml:space="preserve"> </w:t>
      </w:r>
      <w:r>
        <w:t xml:space="preserve">corresponding to savings of around EUR 150-300 per agreement173. While modest in absolute</w:t>
      </w:r>
      <w:r>
        <w:t xml:space="preserve"> </w:t>
      </w:r>
      <w:r>
        <w:t xml:space="preserve">terms, these cost reductions can be material, particularly for smaller firms, universities or</w:t>
      </w:r>
      <w:r>
        <w:t xml:space="preserve"> </w:t>
      </w:r>
      <w:r>
        <w:t xml:space="preserve">licensing agreements with uncertain or limited expected returns. Based on our extrapolation</w:t>
      </w:r>
      <w:r>
        <w:t xml:space="preserve"> </w:t>
      </w:r>
      <w:r>
        <w:t xml:space="preserve">of the number of agreements likely to be affected by the problem (see Section 2.3), aggregate</w:t>
      </w:r>
      <w:r>
        <w:t xml:space="preserve"> </w:t>
      </w:r>
      <w:r>
        <w:t xml:space="preserve">annual savings in compliance assessment costs are estimated to amount to between</w:t>
      </w:r>
      <w:r>
        <w:t xml:space="preserve"> </w:t>
      </w:r>
      <w:r>
        <w:t xml:space="preserve">EUR 223,000 and EUR 1,836,000.</w:t>
      </w:r>
      <w:r>
        <w:br/>
      </w:r>
      <w:r>
        <w:t xml:space="preserve">More generally, Option 1 would reduce the risk that businesses need to carry out an</w:t>
      </w:r>
      <w:r>
        <w:t xml:space="preserve"> </w:t>
      </w:r>
      <w:r>
        <w:t xml:space="preserve">individual assessment of their agreements under Article 101 TFEU. As an indirect effect,</w:t>
      </w:r>
      <w:r>
        <w:t xml:space="preserve"> </w:t>
      </w:r>
      <w:r>
        <w:t xml:space="preserve">Option 1 could also encourage firms to conclude a greater number of technology transfer</w:t>
      </w:r>
      <w:r>
        <w:t xml:space="preserve"> </w:t>
      </w:r>
      <w:r>
        <w:t xml:space="preserve">agreements, particularly at an early stage of technological uptake. This would be especially</w:t>
      </w:r>
      <w:r>
        <w:t xml:space="preserve"> </w:t>
      </w:r>
      <w:r>
        <w:t xml:space="preserve">relevant for SMEs174 and for agreements with modest value, for which even a modest</w:t>
      </w:r>
      <w:r>
        <w:t xml:space="preserve"> </w:t>
      </w:r>
      <w:r>
        <w:t xml:space="preserve">reduction in compliance assessment costs could enhance firms’ capacity and likelihood to</w:t>
      </w:r>
      <w:r>
        <w:t xml:space="preserve"> </w:t>
      </w:r>
      <w:r>
        <w:t xml:space="preserve">enter into technology transfer agreements. Early licensing could in turn increase licensors’</w:t>
      </w:r>
    </w:p>
    <w:p>
      <w:pPr>
        <w:pStyle w:val="BodyText"/>
      </w:pPr>
      <w:r>
        <w:t xml:space="preserve">assessments (assessment at the end of years 2, 4, etc.). The available evidence does not provide information</w:t>
      </w:r>
      <w:r>
        <w:t xml:space="preserve"> </w:t>
      </w:r>
      <w:r>
        <w:t xml:space="preserve">on (i) the average duration of licensing agreements or (ii) the breakdown between one-off and periodic</w:t>
      </w:r>
      <w:r>
        <w:t xml:space="preserve"> </w:t>
      </w:r>
      <w:r>
        <w:t xml:space="preserve">compliance costs under the baseline scenario. For the purpose of this analysis, it is assumed that 50-75% of</w:t>
      </w:r>
      <w:r>
        <w:t xml:space="preserve"> </w:t>
      </w:r>
      <w:r>
        <w:t xml:space="preserve">the costs are one-off costs, while 25–50% represent the recurrent periodic assessments. Economic studies</w:t>
      </w:r>
      <w:r>
        <w:t xml:space="preserve"> </w:t>
      </w:r>
      <w:r>
        <w:t xml:space="preserve">suggest that the average duration of licensing agreements ranges between 6 and 8 years. See, for example,</w:t>
      </w:r>
      <w:r>
        <w:t xml:space="preserve"> </w:t>
      </w:r>
      <w:r>
        <w:t xml:space="preserve">Pressman, L. et al., ‘The licensing of DNA patents by large U.S. academic institutions: an empirical survey’,</w:t>
      </w:r>
      <w:r>
        <w:t xml:space="preserve"> </w:t>
      </w:r>
      <w:r>
        <w:t xml:space="preserve">Nat. Biotechnol., 24(1), 2006, pp. 31–39 (finding an average duration of active licences of 8 years). For</w:t>
      </w:r>
      <w:r>
        <w:t xml:space="preserve"> </w:t>
      </w:r>
      <w:r>
        <w:t xml:space="preserve">simplicity, this assessment uses 7 years as the average duration. Starting from the cost of assessing</w:t>
      </w:r>
      <w:r>
        <w:t xml:space="preserve"> </w:t>
      </w:r>
      <w:r>
        <w:t xml:space="preserve">compliance with the market share thresholds (i.e. EUR 787.5), one-off compliance costs are estimated at</w:t>
      </w:r>
      <w:r>
        <w:t xml:space="preserve"> </w:t>
      </w:r>
      <w:r>
        <w:t xml:space="preserve">EUR 393.75–590.63, while periodic compliance costs range between EUR 196.88–393.75. If periodic</w:t>
      </w:r>
      <w:r>
        <w:t xml:space="preserve"> </w:t>
      </w:r>
      <w:r>
        <w:t xml:space="preserve">assessments are carried out annually, each assessment costs EUR 28.13–56.25; if assessments are conducted</w:t>
      </w:r>
      <w:r>
        <w:t xml:space="preserve"> </w:t>
      </w:r>
      <w:r>
        <w:t xml:space="preserve">every two years, each periodic assessment costs EUR 65.63–131.25.</w:t>
      </w:r>
      <w:r>
        <w:t xml:space="preserve"> </w:t>
      </w:r>
      <w:r>
        <w:t xml:space="preserve">173 The breakdown of costs incurred by business under the baseline scenario is detailed in the footnote above.</w:t>
      </w:r>
      <w:r>
        <w:t xml:space="preserve"> </w:t>
      </w:r>
      <w:r>
        <w:t xml:space="preserve">The estimation of the savings achieved by postponing one-off costs until the end of year 4 and avoiding</w:t>
      </w:r>
      <w:r>
        <w:t xml:space="preserve"> </w:t>
      </w:r>
      <w:r>
        <w:t xml:space="preserve">several periodic assessments during the term of the agreement is calculated as follows. First, a discount rate</w:t>
      </w:r>
      <w:r>
        <w:t xml:space="preserve"> </w:t>
      </w:r>
      <w:r>
        <w:t xml:space="preserve">of 3% is applied to reflect the time value of money. See page 561 of the Better Regulation Toolbox. The</w:t>
      </w:r>
      <w:r>
        <w:t xml:space="preserve"> </w:t>
      </w:r>
      <w:r>
        <w:t xml:space="preserve">discounted value of postponing a one-off cost is calculated as: costs/(1+discount rate)number of years by which the cost</w:t>
      </w:r>
      <w:r>
        <w:t xml:space="preserve"> </w:t>
      </w:r>
      <w:r>
        <w:t xml:space="preserve">is postponed. Postponing one-off compliance costs by four years therefore corresponds to dividing those costs by</w:t>
      </w:r>
      <w:r>
        <w:t xml:space="preserve"> </w:t>
      </w:r>
      <w:r>
        <w:t xml:space="preserve">1.12550881, resulting in discounted one-off costs of EUR 349.84-524.77 (so a reduction in present value of</w:t>
      </w:r>
      <w:r>
        <w:t xml:space="preserve"> </w:t>
      </w:r>
      <w:r>
        <w:t xml:space="preserve">EUR 43.91-65.86). Second, the same discount rate and a similar formula are applied to compute the present</w:t>
      </w:r>
      <w:r>
        <w:t xml:space="preserve"> </w:t>
      </w:r>
      <w:r>
        <w:t xml:space="preserve">value of avoided periodic assessments. Under annual assessments, a firm would avoid the following</w:t>
      </w:r>
      <w:r>
        <w:t xml:space="preserve"> </w:t>
      </w:r>
      <w:r>
        <w:t xml:space="preserve">discounted costs: Year 1: EUR 27.32-54.61; Year 2: EUR 26.53-53.06; Year 3: EUR 25.76- 51.53; Year 4:</w:t>
      </w:r>
      <w:r>
        <w:t xml:space="preserve"> </w:t>
      </w:r>
      <w:r>
        <w:t xml:space="preserve">EUR 25.01-50.03. This corresponds to total avoided costs of EUR 104.62-209.23. Under biannual</w:t>
      </w:r>
      <w:r>
        <w:t xml:space="preserve"> </w:t>
      </w:r>
      <w:r>
        <w:t xml:space="preserve">assessments, the avoided discounted costs are: Year 2: EUR 61.86-123.72; Year 4: EUR 58.33-116.66. The</w:t>
      </w:r>
      <w:r>
        <w:t xml:space="preserve"> </w:t>
      </w:r>
      <w:r>
        <w:t xml:space="preserve">overall effective cost reduction is therefore EUR 148.53-275.09 under annual assessments and EUR 164.10-</w:t>
      </w:r>
      <w:r>
        <w:t xml:space="preserve"> </w:t>
      </w:r>
      <w:r>
        <w:t xml:space="preserve">306.24 under biannual assessments.</w:t>
      </w:r>
      <w:r>
        <w:br/>
      </w:r>
      <w:r>
        <w:t xml:space="preserve">174 Even though SMEs often have low market shares and would therefore be easy cases to assess as meeting the</w:t>
      </w:r>
      <w:r>
        <w:t xml:space="preserve"> </w:t>
      </w:r>
      <w:r>
        <w:t xml:space="preserve">block exemption, there may be situations in which SMEs exceed the market share thresholds, for instance</w:t>
      </w:r>
      <w:r>
        <w:t xml:space="preserve"> </w:t>
      </w:r>
      <w:r>
        <w:t xml:space="preserve">due to the novelty of the technology or the small size of the relevant market. See also the Evaluation Support</w:t>
      </w:r>
      <w:r>
        <w:t xml:space="preserve"> </w:t>
      </w:r>
      <w:r>
        <w:t xml:space="preserve">Study, p. 92 (suggesting that the efficiency gains stemming from the TTBER are larger for smaller</w:t>
      </w:r>
      <w:r>
        <w:t xml:space="preserve"> </w:t>
      </w:r>
      <w:r>
        <w:t xml:space="preserve">companies, given the scale of self-assessment costs) and p. 306 (noting cases in which even large firms may</w:t>
      </w:r>
      <w:r>
        <w:t xml:space="preserve"> </w:t>
      </w:r>
      <w:r>
        <w:t xml:space="preserve">be deterred from licensing a small part of their intellectual property portfolio due to the costs of self-</w:t>
      </w:r>
      <w:r>
        <w:t xml:space="preserve"> </w:t>
      </w:r>
      <w:r>
        <w:t xml:space="preserve">assessment).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revenues, as well as improve licensees’ productivity and R&amp;D capabilities175. By reducing</w:t>
      </w:r>
      <w:r>
        <w:t xml:space="preserve"> </w:t>
      </w:r>
      <w:r>
        <w:t xml:space="preserve">the time and resources that businesses devote to compliance assessments, this option could</w:t>
      </w:r>
      <w:r>
        <w:t xml:space="preserve"> </w:t>
      </w:r>
      <w:r>
        <w:t xml:space="preserve">also lower opportunity costs, allowing firms to focus on more productive activities.</w:t>
      </w:r>
      <w:r>
        <w:t xml:space="preserve"> </w:t>
      </w:r>
      <w:r>
        <w:t xml:space="preserve">Option 2 would, overall, have a positive or neutral effect on businesses. Any reduction in</w:t>
      </w:r>
      <w:r>
        <w:t xml:space="preserve"> </w:t>
      </w:r>
      <w:r>
        <w:t xml:space="preserve">compliance costs is likely to be limited176. For agreements where three independently</w:t>
      </w:r>
      <w:r>
        <w:t xml:space="preserve"> </w:t>
      </w:r>
      <w:r>
        <w:t xml:space="preserve">controlled substitutable technologies are present on the market, Option 2 would allow them to</w:t>
      </w:r>
      <w:r>
        <w:t xml:space="preserve"> </w:t>
      </w:r>
      <w:r>
        <w:t xml:space="preserve">benefit from the block exemption without the need to calculate market shares. Businesses</w:t>
      </w:r>
      <w:r>
        <w:t xml:space="preserve"> </w:t>
      </w:r>
      <w:r>
        <w:t xml:space="preserve">would, however, still need to identify substitutable technologies, which can be more complex</w:t>
      </w:r>
      <w:r>
        <w:t xml:space="preserve"> </w:t>
      </w:r>
      <w:r>
        <w:t xml:space="preserve">than calculating market shares. This is corroborated by the results of the impact assessment</w:t>
      </w:r>
      <w:r>
        <w:t xml:space="preserve"> </w:t>
      </w:r>
      <w:r>
        <w:t xml:space="preserve">public consultation questionnaire: several stakeholders considered that a test based on the</w:t>
      </w:r>
      <w:r>
        <w:t xml:space="preserve"> </w:t>
      </w:r>
      <w:r>
        <w:t xml:space="preserve">number of substitutable technologies would not increase legal certainty177.</w:t>
      </w:r>
      <w:r>
        <w:br/>
      </w:r>
      <w:r>
        <w:t xml:space="preserve">Option 2 may also have a (likely limited) indirect effect by encouraging firms to conclude a</w:t>
      </w:r>
      <w:r>
        <w:t xml:space="preserve"> </w:t>
      </w:r>
      <w:r>
        <w:t xml:space="preserve">greater number of technology transfer agreements. Similarly to Option 1, this could generate</w:t>
      </w:r>
      <w:r>
        <w:t xml:space="preserve"> </w:t>
      </w:r>
      <w:r>
        <w:t xml:space="preserve">positive effects for licensors and licensees (for example, increased productivity and lower</w:t>
      </w:r>
      <w:r>
        <w:t xml:space="preserve"> </w:t>
      </w:r>
      <w:r>
        <w:t xml:space="preserve">opportunity costs)178. However, it could also produce negative indirect effects if agreements</w:t>
      </w:r>
      <w:r>
        <w:t xml:space="preserve"> </w:t>
      </w:r>
      <w:r>
        <w:t xml:space="preserve">concluded by firms with market power contained anti-competitive restrictions, which could,</w:t>
      </w:r>
      <w:r>
        <w:t xml:space="preserve"> </w:t>
      </w:r>
      <w:r>
        <w:t xml:space="preserve">for example, hinder licensees from efficiently commercialising the licensed technology</w:t>
      </w:r>
      <w:r>
        <w:t xml:space="preserve"> </w:t>
      </w:r>
      <w:r>
        <w:t xml:space="preserve">and/or prevent licensors from licensing their technologies efficiently.</w:t>
      </w:r>
      <w:r>
        <w:br/>
      </w:r>
      <w:r>
        <w:t xml:space="preserve">Options 1 and 2 would have impacts on SMEs consistent with those outlined above for each</w:t>
      </w:r>
      <w:r>
        <w:t xml:space="preserve"> </w:t>
      </w:r>
      <w:r>
        <w:t xml:space="preserve">option179.</w:t>
      </w:r>
      <w:r>
        <w:br/>
      </w:r>
      <w:r>
        <w:t xml:space="preserve">6.1.3. Impact on European innovation and competitiveness</w:t>
      </w:r>
      <w:r>
        <w:t xml:space="preserve"> </w:t>
      </w:r>
      <w:r>
        <w:t xml:space="preserve">Option 1 would have a positive (indirect) impact on innovation and competitiveness by</w:t>
      </w:r>
      <w:r>
        <w:t xml:space="preserve"> </w:t>
      </w:r>
      <w:r>
        <w:t xml:space="preserve">making it easier for businesses to assess whether their agreements meet the conditions of the</w:t>
      </w:r>
      <w:r>
        <w:t xml:space="preserve"> </w:t>
      </w:r>
      <w:r>
        <w:t xml:space="preserve">TTBER, thus facilitating the conclusion of pro-competitive technology transfer agreements.</w:t>
      </w:r>
    </w:p>
    <w:p>
      <w:pPr>
        <w:pStyle w:val="BodyText"/>
      </w:pPr>
      <w:r>
        <w:t xml:space="preserve">175 See, for example, Gans, J.S., Hsu, D.H. and Stern, S., ‘The impact of uncertain intellectual property rights on</w:t>
      </w:r>
      <w:r>
        <w:t xml:space="preserve"> </w:t>
      </w:r>
      <w:r>
        <w:t xml:space="preserve">the market for ideas: evidence from patent grant delays’, Management Science, 54(5), 2008, pp. 983-985 and</w:t>
      </w:r>
      <w:r>
        <w:t xml:space="preserve"> </w:t>
      </w:r>
      <w:r>
        <w:t xml:space="preserve">988; Jeong, S. and Lee, S., ‘Strategic timing of academic commercialism: evidence from technology</w:t>
      </w:r>
      <w:r>
        <w:t xml:space="preserve"> </w:t>
      </w:r>
      <w:r>
        <w:t xml:space="preserve">transfer’, The Journal of Technology Transfer, 40, 2015, p. 911; Arora, A. and Gambardella, A., ‘Ideas for</w:t>
      </w:r>
      <w:r>
        <w:t xml:space="preserve"> </w:t>
      </w:r>
      <w:r>
        <w:t xml:space="preserve">rent: an overview of markets for technology’, Industrial and Corporate Change, 19(3), 2010, p. 788;</w:t>
      </w:r>
      <w:r>
        <w:t xml:space="preserve"> </w:t>
      </w:r>
      <w:r>
        <w:t xml:space="preserve">Elfenbein, D.H., ‘Publications, patents and the market for university inventions’, Journal of Economic</w:t>
      </w:r>
      <w:r>
        <w:t xml:space="preserve"> </w:t>
      </w:r>
      <w:r>
        <w:t xml:space="preserve">Behavior &amp; Organization, 63, 2007, p. 694; Hedge, D. and Luo, H., ‘Patent publication and the market for</w:t>
      </w:r>
      <w:r>
        <w:t xml:space="preserve"> </w:t>
      </w:r>
      <w:r>
        <w:t xml:space="preserve">ideas’, Management Science, 64, 2, 2018, pp. 654-655.</w:t>
      </w:r>
      <w:r>
        <w:br/>
      </w:r>
      <w:r>
        <w:t xml:space="preserve">176 The 4+ test in the Guidelines already functions as a soft safe harbour, and the evaluation shows that</w:t>
      </w:r>
      <w:r>
        <w:t xml:space="preserve"> </w:t>
      </w:r>
      <w:r>
        <w:t xml:space="preserve">stakeholders are familiar with its application. See, for example, the Evaluation Report, pp. 30-31. This is</w:t>
      </w:r>
      <w:r>
        <w:t xml:space="preserve"> </w:t>
      </w:r>
      <w:r>
        <w:t xml:space="preserve">further confirmed by the replies to the impact assessment public consultation questionnaire. Therefore, this</w:t>
      </w:r>
      <w:r>
        <w:t xml:space="preserve"> </w:t>
      </w:r>
      <w:r>
        <w:t xml:space="preserve">option is likely to have little or no impact on compliance assessment costs for agreements where four or</w:t>
      </w:r>
      <w:r>
        <w:t xml:space="preserve"> </w:t>
      </w:r>
      <w:r>
        <w:t xml:space="preserve">more independently controlled substitutable technologies are present on the market.</w:t>
      </w:r>
      <w:r>
        <w:br/>
      </w:r>
      <w:r>
        <w:t xml:space="preserve">177 See Section 2.1 of Annex 2.</w:t>
      </w:r>
      <w:r>
        <w:t xml:space="preserve"> </w:t>
      </w:r>
      <w:r>
        <w:t xml:space="preserve">178 See also Chemmanur, T.J., Chen, X. and Zhang, J., The Economics of Patent Licensing: An Empirical</w:t>
      </w:r>
      <w:r>
        <w:t xml:space="preserve"> </w:t>
      </w:r>
      <w:r>
        <w:t xml:space="preserve">Analysis of the Determinants and Consequences of Patent Licensing Transactions, 2024 (explaining the</w:t>
      </w:r>
      <w:r>
        <w:t xml:space="preserve"> </w:t>
      </w:r>
      <w:r>
        <w:t xml:space="preserve">general benefits of licensing for licensors’ and licensees’ firm value, productivity and innovation</w:t>
      </w:r>
      <w:r>
        <w:t xml:space="preserve"> </w:t>
      </w:r>
      <w:r>
        <w:t xml:space="preserve">capabilities), available at https://afajof.org/management/viewp.php?n=133532.</w:t>
      </w:r>
      <w:r>
        <w:br/>
      </w:r>
      <w:r>
        <w:t xml:space="preserve">179 With the possible difference that SMEs - given their generally weaker bargaining position - may be more</w:t>
      </w:r>
      <w:r>
        <w:t xml:space="preserve"> </w:t>
      </w:r>
      <w:r>
        <w:t xml:space="preserve">exposed than other businesses to the indirect negative effects of Option 2 arising from the imposition of</w:t>
      </w:r>
      <w:r>
        <w:t xml:space="preserve"> </w:t>
      </w:r>
      <w:r>
        <w:t xml:space="preserve">restrictions with potential anti-competitive effects.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These positive effects will primarily benefit EU businesses, as EU competition law applies to</w:t>
      </w:r>
      <w:r>
        <w:t xml:space="preserve"> </w:t>
      </w:r>
      <w:r>
        <w:t xml:space="preserve">agreements that have effects on the EU market180 and therefore often involve at least one EU-</w:t>
      </w:r>
      <w:r>
        <w:t xml:space="preserve"> </w:t>
      </w:r>
      <w:r>
        <w:t xml:space="preserve">based licensor or licensee. Thus, even though the TTBER and the Guidelines are neutral</w:t>
      </w:r>
      <w:r>
        <w:t xml:space="preserve"> </w:t>
      </w:r>
      <w:r>
        <w:t xml:space="preserve">regarding the nationality of the parties, the businesses most likely to rely on the TTBER and</w:t>
      </w:r>
      <w:r>
        <w:t xml:space="preserve"> </w:t>
      </w:r>
      <w:r>
        <w:t xml:space="preserve">the Guidelines to assess their technology transfer agreements are EU-based181.</w:t>
      </w:r>
      <w:r>
        <w:br/>
      </w:r>
      <w:r>
        <w:t xml:space="preserve">Regarding innovation: by making it easier for businesses to conclude pro-competitive</w:t>
      </w:r>
      <w:r>
        <w:t xml:space="preserve"> </w:t>
      </w:r>
      <w:r>
        <w:t xml:space="preserve">technology transfer agreements – especially in early licensing scenarios – this option could</w:t>
      </w:r>
      <w:r>
        <w:t xml:space="preserve"> </w:t>
      </w:r>
      <w:r>
        <w:t xml:space="preserve">enhance licensors’ ability to recoup their R&amp;D investments. This should in turn incentivise</w:t>
      </w:r>
      <w:r>
        <w:t xml:space="preserve"> </w:t>
      </w:r>
      <w:r>
        <w:t xml:space="preserve">further R&amp;D, fostering additional innovation. At the same time, licensees may improve or</w:t>
      </w:r>
      <w:r>
        <w:t xml:space="preserve"> </w:t>
      </w:r>
      <w:r>
        <w:t xml:space="preserve">adapt the licensed technology (follow-on innovation)182. Together, these effects strengthen</w:t>
      </w:r>
      <w:r>
        <w:t xml:space="preserve"> </w:t>
      </w:r>
      <w:r>
        <w:t xml:space="preserve">the capacity of businesses to innovate, and can be expected to contribute to overall</w:t>
      </w:r>
      <w:r>
        <w:t xml:space="preserve"> </w:t>
      </w:r>
      <w:r>
        <w:t xml:space="preserve">technological progress183. Since innovation is a key driver of productivity, higher levels of</w:t>
      </w:r>
      <w:r>
        <w:t xml:space="preserve"> </w:t>
      </w:r>
      <w:r>
        <w:t xml:space="preserve">innovation can also indirectly support competitiveness, for example through improvements in</w:t>
      </w:r>
      <w:r>
        <w:t xml:space="preserve"> </w:t>
      </w:r>
      <w:r>
        <w:t xml:space="preserve">businesses’ efficiency and cost structures.</w:t>
      </w:r>
      <w:r>
        <w:t xml:space="preserve"> </w:t>
      </w:r>
      <w:r>
        <w:t xml:space="preserve">Regarding other dimensions of competitiveness: licensing can reduce licensees’ production</w:t>
      </w:r>
      <w:r>
        <w:t xml:space="preserve"> </w:t>
      </w:r>
      <w:r>
        <w:t xml:space="preserve">costs184 and, more broadly, increase industry-wide productive efficiency, especially when</w:t>
      </w:r>
      <w:r>
        <w:t xml:space="preserve"> </w:t>
      </w:r>
      <w:r>
        <w:t xml:space="preserve">technology transfer allows production and sales to be undertaken by the firm with the lowest</w:t>
      </w:r>
      <w:r>
        <w:t xml:space="preserve"> </w:t>
      </w:r>
      <w:r>
        <w:t xml:space="preserve">cost and/or greatest production expertise185. This enhances cost competitiveness and,</w:t>
      </w:r>
      <w:r>
        <w:t xml:space="preserve"> </w:t>
      </w:r>
      <w:r>
        <w:t xml:space="preserve">depending on various factors, may also improve price competitiveness. Additionally, an</w:t>
      </w:r>
      <w:r>
        <w:t xml:space="preserve"> </w:t>
      </w:r>
      <w:r>
        <w:t xml:space="preserve">increase in technology transfer agreements could facilitate market entry and intensify</w:t>
      </w:r>
      <w:r>
        <w:t xml:space="preserve"> </w:t>
      </w:r>
      <w:r>
        <w:t xml:space="preserve">competition in product markets. By enabling a licensee to use a technology that it was</w:t>
      </w:r>
      <w:r>
        <w:t xml:space="preserve"> </w:t>
      </w:r>
      <w:r>
        <w:t xml:space="preserve">incapable of developing internally, a technology transfer agreement may allow it to enter a</w:t>
      </w:r>
      <w:r>
        <w:t xml:space="preserve"> </w:t>
      </w:r>
      <w:r>
        <w:t xml:space="preserve">market that it would not otherwise been able to access186.</w:t>
      </w:r>
    </w:p>
    <w:p>
      <w:pPr>
        <w:pStyle w:val="BodyText"/>
      </w:pPr>
      <w:r>
        <w:t xml:space="preserve">180 See, for example, the judgment of the Court of Justice of 26 February 2026 in C-367/22 P, Air Canada v</w:t>
      </w:r>
      <w:r>
        <w:t xml:space="preserve"> </w:t>
      </w:r>
      <w:r>
        <w:t xml:space="preserve">Commission, EU:C:2026:116, paragraph 60.</w:t>
      </w:r>
      <w:r>
        <w:br/>
      </w:r>
      <w:r>
        <w:t xml:space="preserve">181 See, for example, Hellwig, M. and Hüschelrath, K., Cartel Cases and the Cartel Enforcement Process in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2001</w:t>
      </w:r>
      <w:r>
        <w:t xml:space="preserve"> </w:t>
      </w:r>
      <w:r>
        <w:t xml:space="preserve">–</w:t>
      </w:r>
      <w:r>
        <w:t xml:space="preserve"> </w:t>
      </w:r>
      <w:r>
        <w:t xml:space="preserve">2015.</w:t>
      </w:r>
      <w:r>
        <w:t xml:space="preserve"> </w:t>
      </w:r>
      <w:r>
        <w:t xml:space="preserve">A</w:t>
      </w:r>
      <w:r>
        <w:t xml:space="preserve"> </w:t>
      </w:r>
      <w:r>
        <w:t xml:space="preserve">Quantitative</w:t>
      </w:r>
      <w:r>
        <w:t xml:space="preserve"> </w:t>
      </w:r>
      <w:r>
        <w:t xml:space="preserve">Assessment,</w:t>
      </w:r>
      <w:r>
        <w:t xml:space="preserve"> </w:t>
      </w:r>
      <w:r>
        <w:t xml:space="preserve">pp. </w:t>
      </w:r>
      <w:r>
        <w:t xml:space="preserve"> </w:t>
      </w:r>
      <w:r>
        <w:t xml:space="preserve">15-17,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https://www.econstor.eu/bitstream/10419/146903/1/869752421.pdf (assessing the cartel cases decided by the</w:t>
      </w:r>
      <w:r>
        <w:t xml:space="preserve"> </w:t>
      </w:r>
      <w:r>
        <w:t xml:space="preserve">European Commission between 2001 and 2015 and showing that the vast majority of firms in these cases</w:t>
      </w:r>
      <w:r>
        <w:t xml:space="preserve"> </w:t>
      </w:r>
      <w:r>
        <w:t xml:space="preserve">were European).</w:t>
      </w:r>
      <w:r>
        <w:br/>
      </w:r>
      <w:r>
        <w:t xml:space="preserve">182 See, for example, Chemmanur, T.J., Chen, X. and Zhang,, J., The Economics of Patent Licensing: An</w:t>
      </w:r>
      <w:r>
        <w:t xml:space="preserve"> </w:t>
      </w:r>
      <w:r>
        <w:t xml:space="preserve">Empirical Analysis of the Determinants and Consequences of Patent Licensing Transactions, 2024, available</w:t>
      </w:r>
      <w:r>
        <w:t xml:space="preserve"> </w:t>
      </w:r>
      <w:r>
        <w:t xml:space="preserve">at https://afajof.org/management/viewp.php?n=133532.</w:t>
      </w:r>
      <w:r>
        <w:t xml:space="preserve"> </w:t>
      </w:r>
      <w:r>
        <w:t xml:space="preserve">183 See Jeong, S. and Lee, S., ‘Strategic timing of academic commercialism: evidence from technology transfer’,</w:t>
      </w:r>
      <w:r>
        <w:t xml:space="preserve"> </w:t>
      </w:r>
      <w:r>
        <w:t xml:space="preserve">Journal of Technology Transfer, 40, 2015, p. 911; Allain, M., Emeric, H. and Kyle, M., ‘Inefficiencies in</w:t>
      </w:r>
      <w:r>
        <w:t xml:space="preserve"> </w:t>
      </w:r>
      <w:r>
        <w:t xml:space="preserve">Technology Transfer: Theory and Empirics’ (January 2011). CEPR Discussion Paper No. DP8206, available</w:t>
      </w:r>
      <w:r>
        <w:t xml:space="preserve"> </w:t>
      </w:r>
      <w:r>
        <w:t xml:space="preserve">at SSRN: https://ssrn.com/abstract=1749847.</w:t>
      </w:r>
      <w:r>
        <w:t xml:space="preserve"> </w:t>
      </w:r>
      <w:r>
        <w:t xml:space="preserve">184 Depending on the type of technology licensed (for example, an industrial process to streamline the</w:t>
      </w:r>
      <w:r>
        <w:t xml:space="preserve"> </w:t>
      </w:r>
      <w:r>
        <w:t xml:space="preserve">production of a certain product), a technology transfer agreement can result in a reduction of the licensee’s</w:t>
      </w:r>
      <w:r>
        <w:t xml:space="preserve"> </w:t>
      </w:r>
      <w:r>
        <w:t xml:space="preserve">production costs. See, for example, Katz, M.L. and Shapiro, C., ‘On the licensing of innovations’, The</w:t>
      </w:r>
      <w:r>
        <w:t xml:space="preserve"> </w:t>
      </w:r>
      <w:r>
        <w:t xml:space="preserve">RAND Journal of Economics, 16, 4, 1985, pp. 504-520 (emphasising that this could lead to an increase in</w:t>
      </w:r>
      <w:r>
        <w:t xml:space="preserve"> </w:t>
      </w:r>
      <w:r>
        <w:t xml:space="preserve">industry output).</w:t>
      </w:r>
      <w:r>
        <w:br/>
      </w:r>
      <w:r>
        <w:t xml:space="preserve">185 See, for example, Régibeau, P. and Rockett, P., Assessment of Potential Anticompetitive Conduct in the</w:t>
      </w:r>
      <w:r>
        <w:t xml:space="preserve"> </w:t>
      </w:r>
      <w:r>
        <w:t xml:space="preserve">Field of Intellectual Property Rights and Assessment of the Interplay Between Competition Policy and IPR</w:t>
      </w:r>
      <w:r>
        <w:t xml:space="preserve"> </w:t>
      </w:r>
      <w:r>
        <w:t xml:space="preserve">Protection, Publications Office of the European Union, 2011, p. 11.</w:t>
      </w:r>
      <w:r>
        <w:br/>
      </w:r>
      <w:r>
        <w:t xml:space="preserve">186 See, for example, Arora, A. and Gambardella, A., ‘Ideas for rent: an overview of markers for technology’,</w:t>
      </w:r>
      <w:r>
        <w:t xml:space="preserve"> </w:t>
      </w:r>
      <w:r>
        <w:t xml:space="preserve">Industrial and Corporate Change, 19, 3, 2010, p. 792.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Option 2 would, on balance, have a neutral or potentially negative effect on innovation and</w:t>
      </w:r>
      <w:r>
        <w:t xml:space="preserve"> </w:t>
      </w:r>
      <w:r>
        <w:t xml:space="preserve">competitiveness. As noted above, it is likely to have a limited impact on businesses’ ability to</w:t>
      </w:r>
      <w:r>
        <w:t xml:space="preserve"> </w:t>
      </w:r>
      <w:r>
        <w:t xml:space="preserve">assess whether their technology transfer agreements fall within the block exemption and</w:t>
      </w:r>
      <w:r>
        <w:t xml:space="preserve"> </w:t>
      </w:r>
      <w:r>
        <w:t xml:space="preserve">therefore is likely to generate only limited positive effects compared to Option 1. At the same</w:t>
      </w:r>
      <w:r>
        <w:t xml:space="preserve"> </w:t>
      </w:r>
      <w:r>
        <w:t xml:space="preserve">time, Option 2 could have (albeit likely limited) negative effects by block-exempting</w:t>
      </w:r>
      <w:r>
        <w:t xml:space="preserve"> </w:t>
      </w:r>
      <w:r>
        <w:t xml:space="preserve">agreements whose restrictive effects are not counterbalanced by efficiencies. For instance, a</w:t>
      </w:r>
      <w:r>
        <w:t xml:space="preserve"> </w:t>
      </w:r>
      <w:r>
        <w:t xml:space="preserve">technology transfer agreement between competitors with market power may allow them to</w:t>
      </w:r>
      <w:r>
        <w:t xml:space="preserve"> </w:t>
      </w:r>
      <w:r>
        <w:t xml:space="preserve">prevent each other from gaining a technological lead. While this may increase their short-</w:t>
      </w:r>
      <w:r>
        <w:t xml:space="preserve"> </w:t>
      </w:r>
      <w:r>
        <w:t xml:space="preserve">term profits, it could also reduce their incentives to innovate, by reducing competitive</w:t>
      </w:r>
      <w:r>
        <w:t xml:space="preserve"> </w:t>
      </w:r>
      <w:r>
        <w:t xml:space="preserve">pressure187.</w:t>
      </w:r>
      <w:r>
        <w:br/>
      </w:r>
      <w:r>
        <w:t xml:space="preserve">The impacts of both options on the competitiveness of SMEs would be consistent with the</w:t>
      </w:r>
      <w:r>
        <w:t xml:space="preserve"> </w:t>
      </w:r>
      <w:r>
        <w:t xml:space="preserve">general impacts outlined above188.</w:t>
      </w:r>
      <w:r>
        <w:br/>
      </w:r>
      <w:r>
        <w:t xml:space="preserve">6.2.</w:t>
      </w:r>
      <w:r>
        <w:t xml:space="preserve"> </w:t>
      </w:r>
      <w:r>
        <w:t xml:space="preserve">Data licensing</w:t>
      </w:r>
      <w:r>
        <w:br/>
      </w:r>
      <w:r>
        <w:t xml:space="preserve">6.2.1. Impact on competition in the market</w:t>
      </w:r>
      <w:r>
        <w:t xml:space="preserve"> </w:t>
      </w:r>
      <w:r>
        <w:t xml:space="preserve">The Expert Report on Data Licensing confirmed the pro-competitive potential of data</w:t>
      </w:r>
      <w:r>
        <w:t xml:space="preserve"> </w:t>
      </w:r>
      <w:r>
        <w:t xml:space="preserve">licensing. According to the report, data licensing frequently amounts to a collaborative</w:t>
      </w:r>
      <w:r>
        <w:t xml:space="preserve"> </w:t>
      </w:r>
      <w:r>
        <w:t xml:space="preserve">business strategy which combines the parties’ resources. It can generate products which</w:t>
      </w:r>
      <w:r>
        <w:t xml:space="preserve"> </w:t>
      </w:r>
      <w:r>
        <w:t xml:space="preserve">would not reach the market in its absence, for example because the licensor does not have the</w:t>
      </w:r>
      <w:r>
        <w:t xml:space="preserve"> </w:t>
      </w:r>
      <w:r>
        <w:t xml:space="preserve">resources necessary for commercialisation189. Data licensing also incentivises licensors, by</w:t>
      </w:r>
      <w:r>
        <w:t xml:space="preserve"> </w:t>
      </w:r>
      <w:r>
        <w:t xml:space="preserve">providing monetary returns for their out-licensing, and helps to disperse exclusive data</w:t>
      </w:r>
      <w:r>
        <w:t xml:space="preserve"> </w:t>
      </w:r>
      <w:r>
        <w:t xml:space="preserve">control, so that additional players can realise the potential of the data190.</w:t>
      </w:r>
      <w:r>
        <w:br/>
      </w:r>
      <w:r>
        <w:t xml:space="preserve">This was confirmed by the large majority of stakeholders responding to the impact</w:t>
      </w:r>
      <w:r>
        <w:t xml:space="preserve"> </w:t>
      </w:r>
      <w:r>
        <w:t xml:space="preserve">assessment questionnaire. Around 60% of stakeholders indicated that data licensing generally</w:t>
      </w:r>
      <w:r>
        <w:t xml:space="preserve"> </w:t>
      </w:r>
      <w:r>
        <w:t xml:space="preserve">creates more pro-competitive than anti-competitive effects191, while 30% of them answered</w:t>
      </w:r>
      <w:r>
        <w:t xml:space="preserve"> </w:t>
      </w:r>
      <w:r>
        <w:t xml:space="preserve">that data licensing generates only pro-competitive effects192. The pro-competitive effects</w:t>
      </w:r>
      <w:r>
        <w:t xml:space="preserve"> </w:t>
      </w:r>
      <w:r>
        <w:t xml:space="preserve">identified by stakeholders include the creation of products of higher quality by the licensee</w:t>
      </w:r>
      <w:r>
        <w:t xml:space="preserve"> </w:t>
      </w:r>
      <w:r>
        <w:t xml:space="preserve">thanks to the licensed data, but also lower costs and faster market entry193.</w:t>
      </w:r>
      <w:r>
        <w:t xml:space="preserve"> </w:t>
      </w:r>
      <w:r>
        <w:t xml:space="preserve">While data licensing agreements can be considered overall pro-competitive, the use of</w:t>
      </w:r>
      <w:r>
        <w:t xml:space="preserve"> </w:t>
      </w:r>
      <w:r>
        <w:t xml:space="preserve">restrictions within such agreements can produce anti-competitive effects. For example, data</w:t>
      </w:r>
    </w:p>
    <w:p>
      <w:pPr>
        <w:pStyle w:val="BodyText"/>
      </w:pPr>
      <w:r>
        <w:t xml:space="preserve">187 This could be the case for instance of a licensing agreement between competitors with market power,</w:t>
      </w:r>
      <w:r>
        <w:t xml:space="preserve"> </w:t>
      </w:r>
      <w:r>
        <w:t xml:space="preserve">whereby they cross-license each other their competing technologies and impose reciprocal obligations to</w:t>
      </w:r>
      <w:r>
        <w:t xml:space="preserve"> </w:t>
      </w:r>
      <w:r>
        <w:t xml:space="preserve">provide each other with future improvements of their respective technologies. Likewise, a technology</w:t>
      </w:r>
      <w:r>
        <w:t xml:space="preserve"> </w:t>
      </w:r>
      <w:r>
        <w:t xml:space="preserve">transfer agreement between non-competitors – where the licensor has market power – may enable the</w:t>
      </w:r>
      <w:r>
        <w:t xml:space="preserve"> </w:t>
      </w:r>
      <w:r>
        <w:t xml:space="preserve">licensor to foreclose competing licensors.</w:t>
      </w:r>
      <w:r>
        <w:br/>
      </w:r>
      <w:r>
        <w:t xml:space="preserve">188 With the possible difference that SMEs, due to their generally weaker bargaining position, may be more</w:t>
      </w:r>
      <w:r>
        <w:t xml:space="preserve"> </w:t>
      </w:r>
      <w:r>
        <w:t xml:space="preserve">exposed than other businesses to the imposition of restrictions with potential anti-competitive effects, which</w:t>
      </w:r>
      <w:r>
        <w:t xml:space="preserve"> </w:t>
      </w:r>
      <w:r>
        <w:t xml:space="preserve">could negatively affect their overall competitiveness.</w:t>
      </w:r>
      <w:r>
        <w:br/>
      </w:r>
      <w:r>
        <w:t xml:space="preserve">189 See the Expert Report on Data Licensing, Section 5.01.</w:t>
      </w:r>
      <w:r>
        <w:t xml:space="preserve"> </w:t>
      </w:r>
      <w:r>
        <w:t xml:space="preserve">190 See the Expert Report on Data Licensing, Section 5.01.</w:t>
      </w:r>
      <w:r>
        <w:t xml:space="preserve"> </w:t>
      </w:r>
      <w:r>
        <w:t xml:space="preserve">191 This group of stakeholders included 3 businesses, 3 associations, 1 academic/research institution and 1 other.</w:t>
      </w:r>
      <w:r>
        <w:t xml:space="preserve"> </w:t>
      </w:r>
      <w:r>
        <w:t xml:space="preserve">192 All of these stakeholders were businesses.</w:t>
      </w:r>
      <w:r>
        <w:t xml:space="preserve"> </w:t>
      </w:r>
      <w:r>
        <w:t xml:space="preserve">193 This was confirmed by the feedback received from stakeholders in response to Q 2.11 to Q 2.14 of the</w:t>
      </w:r>
      <w:r>
        <w:t xml:space="preserve"> </w:t>
      </w:r>
      <w:r>
        <w:t xml:space="preserve">impact assessment public consultation questionnaire.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licensing can be used by competitors to exchange commercially sensitive information and</w:t>
      </w:r>
      <w:r>
        <w:t xml:space="preserve"> </w:t>
      </w:r>
      <w:r>
        <w:t xml:space="preserve">thereby collude in the market where they compete. Moreover, exclusive or selective licensing</w:t>
      </w:r>
      <w:r>
        <w:t xml:space="preserve"> </w:t>
      </w:r>
      <w:r>
        <w:t xml:space="preserve">may foreclose firms that do not have access to the data, preventing them from competing</w:t>
      </w:r>
      <w:r>
        <w:t xml:space="preserve"> </w:t>
      </w:r>
      <w:r>
        <w:t xml:space="preserve">effectively on the market194.</w:t>
      </w:r>
      <w:r>
        <w:t xml:space="preserve"> </w:t>
      </w:r>
      <w:r>
        <w:t xml:space="preserve">The effects on competition described above are valid for data licensing in all sectors of the</w:t>
      </w:r>
      <w:r>
        <w:t xml:space="preserve"> </w:t>
      </w:r>
      <w:r>
        <w:t xml:space="preserve">economy. Pro-competitive effects are more prominent where the in-licensing of data relates</w:t>
      </w:r>
      <w:r>
        <w:t xml:space="preserve"> </w:t>
      </w:r>
      <w:r>
        <w:t xml:space="preserve">to technologies in less advanced stages, where access to external data is more likely to have a</w:t>
      </w:r>
      <w:r>
        <w:t xml:space="preserve"> </w:t>
      </w:r>
      <w:r>
        <w:t xml:space="preserve">bigger impact195 (see also Section 6.2.3 below).</w:t>
      </w:r>
      <w:r>
        <w:t xml:space="preserve"> </w:t>
      </w:r>
      <w:r>
        <w:t xml:space="preserve">Option 1 (updating the current framework to clarify when a data licensing agreement can</w:t>
      </w:r>
      <w:r>
        <w:t xml:space="preserve"> </w:t>
      </w:r>
      <w:r>
        <w:t xml:space="preserve">benefit from the block exemption provided by the TTBER) would have a limited positive</w:t>
      </w:r>
      <w:r>
        <w:t xml:space="preserve"> </w:t>
      </w:r>
      <w:r>
        <w:t xml:space="preserve">impact on competition. Option 1 would make clear to businesses that the licensing of some</w:t>
      </w:r>
      <w:r>
        <w:t xml:space="preserve"> </w:t>
      </w:r>
      <w:r>
        <w:t xml:space="preserve">types of data can benefit from block exemption, provided that the conditions of the TTBER</w:t>
      </w:r>
      <w:r>
        <w:t xml:space="preserve"> </w:t>
      </w:r>
      <w:r>
        <w:t xml:space="preserve">(market share thresholds and absence of hardcore restrictions) are respected.</w:t>
      </w:r>
      <w:r>
        <w:br/>
      </w:r>
      <w:r>
        <w:t xml:space="preserve">This additional legal certainty would make it more attractive to license these types of data.</w:t>
      </w:r>
      <w:r>
        <w:t xml:space="preserve"> </w:t>
      </w:r>
      <w:r>
        <w:t xml:space="preserve">The additional licensing can produce the pro-competitive effects described above. That said,</w:t>
      </w:r>
      <w:r>
        <w:t xml:space="preserve"> </w:t>
      </w:r>
      <w:r>
        <w:t xml:space="preserve">the positive impact on competition of Option 1 would be limited in scope, as it would only</w:t>
      </w:r>
      <w:r>
        <w:t xml:space="preserve"> </w:t>
      </w:r>
      <w:r>
        <w:t xml:space="preserve">cover those licensing agreements under which the licensed data falls within the definition of</w:t>
      </w:r>
      <w:r>
        <w:t xml:space="preserve"> </w:t>
      </w:r>
      <w:r>
        <w:t xml:space="preserve">one of the technology rights already covered by the TTBER196.</w:t>
      </w:r>
      <w:r>
        <w:t xml:space="preserve"> </w:t>
      </w:r>
      <w:r>
        <w:t xml:space="preserve">Option 2 would also have a positive impact on competition by providing legal certainty, not</w:t>
      </w:r>
      <w:r>
        <w:t xml:space="preserve"> </w:t>
      </w:r>
      <w:r>
        <w:t xml:space="preserve">only for the types of data licensing covered by Option 1, but also for the licensing of certain</w:t>
      </w:r>
      <w:r>
        <w:t xml:space="preserve"> </w:t>
      </w:r>
      <w:r>
        <w:t xml:space="preserve">types of data that are not covered by the TTBER (see Section 5.2.2 for more details on the</w:t>
      </w:r>
      <w:r>
        <w:t xml:space="preserve"> </w:t>
      </w:r>
      <w:r>
        <w:t xml:space="preserve">content of Option 2).</w:t>
      </w:r>
      <w:r>
        <w:t xml:space="preserve"> </w:t>
      </w:r>
      <w:r>
        <w:t xml:space="preserve">This legal certainty can be expected to lead to an increase in the licensing of this type of data,</w:t>
      </w:r>
      <w:r>
        <w:t xml:space="preserve"> </w:t>
      </w:r>
      <w:r>
        <w:t xml:space="preserve">which would have an overall positive impact on competition in the market (see above).</w:t>
      </w:r>
      <w:r>
        <w:br/>
      </w:r>
      <w:r>
        <w:t xml:space="preserve">On the other hand, it cannot be excluded that certain restrictions in agreements for the</w:t>
      </w:r>
      <w:r>
        <w:t xml:space="preserve"> </w:t>
      </w:r>
      <w:r>
        <w:t xml:space="preserve">licensing of data not covered by the TTBER (i.e. those data covered by Option 2 but not by</w:t>
      </w:r>
      <w:r>
        <w:t xml:space="preserve"> </w:t>
      </w:r>
      <w:r>
        <w:t xml:space="preserve">Option 1) may have different or more significant negative impacts on competition than the</w:t>
      </w:r>
      <w:r>
        <w:t xml:space="preserve"> </w:t>
      </w:r>
      <w:r>
        <w:t xml:space="preserve">restrictions commonly found in agreements covered by the TTBER. That said, any risk of a</w:t>
      </w:r>
      <w:r>
        <w:t xml:space="preserve"> </w:t>
      </w:r>
      <w:r>
        <w:t xml:space="preserve">negative impact on competition from Option 2 seems limited. First, the additional guidance</w:t>
      </w:r>
      <w:r>
        <w:t xml:space="preserve"> </w:t>
      </w:r>
      <w:r>
        <w:t xml:space="preserve">that would be provided under Option 2 would focus on databases protected by copyright or</w:t>
      </w:r>
      <w:r>
        <w:t xml:space="preserve"> </w:t>
      </w:r>
      <w:r>
        <w:t xml:space="preserve">by the database sui generis right (i.e. protected by IP rights). According to the Expert Report</w:t>
      </w:r>
      <w:r>
        <w:t xml:space="preserve"> </w:t>
      </w:r>
      <w:r>
        <w:t xml:space="preserve">on Data Licensing, the licensing of data protected by an IP right tends to be particularly pro-</w:t>
      </w:r>
      <w:r>
        <w:t xml:space="preserve"> </w:t>
      </w:r>
      <w:r>
        <w:t xml:space="preserve">competitive because it overcomes the strong usage restriction created by the IP right197.</w:t>
      </w:r>
      <w:r>
        <w:t xml:space="preserve"> </w:t>
      </w:r>
      <w:r>
        <w:t xml:space="preserve">Second, the vast majority of respondents to the relevant question in the impact assessment</w:t>
      </w:r>
    </w:p>
    <w:p>
      <w:pPr>
        <w:pStyle w:val="BodyText"/>
      </w:pPr>
      <w:r>
        <w:t xml:space="preserve">194 See the Expert Report on Data Licensing, paragraph 292.</w:t>
      </w:r>
      <w:r>
        <w:t xml:space="preserve"> </w:t>
      </w:r>
      <w:r>
        <w:t xml:space="preserve">195 See the Expert Report on Data Licensing, paragraph 308.</w:t>
      </w:r>
      <w:r>
        <w:t xml:space="preserve"> </w:t>
      </w:r>
      <w:r>
        <w:t xml:space="preserve">196 As explained in Section 5.03(a)(i) of the Expert Report on Data Licensing, data can be covered by a variety</w:t>
      </w:r>
      <w:r>
        <w:t xml:space="preserve"> </w:t>
      </w:r>
      <w:r>
        <w:t xml:space="preserve">of legal rights and protections. Data licensing agreements therefore often concern data that is not protected</w:t>
      </w:r>
      <w:r>
        <w:t xml:space="preserve"> </w:t>
      </w:r>
      <w:r>
        <w:t xml:space="preserve">by a technology right covered by the TTBER but by other types of legal rights.</w:t>
      </w:r>
      <w:r>
        <w:t xml:space="preserve"> </w:t>
      </w:r>
      <w:r>
        <w:t xml:space="preserve">197 See the Expert Report on Data Licensing, paragraph 304.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public consultation confirmed that providing guidance on data licensing would have a</w:t>
      </w:r>
      <w:r>
        <w:t xml:space="preserve"> </w:t>
      </w:r>
      <w:r>
        <w:t xml:space="preserve">positive impact on competition in the market198.</w:t>
      </w:r>
      <w:r>
        <w:t xml:space="preserve"> </w:t>
      </w:r>
      <w:r>
        <w:t xml:space="preserve">Moreover, it can be expected that the positive impact of Option 2 would be more significant</w:t>
      </w:r>
      <w:r>
        <w:t xml:space="preserve"> </w:t>
      </w:r>
      <w:r>
        <w:t xml:space="preserve">than the impact of Option 1. This is because the additional guidance that would be provided</w:t>
      </w:r>
      <w:r>
        <w:t xml:space="preserve"> </w:t>
      </w:r>
      <w:r>
        <w:t xml:space="preserve">under Option 2 would inevitably cover the licensing of more types of data and, therefore, a</w:t>
      </w:r>
      <w:r>
        <w:t xml:space="preserve"> </w:t>
      </w:r>
      <w:r>
        <w:t xml:space="preserve">higher number of data licensing agreements199.</w:t>
      </w:r>
      <w:r>
        <w:t xml:space="preserve"> </w:t>
      </w:r>
      <w:r>
        <w:t xml:space="preserve">6.2.2. Impact on businesses (including SMEs)</w:t>
      </w:r>
      <w:r>
        <w:t xml:space="preserve"> </w:t>
      </w:r>
      <w:r>
        <w:t xml:space="preserve">Option 1 would reduce the compliance assessment costs of businesses that enter into</w:t>
      </w:r>
      <w:r>
        <w:t xml:space="preserve"> </w:t>
      </w:r>
      <w:r>
        <w:t xml:space="preserve">agreements for the licensing of data that qualifies as a technology right (including know-how)</w:t>
      </w:r>
      <w:r>
        <w:t xml:space="preserve"> </w:t>
      </w:r>
      <w:r>
        <w:t xml:space="preserve">as defined in the TTBER. For those agreements, it would become clear that assessing</w:t>
      </w:r>
      <w:r>
        <w:t xml:space="preserve"> </w:t>
      </w:r>
      <w:r>
        <w:t xml:space="preserve">compliance with Article 101 can be based on the (simplified framework of the) TTBER and</w:t>
      </w:r>
      <w:r>
        <w:t xml:space="preserve"> </w:t>
      </w:r>
      <w:r>
        <w:t xml:space="preserve">the Guidelines.</w:t>
      </w:r>
      <w:r>
        <w:br/>
      </w:r>
      <w:r>
        <w:t xml:space="preserve">As mentioned above, the ability to use the TTBER and the Guidelines to assess the</w:t>
      </w:r>
      <w:r>
        <w:t xml:space="preserve"> </w:t>
      </w:r>
      <w:r>
        <w:t xml:space="preserve">compliance of an agreement with Article 101 TFEU reduces those compliance assessment</w:t>
      </w:r>
      <w:r>
        <w:t xml:space="preserve"> </w:t>
      </w:r>
      <w:r>
        <w:t xml:space="preserve">costs by an average of 33%, compared with a situation in which the assessment has to be</w:t>
      </w:r>
      <w:r>
        <w:t xml:space="preserve"> </w:t>
      </w:r>
      <w:r>
        <w:t xml:space="preserve">performed solely on the basis of Article 101 TFEU and the case law (see Section 2.3 above).</w:t>
      </w:r>
      <w:r>
        <w:t xml:space="preserve"> </w:t>
      </w:r>
      <w:r>
        <w:t xml:space="preserve">On this basis, it is estimated that Option 1 would, on average, reduce the costs for assessing</w:t>
      </w:r>
      <w:r>
        <w:t xml:space="preserve"> </w:t>
      </w:r>
      <w:r>
        <w:t xml:space="preserve">compliance with competition law by approximately EUR 1,848 per agreement200. However,</w:t>
      </w:r>
      <w:r>
        <w:t xml:space="preserve"> </w:t>
      </w:r>
      <w:r>
        <w:t xml:space="preserve">this reduction of compliance costs would apply only to the data licensing agreements that</w:t>
      </w:r>
      <w:r>
        <w:t xml:space="preserve"> </w:t>
      </w:r>
      <w:r>
        <w:t xml:space="preserve">concern data that qualifies as know-how or another technology right covered by the TTBER.</w:t>
      </w:r>
      <w:r>
        <w:t xml:space="preserve"> </w:t>
      </w:r>
      <w:r>
        <w:t xml:space="preserve">There is no reliable data on how many of these data licensing agreements exist on the market.</w:t>
      </w:r>
      <w:r>
        <w:t xml:space="preserve"> </w:t>
      </w:r>
      <w:r>
        <w:t xml:space="preserve">Based on an estimation that these agreements represent around 20% of the total population of</w:t>
      </w:r>
      <w:r>
        <w:t xml:space="preserve"> </w:t>
      </w:r>
      <w:r>
        <w:t xml:space="preserve">relevant data licensing agreements (namely, bilateral data licensing agreements for</w:t>
      </w:r>
      <w:r>
        <w:t xml:space="preserve"> </w:t>
      </w:r>
      <w:r>
        <w:t xml:space="preserve">production purposes), the aggregate annual savings in compliance assessment costs would</w:t>
      </w:r>
      <w:r>
        <w:t xml:space="preserve"> </w:t>
      </w:r>
      <w:r>
        <w:t xml:space="preserve">amount to between EUR 369,600 and EUR 3,696,000201.</w:t>
      </w:r>
    </w:p>
    <w:p>
      <w:pPr>
        <w:pStyle w:val="BodyText"/>
      </w:pPr>
      <w:r>
        <w:t xml:space="preserve">198 This in particular resulted from the feedback provided by stakeholders in response to Q 2.23 of the impact</w:t>
      </w:r>
      <w:r>
        <w:t xml:space="preserve"> </w:t>
      </w:r>
      <w:r>
        <w:t xml:space="preserve">assessment public consultation questionnaire. Moreover, almost all the stakeholders that provided feedback</w:t>
      </w:r>
      <w:r>
        <w:t xml:space="preserve"> </w:t>
      </w:r>
      <w:r>
        <w:t xml:space="preserve">on the draft rules on data licensing during the public consultation on the draft Guidelines were favourable to</w:t>
      </w:r>
      <w:r>
        <w:t xml:space="preserve"> </w:t>
      </w:r>
      <w:r>
        <w:t xml:space="preserve">the provision of guidance on data licensing.</w:t>
      </w:r>
      <w:r>
        <w:br/>
      </w:r>
      <w:r>
        <w:t xml:space="preserve">199 This is a consequence of the fact that, as explained in footnote 196 above, data may be protected by various</w:t>
      </w:r>
      <w:r>
        <w:t xml:space="preserve"> </w:t>
      </w:r>
      <w:r>
        <w:t xml:space="preserve">types of legal rights. The greater the range of legal rights in data that are included in the framework provided</w:t>
      </w:r>
      <w:r>
        <w:t xml:space="preserve"> </w:t>
      </w:r>
      <w:r>
        <w:t xml:space="preserve">by the TTBER and Guidelines, the greater the number of data licensing agreements that will be covered by</w:t>
      </w:r>
      <w:r>
        <w:t xml:space="preserve"> </w:t>
      </w:r>
      <w:r>
        <w:t xml:space="preserve">that framework; see the Expert Report on Data Licensing, paragraph 324. That said, even the guidance</w:t>
      </w:r>
      <w:r>
        <w:t xml:space="preserve"> </w:t>
      </w:r>
      <w:r>
        <w:t xml:space="preserve">foreseen under Option 2 would not cover all data licensing agreements, as explained above in footnotes 150</w:t>
      </w:r>
      <w:r>
        <w:t xml:space="preserve"> </w:t>
      </w:r>
      <w:r>
        <w:t xml:space="preserve">and 152 when presenting the Options.</w:t>
      </w:r>
      <w:r>
        <w:t xml:space="preserve"> </w:t>
      </w:r>
      <w:r>
        <w:t xml:space="preserve">200 This estimate reflects the most conservative scenario, where firms are completely uncertain about whether</w:t>
      </w:r>
      <w:r>
        <w:t xml:space="preserve"> </w:t>
      </w:r>
      <w:r>
        <w:t xml:space="preserve">data licensing is already covered by the TTBER.</w:t>
      </w:r>
      <w:r>
        <w:br/>
      </w:r>
      <w:r>
        <w:t xml:space="preserve">201 As explained above in Section 2.3, it was not possible to obtain reliable data on the population of bilateral</w:t>
      </w:r>
      <w:r>
        <w:t xml:space="preserve"> </w:t>
      </w:r>
      <w:r>
        <w:t xml:space="preserve">data licensing agreements for production purposes entered into each year in the Union. On the basis of</w:t>
      </w:r>
      <w:r>
        <w:t xml:space="preserve"> </w:t>
      </w:r>
      <w:r>
        <w:t xml:space="preserve">publicly available data, the number of these agreements was estimated in Section 2.3 above to be in the order</w:t>
      </w:r>
      <w:r>
        <w:t xml:space="preserve"> </w:t>
      </w:r>
      <w:r>
        <w:t xml:space="preserve">of a few thousand, in particular between 1,000 and 10,000. Assuming that 20% of those agreements concern</w:t>
      </w:r>
      <w:r>
        <w:t xml:space="preserve"> </w:t>
      </w:r>
      <w:r>
        <w:t xml:space="preserve">data that qualifies as know-how or another technology right covered by the TTBER, the population of this</w:t>
      </w:r>
      <w:r>
        <w:t xml:space="preserve"> </w:t>
      </w:r>
      <w:r>
        <w:t xml:space="preserve">latter type of agreements can be estimated at between 200 and 2000. By multiplying these numbers by</w:t>
      </w:r>
      <w:r>
        <w:t xml:space="preserve"> </w:t>
      </w:r>
      <w:r>
        <w:t xml:space="preserve">EUR 1,848 (the estimated average saving per agreement), the aggregate savings can be estimated in the</w:t>
      </w:r>
      <w:r>
        <w:t xml:space="preserve"> </w:t>
      </w:r>
      <w:r>
        <w:t xml:space="preserve">range EUR 369,600 to EUR 3,696,000.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Under Option 2, the reduction of compliance costs would remain the same for the</w:t>
      </w:r>
      <w:r>
        <w:t xml:space="preserve"> </w:t>
      </w:r>
      <w:r>
        <w:t xml:space="preserve">agreements covered by the guidance under Option 1. However, the additional guidance</w:t>
      </w:r>
      <w:r>
        <w:t xml:space="preserve"> </w:t>
      </w:r>
      <w:r>
        <w:t xml:space="preserve">provided under Option 2 for licensing agreements concerning databases protected by</w:t>
      </w:r>
      <w:r>
        <w:t xml:space="preserve"> </w:t>
      </w:r>
      <w:r>
        <w:t xml:space="preserve">copyright or the database sui generis right would reduce the compliance costs also for this</w:t>
      </w:r>
      <w:r>
        <w:t xml:space="preserve"> </w:t>
      </w:r>
      <w:r>
        <w:t xml:space="preserve">type of agreements. As for the agreements covered under Option 1, no available data exist on</w:t>
      </w:r>
      <w:r>
        <w:t xml:space="preserve"> </w:t>
      </w:r>
      <w:r>
        <w:t xml:space="preserve">their population. Estimating that these agreements account for an additional 20% of the total</w:t>
      </w:r>
      <w:r>
        <w:t xml:space="preserve"> </w:t>
      </w:r>
      <w:r>
        <w:t xml:space="preserve">population of relevant data licensing agreements (namely, bilateral data licensing agreements</w:t>
      </w:r>
      <w:r>
        <w:t xml:space="preserve"> </w:t>
      </w:r>
      <w:r>
        <w:t xml:space="preserve">for production purposes), in addition to the agreements covered by Option 1, the aggregate</w:t>
      </w:r>
      <w:r>
        <w:t xml:space="preserve"> </w:t>
      </w:r>
      <w:r>
        <w:t xml:space="preserve">annual savings in compliance assessment costs under Option 2 are estimated to range</w:t>
      </w:r>
      <w:r>
        <w:t xml:space="preserve"> </w:t>
      </w:r>
      <w:r>
        <w:t xml:space="preserve">between EUR 739,200 and EUR 7,392,000202.</w:t>
      </w:r>
      <w:r>
        <w:br/>
      </w:r>
      <w:r>
        <w:t xml:space="preserve">Both options may also incentivise businesses to enter into additional data licensing</w:t>
      </w:r>
      <w:r>
        <w:t xml:space="preserve"> </w:t>
      </w:r>
      <w:r>
        <w:t xml:space="preserve">agreements, thereby increasing their revenue as licensors or gaining access to valuable data as</w:t>
      </w:r>
      <w:r>
        <w:t xml:space="preserve"> </w:t>
      </w:r>
      <w:r>
        <w:t xml:space="preserve">licensees.</w:t>
      </w:r>
      <w:r>
        <w:t xml:space="preserve"> </w:t>
      </w:r>
      <w:r>
        <w:t xml:space="preserve">The above-mentioned reduction in compliance costs would apply also to SMEs, which are</w:t>
      </w:r>
      <w:r>
        <w:t xml:space="preserve"> </w:t>
      </w:r>
      <w:r>
        <w:t xml:space="preserve">subject to the same obligation to assess the compliance of their agreements with competition</w:t>
      </w:r>
      <w:r>
        <w:t xml:space="preserve"> </w:t>
      </w:r>
      <w:r>
        <w:t xml:space="preserve">law. The estimated cost savings would have a proportionately greater impact on SMEs than</w:t>
      </w:r>
      <w:r>
        <w:t xml:space="preserve"> </w:t>
      </w:r>
      <w:r>
        <w:t xml:space="preserve">on larger businesses, as SMEs typically have less resources to devote to compliance</w:t>
      </w:r>
      <w:r>
        <w:t xml:space="preserve"> </w:t>
      </w:r>
      <w:r>
        <w:t xml:space="preserve">assessments203.</w:t>
      </w:r>
      <w:r>
        <w:t xml:space="preserve"> </w:t>
      </w:r>
      <w:r>
        <w:t xml:space="preserve">6.2.3. Impact on European innovation and competitiveness</w:t>
      </w:r>
      <w:r>
        <w:t xml:space="preserve"> </w:t>
      </w:r>
      <w:r>
        <w:t xml:space="preserve">Both Option 1 and Option 2 would have a positive (indirect) impact on innovation and</w:t>
      </w:r>
      <w:r>
        <w:t xml:space="preserve"> </w:t>
      </w:r>
      <w:r>
        <w:t xml:space="preserve">competitiveness, by making it easier for business to enter into pro-competitive data licensing</w:t>
      </w:r>
      <w:r>
        <w:t xml:space="preserve"> </w:t>
      </w:r>
      <w:r>
        <w:t xml:space="preserve">agreements. Overall, Option 2 would have a stronger positive impact on innovation and</w:t>
      </w:r>
      <w:r>
        <w:t xml:space="preserve"> </w:t>
      </w:r>
      <w:r>
        <w:t xml:space="preserve">competitiveness, given that it would provide guidance in relation to more types of data</w:t>
      </w:r>
      <w:r>
        <w:t xml:space="preserve"> </w:t>
      </w:r>
      <w:r>
        <w:t xml:space="preserve">licensing agreements.</w:t>
      </w:r>
      <w:r>
        <w:t xml:space="preserve"> </w:t>
      </w:r>
      <w:r>
        <w:t xml:space="preserve">As explained in Section 1.1 above, data is an essential resource for innovation. An increase in</w:t>
      </w:r>
      <w:r>
        <w:t xml:space="preserve"> </w:t>
      </w:r>
      <w:r>
        <w:t xml:space="preserve">the number of data licensing agreements would enable licensees to produce better, more</w:t>
      </w:r>
      <w:r>
        <w:t xml:space="preserve"> </w:t>
      </w:r>
      <w:r>
        <w:t xml:space="preserve">innovative products, especially in frontier and technology-intensive sectors, such as AI204.</w:t>
      </w:r>
    </w:p>
    <w:p>
      <w:pPr>
        <w:pStyle w:val="BodyText"/>
      </w:pPr>
      <w:r>
        <w:t xml:space="preserve">202 If 20% of the relevant population of data licensing agreements is assumed to concern databases protected by</w:t>
      </w:r>
      <w:r>
        <w:t xml:space="preserve"> </w:t>
      </w:r>
      <w:r>
        <w:t xml:space="preserve">copyright or the database sui generis right, the population of this latter type of agreements can be estimated</w:t>
      </w:r>
      <w:r>
        <w:t xml:space="preserve"> </w:t>
      </w:r>
      <w:r>
        <w:t xml:space="preserve">in the range between 200 and 2000. Given that the guidance to be provided under Option 2 is incremental</w:t>
      </w:r>
      <w:r>
        <w:t xml:space="preserve"> </w:t>
      </w:r>
      <w:r>
        <w:t xml:space="preserve">and includes the guidance to be provided under Option 1, the number of these agreements should be added to</w:t>
      </w:r>
      <w:r>
        <w:t xml:space="preserve"> </w:t>
      </w:r>
      <w:r>
        <w:t xml:space="preserve">the number of agreements covered by the guidance under Option 1. This means that the relevant population</w:t>
      </w:r>
      <w:r>
        <w:t xml:space="preserve"> </w:t>
      </w:r>
      <w:r>
        <w:t xml:space="preserve">of agreements affected by the guidance provided under Option 2 can be estimated in the range between 400</w:t>
      </w:r>
      <w:r>
        <w:t xml:space="preserve"> </w:t>
      </w:r>
      <w:r>
        <w:t xml:space="preserve">and 4000 (see footnote 201 above). By multiplying these numbers by EUR 1,848 (the estimated average</w:t>
      </w:r>
      <w:r>
        <w:t xml:space="preserve"> </w:t>
      </w:r>
      <w:r>
        <w:t xml:space="preserve">saving per agreement), the aggregate savings can be estimated in the range of EUR 739,200 to</w:t>
      </w:r>
      <w:r>
        <w:t xml:space="preserve"> </w:t>
      </w:r>
      <w:r>
        <w:t xml:space="preserve">EUR 7,392,000.</w:t>
      </w:r>
      <w:r>
        <w:br/>
      </w:r>
      <w:r>
        <w:t xml:space="preserve">203 For example, in the impact assessment public consultation an association representing licensing executives</w:t>
      </w:r>
      <w:r>
        <w:t xml:space="preserve"> </w:t>
      </w:r>
      <w:r>
        <w:t xml:space="preserve">stated that additional legal certainty on the competition law assessment of data licensing agreements would</w:t>
      </w:r>
      <w:r>
        <w:t xml:space="preserve"> </w:t>
      </w:r>
      <w:r>
        <w:t xml:space="preserve">benefit all undertakings, but especially SMEs investing in new technologies and services based on data</w:t>
      </w:r>
      <w:r>
        <w:t xml:space="preserve"> </w:t>
      </w:r>
      <w:r>
        <w:t xml:space="preserve">sharing. See also the Expert Report on Data Licensing, which states at paragraph 32 that legal uncertainty on</w:t>
      </w:r>
      <w:r>
        <w:t xml:space="preserve"> </w:t>
      </w:r>
      <w:r>
        <w:t xml:space="preserve">the application of Article 101 to data licensing agreements “is especially problematic for small and medium-</w:t>
      </w:r>
      <w:r>
        <w:t xml:space="preserve"> </w:t>
      </w:r>
      <w:r>
        <w:t xml:space="preserve">sized enterprises (SMEs) and research institutions, which often lack the resources to navigate complex</w:t>
      </w:r>
      <w:r>
        <w:t xml:space="preserve"> </w:t>
      </w:r>
      <w:r>
        <w:t xml:space="preserve">compliance assessments in the absence of clear regulatory orientation”.</w:t>
      </w:r>
      <w:r>
        <w:t xml:space="preserve"> </w:t>
      </w:r>
      <w:r>
        <w:t xml:space="preserve">204 Mitchell, J. et al., Measuring the economic value of data (2021), OECD Going Digital Toolkit Notes, No. 20,</w:t>
      </w:r>
      <w:r>
        <w:t xml:space="preserve"> </w:t>
      </w:r>
      <w:r>
        <w:t xml:space="preserve">OECD Publishing, Paris, https://doi.org/10.1787/f46b3691-en.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Moreover, if the data is licensed to a licensee that will use the data for creating a new value</w:t>
      </w:r>
      <w:r>
        <w:t xml:space="preserve"> </w:t>
      </w:r>
      <w:r>
        <w:t xml:space="preserve">chain, it can spark disruptive innovation205. Also, an increase in remuneration for data holders</w:t>
      </w:r>
      <w:r>
        <w:t xml:space="preserve"> </w:t>
      </w:r>
      <w:r>
        <w:t xml:space="preserve">from their licensing activities would in turn raise the incentives to gather and/or license</w:t>
      </w:r>
      <w:r>
        <w:t xml:space="preserve"> </w:t>
      </w:r>
      <w:r>
        <w:t xml:space="preserve">additional data, thereby creating positive feedback loops.</w:t>
      </w:r>
      <w:r>
        <w:br/>
      </w:r>
      <w:r>
        <w:t xml:space="preserve">As regards other dimensions of competitiveness, improved products would help European</w:t>
      </w:r>
      <w:r>
        <w:t xml:space="preserve"> </w:t>
      </w:r>
      <w:r>
        <w:t xml:space="preserve">business to be more competitive on the global stage and improve their international</w:t>
      </w:r>
      <w:r>
        <w:t xml:space="preserve"> </w:t>
      </w:r>
      <w:r>
        <w:t xml:space="preserve">competitiveness. Regarding artificial intelligence in particular, the availability of data is</w:t>
      </w:r>
      <w:r>
        <w:t xml:space="preserve"> </w:t>
      </w:r>
      <w:r>
        <w:t xml:space="preserve">crucial to allow the development of competitive AI products. Additional data licensing would</w:t>
      </w:r>
      <w:r>
        <w:t xml:space="preserve"> </w:t>
      </w:r>
      <w:r>
        <w:t xml:space="preserve">therefore strengthen the competitiveness of businesses in vital sectors of the EU economy.</w:t>
      </w:r>
      <w:r>
        <w:br/>
      </w:r>
      <w:r>
        <w:t xml:space="preserve">The impact on SME competitiveness will be in line with the impact on competitiveness of</w:t>
      </w:r>
      <w:r>
        <w:t xml:space="preserve"> </w:t>
      </w:r>
      <w:r>
        <w:t xml:space="preserve">larger businesses.</w:t>
      </w:r>
      <w:r>
        <w:t xml:space="preserve"> </w:t>
      </w:r>
      <w:r>
        <w:t xml:space="preserve">6.3.</w:t>
      </w:r>
      <w:r>
        <w:t xml:space="preserve"> </w:t>
      </w:r>
      <w:r>
        <w:t xml:space="preserve">Licensing negotiation groups</w:t>
      </w:r>
      <w:r>
        <w:t xml:space="preserve"> </w:t>
      </w:r>
      <w:r>
        <w:t xml:space="preserve">6.3.1. Impact on competition in the market</w:t>
      </w:r>
      <w:r>
        <w:t xml:space="preserve"> </w:t>
      </w:r>
      <w:r>
        <w:t xml:space="preserve">Option 1 (providing guidance on the competition law assessment of LNGs) would have a</w:t>
      </w:r>
      <w:r>
        <w:t xml:space="preserve"> </w:t>
      </w:r>
      <w:r>
        <w:t xml:space="preserve">neutral or positive impact on competition206.</w:t>
      </w:r>
      <w:r>
        <w:t xml:space="preserve"> </w:t>
      </w:r>
      <w:r>
        <w:t xml:space="preserve">First, by identifying the competition concerns that LNGs can raise, the guidance would serve</w:t>
      </w:r>
      <w:r>
        <w:t xml:space="preserve"> </w:t>
      </w:r>
      <w:r>
        <w:t xml:space="preserve">as a warning to businesses not to engage in anti-competitive LNGs. Compared to the</w:t>
      </w:r>
      <w:r>
        <w:t xml:space="preserve"> </w:t>
      </w:r>
      <w:r>
        <w:t xml:space="preserve">baseline, this option should therefore reduce the risk that LNGs will be set up and operated in</w:t>
      </w:r>
      <w:r>
        <w:t xml:space="preserve"> </w:t>
      </w:r>
      <w:r>
        <w:t xml:space="preserve">a manner which infringes Article 101 TFEU. The stakeholder feedback to the impact</w:t>
      </w:r>
      <w:r>
        <w:t xml:space="preserve"> </w:t>
      </w:r>
      <w:r>
        <w:t xml:space="preserve">assessment public consultation and the public consultation on the draft revised texts identified</w:t>
      </w:r>
      <w:r>
        <w:t xml:space="preserve"> </w:t>
      </w:r>
      <w:r>
        <w:t xml:space="preserve">several such competition concerns, in particular collusion between competing implementers</w:t>
      </w:r>
      <w:r>
        <w:t xml:space="preserve"> </w:t>
      </w:r>
      <w:r>
        <w:t xml:space="preserve">in downstream product markets and the exercise of excessive buyer power (including through</w:t>
      </w:r>
      <w:r>
        <w:t xml:space="preserve"> </w:t>
      </w:r>
      <w:r>
        <w:t xml:space="preserve">coordinated hold-outs207), resulting in sub-competitive royalty rates and reduced incentives</w:t>
      </w:r>
      <w:r>
        <w:t xml:space="preserve"> </w:t>
      </w:r>
      <w:r>
        <w:t xml:space="preserve">for technology owners to invest in R&amp;D208. Concretely, collusion between implementers on</w:t>
      </w:r>
      <w:r>
        <w:t xml:space="preserve"> </w:t>
      </w:r>
      <w:r>
        <w:t xml:space="preserve">downstream product markets can be expected to have a negative impact on the quality,</w:t>
      </w:r>
      <w:r>
        <w:t xml:space="preserve"> </w:t>
      </w:r>
      <w:r>
        <w:t xml:space="preserve">variety and price of the products offered to consumers. Likewise, reductions in investment in</w:t>
      </w:r>
      <w:r>
        <w:t xml:space="preserve"> </w:t>
      </w:r>
      <w:r>
        <w:t xml:space="preserve">R&amp;D can be expected to diminish the intensity of competition in innovation, which</w:t>
      </w:r>
      <w:r>
        <w:t xml:space="preserve"> </w:t>
      </w:r>
      <w:r>
        <w:t xml:space="preserve">ultimately also has a negative impact on the quality and variety of products offered to</w:t>
      </w:r>
      <w:r>
        <w:t xml:space="preserve"> </w:t>
      </w:r>
      <w:r>
        <w:t xml:space="preserve">consumers, as well as on the efficiency and cost of manufacturing processes.</w:t>
      </w:r>
      <w:r>
        <w:br/>
      </w:r>
      <w:r>
        <w:t xml:space="preserve">Second, by increasing legal certainty regarding the application of Article 101 TFEU to LNGs,</w:t>
      </w:r>
      <w:r>
        <w:t xml:space="preserve"> </w:t>
      </w:r>
      <w:r>
        <w:t xml:space="preserve">this option should lead to the establishment of a greater number of neutral or pro-competitive</w:t>
      </w:r>
      <w:r>
        <w:t xml:space="preserve"> </w:t>
      </w:r>
      <w:r>
        <w:t xml:space="preserve">LNGs than would be the case under the baseline. The consultation activities identified several</w:t>
      </w:r>
    </w:p>
    <w:p>
      <w:pPr>
        <w:pStyle w:val="BodyText"/>
      </w:pPr>
      <w:r>
        <w:t xml:space="preserve">205 See the Expert Report on Data Licensing, para. 283.</w:t>
      </w:r>
      <w:r>
        <w:t xml:space="preserve"> </w:t>
      </w:r>
      <w:r>
        <w:t xml:space="preserve">206 The fact that there are currently no LNGs operating on the market reduces the level of certainty of the</w:t>
      </w:r>
      <w:r>
        <w:t xml:space="preserve"> </w:t>
      </w:r>
      <w:r>
        <w:t xml:space="preserve">impacts foreseen for LNGs.</w:t>
      </w:r>
      <w:r>
        <w:t xml:space="preserve"> </w:t>
      </w:r>
      <w:r>
        <w:t xml:space="preserve">207 Unreasonable delays or refusals by implementers to take a licence of the technology.</w:t>
      </w:r>
      <w:r>
        <w:t xml:space="preserve"> </w:t>
      </w:r>
      <w:r>
        <w:t xml:space="preserve">208 Stakeholder feedback (see Annex 2, Sections 2.1(iii), 2.2 and 2.3), from technology owners, pointed to risks</w:t>
      </w:r>
      <w:r>
        <w:t xml:space="preserve"> </w:t>
      </w:r>
      <w:r>
        <w:t xml:space="preserve">of collusion between implementers and the exercise of excessive buyer power. These concerns are primarily</w:t>
      </w:r>
      <w:r>
        <w:t xml:space="preserve"> </w:t>
      </w:r>
      <w:r>
        <w:t xml:space="preserve">based on qualitative submissions rather than observed market practices, given that the Commission is not</w:t>
      </w:r>
      <w:r>
        <w:t xml:space="preserve"> </w:t>
      </w:r>
      <w:r>
        <w:t xml:space="preserve">aware of any LNGs that are operating in the market.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possible pro-competitive effects of LNGs209. First, LNGs can reduce licensing transaction</w:t>
      </w:r>
      <w:r>
        <w:t xml:space="preserve"> </w:t>
      </w:r>
      <w:r>
        <w:t xml:space="preserve">costs, by reducing the number of bilateral licence negotiations. Second, they can promote</w:t>
      </w:r>
      <w:r>
        <w:t xml:space="preserve"> </w:t>
      </w:r>
      <w:r>
        <w:t xml:space="preserve">more informed and balanced negotiations, through the pooling of implementer expertise, in</w:t>
      </w:r>
      <w:r>
        <w:t xml:space="preserve"> </w:t>
      </w:r>
      <w:r>
        <w:t xml:space="preserve">particular regarding the validity and essentiality of the rights being licensed210. According to</w:t>
      </w:r>
      <w:r>
        <w:t xml:space="preserve"> </w:t>
      </w:r>
      <w:r>
        <w:t xml:space="preserve">technology implementers, more balanced negotiations are likely to lead to fairer licensing</w:t>
      </w:r>
      <w:r>
        <w:t xml:space="preserve"> </w:t>
      </w:r>
      <w:r>
        <w:t xml:space="preserve">terms. Both of these effects can help technology owners and technology implementers to</w:t>
      </w:r>
      <w:r>
        <w:t xml:space="preserve"> </w:t>
      </w:r>
      <w:r>
        <w:t xml:space="preserve">compete more strongly on their respective markets. For example, lower transaction costs</w:t>
      </w:r>
      <w:r>
        <w:t xml:space="preserve"> </w:t>
      </w:r>
      <w:r>
        <w:t xml:space="preserve">enable both owners and implementers to divert resources to more productive activities, and</w:t>
      </w:r>
      <w:r>
        <w:t xml:space="preserve"> </w:t>
      </w:r>
      <w:r>
        <w:t xml:space="preserve">fairer licence terms can lead to increased uptake of technology licences, thereby increasing</w:t>
      </w:r>
      <w:r>
        <w:t xml:space="preserve"> </w:t>
      </w:r>
      <w:r>
        <w:t xml:space="preserve">the royalty revenues of technology owners.</w:t>
      </w:r>
      <w:r>
        <w:br/>
      </w:r>
      <w:r>
        <w:t xml:space="preserve">Under this option, the guidance would not contain a soft safe harbour (i.e. a presumption of</w:t>
      </w:r>
      <w:r>
        <w:t xml:space="preserve"> </w:t>
      </w:r>
      <w:r>
        <w:t xml:space="preserve">compliance with Article 101 TFEU). The Commission’s ability to intervene against anti-</w:t>
      </w:r>
      <w:r>
        <w:t xml:space="preserve"> </w:t>
      </w:r>
      <w:r>
        <w:t xml:space="preserve">competitive LNGs would therefore be preserved. This consideration is particularly relevant in</w:t>
      </w:r>
      <w:r>
        <w:t xml:space="preserve"> </w:t>
      </w:r>
      <w:r>
        <w:t xml:space="preserve">view of the novelty of LNGs and the lack of enforcement experience.</w:t>
      </w:r>
      <w:r>
        <w:br/>
      </w:r>
      <w:r>
        <w:t xml:space="preserve">Option 2 (providing guidance on LNGs, including a soft safe harbour) would have a neutral</w:t>
      </w:r>
      <w:r>
        <w:t xml:space="preserve"> </w:t>
      </w:r>
      <w:r>
        <w:t xml:space="preserve">impact on competition. The soft safe harbour would increase legal certainty for businesses</w:t>
      </w:r>
      <w:r>
        <w:t xml:space="preserve"> </w:t>
      </w:r>
      <w:r>
        <w:t xml:space="preserve">and make their compliance assessments easier: to ensure compliance they could choose to</w:t>
      </w:r>
      <w:r>
        <w:t xml:space="preserve"> </w:t>
      </w:r>
      <w:r>
        <w:t xml:space="preserve">simply design their LNG in accordance with the soft safe harbour’s conditions. Option 2 can</w:t>
      </w:r>
      <w:r>
        <w:t xml:space="preserve"> </w:t>
      </w:r>
      <w:r>
        <w:t xml:space="preserve">therefore be expected to lead to the establishment of more LNGs than would be the case</w:t>
      </w:r>
      <w:r>
        <w:t xml:space="preserve"> </w:t>
      </w:r>
      <w:r>
        <w:t xml:space="preserve">under Option 1. Provided the guidance and the soft safe harbour are formulated appropriately,</w:t>
      </w:r>
      <w:r>
        <w:t xml:space="preserve"> </w:t>
      </w:r>
      <w:r>
        <w:t xml:space="preserve">this option therefore increases the likelihood that LNGs will be set up which generate the pro-</w:t>
      </w:r>
      <w:r>
        <w:t xml:space="preserve"> </w:t>
      </w:r>
      <w:r>
        <w:t xml:space="preserve">competitive effects described under Option 1211.</w:t>
      </w:r>
      <w:r>
        <w:t xml:space="preserve"> </w:t>
      </w:r>
      <w:r>
        <w:t xml:space="preserve">On the other hand, a soft safe harbour creates an expectation that the Commission will not</w:t>
      </w:r>
      <w:r>
        <w:t xml:space="preserve"> </w:t>
      </w:r>
      <w:r>
        <w:t xml:space="preserve">intervene against businesses that comply with the safe harbour’s conditions. This option</w:t>
      </w:r>
      <w:r>
        <w:t xml:space="preserve"> </w:t>
      </w:r>
      <w:r>
        <w:t xml:space="preserve">would therefore limit the Commission’s ability to intervene against LNGs that harm</w:t>
      </w:r>
      <w:r>
        <w:t xml:space="preserve"> </w:t>
      </w:r>
      <w:r>
        <w:t xml:space="preserve">competition despite falling within the soft safe harbour. Although the conditions of the soft</w:t>
      </w:r>
      <w:r>
        <w:t xml:space="preserve"> </w:t>
      </w:r>
      <w:r>
        <w:t xml:space="preserve">safe harbour would be formulated cautiously, given the novelty of LNGs and the lack of</w:t>
      </w:r>
      <w:r>
        <w:t xml:space="preserve"> </w:t>
      </w:r>
      <w:r>
        <w:t xml:space="preserve">enforcement experience, it cannot be excluded that they may fail to address certain</w:t>
      </w:r>
      <w:r>
        <w:t xml:space="preserve"> </w:t>
      </w:r>
      <w:r>
        <w:t xml:space="preserve">competition concerns212. By limiting the Commission’s ability to take enforcement action,</w:t>
      </w:r>
      <w:r>
        <w:t xml:space="preserve"> </w:t>
      </w:r>
      <w:r>
        <w:t xml:space="preserve">this option could have a negative impact on competition.</w:t>
      </w:r>
      <w:r>
        <w:t xml:space="preserve"> </w:t>
      </w:r>
      <w:r>
        <w:t xml:space="preserve">Option 2 could lead to a second type of negative impact for competition. Due to the lack of</w:t>
      </w:r>
      <w:r>
        <w:t xml:space="preserve"> </w:t>
      </w:r>
      <w:r>
        <w:t xml:space="preserve">enforcement experience in relation to LNGs, there is a risk that the conditions of the soft safe</w:t>
      </w:r>
    </w:p>
    <w:p>
      <w:pPr>
        <w:pStyle w:val="BodyText"/>
      </w:pPr>
      <w:r>
        <w:t xml:space="preserve">209 See Annex 2 for the feedback to the public consultation questionnaire and the consultation on the draft</w:t>
      </w:r>
      <w:r>
        <w:t xml:space="preserve"> </w:t>
      </w:r>
      <w:r>
        <w:t xml:space="preserve">revised texts.</w:t>
      </w:r>
      <w:r>
        <w:t xml:space="preserve"> </w:t>
      </w:r>
      <w:r>
        <w:t xml:space="preserve">210 See the report by the Group of Experts on Licensing and Valuation of Standard Essential Patents</w:t>
      </w:r>
      <w:r>
        <w:t xml:space="preserve"> </w:t>
      </w:r>
      <w:r>
        <w:t xml:space="preserve">‘Contribution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SEPs’</w:t>
      </w:r>
      <w:r>
        <w:t xml:space="preserve"> </w:t>
      </w:r>
      <w:r>
        <w:t xml:space="preserve">(2021),</w:t>
      </w:r>
      <w:r>
        <w:t xml:space="preserve"> </w:t>
      </w:r>
      <w:r>
        <w:t xml:space="preserve">Proposal</w:t>
      </w:r>
      <w:r>
        <w:t xml:space="preserve"> </w:t>
      </w:r>
      <w:r>
        <w:t xml:space="preserve">75,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https://ec.europa.eu/docsroom/documents/45217. See also R. Peters, I. Nikolic and B. Heiden, Designing</w:t>
      </w:r>
      <w:r>
        <w:t xml:space="preserve"> </w:t>
      </w:r>
      <w:r>
        <w:t xml:space="preserve">SEP Licensing Negotiation Groups to Reduce Patent Holdout in 5G/IoT Markets, Cambridge University</w:t>
      </w:r>
      <w:r>
        <w:t xml:space="preserve"> </w:t>
      </w:r>
      <w:r>
        <w:t xml:space="preserve">Press (2023), which concludes that “LNGs can facilitate SEP licensing efficiencies through reduced</w:t>
      </w:r>
      <w:r>
        <w:t xml:space="preserve"> </w:t>
      </w:r>
      <w:r>
        <w:t xml:space="preserve">transaction costs for both licensees and licensors”.</w:t>
      </w:r>
      <w:r>
        <w:t xml:space="preserve"> </w:t>
      </w:r>
      <w:r>
        <w:t xml:space="preserve">211 In the public consultation on the draft revised texts, technology implementers (businesses and business</w:t>
      </w:r>
      <w:r>
        <w:t xml:space="preserve"> </w:t>
      </w:r>
      <w:r>
        <w:t xml:space="preserve">associations) supported the proposed soft safe harbour, whereas technology owners (businesses and business</w:t>
      </w:r>
      <w:r>
        <w:t xml:space="preserve"> </w:t>
      </w:r>
      <w:r>
        <w:t xml:space="preserve">associations) opposed it. See Annex 2, Section 2.2 for the results of the consultation.</w:t>
      </w:r>
      <w:r>
        <w:t xml:space="preserve"> </w:t>
      </w:r>
      <w:r>
        <w:t xml:space="preserve">212 Technology owners (businesses) highlighted this possibility in their responses to the public consultation on</w:t>
      </w:r>
      <w:r>
        <w:t xml:space="preserve"> </w:t>
      </w:r>
      <w:r>
        <w:t xml:space="preserve">the draft revised texts; see Annex 2, Section 2.2.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harbour may be formulated too strictly or prescriptively, making them ill-adapted to</w:t>
      </w:r>
      <w:r>
        <w:t xml:space="preserve"> </w:t>
      </w:r>
      <w:r>
        <w:t xml:space="preserve">businesses’ needs or unworkable in practice. This would reduce the uptake and effectiveness</w:t>
      </w:r>
      <w:r>
        <w:t xml:space="preserve"> </w:t>
      </w:r>
      <w:r>
        <w:t xml:space="preserve">of LNGs and thus their potential to generate the pro-competitive effects mentioned under</w:t>
      </w:r>
      <w:r>
        <w:t xml:space="preserve"> </w:t>
      </w:r>
      <w:r>
        <w:t xml:space="preserve">Option 1.</w:t>
      </w:r>
      <w:r>
        <w:br/>
      </w:r>
      <w:r>
        <w:t xml:space="preserve">6.3.2. Impact on businesses (including SMEs)</w:t>
      </w:r>
      <w:r>
        <w:t xml:space="preserve"> </w:t>
      </w:r>
      <w:r>
        <w:t xml:space="preserve">Option 1 would reduce the cost for businesses of assessing the compliance of LNGs with</w:t>
      </w:r>
      <w:r>
        <w:t xml:space="preserve"> </w:t>
      </w:r>
      <w:r>
        <w:t xml:space="preserve">Article 101 TFEU. The Evaluation Support Study and the survey conducted at the reality</w:t>
      </w:r>
      <w:r>
        <w:t xml:space="preserve"> </w:t>
      </w:r>
      <w:r>
        <w:t xml:space="preserve">check workshop show that providing specific rules or guidance on technology transfer</w:t>
      </w:r>
      <w:r>
        <w:t xml:space="preserve"> </w:t>
      </w:r>
      <w:r>
        <w:t xml:space="preserve">agreements in the TTBER and Guidelines reduces compliance assessment costs</w:t>
      </w:r>
      <w:r>
        <w:t xml:space="preserve"> </w:t>
      </w:r>
      <w:r>
        <w:t xml:space="preserve">significantly213.</w:t>
      </w:r>
      <w:r>
        <w:t xml:space="preserve"> </w:t>
      </w:r>
      <w:r>
        <w:t xml:space="preserve">In addition to this direct impact on compliance assessment costs, the increased legal certainty</w:t>
      </w:r>
      <w:r>
        <w:t xml:space="preserve"> </w:t>
      </w:r>
      <w:r>
        <w:t xml:space="preserve">resulting from the new guidance on LNGs makes it more likely that businesses will set up</w:t>
      </w:r>
      <w:r>
        <w:t xml:space="preserve"> </w:t>
      </w:r>
      <w:r>
        <w:t xml:space="preserve">LNGs that have competition-neutral or pro-competitive effects. As stated in Section 6.3.1</w:t>
      </w:r>
      <w:r>
        <w:t xml:space="preserve"> </w:t>
      </w:r>
      <w:r>
        <w:t xml:space="preserve">above, the possible pro-competitive effects of LNGs include reduced licensing transaction</w:t>
      </w:r>
      <w:r>
        <w:t xml:space="preserve"> </w:t>
      </w:r>
      <w:r>
        <w:t xml:space="preserve">costs, for both technology owners and technology implementers.</w:t>
      </w:r>
      <w:r>
        <w:br/>
      </w:r>
      <w:r>
        <w:t xml:space="preserve">Option 2 would reduce businesses’ compliance assessment costs to a greater extent than</w:t>
      </w:r>
      <w:r>
        <w:t xml:space="preserve"> </w:t>
      </w:r>
      <w:r>
        <w:t xml:space="preserve">Option 1, as businesses could ensure their compliance with Article 101 TFEU simply by</w:t>
      </w:r>
      <w:r>
        <w:t xml:space="preserve"> </w:t>
      </w:r>
      <w:r>
        <w:t xml:space="preserve">designing their LNGs in accordance with the conditions of the soft safe harbour.</w:t>
      </w:r>
      <w:r>
        <w:br/>
      </w:r>
      <w:r>
        <w:t xml:space="preserve">The indirect positive impact on businesses’ licensing transaction costs mentioned under</w:t>
      </w:r>
      <w:r>
        <w:t xml:space="preserve"> </w:t>
      </w:r>
      <w:r>
        <w:t xml:space="preserve">Option 1 can also be expected to apply under this option.</w:t>
      </w:r>
      <w:r>
        <w:t xml:space="preserve"> </w:t>
      </w:r>
      <w:r>
        <w:t xml:space="preserve">The cost reductions under both options would also apply to SMEs. As set out in Section 2.3</w:t>
      </w:r>
      <w:r>
        <w:t xml:space="preserve"> </w:t>
      </w:r>
      <w:r>
        <w:t xml:space="preserve">and footnote 108 above, significant numbers of SMEs are either potential implementers of</w:t>
      </w:r>
      <w:r>
        <w:t xml:space="preserve"> </w:t>
      </w:r>
      <w:r>
        <w:t xml:space="preserve">SEPs or actually conclude SEP licences each year. Moreover, in the public consultation on</w:t>
      </w:r>
      <w:r>
        <w:t xml:space="preserve"> </w:t>
      </w:r>
      <w:r>
        <w:t xml:space="preserve">the draft revised rules, both technology owners and implementers stated that LNGs could be</w:t>
      </w:r>
      <w:r>
        <w:t xml:space="preserve"> </w:t>
      </w:r>
      <w:r>
        <w:t xml:space="preserve">particularly useful for SME implementers, as they may not have the resources or expertise to</w:t>
      </w:r>
      <w:r>
        <w:t xml:space="preserve"> </w:t>
      </w:r>
      <w:r>
        <w:t xml:space="preserve">negotiate fair licensing terms for their business214.</w:t>
      </w:r>
      <w:r>
        <w:br/>
      </w:r>
      <w:r>
        <w:t xml:space="preserve">6.3.3. Impact on European innovation and competitiveness</w:t>
      </w:r>
      <w:r>
        <w:t xml:space="preserve"> </w:t>
      </w:r>
      <w:r>
        <w:t xml:space="preserve">Option 1 would have a neutral or positive indirect impact on innovation and competitiveness.</w:t>
      </w:r>
      <w:r>
        <w:t xml:space="preserve"> </w:t>
      </w:r>
      <w:r>
        <w:t xml:space="preserve">As stated in Section 6.3.1 above, this option would make it easier for businesses to assess the</w:t>
      </w:r>
      <w:r>
        <w:t xml:space="preserve"> </w:t>
      </w:r>
      <w:r>
        <w:t xml:space="preserve">compliance of LNGs with Article 101 TFEU and can therefore be expected to lead to the</w:t>
      </w:r>
      <w:r>
        <w:t xml:space="preserve"> </w:t>
      </w:r>
      <w:r>
        <w:t xml:space="preserve">formation of more LNGs that are either competition-neutral or pro-competitive than would</w:t>
      </w:r>
      <w:r>
        <w:t xml:space="preserve"> </w:t>
      </w:r>
      <w:r>
        <w:t xml:space="preserve">otherwise be the case. As also explained in Section 6.3.1, where LNGs result in agreed</w:t>
      </w:r>
      <w:r>
        <w:t xml:space="preserve"> </w:t>
      </w:r>
      <w:r>
        <w:t xml:space="preserve">licensing terms, this can create benefits both for technology owners and implementers.</w:t>
      </w:r>
      <w:r>
        <w:t xml:space="preserve"> </w:t>
      </w:r>
      <w:r>
        <w:t xml:space="preserve">Reduced transaction costs enable both sides to divert resources to other business activities,</w:t>
      </w:r>
      <w:r>
        <w:t xml:space="preserve"> </w:t>
      </w:r>
      <w:r>
        <w:t xml:space="preserve">for example further R&amp;D in the case of technology owners and product development in the</w:t>
      </w:r>
      <w:r>
        <w:t xml:space="preserve"> </w:t>
      </w:r>
      <w:r>
        <w:t xml:space="preserve">case of implementers. Increased licence uptake and fairer licensing terms also contribute to</w:t>
      </w:r>
      <w:r>
        <w:t xml:space="preserve"> </w:t>
      </w:r>
      <w:r>
        <w:t xml:space="preserve">the competitiveness of both stakeholder groups.</w:t>
      </w:r>
    </w:p>
    <w:p>
      <w:pPr>
        <w:pStyle w:val="BodyText"/>
      </w:pPr>
      <w:r>
        <w:t xml:space="preserve">213 See the Evaluation Support Study, pp 91-93 and Annex 2, Section 2.3.</w:t>
      </w:r>
      <w:r>
        <w:t xml:space="preserve"> </w:t>
      </w:r>
      <w:r>
        <w:t xml:space="preserve">214 See Annex 2, Section 2.2.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On the other hand, the novelty of LNGs and the lack of enforcement experience creates a risk</w:t>
      </w:r>
      <w:r>
        <w:t xml:space="preserve"> </w:t>
      </w:r>
      <w:r>
        <w:t xml:space="preserve">that they may produce anti-competitive effects, despite the provision of guidance. In the</w:t>
      </w:r>
      <w:r>
        <w:t xml:space="preserve"> </w:t>
      </w:r>
      <w:r>
        <w:t xml:space="preserve">impact assessment public consultation and the consultation on the draft revised texts,</w:t>
      </w:r>
      <w:r>
        <w:t xml:space="preserve"> </w:t>
      </w:r>
      <w:r>
        <w:t xml:space="preserve">technology owners referred notably to the possibility that LNGs may lead to coordinated</w:t>
      </w:r>
      <w:r>
        <w:t xml:space="preserve"> </w:t>
      </w:r>
      <w:r>
        <w:t xml:space="preserve">hold-outs215. In that case, technology owners’ incentives to invest in further innovation could</w:t>
      </w:r>
      <w:r>
        <w:t xml:space="preserve"> </w:t>
      </w:r>
      <w:r>
        <w:t xml:space="preserve">be negatively impacted.</w:t>
      </w:r>
      <w:r>
        <w:br/>
      </w:r>
      <w:r>
        <w:t xml:space="preserve">Given that LNGs are a new practice, it is not yet clear whether they will be widely used. The</w:t>
      </w:r>
      <w:r>
        <w:t xml:space="preserve"> </w:t>
      </w:r>
      <w:r>
        <w:t xml:space="preserve">scale of the above impacts on innovation and competitiveness therefore remains uncertain.</w:t>
      </w:r>
      <w:r>
        <w:t xml:space="preserve"> </w:t>
      </w:r>
      <w:r>
        <w:t xml:space="preserve">See Section 2.1 (Problem 3) for an indication of the types of sectors in which technology</w:t>
      </w:r>
      <w:r>
        <w:t xml:space="preserve"> </w:t>
      </w:r>
      <w:r>
        <w:t xml:space="preserve">implementers may wish to form LNGs.</w:t>
      </w:r>
      <w:r>
        <w:t xml:space="preserve"> </w:t>
      </w:r>
      <w:r>
        <w:t xml:space="preserve">Option 2 would have similar neutral or positive effects on innovation and competitiveness.</w:t>
      </w:r>
      <w:r>
        <w:t xml:space="preserve"> </w:t>
      </w:r>
      <w:r>
        <w:t xml:space="preserve">The inclusion of a soft safe harbour in the guidance can be expected to lead the formation of</w:t>
      </w:r>
      <w:r>
        <w:t xml:space="preserve"> </w:t>
      </w:r>
      <w:r>
        <w:t xml:space="preserve">more LNGs than under Option 1, which in turn increases the potential for the positive</w:t>
      </w:r>
      <w:r>
        <w:t xml:space="preserve"> </w:t>
      </w:r>
      <w:r>
        <w:t xml:space="preserve">impacts on innovation and competitiveness mentioned under that option. On the other hand,</w:t>
      </w:r>
      <w:r>
        <w:t xml:space="preserve"> </w:t>
      </w:r>
      <w:r>
        <w:t xml:space="preserve">this option would limit the Commission’s ability to intervene against LNGs which comply</w:t>
      </w:r>
      <w:r>
        <w:t xml:space="preserve"> </w:t>
      </w:r>
      <w:r>
        <w:t xml:space="preserve">with the conditions of the soft safe harbour but nonetheless lead to anti-competitive effects,</w:t>
      </w:r>
      <w:r>
        <w:t xml:space="preserve"> </w:t>
      </w:r>
      <w:r>
        <w:t xml:space="preserve">including negative impacts on innovation, for example through the exercise of excessive</w:t>
      </w:r>
      <w:r>
        <w:t xml:space="preserve"> </w:t>
      </w:r>
      <w:r>
        <w:t xml:space="preserve">buyer power.</w:t>
      </w:r>
      <w:r>
        <w:t xml:space="preserve"> </w:t>
      </w:r>
      <w:r>
        <w:t xml:space="preserve">The impacts of both options on the competitiveness of SMEs would be consistent with the</w:t>
      </w:r>
      <w:r>
        <w:t xml:space="preserve"> </w:t>
      </w:r>
      <w:r>
        <w:t xml:space="preserve">general impacts outlined above.</w:t>
      </w:r>
      <w:r>
        <w:br/>
      </w:r>
      <w:r>
        <w:t xml:space="preserve">7.</w:t>
      </w:r>
      <w:r>
        <w:t xml:space="preserve"> </w:t>
      </w:r>
      <w:r>
        <w:t xml:space="preserve">HOW DO THE OPTIONS COMPARE AND PREFERRED OPTIONS</w:t>
      </w:r>
      <w:r>
        <w:t xml:space="preserve"> </w:t>
      </w:r>
      <w:r>
        <w:t xml:space="preserve">This section compares the policy options between themselves and against the baseline</w:t>
      </w:r>
      <w:r>
        <w:t xml:space="preserve"> </w:t>
      </w:r>
      <w:r>
        <w:t xml:space="preserve">scenario as regards their effectiveness, efficiency and coherence, and concludes on the</w:t>
      </w:r>
      <w:r>
        <w:t xml:space="preserve"> </w:t>
      </w:r>
      <w:r>
        <w:t xml:space="preserve">preferred option for each area of the rules, also taking into account their impacts.</w:t>
      </w:r>
      <w:r>
        <w:br/>
      </w:r>
      <w:r>
        <w:t xml:space="preserve">To compare the effectiveness of the policy options, we assess their ability to achieve the</w:t>
      </w:r>
      <w:r>
        <w:t xml:space="preserve"> </w:t>
      </w:r>
      <w:r>
        <w:t xml:space="preserve">specific objectives of the initiative in relation to the problem concerned (see Section 4.2</w:t>
      </w:r>
      <w:r>
        <w:t xml:space="preserve"> </w:t>
      </w:r>
      <w:r>
        <w:t xml:space="preserve">above), as well as the general objective of the TTBER and Guidelines, namely to ensure the</w:t>
      </w:r>
      <w:r>
        <w:t xml:space="preserve"> </w:t>
      </w:r>
      <w:r>
        <w:t xml:space="preserve">effective protection of competition.</w:t>
      </w:r>
      <w:r>
        <w:br/>
      </w:r>
      <w:r>
        <w:t xml:space="preserve">To assess the efficiency of the policy options, we look at how they will affect the costs</w:t>
      </w:r>
      <w:r>
        <w:t xml:space="preserve"> </w:t>
      </w:r>
      <w:r>
        <w:t xml:space="preserve">incurred by businesses to assess the compliance of their agreements with Article 101 TFEU.</w:t>
      </w:r>
      <w:r>
        <w:t xml:space="preserve"> </w:t>
      </w:r>
      <w:r>
        <w:t xml:space="preserve">These costs generally include the fees of external advisers (lawyers and economists), as well</w:t>
      </w:r>
      <w:r>
        <w:t xml:space="preserve"> </w:t>
      </w:r>
      <w:r>
        <w:t xml:space="preserve">as the cost of internal legal advice.</w:t>
      </w:r>
      <w:r>
        <w:t xml:space="preserve"> </w:t>
      </w:r>
      <w:r>
        <w:t xml:space="preserve">As regards coherence, we assess the policy options against other Commission rules and</w:t>
      </w:r>
      <w:r>
        <w:t xml:space="preserve"> </w:t>
      </w:r>
      <w:r>
        <w:t xml:space="preserve">guidance on the application of Article 101 TFEU, as well as other EU legislation in related</w:t>
      </w:r>
      <w:r>
        <w:t xml:space="preserve"> </w:t>
      </w:r>
      <w:r>
        <w:t xml:space="preserve">fields.</w:t>
      </w:r>
    </w:p>
    <w:p>
      <w:pPr>
        <w:pStyle w:val="BodyText"/>
      </w:pPr>
      <w:r>
        <w:t xml:space="preserve">215 See Annex 2, Sections 2.1 (iii) and 2.2.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7.1.</w:t>
      </w:r>
      <w:r>
        <w:t xml:space="preserve"> </w:t>
      </w:r>
      <w:r>
        <w:t xml:space="preserve">The TTBER’s market share thresholds for technology markets</w:t>
      </w:r>
      <w:r>
        <w:t xml:space="preserve"> </w:t>
      </w:r>
      <w:r>
        <w:t xml:space="preserve">7.1.1. Effectiveness</w:t>
      </w:r>
      <w:r>
        <w:t xml:space="preserve"> </w:t>
      </w:r>
      <w:r>
        <w:t xml:space="preserve">The effectiveness of each option is assessed against its ability to achieve the specific</w:t>
      </w:r>
      <w:r>
        <w:t xml:space="preserve"> </w:t>
      </w:r>
      <w:r>
        <w:t xml:space="preserve">objective of reducing the complexity faced by businesses when they apply the TTBER’s</w:t>
      </w:r>
      <w:r>
        <w:t xml:space="preserve"> </w:t>
      </w:r>
      <w:r>
        <w:t xml:space="preserve">market share thresholds for technology markets, as well as the general objective of ensuring</w:t>
      </w:r>
      <w:r>
        <w:t xml:space="preserve"> </w:t>
      </w:r>
      <w:r>
        <w:t xml:space="preserve">the effective protection of competition, in particular by exempting only those agreements can</w:t>
      </w:r>
      <w:r>
        <w:t xml:space="preserve"> </w:t>
      </w:r>
      <w:r>
        <w:t xml:space="preserve">be assumed to meet the conditions of Article 101(3) TFEU. Exempting agreements that</w:t>
      </w:r>
      <w:r>
        <w:t xml:space="preserve"> </w:t>
      </w:r>
      <w:r>
        <w:t xml:space="preserve">cannot be assumed to meet those conditions – and therefore whose efficiencies cannot be</w:t>
      </w:r>
      <w:r>
        <w:t xml:space="preserve"> </w:t>
      </w:r>
      <w:r>
        <w:t xml:space="preserve">assumed to outweigh their anti-competitive effects – would hinder the Commission, NCAs</w:t>
      </w:r>
      <w:r>
        <w:t xml:space="preserve"> </w:t>
      </w:r>
      <w:r>
        <w:t xml:space="preserve">and national courts from enforcing Article 101 TFEU, creating a risk of under-</w:t>
      </w:r>
      <w:r>
        <w:t xml:space="preserve"> </w:t>
      </w:r>
      <w:r>
        <w:t xml:space="preserve">enforcement216.</w:t>
      </w:r>
      <w:r>
        <w:br/>
      </w:r>
      <w:r>
        <w:t xml:space="preserve">Compared to the baseline, both options would simplify the application of the market share</w:t>
      </w:r>
      <w:r>
        <w:t xml:space="preserve"> </w:t>
      </w:r>
      <w:r>
        <w:t xml:space="preserve">thresholds for technology markets and increase legal certainty for businesses, albeit to</w:t>
      </w:r>
      <w:r>
        <w:t xml:space="preserve"> </w:t>
      </w:r>
      <w:r>
        <w:t xml:space="preserve">different degrees and in different market contexts. Option 1 would introduce targeted</w:t>
      </w:r>
      <w:r>
        <w:t xml:space="preserve"> </w:t>
      </w:r>
      <w:r>
        <w:t xml:space="preserve">clarifications and amendments, addressing early licensing – a context in which market</w:t>
      </w:r>
      <w:r>
        <w:t xml:space="preserve"> </w:t>
      </w:r>
      <w:r>
        <w:t xml:space="preserve">definition and market share calculation are likely to be more complex for businesses.</w:t>
      </w:r>
      <w:r>
        <w:t xml:space="preserve"> </w:t>
      </w:r>
      <w:r>
        <w:t xml:space="preserve">Specifically, Option 1 would enhance legal certainty for early licensing by clarifying that</w:t>
      </w:r>
      <w:r>
        <w:t xml:space="preserve"> </w:t>
      </w:r>
      <w:r>
        <w:t xml:space="preserve">businesses may postpone the assessments required for market definition and market share</w:t>
      </w:r>
      <w:r>
        <w:t xml:space="preserve"> </w:t>
      </w:r>
      <w:r>
        <w:t xml:space="preserve">calculation for a number of years from the date of licensing and, by extending the duration of</w:t>
      </w:r>
      <w:r>
        <w:t xml:space="preserve"> </w:t>
      </w:r>
      <w:r>
        <w:t xml:space="preserve">this simplification. Option 2 would simplify the compliance assessment task in market</w:t>
      </w:r>
      <w:r>
        <w:t xml:space="preserve"> </w:t>
      </w:r>
      <w:r>
        <w:t xml:space="preserve">contexts where there were at least three other substitutable technologies in addition to those</w:t>
      </w:r>
      <w:r>
        <w:t xml:space="preserve"> </w:t>
      </w:r>
      <w:r>
        <w:t xml:space="preserve">controlled by the parties. In that scenario, the parties would have legal certainty that their</w:t>
      </w:r>
      <w:r>
        <w:t xml:space="preserve"> </w:t>
      </w:r>
      <w:r>
        <w:t xml:space="preserve">agreement fell within the block exemption, without the need to calculate market shares.</w:t>
      </w:r>
      <w:r>
        <w:t xml:space="preserve"> </w:t>
      </w:r>
      <w:r>
        <w:t xml:space="preserve">However, this option would also entail a substantial risk of block-exempting agreements with</w:t>
      </w:r>
      <w:r>
        <w:t xml:space="preserve"> </w:t>
      </w:r>
      <w:r>
        <w:t xml:space="preserve">potential anti-competitive effects. Accordingly, any combination including Option 2 would</w:t>
      </w:r>
      <w:r>
        <w:t xml:space="preserve"> </w:t>
      </w:r>
      <w:r>
        <w:t xml:space="preserve">reduce the effectiveness of the TTBER and Guidelines in achieving the general objective of</w:t>
      </w:r>
      <w:r>
        <w:t xml:space="preserve"> </w:t>
      </w:r>
      <w:r>
        <w:t xml:space="preserve">protecting competition.</w:t>
      </w:r>
      <w:r>
        <w:br/>
      </w:r>
      <w:r>
        <w:t xml:space="preserve">7.1.2. Efficiency</w:t>
      </w:r>
      <w:r>
        <w:t xml:space="preserve"> </w:t>
      </w:r>
      <w:r>
        <w:t xml:space="preserve">Compared to the baseline, all the options are likely to reduce the compliance assessment costs</w:t>
      </w:r>
      <w:r>
        <w:t xml:space="preserve"> </w:t>
      </w:r>
      <w:r>
        <w:t xml:space="preserve">of businesses that enter into technology transfer agreements. However, while Option 1 is</w:t>
      </w:r>
      <w:r>
        <w:t xml:space="preserve"> </w:t>
      </w:r>
      <w:r>
        <w:t xml:space="preserve">expected to generate a significant reduction in costs, the reduction associated with Option 2 is</w:t>
      </w:r>
      <w:r>
        <w:t xml:space="preserve"> </w:t>
      </w:r>
      <w:r>
        <w:t xml:space="preserve">likely to be only marginal.</w:t>
      </w:r>
      <w:r>
        <w:br/>
      </w:r>
      <w:r>
        <w:t xml:space="preserve">7.1.3. Coherence</w:t>
      </w:r>
      <w:r>
        <w:t xml:space="preserve"> </w:t>
      </w:r>
      <w:r>
        <w:t xml:space="preserve">None of the options would affect the coherence of the TTBER and Guidelines with other</w:t>
      </w:r>
      <w:r>
        <w:t xml:space="preserve"> </w:t>
      </w:r>
      <w:r>
        <w:t xml:space="preserve">Commission rules or guidance on the application of Article 101 TFEU, as the changes</w:t>
      </w:r>
      <w:r>
        <w:t xml:space="preserve"> </w:t>
      </w:r>
      <w:r>
        <w:t xml:space="preserve">introduced would not conflict with those rules and guidance. Furthermore, since the options</w:t>
      </w:r>
    </w:p>
    <w:p>
      <w:pPr>
        <w:pStyle w:val="BodyText"/>
      </w:pPr>
      <w:r>
        <w:t xml:space="preserve">216 Widening the safe harbour too far would be problematic, as the Enabling Regulation only empowers the</w:t>
      </w:r>
      <w:r>
        <w:t xml:space="preserve"> </w:t>
      </w:r>
      <w:r>
        <w:t xml:space="preserve">Commission to block-exempt agreements for which it can be assumed that the conditions of</w:t>
      </w:r>
      <w:r>
        <w:t xml:space="preserve"> </w:t>
      </w:r>
      <w:r>
        <w:t xml:space="preserve">Article 101 (3) TFEU are fulfilled. Moreover, block-exempting agreements that do not meet the conditions</w:t>
      </w:r>
      <w:r>
        <w:t xml:space="preserve"> </w:t>
      </w:r>
      <w:r>
        <w:t xml:space="preserve">of Article 101(3) could lead to distortions of competition and negative impacts for businesses and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concern only the application of the TTBER’s market share thresholds (which define the scope</w:t>
      </w:r>
      <w:r>
        <w:t xml:space="preserve"> </w:t>
      </w:r>
      <w:r>
        <w:t xml:space="preserve">of the block exemption), they would not affect the coherence of the TTBER and Guidelines</w:t>
      </w:r>
      <w:r>
        <w:t xml:space="preserve"> </w:t>
      </w:r>
      <w:r>
        <w:t xml:space="preserve">with other EU legislation relevant to technology transfer agreements.</w:t>
      </w:r>
      <w:r>
        <w:t xml:space="preserve"> </w:t>
      </w:r>
      <w:r>
        <w:t xml:space="preserve">Option 1 also complements EU strategies to facilitate knowledge valorisation by public</w:t>
      </w:r>
      <w:r>
        <w:t xml:space="preserve"> </w:t>
      </w:r>
      <w:r>
        <w:t xml:space="preserve">research organisations217 and to enable start-ups to better capitalise on new opportunities218,</w:t>
      </w:r>
      <w:r>
        <w:t xml:space="preserve"> </w:t>
      </w:r>
      <w:r>
        <w:t xml:space="preserve">primarily by simplifying the application of the TTBER’s market share thresholds in scenarios</w:t>
      </w:r>
      <w:r>
        <w:t xml:space="preserve"> </w:t>
      </w:r>
      <w:r>
        <w:t xml:space="preserve">of early licensing.</w:t>
      </w:r>
      <w:r>
        <w:br/>
      </w:r>
      <w:r>
        <w:t xml:space="preserve">7.1.4. Preferred option</w:t>
      </w:r>
      <w:r>
        <w:br/>
      </w:r>
      <w:r>
        <w:t xml:space="preserve">In view of the above, the preferred option regarding the TTBER’s market share thresholds for</w:t>
      </w:r>
      <w:r>
        <w:t xml:space="preserve"> </w:t>
      </w:r>
      <w:r>
        <w:t xml:space="preserve">technology markets is Option 1. This option is the most effective at simplifying the</w:t>
      </w:r>
      <w:r>
        <w:t xml:space="preserve"> </w:t>
      </w:r>
      <w:r>
        <w:t xml:space="preserve">application of the existing rules while avoiding the risk of under-enforcement. It also reduces</w:t>
      </w:r>
      <w:r>
        <w:t xml:space="preserve"> </w:t>
      </w:r>
      <w:r>
        <w:t xml:space="preserve">compliance costs for businesses and ensures coherence with other relevant EU legislation.</w:t>
      </w:r>
      <w:r>
        <w:t xml:space="preserve"> </w:t>
      </w:r>
      <w:r>
        <w:t xml:space="preserve">Option 1 would also have an overall positive impact on competition, since it provides more</w:t>
      </w:r>
      <w:r>
        <w:t xml:space="preserve"> </w:t>
      </w:r>
      <w:r>
        <w:t xml:space="preserve">legal certainty for businesses – especially in the context of early licensing – and thereby</w:t>
      </w:r>
      <w:r>
        <w:t xml:space="preserve"> </w:t>
      </w:r>
      <w:r>
        <w:t xml:space="preserve">incentivises them to enter into pro-competitive technology transfer agreements. This</w:t>
      </w:r>
      <w:r>
        <w:t xml:space="preserve"> </w:t>
      </w:r>
      <w:r>
        <w:t xml:space="preserve">combination would also have a positive impact on businesses, including SMEs, and an</w:t>
      </w:r>
      <w:r>
        <w:t xml:space="preserve"> </w:t>
      </w:r>
      <w:r>
        <w:t xml:space="preserve">indirect positive impact on innovation and competitiveness.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Legal certainty</w:t>
      </w:r>
      <w:r>
        <w:t xml:space="preserve"> </w:t>
      </w:r>
      <w:r>
        <w:t xml:space="preserve">Protecting competition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</w:t>
      </w:r>
      <w:r>
        <w:t xml:space="preserve"> </w:t>
      </w:r>
      <w:r>
        <w:t xml:space="preserve">−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7.2.</w:t>
      </w:r>
      <w:r>
        <w:t xml:space="preserve"> </w:t>
      </w:r>
      <w:r>
        <w:t xml:space="preserve">Data licensing</w:t>
      </w:r>
      <w:r>
        <w:t xml:space="preserve"> </w:t>
      </w:r>
      <w:r>
        <w:t xml:space="preserve">7.2.1. Effectiveness</w:t>
      </w:r>
      <w:r>
        <w:t xml:space="preserve"> </w:t>
      </w:r>
      <w:r>
        <w:t xml:space="preserve">The effectiveness of each option is assessed against its ability to achieve the specific</w:t>
      </w:r>
      <w:r>
        <w:t xml:space="preserve"> </w:t>
      </w:r>
      <w:r>
        <w:t xml:space="preserve">objective of facilitating the assessment of data licensing agreements under Article 101 TFEU,</w:t>
      </w:r>
      <w:r>
        <w:t xml:space="preserve"> </w:t>
      </w:r>
      <w:r>
        <w:t xml:space="preserve">as well as the general objective of ensuring the effective protection of competition by</w:t>
      </w:r>
      <w:r>
        <w:t xml:space="preserve"> </w:t>
      </w:r>
      <w:r>
        <w:t xml:space="preserve">minimising the risk of under-enforcement.</w:t>
      </w:r>
      <w:r>
        <w:br/>
      </w:r>
      <w:r>
        <w:t xml:space="preserve">Compared to the baseline (no guidance), both options would provide guidance to businesses</w:t>
      </w:r>
      <w:r>
        <w:t xml:space="preserve"> </w:t>
      </w:r>
      <w:r>
        <w:t xml:space="preserve">active in data licensing, albeit to different degrees, and therefore would be effective in</w:t>
      </w:r>
      <w:r>
        <w:t xml:space="preserve"> </w:t>
      </w:r>
      <w:r>
        <w:t xml:space="preserve">achieving the specific objective. Under Option 1, the guidance would cover only agreements</w:t>
      </w:r>
      <w:r>
        <w:t xml:space="preserve"> </w:t>
      </w:r>
      <w:r>
        <w:t xml:space="preserve">for the licensing of data that falls within the definitions of technology rights (including know-</w:t>
      </w:r>
      <w:r>
        <w:t xml:space="preserve"> </w:t>
      </w:r>
      <w:r>
        <w:t xml:space="preserve">how) already covered by the TTBER. Under Option 2, the guidance would also cover the</w:t>
      </w:r>
      <w:r>
        <w:t xml:space="preserve"> </w:t>
      </w:r>
      <w:r>
        <w:t xml:space="preserve">licensing of databases covered by copyright or the database sui generis right.</w:t>
      </w:r>
    </w:p>
    <w:p>
      <w:pPr>
        <w:pStyle w:val="BodyText"/>
      </w:pPr>
      <w:r>
        <w:t xml:space="preserve">217 Council Recommendation (EU) 2022/2415 of 2 December 2022 on the guiding principles for knowledge</w:t>
      </w:r>
      <w:r>
        <w:t xml:space="preserve"> </w:t>
      </w:r>
      <w:r>
        <w:t xml:space="preserve">valorisation, ST/14448/2022/INIT, OJ L 317, 9.12.2022, pp. 141–148.</w:t>
      </w:r>
      <w:r>
        <w:t xml:space="preserve"> </w:t>
      </w:r>
      <w:r>
        <w:t xml:space="preserve">218 Communication from the Commission to the European Parliament, the Council, the European Economic and</w:t>
      </w:r>
      <w:r>
        <w:t xml:space="preserve"> </w:t>
      </w:r>
      <w:r>
        <w:t xml:space="preserve">Social Committee and the Committee of Regions, The EU Startup and Scaleup Strategy Choose Europe to</w:t>
      </w:r>
      <w:r>
        <w:t xml:space="preserve"> </w:t>
      </w:r>
      <w:r>
        <w:t xml:space="preserve">start and scale, COM/2025/270 final, 28.5.2025.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As regards the general objective of protecting competition, Option 1 would be safer, as it</w:t>
      </w:r>
      <w:r>
        <w:t xml:space="preserve"> </w:t>
      </w:r>
      <w:r>
        <w:t xml:space="preserve">would be limited to the licensing of data that already qualifies as a technology right or know-</w:t>
      </w:r>
      <w:r>
        <w:t xml:space="preserve"> </w:t>
      </w:r>
      <w:r>
        <w:t xml:space="preserve">how under the TTBER. These data licensing agreements are less likely to produce anti-</w:t>
      </w:r>
      <w:r>
        <w:t xml:space="preserve"> </w:t>
      </w:r>
      <w:r>
        <w:t xml:space="preserve">competitive effects on the market. By contrast, the pro-competitive nature of the additional</w:t>
      </w:r>
      <w:r>
        <w:t xml:space="preserve"> </w:t>
      </w:r>
      <w:r>
        <w:t xml:space="preserve">data licensing agreements that would be covered by the guidance provided under Option 2 is</w:t>
      </w:r>
      <w:r>
        <w:t xml:space="preserve"> </w:t>
      </w:r>
      <w:r>
        <w:t xml:space="preserve">more untested, given the lack of enforcement experience and the fast-evolving nature of data</w:t>
      </w:r>
      <w:r>
        <w:t xml:space="preserve"> </w:t>
      </w:r>
      <w:r>
        <w:t xml:space="preserve">licensing. That said, stakeholders, the academic literature and the Expert Report on Data</w:t>
      </w:r>
      <w:r>
        <w:t xml:space="preserve"> </w:t>
      </w:r>
      <w:r>
        <w:t xml:space="preserve">Licensing all confirmed the generally pro-competitive nature of data licensing. Moreover, the</w:t>
      </w:r>
      <w:r>
        <w:t xml:space="preserve"> </w:t>
      </w:r>
      <w:r>
        <w:t xml:space="preserve">risk that positive guidance is provided in respect of anti-competitive agreements is limited by</w:t>
      </w:r>
      <w:r>
        <w:t xml:space="preserve"> </w:t>
      </w:r>
      <w:r>
        <w:t xml:space="preserve">the fact that such guidance would focus on the licensing of those types of data (databases</w:t>
      </w:r>
      <w:r>
        <w:t xml:space="preserve"> </w:t>
      </w:r>
      <w:r>
        <w:t xml:space="preserve">protected by copyright or the database sui generis right) that most resemble the technology</w:t>
      </w:r>
      <w:r>
        <w:t xml:space="preserve"> </w:t>
      </w:r>
      <w:r>
        <w:t xml:space="preserve">rights already covered by the TTBER.</w:t>
      </w:r>
      <w:r>
        <w:t xml:space="preserve"> </w:t>
      </w:r>
      <w:r>
        <w:t xml:space="preserve">Overall, Option 2 would go further in achieving the specific objective of facilitating the</w:t>
      </w:r>
      <w:r>
        <w:t xml:space="preserve"> </w:t>
      </w:r>
      <w:r>
        <w:t xml:space="preserve">assessment of data licensing agreements under Article 101 TFEU. On the other hand, there is</w:t>
      </w:r>
      <w:r>
        <w:t xml:space="preserve"> </w:t>
      </w:r>
      <w:r>
        <w:t xml:space="preserve">a possibility that Option 2 could be less effective than Option 1 in achieving the general</w:t>
      </w:r>
      <w:r>
        <w:t xml:space="preserve"> </w:t>
      </w:r>
      <w:r>
        <w:t xml:space="preserve">objective of protecting competition. However, provided the guidance is carefully formulated,</w:t>
      </w:r>
      <w:r>
        <w:t xml:space="preserve"> </w:t>
      </w:r>
      <w:r>
        <w:t xml:space="preserve">this risk appears small.</w:t>
      </w:r>
      <w:r>
        <w:t xml:space="preserve"> </w:t>
      </w:r>
      <w:r>
        <w:t xml:space="preserve">7.2.2. Efficiency</w:t>
      </w:r>
      <w:r>
        <w:t xml:space="preserve"> </w:t>
      </w:r>
      <w:r>
        <w:t xml:space="preserve">Compared to the baseline, both options are likely to reduce costs for businesses wishing to</w:t>
      </w:r>
      <w:r>
        <w:t xml:space="preserve"> </w:t>
      </w:r>
      <w:r>
        <w:t xml:space="preserve">enter into data licensing agreements, as the additional guidance would reduce the cost of</w:t>
      </w:r>
      <w:r>
        <w:t xml:space="preserve"> </w:t>
      </w:r>
      <w:r>
        <w:t xml:space="preserve">assessing the compliance of agreements with Article 101 TFEU. Given that Option 2 would</w:t>
      </w:r>
      <w:r>
        <w:t xml:space="preserve"> </w:t>
      </w:r>
      <w:r>
        <w:t xml:space="preserve">provide guidance for more types of data licensing agreement, that option would reduce</w:t>
      </w:r>
      <w:r>
        <w:t xml:space="preserve"> </w:t>
      </w:r>
      <w:r>
        <w:t xml:space="preserve">compliance costs to a greater extent.</w:t>
      </w:r>
      <w:r>
        <w:t xml:space="preserve"> </w:t>
      </w:r>
      <w:r>
        <w:t xml:space="preserve">7.2.3. Coherence</w:t>
      </w:r>
      <w:r>
        <w:t xml:space="preserve"> </w:t>
      </w:r>
      <w:r>
        <w:t xml:space="preserve">Neither option would affect the coherence of the TTBER and Guidelines with other</w:t>
      </w:r>
      <w:r>
        <w:t xml:space="preserve"> </w:t>
      </w:r>
      <w:r>
        <w:t xml:space="preserve">Commission rules or guidance on the application of Article 101 TFEU, as the new guidance</w:t>
      </w:r>
      <w:r>
        <w:t xml:space="preserve"> </w:t>
      </w:r>
      <w:r>
        <w:t xml:space="preserve">would not conflict with those rules and guidance.</w:t>
      </w:r>
      <w:r>
        <w:br/>
      </w:r>
      <w:r>
        <w:t xml:space="preserve">By facilitating pro-competitive data sharing, both options would be coherent with</w:t>
      </w:r>
      <w:r>
        <w:t xml:space="preserve"> </w:t>
      </w:r>
      <w:r>
        <w:t xml:space="preserve">Commission’s strategy in relation to data219 and the primary legislation in this area (the Data</w:t>
      </w:r>
      <w:r>
        <w:t xml:space="preserve"> </w:t>
      </w:r>
      <w:r>
        <w:t xml:space="preserve">Act).</w:t>
      </w:r>
      <w:r>
        <w:br/>
      </w:r>
      <w:r>
        <w:t xml:space="preserve">7.2.4. Preferred option</w:t>
      </w:r>
      <w:r>
        <w:br/>
      </w:r>
      <w:r>
        <w:t xml:space="preserve">In view of the above, the preferred option for data licensing is Option 2. This option, which</w:t>
      </w:r>
      <w:r>
        <w:t xml:space="preserve"> </w:t>
      </w:r>
      <w:r>
        <w:t xml:space="preserve">would provide more extensive guidance than Option 1, would be more effective in achieving</w:t>
      </w:r>
      <w:r>
        <w:t xml:space="preserve"> </w:t>
      </w:r>
      <w:r>
        <w:t xml:space="preserve">the specific objective of facilitating the assessment of data licensing agreements under</w:t>
      </w:r>
      <w:r>
        <w:t xml:space="preserve"> </w:t>
      </w:r>
      <w:r>
        <w:t xml:space="preserve">Article 101 TFEU. It would also reduce businesses’ compliance assessment costs to a greater</w:t>
      </w:r>
      <w:r>
        <w:t xml:space="preserve"> </w:t>
      </w:r>
      <w:r>
        <w:t xml:space="preserve">extent than Option 1. This cost reduction would be particularly beneficial for SMEs, which</w:t>
      </w:r>
      <w:r>
        <w:t xml:space="preserve"> </w:t>
      </w:r>
      <w:r>
        <w:t xml:space="preserve">often do not have a large budget for competition law assessments. Lastly, Option 2 would</w:t>
      </w:r>
    </w:p>
    <w:p>
      <w:pPr>
        <w:pStyle w:val="BodyText"/>
      </w:pPr>
      <w:r>
        <w:t xml:space="preserve">219 See the references to the Communication on a European strategy for data and the Communication on the</w:t>
      </w:r>
      <w:r>
        <w:t xml:space="preserve"> </w:t>
      </w:r>
      <w:r>
        <w:t xml:space="preserve">Data Union Strategy in Section 1.4 above.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have an indirect positive impact on innovation and competitiveness, and is coherent with the</w:t>
      </w:r>
      <w:r>
        <w:t xml:space="preserve"> </w:t>
      </w:r>
      <w:r>
        <w:t xml:space="preserve">Commission’s policy of promoting data sharing.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Protecting</w:t>
      </w:r>
      <w:r>
        <w:t xml:space="preserve"> </w:t>
      </w:r>
      <w:r>
        <w:t xml:space="preserve">competition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7.3.</w:t>
      </w:r>
      <w:r>
        <w:t xml:space="preserve"> </w:t>
      </w:r>
      <w:r>
        <w:t xml:space="preserve">Licensing negotiation groups</w:t>
      </w:r>
      <w:r>
        <w:t xml:space="preserve"> </w:t>
      </w:r>
      <w:r>
        <w:t xml:space="preserve">7.3.1. Effectiveness</w:t>
      </w:r>
      <w:r>
        <w:t xml:space="preserve"> </w:t>
      </w:r>
      <w:r>
        <w:t xml:space="preserve">The effectiveness of each option is assessed against its ability to achieve the specific</w:t>
      </w:r>
      <w:r>
        <w:t xml:space="preserve"> </w:t>
      </w:r>
      <w:r>
        <w:t xml:space="preserve">objective of facilitating the assessment of LNGs under Article 101 TFEU, as well as the</w:t>
      </w:r>
      <w:r>
        <w:t xml:space="preserve"> </w:t>
      </w:r>
      <w:r>
        <w:t xml:space="preserve">general objective of ensuring the effective protection of competition.</w:t>
      </w:r>
      <w:r>
        <w:t xml:space="preserve"> </w:t>
      </w:r>
      <w:r>
        <w:t xml:space="preserve">As regards the specific objective, both options would be more effective than the baseline (no</w:t>
      </w:r>
      <w:r>
        <w:t xml:space="preserve"> </w:t>
      </w:r>
      <w:r>
        <w:t xml:space="preserve">guidance). By including a soft safe harbour, Option 2 would make the guidance more</w:t>
      </w:r>
      <w:r>
        <w:t xml:space="preserve"> </w:t>
      </w:r>
      <w:r>
        <w:t xml:space="preserve">concrete and – for businesses that chose to design their LNGs in accordance with the safe</w:t>
      </w:r>
      <w:r>
        <w:t xml:space="preserve"> </w:t>
      </w:r>
      <w:r>
        <w:t xml:space="preserve">harbour – would provide a higher level of legal certainty.</w:t>
      </w:r>
      <w:r>
        <w:br/>
      </w:r>
      <w:r>
        <w:t xml:space="preserve">As regards the general objective of protecting competition, Option 1 would be effective, first,</w:t>
      </w:r>
      <w:r>
        <w:t xml:space="preserve"> </w:t>
      </w:r>
      <w:r>
        <w:t xml:space="preserve">because the new guidance would warn businesses about the possible anti-competitive effects</w:t>
      </w:r>
      <w:r>
        <w:t xml:space="preserve"> </w:t>
      </w:r>
      <w:r>
        <w:t xml:space="preserve">of LNGs and indicate measures that they could take to avoid infringing Article 101 TFEU.</w:t>
      </w:r>
      <w:r>
        <w:t xml:space="preserve"> </w:t>
      </w:r>
      <w:r>
        <w:t xml:space="preserve">Second, because it would preserve the Commission’s ability to intervene against anti-</w:t>
      </w:r>
      <w:r>
        <w:t xml:space="preserve"> </w:t>
      </w:r>
      <w:r>
        <w:t xml:space="preserve">competitive LNGs. Option 2 would be less effective than Option 1 in achieving the general</w:t>
      </w:r>
      <w:r>
        <w:t xml:space="preserve"> </w:t>
      </w:r>
      <w:r>
        <w:t xml:space="preserve">objective, because the soft safe harbour would limit the Commission’s ability to intervene</w:t>
      </w:r>
      <w:r>
        <w:t xml:space="preserve"> </w:t>
      </w:r>
      <w:r>
        <w:t xml:space="preserve">against LNGs that fell within the soft safe harbour but nonetheless produced anti-competitive</w:t>
      </w:r>
      <w:r>
        <w:t xml:space="preserve"> </w:t>
      </w:r>
      <w:r>
        <w:t xml:space="preserve">effects. Preserving the Commission’s ability to intervene is particularly important in relation</w:t>
      </w:r>
      <w:r>
        <w:t xml:space="preserve"> </w:t>
      </w:r>
      <w:r>
        <w:t xml:space="preserve">to a novel type of agreement for which there is little enforcement experience.</w:t>
      </w:r>
      <w:r>
        <w:t xml:space="preserve"> </w:t>
      </w:r>
      <w:r>
        <w:t xml:space="preserve">7.3.2. Efficiency</w:t>
      </w:r>
      <w:r>
        <w:t xml:space="preserve"> </w:t>
      </w:r>
      <w:r>
        <w:t xml:space="preserve">Compared to the baseline, both options would reduce the compliance assessment costs of</w:t>
      </w:r>
      <w:r>
        <w:t xml:space="preserve"> </w:t>
      </w:r>
      <w:r>
        <w:t xml:space="preserve">businesses. Option 2 could reduce these costs more than Option 1, because businesses would</w:t>
      </w:r>
      <w:r>
        <w:t xml:space="preserve"> </w:t>
      </w:r>
      <w:r>
        <w:t xml:space="preserve">be able to ensure compliance with Article 101 TFEU simply by designing their LNGs in</w:t>
      </w:r>
      <w:r>
        <w:t xml:space="preserve"> </w:t>
      </w:r>
      <w:r>
        <w:t xml:space="preserve">accordance the conditions of the soft safe harbour.</w:t>
      </w:r>
      <w:r>
        <w:br/>
      </w:r>
      <w:r>
        <w:t xml:space="preserve">7.3.3. Coherence</w:t>
      </w:r>
      <w:r>
        <w:t xml:space="preserve"> </w:t>
      </w:r>
      <w:r>
        <w:t xml:space="preserve">Neither option would affect the coherence of the TTBER and the Guidelines with other</w:t>
      </w:r>
      <w:r>
        <w:t xml:space="preserve"> </w:t>
      </w:r>
      <w:r>
        <w:t xml:space="preserve">Commission rules or guidance on the application of Article 101 TFEU, as the new guidance</w:t>
      </w:r>
      <w:r>
        <w:t xml:space="preserve"> </w:t>
      </w:r>
      <w:r>
        <w:t xml:space="preserve">would not conflict with those rules and guidance. Indeed, the new guidance on LNGs applies</w:t>
      </w:r>
      <w:r>
        <w:t xml:space="preserve"> </w:t>
      </w:r>
      <w:r>
        <w:t xml:space="preserve">an analytical framework that is similar to the framework used in the guidance on joint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purchasing in Chapter 4 of the Commission’s Horizontal Guidelines220. The proposed</w:t>
      </w:r>
      <w:r>
        <w:t xml:space="preserve"> </w:t>
      </w:r>
      <w:r>
        <w:t xml:space="preserve">guidance is also coherent with other relevant EU legislation.</w:t>
      </w:r>
      <w:r>
        <w:br/>
      </w:r>
      <w:r>
        <w:t xml:space="preserve">7.3.4. Preferred option</w:t>
      </w:r>
      <w:r>
        <w:br/>
      </w:r>
      <w:r>
        <w:t xml:space="preserve">The preferred option for licensing negotiation groups is Option 1 (providing new guidance</w:t>
      </w:r>
      <w:r>
        <w:t xml:space="preserve"> </w:t>
      </w:r>
      <w:r>
        <w:t xml:space="preserve">on the competitive assessment of LNGs, without a soft safe harbour). This option is efficient,</w:t>
      </w:r>
      <w:r>
        <w:t xml:space="preserve"> </w:t>
      </w:r>
      <w:r>
        <w:t xml:space="preserve">because it would reduce compliance assessment costs for businesses, and coherent with other</w:t>
      </w:r>
      <w:r>
        <w:t xml:space="preserve"> </w:t>
      </w:r>
      <w:r>
        <w:t xml:space="preserve">Commission rules and guidance on the application of Article 101 TFEU and other relevant</w:t>
      </w:r>
      <w:r>
        <w:t xml:space="preserve"> </w:t>
      </w:r>
      <w:r>
        <w:t xml:space="preserve">EU legislation. This option is also effective because it provides guidance on the competition</w:t>
      </w:r>
      <w:r>
        <w:t xml:space="preserve"> </w:t>
      </w:r>
      <w:r>
        <w:t xml:space="preserve">law assessment of LNGs, thereby increasing legal certainty for businesses, while achieving</w:t>
      </w:r>
      <w:r>
        <w:t xml:space="preserve"> </w:t>
      </w:r>
      <w:r>
        <w:t xml:space="preserve">the general objective of ensuring the effective protection of competition. This option would</w:t>
      </w:r>
      <w:r>
        <w:t xml:space="preserve"> </w:t>
      </w:r>
      <w:r>
        <w:t xml:space="preserve">also have neutral or positive impacts on competition in the market, on businesses (including</w:t>
      </w:r>
      <w:r>
        <w:t xml:space="preserve"> </w:t>
      </w:r>
      <w:r>
        <w:t xml:space="preserve">SMEs) and on the dissemination of technology and innovation.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Protecting</w:t>
      </w:r>
      <w:r>
        <w:t xml:space="preserve"> </w:t>
      </w:r>
      <w:r>
        <w:t xml:space="preserve">competition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−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7.4.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TTBER is a block exemption regulation and therefore a simplification tool, as block</w:t>
      </w:r>
      <w:r>
        <w:t xml:space="preserve"> </w:t>
      </w:r>
      <w:r>
        <w:t xml:space="preserve">exemptions provide a simplified set of rules for businesses to assess the compliance of their</w:t>
      </w:r>
      <w:r>
        <w:t xml:space="preserve"> </w:t>
      </w:r>
      <w:r>
        <w:t xml:space="preserve">agreements with Article 101 TFEU. The preferred policy options maintain the structure and</w:t>
      </w:r>
      <w:r>
        <w:t xml:space="preserve"> </w:t>
      </w:r>
      <w:r>
        <w:t xml:space="preserve">analytical framework of the existing TTBER and Guidelines, including the TTBER’s market</w:t>
      </w:r>
      <w:r>
        <w:t xml:space="preserve"> </w:t>
      </w:r>
      <w:r>
        <w:t xml:space="preserve">share thresholds and lists of hardcore and excluded restrictions, which are necessary to ensure</w:t>
      </w:r>
      <w:r>
        <w:t xml:space="preserve"> </w:t>
      </w:r>
      <w:r>
        <w:t xml:space="preserve">that only agreements that fulfil the conditions of Article 101(3) TFEU are block-exempted.</w:t>
      </w:r>
      <w:r>
        <w:t xml:space="preserve"> </w:t>
      </w:r>
      <w:r>
        <w:t xml:space="preserve">Against the baseline of the current TTBER and Guidelines, the preferred policy options</w:t>
      </w:r>
      <w:r>
        <w:t xml:space="preserve"> </w:t>
      </w:r>
      <w:r>
        <w:t xml:space="preserve">introduce revisions that simplify the practical application of the rules. In particular,</w:t>
      </w:r>
      <w:r>
        <w:t xml:space="preserve"> </w:t>
      </w:r>
      <w:r>
        <w:t xml:space="preserve">simplification is achieved through clearer guidance on the application of the TTBER’s market</w:t>
      </w:r>
      <w:r>
        <w:t xml:space="preserve"> </w:t>
      </w:r>
      <w:r>
        <w:t xml:space="preserve">share thresholds for technology markets, together with a one-year extension of the grace</w:t>
      </w:r>
      <w:r>
        <w:t xml:space="preserve"> </w:t>
      </w:r>
      <w:r>
        <w:t xml:space="preserve">period, which reduces the need for early and repeated calculations of market shares. In</w:t>
      </w:r>
      <w:r>
        <w:t xml:space="preserve"> </w:t>
      </w:r>
      <w:r>
        <w:t xml:space="preserve">addition, new guidance on data licensing and LNGs addresses two market developments in</w:t>
      </w:r>
      <w:r>
        <w:t xml:space="preserve"> </w:t>
      </w:r>
      <w:r>
        <w:t xml:space="preserve">respect of which stakeholders reported legal uncertainty. This facilitates more straightforward</w:t>
      </w:r>
      <w:r>
        <w:t xml:space="preserve"> </w:t>
      </w:r>
      <w:r>
        <w:t xml:space="preserve">compliance assessments in these areas.</w:t>
      </w:r>
      <w:r>
        <w:br/>
      </w:r>
      <w:r>
        <w:t xml:space="preserve">7.5.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This initiative does not create administrative costs for businesses or citizens. On the contrary,</w:t>
      </w:r>
      <w:r>
        <w:t xml:space="preserve"> </w:t>
      </w:r>
      <w:r>
        <w:t xml:space="preserve">the preferred policy options are expected to reduce compliance costs for businesses. The</w:t>
      </w:r>
    </w:p>
    <w:p>
      <w:pPr>
        <w:pStyle w:val="BodyText"/>
      </w:pPr>
      <w:r>
        <w:t xml:space="preserve">220 Communication from the Commission – Guidelines on the applicability of Article 101 of the Treaty on the</w:t>
      </w:r>
      <w:r>
        <w:t xml:space="preserve"> </w:t>
      </w:r>
      <w:r>
        <w:t xml:space="preserve">Functioning of the European Union to horizontal co-operation agreements, OJ C 259, 21.7.2023, pp. 1–125.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revisions update and clarify the existing rules while maintaining their general structure and</w:t>
      </w:r>
      <w:r>
        <w:t xml:space="preserve"> </w:t>
      </w:r>
      <w:r>
        <w:t xml:space="preserve">analytical framework, and are expected to simplify businesses’ compliance assessments. The</w:t>
      </w:r>
      <w:r>
        <w:t xml:space="preserve"> </w:t>
      </w:r>
      <w:r>
        <w:t xml:space="preserve">proposed new guidance on data licensing and LNGs does not create obligations. Its purpose</w:t>
      </w:r>
      <w:r>
        <w:t xml:space="preserve"> </w:t>
      </w:r>
      <w:r>
        <w:t xml:space="preserve">is to help businesses to assess the compliance of these recent types of agreements with</w:t>
      </w:r>
      <w:r>
        <w:t xml:space="preserve"> </w:t>
      </w:r>
      <w:r>
        <w:t xml:space="preserve">Article 101 TFEU. This promotes legal certainty and reduces complexity.</w:t>
      </w:r>
      <w:r>
        <w:t xml:space="preserve"> </w:t>
      </w:r>
      <w:r>
        <w:t xml:space="preserve">The expected compliance cost reductions for businesses have been assessed and quantified to</w:t>
      </w:r>
      <w:r>
        <w:t xml:space="preserve"> </w:t>
      </w:r>
      <w:r>
        <w:t xml:space="preserve">the extent possible in Sections 6.1.2, 6.2.2 and 6.3.2, as well as in Annex 3 of this report.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revised rules are expected to remain in force for a period of 12 years. This duration will</w:t>
      </w:r>
      <w:r>
        <w:t xml:space="preserve"> </w:t>
      </w:r>
      <w:r>
        <w:t xml:space="preserve">allow the Commission to gather sufficient experience on their functioning. It also ensures</w:t>
      </w:r>
      <w:r>
        <w:t xml:space="preserve"> </w:t>
      </w:r>
      <w:r>
        <w:t xml:space="preserve">regulatory stability and predictability for businesses, also taking into account the timing of</w:t>
      </w:r>
      <w:r>
        <w:t xml:space="preserve"> </w:t>
      </w:r>
      <w:r>
        <w:t xml:space="preserve">technology uptake.</w:t>
      </w:r>
      <w:r>
        <w:br/>
      </w:r>
      <w:r>
        <w:t xml:space="preserve">Before the expiry of the TTBER in April 2038, the Commission will carry out a full</w:t>
      </w:r>
      <w:r>
        <w:t xml:space="preserve"> </w:t>
      </w:r>
      <w:r>
        <w:t xml:space="preserve">evaluation, taking into account the results of the monitoring activities set out below. The</w:t>
      </w:r>
      <w:r>
        <w:t xml:space="preserve"> </w:t>
      </w:r>
      <w:r>
        <w:t xml:space="preserve">Enabling Regulation also empowers the Commission to amend or repeal the TTBER before</w:t>
      </w:r>
      <w:r>
        <w:t xml:space="preserve"> </w:t>
      </w:r>
      <w:r>
        <w:t xml:space="preserve">its expiry date if relevant circumstances change221. The mechanisms set out below will enable</w:t>
      </w:r>
      <w:r>
        <w:t xml:space="preserve"> </w:t>
      </w:r>
      <w:r>
        <w:t xml:space="preserve">the Commission to establish whether any such changes occur.</w:t>
      </w:r>
      <w:r>
        <w:br/>
      </w:r>
      <w:r>
        <w:t xml:space="preserve">8.1.</w:t>
      </w:r>
      <w:r>
        <w:t xml:space="preserve"> </w:t>
      </w:r>
      <w:r>
        <w:t xml:space="preserve">Data collection</w:t>
      </w:r>
      <w:r>
        <w:br/>
      </w:r>
      <w:r>
        <w:t xml:space="preserve">Monitoring will primarily assess progress toward the three specific objectives of the</w:t>
      </w:r>
      <w:r>
        <w:t xml:space="preserve"> </w:t>
      </w:r>
      <w:r>
        <w:t xml:space="preserve">initiative, which operationalise the general objective set out in Section 4.1 of this report.</w:t>
      </w:r>
      <w:r>
        <w:br/>
      </w:r>
      <w:r>
        <w:t xml:space="preserve">Monitoring will rely on existing channels and form part of DG Competition’s usual policy</w:t>
      </w:r>
      <w:r>
        <w:t xml:space="preserve"> </w:t>
      </w:r>
      <w:r>
        <w:t xml:space="preserve">follow-up, without creating new reporting obligations for the Commission or stakeholders.</w:t>
      </w:r>
      <w:r>
        <w:t xml:space="preserve"> </w:t>
      </w:r>
      <w:r>
        <w:t xml:space="preserve">Information will be reviewed on an ongoing basis, and internal stock-taking may be</w:t>
      </w:r>
      <w:r>
        <w:t xml:space="preserve"> </w:t>
      </w:r>
      <w:r>
        <w:t xml:space="preserve">organised where meaningful evidence emerges.</w:t>
      </w:r>
      <w:r>
        <w:br/>
      </w:r>
      <w:r>
        <w:t xml:space="preserve">European Competition Network (“ECN”): regular exchanges with NCAs, including at the</w:t>
      </w:r>
      <w:r>
        <w:t xml:space="preserve"> </w:t>
      </w:r>
      <w:r>
        <w:t xml:space="preserve">biannual meetings of the ECN Article 101 working group, allow the Commission to monitor</w:t>
      </w:r>
      <w:r>
        <w:t xml:space="preserve"> </w:t>
      </w:r>
      <w:r>
        <w:t xml:space="preserve">how the revised TTBER and Guidelines are applied in practice. Although the evaluation</w:t>
      </w:r>
      <w:r>
        <w:t xml:space="preserve"> </w:t>
      </w:r>
      <w:r>
        <w:t xml:space="preserve">showed that NCAs have had limited enforcement experience with technology transfer</w:t>
      </w:r>
      <w:r>
        <w:t xml:space="preserve"> </w:t>
      </w:r>
      <w:r>
        <w:t xml:space="preserve">agreements in recent years, these exchanges will still help to identify issues arising at national</w:t>
      </w:r>
      <w:r>
        <w:t xml:space="preserve"> </w:t>
      </w:r>
      <w:r>
        <w:t xml:space="preserve">level, including questions of interpretation or relevant market developments. Where</w:t>
      </w:r>
      <w:r>
        <w:t xml:space="preserve"> </w:t>
      </w:r>
      <w:r>
        <w:t xml:space="preserve">appropriate, these exchanges will be complemented by bilateral contacts on specific cases.</w:t>
      </w:r>
      <w:r>
        <w:br/>
      </w:r>
      <w:r>
        <w:t xml:space="preserve">Stakeholder engagement: the Commission will continue to gather information through</w:t>
      </w:r>
      <w:r>
        <w:t xml:space="preserve"> </w:t>
      </w:r>
      <w:r>
        <w:t xml:space="preserve">conferences, meetings and informal exchanges. The nature and recurrence of stakeholder</w:t>
      </w:r>
      <w:r>
        <w:t xml:space="preserve"> </w:t>
      </w:r>
      <w:r>
        <w:t xml:space="preserve">questions or requests for guidance under the Informal Guidance Notice will be tracked</w:t>
      </w:r>
      <w:r>
        <w:t xml:space="preserve"> </w:t>
      </w:r>
      <w:r>
        <w:t xml:space="preserve">internally. Monitoring will focus not only on the volume of such requests, but also on their</w:t>
      </w:r>
      <w:r>
        <w:t xml:space="preserve"> </w:t>
      </w:r>
      <w:r>
        <w:t xml:space="preserve">nature, recurrence and evolution over time, as indirect indicators of how the revised</w:t>
      </w:r>
    </w:p>
    <w:p>
      <w:pPr>
        <w:pStyle w:val="BodyText"/>
      </w:pPr>
      <w:r>
        <w:t xml:space="preserve">221 See Article 2(2) of the Enabling Regulation.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framework is used in practice. A reality check workshop will complement continuous</w:t>
      </w:r>
      <w:r>
        <w:t xml:space="preserve"> </w:t>
      </w:r>
      <w:r>
        <w:t xml:space="preserve">stakeholder engagement before the next evaluation.</w:t>
      </w:r>
      <w:r>
        <w:t xml:space="preserve"> </w:t>
      </w:r>
      <w:r>
        <w:t xml:space="preserve">Enforcement practice: Although enforcement cases in the area of technology transfer has</w:t>
      </w:r>
      <w:r>
        <w:t xml:space="preserve"> </w:t>
      </w:r>
      <w:r>
        <w:t xml:space="preserve">been limited in recent years, the Commission will monitor any future cases at Union or</w:t>
      </w:r>
      <w:r>
        <w:t xml:space="preserve"> </w:t>
      </w:r>
      <w:r>
        <w:t xml:space="preserve">national level, and the relevant case law. Information collected will be used to assess legal</w:t>
      </w:r>
      <w:r>
        <w:t xml:space="preserve"> </w:t>
      </w:r>
      <w:r>
        <w:t xml:space="preserve">certainty and identify potential competition risks.</w:t>
      </w:r>
    </w:p>
    <w:p>
      <w:pPr>
        <w:pStyle w:val="BodyText"/>
      </w:pPr>
      <w:r>
        <w:t xml:space="preserve">Desk research and market monitoring: The Commission will continue to monitor available</w:t>
      </w:r>
      <w:r>
        <w:t xml:space="preserve"> </w:t>
      </w:r>
      <w:r>
        <w:t xml:space="preserve">information and studies on technology licensing. This will help to identify market trends and</w:t>
      </w:r>
      <w:r>
        <w:t xml:space="preserve"> </w:t>
      </w:r>
      <w:r>
        <w:t xml:space="preserve">serve as indirect indicators to provide context for issues raised by stakeholders and assess</w:t>
      </w:r>
      <w:r>
        <w:t xml:space="preserve"> </w:t>
      </w:r>
      <w:r>
        <w:t xml:space="preserve">whether the rules remain fit for purpose as technology markets evolve.</w:t>
      </w:r>
      <w:r>
        <w:br/>
      </w:r>
      <w:r>
        <w:t xml:space="preserve">8.2.</w:t>
      </w:r>
      <w:r>
        <w:t xml:space="preserve"> </w:t>
      </w:r>
      <w:r>
        <w:t xml:space="preserve">Indicators and monitoring framework</w:t>
      </w:r>
      <w:r>
        <w:br/>
      </w:r>
      <w:r>
        <w:t xml:space="preserve">The indicators set out in the table below do not set quantitative targets. They will be</w:t>
      </w:r>
      <w:r>
        <w:t xml:space="preserve"> </w:t>
      </w:r>
      <w:r>
        <w:t xml:space="preserve">interpreted in the broader context of the Commission’s competition law enforcement practice,</w:t>
      </w:r>
      <w:r>
        <w:t xml:space="preserve"> </w:t>
      </w:r>
      <w:r>
        <w:t xml:space="preserve">taking into account its decentralised nature and the fact that the TTBER and Guidelines are</w:t>
      </w:r>
      <w:r>
        <w:t xml:space="preserve"> </w:t>
      </w:r>
      <w:r>
        <w:t xml:space="preserve">voluntary tools aimed at facilitating businesses’ compliance assessments. Monitoring will</w:t>
      </w:r>
      <w:r>
        <w:t xml:space="preserve"> </w:t>
      </w:r>
      <w:r>
        <w:t xml:space="preserve">focus on developments over time, in particular whether the revised framework facilitates</w:t>
      </w:r>
      <w:r>
        <w:t xml:space="preserve"> </w:t>
      </w:r>
      <w:r>
        <w:t xml:space="preserve">compliance assessments by businesses under Article 101 TFEU in the areas identified in the</w:t>
      </w:r>
      <w:r>
        <w:t xml:space="preserve"> </w:t>
      </w:r>
      <w:r>
        <w:t xml:space="preserve">evaluation.</w:t>
      </w:r>
      <w:r>
        <w:t xml:space="preserve"> </w:t>
      </w:r>
      <w:r>
        <w:t xml:space="preserve">While the monitoring indicators are mainly about outputs, they can also reflect broader</w:t>
      </w:r>
      <w:r>
        <w:t xml:space="preserve"> </w:t>
      </w:r>
      <w:r>
        <w:t xml:space="preserve">outcomes without creating additional administrative burdens. For instance, changes in the</w:t>
      </w:r>
      <w:r>
        <w:t xml:space="preserve"> </w:t>
      </w:r>
      <w:r>
        <w:t xml:space="preserve">nature of stakeholder questions over time, such as fewer recurring issues indicating structural</w:t>
      </w:r>
      <w:r>
        <w:t xml:space="preserve"> </w:t>
      </w:r>
      <w:r>
        <w:t xml:space="preserve">uncertainty and reliance on the revised framework, may serve as indicators of improved legal</w:t>
      </w:r>
      <w:r>
        <w:t xml:space="preserve"> </w:t>
      </w:r>
      <w:r>
        <w:t xml:space="preserve">certainty. Where no or only limited issues are raised, this may also indicate that the revised</w:t>
      </w:r>
      <w:r>
        <w:t xml:space="preserve"> </w:t>
      </w:r>
      <w:r>
        <w:t xml:space="preserve">framework facilitates compliance assessments, provided this is corroborated by other</w:t>
      </w:r>
      <w:r>
        <w:t xml:space="preserve"> </w:t>
      </w:r>
      <w:r>
        <w:t xml:space="preserve">monitoring sources.</w:t>
      </w:r>
      <w:r>
        <w:t xml:space="preserve"> </w:t>
      </w:r>
      <w:r>
        <w:t xml:space="preserve">Progress will be assessed in comparison to the baseline set out by the evaluation findings and</w:t>
      </w:r>
      <w:r>
        <w:t xml:space="preserve"> </w:t>
      </w:r>
      <w:r>
        <w:t xml:space="preserve">stakeholder feedback collected during the impact assessment phase. Success will be reflected</w:t>
      </w:r>
      <w:r>
        <w:t xml:space="preserve"> </w:t>
      </w:r>
      <w:r>
        <w:t xml:space="preserve">in evidence that the recurring difficulties and legal uncertainty are largely resolved. A simple</w:t>
      </w:r>
      <w:r>
        <w:t xml:space="preserve"> </w:t>
      </w:r>
      <w:r>
        <w:t xml:space="preserve">variation in the number of questions or issues reported may not automatically measure</w:t>
      </w:r>
      <w:r>
        <w:t xml:space="preserve"> </w:t>
      </w:r>
      <w:r>
        <w:t xml:space="preserve">success. This is because it could also be influenced by other factors such as market</w:t>
      </w:r>
      <w:r>
        <w:t xml:space="preserve"> </w:t>
      </w:r>
      <w:r>
        <w:t xml:space="preserve">developments or greater use of the revised framework.</w:t>
      </w:r>
    </w:p>
    <w:p>
      <w:pPr>
        <w:pStyle w:val="BodyText"/>
      </w:pP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Input data</w:t>
      </w:r>
      <w:r>
        <w:t xml:space="preserve"> </w:t>
      </w:r>
      <w:r>
        <w:t xml:space="preserve">Data sources /</w:t>
      </w:r>
      <w:r>
        <w:t xml:space="preserve"> </w:t>
      </w:r>
      <w:r>
        <w:t xml:space="preserve">frequency</w:t>
      </w:r>
      <w:r>
        <w:t xml:space="preserve"> </w:t>
      </w:r>
      <w:r>
        <w:t xml:space="preserve">Specific objective:</w:t>
      </w:r>
      <w:r>
        <w:t xml:space="preserve"> </w:t>
      </w:r>
      <w:r>
        <w:t xml:space="preserve">Reduce the</w:t>
      </w:r>
      <w:r>
        <w:t xml:space="preserve"> </w:t>
      </w:r>
      <w:r>
        <w:t xml:space="preserve">complexity for</w:t>
      </w:r>
      <w:r>
        <w:t xml:space="preserve"> </w:t>
      </w:r>
      <w:r>
        <w:t xml:space="preserve">businesses of</w:t>
      </w:r>
      <w:r>
        <w:t xml:space="preserve"> </w:t>
      </w:r>
      <w:r>
        <w:t xml:space="preserve">applying the</w:t>
      </w:r>
      <w:r>
        <w:t xml:space="preserve"> </w:t>
      </w:r>
      <w:r>
        <w:t xml:space="preserve">TTBER’s market</w:t>
      </w:r>
      <w:r>
        <w:t xml:space="preserve"> </w:t>
      </w:r>
      <w:r>
        <w:t xml:space="preserve">share thresholds for</w:t>
      </w:r>
      <w:r>
        <w:t xml:space="preserve"> </w:t>
      </w:r>
      <w:r>
        <w:t xml:space="preserve">• Nature and recurrence of</w:t>
      </w:r>
      <w:r>
        <w:t xml:space="preserve"> </w:t>
      </w:r>
      <w:r>
        <w:t xml:space="preserve">problems reported by</w:t>
      </w:r>
      <w:r>
        <w:t xml:space="preserve"> </w:t>
      </w:r>
      <w:r>
        <w:t xml:space="preserve">businesses in applying the</w:t>
      </w:r>
      <w:r>
        <w:t xml:space="preserve"> </w:t>
      </w:r>
      <w:r>
        <w:t xml:space="preserve">TTBER’s market share</w:t>
      </w:r>
      <w:r>
        <w:t xml:space="preserve"> </w:t>
      </w:r>
      <w:r>
        <w:t xml:space="preserve">thresholds in technology</w:t>
      </w:r>
      <w:r>
        <w:t xml:space="preserve"> </w:t>
      </w:r>
      <w:r>
        <w:t xml:space="preserve">markets</w:t>
      </w:r>
      <w:r>
        <w:br/>
      </w:r>
      <w:r>
        <w:t xml:space="preserve">• Nature and recurrence of</w:t>
      </w:r>
      <w:r>
        <w:t xml:space="preserve"> </w:t>
      </w:r>
      <w:r>
        <w:t xml:space="preserve">clarification requests on</w:t>
      </w:r>
      <w:r>
        <w:t xml:space="preserve"> </w:t>
      </w:r>
      <w:r>
        <w:t xml:space="preserve">Qualitative stakeholder</w:t>
      </w:r>
      <w:r>
        <w:t xml:space="preserve"> </w:t>
      </w:r>
      <w:r>
        <w:t xml:space="preserve">feedback; issues raised in</w:t>
      </w:r>
      <w:r>
        <w:t xml:space="preserve"> </w:t>
      </w:r>
      <w:r>
        <w:t xml:space="preserve">ECN discussions; relevant</w:t>
      </w:r>
      <w:r>
        <w:t xml:space="preserve"> </w:t>
      </w:r>
      <w:r>
        <w:t xml:space="preserve">enforcement cases and case</w:t>
      </w:r>
      <w:r>
        <w:t xml:space="preserve"> </w:t>
      </w:r>
      <w:r>
        <w:t xml:space="preserve">law</w:t>
      </w:r>
      <w:r>
        <w:br/>
      </w:r>
      <w:r>
        <w:t xml:space="preserve">ECN Article 101</w:t>
      </w:r>
      <w:r>
        <w:t xml:space="preserve"> </w:t>
      </w:r>
      <w:r>
        <w:t xml:space="preserve">working group</w:t>
      </w:r>
      <w:r>
        <w:t xml:space="preserve"> </w:t>
      </w:r>
      <w:r>
        <w:t xml:space="preserve">(biannual) and other</w:t>
      </w:r>
      <w:r>
        <w:t xml:space="preserve"> </w:t>
      </w:r>
      <w:r>
        <w:t xml:space="preserve">ECN exchanges;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 on a</w:t>
      </w:r>
      <w:r>
        <w:t xml:space="preserve"> </w:t>
      </w:r>
      <w:r>
        <w:t xml:space="preserve">continuous basis</w:t>
      </w:r>
      <w:r>
        <w:t xml:space="preserve"> </w:t>
      </w:r>
      <w:r>
        <w:t xml:space="preserve">(conferences, bilateral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technology markets</w:t>
      </w:r>
      <w:r>
        <w:t xml:space="preserve"> </w:t>
      </w:r>
      <w:r>
        <w:t xml:space="preserve">revised rules and guidance</w:t>
      </w:r>
      <w:r>
        <w:t xml:space="preserve"> </w:t>
      </w:r>
      <w:r>
        <w:t xml:space="preserve">concerning market share</w:t>
      </w:r>
      <w:r>
        <w:t xml:space="preserve"> </w:t>
      </w:r>
      <w:r>
        <w:t xml:space="preserve">thresholds for technology</w:t>
      </w:r>
      <w:r>
        <w:t xml:space="preserve"> </w:t>
      </w:r>
      <w:r>
        <w:t xml:space="preserve">markets</w:t>
      </w:r>
      <w:r>
        <w:t xml:space="preserve"> </w:t>
      </w:r>
      <w:r>
        <w:t xml:space="preserve">meetings, clarification</w:t>
      </w:r>
      <w:r>
        <w:t xml:space="preserve"> </w:t>
      </w:r>
      <w:r>
        <w:t xml:space="preserve">requests); reality check</w:t>
      </w:r>
      <w:r>
        <w:t xml:space="preserve"> </w:t>
      </w:r>
      <w:r>
        <w:t xml:space="preserve">before next evaluation</w:t>
      </w:r>
      <w:r>
        <w:t xml:space="preserve"> </w:t>
      </w:r>
      <w:r>
        <w:t xml:space="preserve">Specific objective:</w:t>
      </w:r>
      <w:r>
        <w:t xml:space="preserve"> </w:t>
      </w:r>
      <w:r>
        <w:t xml:space="preserve">Facilitate</w:t>
      </w:r>
      <w:r>
        <w:br/>
      </w:r>
      <w:r>
        <w:t xml:space="preserve">businesses’</w:t>
      </w:r>
      <w:r>
        <w:br/>
      </w:r>
      <w:r>
        <w:t xml:space="preserve">assessment of data</w:t>
      </w:r>
      <w:r>
        <w:t xml:space="preserve"> </w:t>
      </w:r>
      <w:r>
        <w:t xml:space="preserve">licensing</w:t>
      </w:r>
      <w:r>
        <w:t xml:space="preserve"> </w:t>
      </w:r>
      <w:r>
        <w:t xml:space="preserve">agreements under</w:t>
      </w:r>
      <w:r>
        <w:t xml:space="preserve"> </w:t>
      </w:r>
      <w:r>
        <w:t xml:space="preserve">Article 101 TFEU</w:t>
      </w:r>
      <w:r>
        <w:t xml:space="preserve"> </w:t>
      </w:r>
      <w:r>
        <w:t xml:space="preserve">• Nature and recurrence of</w:t>
      </w:r>
      <w:r>
        <w:t xml:space="preserve"> </w:t>
      </w:r>
      <w:r>
        <w:t xml:space="preserve">problems reported by</w:t>
      </w:r>
      <w:r>
        <w:t xml:space="preserve"> </w:t>
      </w:r>
      <w:r>
        <w:t xml:space="preserve">businesses in assessing</w:t>
      </w:r>
      <w:r>
        <w:t xml:space="preserve"> </w:t>
      </w:r>
      <w:r>
        <w:t xml:space="preserve">their data licensing</w:t>
      </w:r>
      <w:r>
        <w:t xml:space="preserve"> </w:t>
      </w:r>
      <w:r>
        <w:t xml:space="preserve">agreements using the new</w:t>
      </w:r>
      <w:r>
        <w:t xml:space="preserve"> </w:t>
      </w:r>
      <w:r>
        <w:t xml:space="preserve">guidance</w:t>
      </w:r>
      <w:r>
        <w:t xml:space="preserve"> </w:t>
      </w:r>
      <w:r>
        <w:t xml:space="preserve">• Nature and recurrence of</w:t>
      </w:r>
      <w:r>
        <w:t xml:space="preserve"> </w:t>
      </w:r>
      <w:r>
        <w:t xml:space="preserve">clarification requests</w:t>
      </w:r>
      <w:r>
        <w:t xml:space="preserve"> </w:t>
      </w:r>
      <w:r>
        <w:t xml:space="preserve">concerning the new</w:t>
      </w:r>
      <w:r>
        <w:t xml:space="preserve"> </w:t>
      </w:r>
      <w:r>
        <w:t xml:space="preserve">guidance on data licensing</w:t>
      </w:r>
      <w:r>
        <w:t xml:space="preserve"> </w:t>
      </w:r>
      <w:r>
        <w:t xml:space="preserve">• Identification of potential</w:t>
      </w:r>
      <w:r>
        <w:t xml:space="preserve"> </w:t>
      </w:r>
      <w:r>
        <w:t xml:space="preserve">competition concerns</w:t>
      </w:r>
      <w:r>
        <w:t xml:space="preserve"> </w:t>
      </w:r>
      <w:r>
        <w:t xml:space="preserve">linked to data licensing in</w:t>
      </w:r>
      <w:r>
        <w:t xml:space="preserve"> </w:t>
      </w:r>
      <w:r>
        <w:t xml:space="preserve">enforcement practice</w:t>
      </w:r>
      <w:r>
        <w:br/>
      </w:r>
      <w:r>
        <w:t xml:space="preserve">Qualitative stakeholder</w:t>
      </w:r>
      <w:r>
        <w:t xml:space="preserve"> </w:t>
      </w:r>
      <w:r>
        <w:t xml:space="preserve">feedback; issues raised in</w:t>
      </w:r>
      <w:r>
        <w:t xml:space="preserve"> </w:t>
      </w:r>
      <w:r>
        <w:t xml:space="preserve">ECN discussions; relevant</w:t>
      </w:r>
      <w:r>
        <w:t xml:space="preserve"> </w:t>
      </w:r>
      <w:r>
        <w:t xml:space="preserve">enforcement cases and case</w:t>
      </w:r>
      <w:r>
        <w:t xml:space="preserve"> </w:t>
      </w:r>
      <w:r>
        <w:t xml:space="preserve">law; market monitoring</w:t>
      </w:r>
      <w:r>
        <w:t xml:space="preserve"> </w:t>
      </w:r>
      <w:r>
        <w:t xml:space="preserve">ECN Article 101</w:t>
      </w:r>
      <w:r>
        <w:t xml:space="preserve"> </w:t>
      </w:r>
      <w:r>
        <w:t xml:space="preserve">working group</w:t>
      </w:r>
      <w:r>
        <w:t xml:space="preserve"> </w:t>
      </w:r>
      <w:r>
        <w:t xml:space="preserve">(biannual) and other</w:t>
      </w:r>
      <w:r>
        <w:t xml:space="preserve"> </w:t>
      </w:r>
      <w:r>
        <w:t xml:space="preserve">ECN exchanges;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 on a</w:t>
      </w:r>
      <w:r>
        <w:t xml:space="preserve"> </w:t>
      </w:r>
      <w:r>
        <w:t xml:space="preserve">continuous basis</w:t>
      </w:r>
      <w:r>
        <w:t xml:space="preserve"> </w:t>
      </w:r>
      <w:r>
        <w:t xml:space="preserve">(conferences, bilateral</w:t>
      </w:r>
      <w:r>
        <w:t xml:space="preserve"> </w:t>
      </w:r>
      <w:r>
        <w:t xml:space="preserve">meetings, clarification</w:t>
      </w:r>
      <w:r>
        <w:t xml:space="preserve"> </w:t>
      </w:r>
      <w:r>
        <w:t xml:space="preserve">requests); reality check</w:t>
      </w:r>
      <w:r>
        <w:t xml:space="preserve"> </w:t>
      </w:r>
      <w:r>
        <w:t xml:space="preserve">before next evaluation</w:t>
      </w:r>
      <w:r>
        <w:t xml:space="preserve"> </w:t>
      </w:r>
      <w:r>
        <w:t xml:space="preserve">Specific objective:</w:t>
      </w:r>
      <w:r>
        <w:t xml:space="preserve"> </w:t>
      </w:r>
      <w:r>
        <w:t xml:space="preserve">Facilitate</w:t>
      </w:r>
      <w:r>
        <w:t xml:space="preserve"> </w:t>
      </w:r>
      <w:r>
        <w:t xml:space="preserve">businesses’</w:t>
      </w:r>
      <w:r>
        <w:t xml:space="preserve"> </w:t>
      </w:r>
      <w:r>
        <w:t xml:space="preserve">assessment of LNGs</w:t>
      </w:r>
      <w:r>
        <w:t xml:space="preserve"> </w:t>
      </w:r>
      <w:r>
        <w:t xml:space="preserve">under Article 101</w:t>
      </w:r>
      <w:r>
        <w:t xml:space="preserve"> </w:t>
      </w:r>
      <w:r>
        <w:t xml:space="preserve">TFEU</w:t>
      </w:r>
      <w:r>
        <w:t xml:space="preserve"> </w:t>
      </w:r>
      <w:r>
        <w:t xml:space="preserve">• Nature and recurrence of</w:t>
      </w:r>
      <w:r>
        <w:t xml:space="preserve"> </w:t>
      </w:r>
      <w:r>
        <w:t xml:space="preserve">problems reported by</w:t>
      </w:r>
      <w:r>
        <w:t xml:space="preserve"> </w:t>
      </w:r>
      <w:r>
        <w:t xml:space="preserve">businesses in applying the</w:t>
      </w:r>
      <w:r>
        <w:t xml:space="preserve"> </w:t>
      </w:r>
      <w:r>
        <w:t xml:space="preserve">new guidance on LNGs</w:t>
      </w:r>
      <w:r>
        <w:t xml:space="preserve"> </w:t>
      </w:r>
      <w:r>
        <w:t xml:space="preserve">• Nature and recurrence of</w:t>
      </w:r>
      <w:r>
        <w:t xml:space="preserve"> </w:t>
      </w:r>
      <w:r>
        <w:t xml:space="preserve">clarification requests</w:t>
      </w:r>
      <w:r>
        <w:t xml:space="preserve"> </w:t>
      </w:r>
      <w:r>
        <w:t xml:space="preserve">concerning the new</w:t>
      </w:r>
      <w:r>
        <w:t xml:space="preserve"> </w:t>
      </w:r>
      <w:r>
        <w:t xml:space="preserve">guidance on LNGs</w:t>
      </w:r>
      <w:r>
        <w:t xml:space="preserve"> </w:t>
      </w:r>
      <w:r>
        <w:t xml:space="preserve">• Identification of pro-</w:t>
      </w:r>
      <w:r>
        <w:t xml:space="preserve"> </w:t>
      </w:r>
      <w:r>
        <w:t xml:space="preserve">competitive and anti-</w:t>
      </w:r>
      <w:r>
        <w:t xml:space="preserve"> </w:t>
      </w:r>
      <w:r>
        <w:t xml:space="preserve">competitive LNGs in</w:t>
      </w:r>
      <w:r>
        <w:t xml:space="preserve"> </w:t>
      </w:r>
      <w:r>
        <w:t xml:space="preserve">enforcement experience</w:t>
      </w:r>
      <w:r>
        <w:t xml:space="preserve"> </w:t>
      </w:r>
      <w:r>
        <w:t xml:space="preserve">Qualitative stakeholder</w:t>
      </w:r>
      <w:r>
        <w:t xml:space="preserve"> </w:t>
      </w:r>
      <w:r>
        <w:t xml:space="preserve">feedback; issues raised in</w:t>
      </w:r>
      <w:r>
        <w:t xml:space="preserve"> </w:t>
      </w:r>
      <w:r>
        <w:t xml:space="preserve">ECN discussions; relevant</w:t>
      </w:r>
      <w:r>
        <w:t xml:space="preserve"> </w:t>
      </w:r>
      <w:r>
        <w:t xml:space="preserve">enforcement cases and case</w:t>
      </w:r>
      <w:r>
        <w:t xml:space="preserve"> </w:t>
      </w:r>
      <w:r>
        <w:t xml:space="preserve">law</w:t>
      </w:r>
      <w:r>
        <w:br/>
      </w:r>
      <w:r>
        <w:t xml:space="preserve">ECN Article 101</w:t>
      </w:r>
      <w:r>
        <w:t xml:space="preserve"> </w:t>
      </w:r>
      <w:r>
        <w:t xml:space="preserve">working group</w:t>
      </w:r>
      <w:r>
        <w:t xml:space="preserve"> </w:t>
      </w:r>
      <w:r>
        <w:t xml:space="preserve">(biannual) and other</w:t>
      </w:r>
      <w:r>
        <w:t xml:space="preserve"> </w:t>
      </w:r>
      <w:r>
        <w:t xml:space="preserve">ECN exchanges;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 on a</w:t>
      </w:r>
      <w:r>
        <w:t xml:space="preserve"> </w:t>
      </w:r>
      <w:r>
        <w:t xml:space="preserve">continuous basis</w:t>
      </w:r>
      <w:r>
        <w:t xml:space="preserve"> </w:t>
      </w:r>
      <w:r>
        <w:t xml:space="preserve">(conferences, bilateral</w:t>
      </w:r>
      <w:r>
        <w:t xml:space="preserve"> </w:t>
      </w:r>
      <w:r>
        <w:t xml:space="preserve">meetings, clarification</w:t>
      </w:r>
      <w:r>
        <w:t xml:space="preserve"> </w:t>
      </w:r>
      <w:r>
        <w:t xml:space="preserve">requests); reality check</w:t>
      </w:r>
      <w:r>
        <w:t xml:space="preserve"> </w:t>
      </w:r>
      <w:r>
        <w:t xml:space="preserve">before next evaluation</w:t>
      </w:r>
      <w:r>
        <w:t xml:space="preserve"> </w:t>
      </w:r>
      <w:r>
        <w:t xml:space="preserve">General objective:</w:t>
      </w:r>
      <w:r>
        <w:t xml:space="preserve"> </w:t>
      </w:r>
      <w:r>
        <w:t xml:space="preserve">Ensure adequate</w:t>
      </w:r>
      <w:r>
        <w:t xml:space="preserve"> </w:t>
      </w:r>
      <w:r>
        <w:t xml:space="preserve">legal certainty and</w:t>
      </w:r>
      <w:r>
        <w:t xml:space="preserve"> </w:t>
      </w:r>
      <w:r>
        <w:t xml:space="preserve">continued relevance</w:t>
      </w:r>
      <w:r>
        <w:t xml:space="preserve"> </w:t>
      </w:r>
      <w:r>
        <w:t xml:space="preserve">of the TTBER and</w:t>
      </w:r>
      <w:r>
        <w:t xml:space="preserve"> </w:t>
      </w:r>
      <w:r>
        <w:t xml:space="preserve">Guidelines in</w:t>
      </w:r>
      <w:r>
        <w:t xml:space="preserve"> </w:t>
      </w:r>
      <w:r>
        <w:t xml:space="preserve">evolving technology</w:t>
      </w:r>
      <w:r>
        <w:t xml:space="preserve"> </w:t>
      </w:r>
      <w:r>
        <w:t xml:space="preserve">markets</w:t>
      </w:r>
      <w:r>
        <w:br/>
      </w:r>
      <w:r>
        <w:t xml:space="preserve">• Nature and recurrence of</w:t>
      </w:r>
      <w:r>
        <w:t xml:space="preserve"> </w:t>
      </w:r>
      <w:r>
        <w:t xml:space="preserve">uncertainty reported by</w:t>
      </w:r>
      <w:r>
        <w:t xml:space="preserve"> </w:t>
      </w:r>
      <w:r>
        <w:t xml:space="preserve">businesses when assessing</w:t>
      </w:r>
      <w:r>
        <w:t xml:space="preserve"> </w:t>
      </w:r>
      <w:r>
        <w:t xml:space="preserve">their technology-related</w:t>
      </w:r>
      <w:r>
        <w:t xml:space="preserve"> </w:t>
      </w:r>
      <w:r>
        <w:t xml:space="preserve">agreements under</w:t>
      </w:r>
      <w:r>
        <w:t xml:space="preserve"> </w:t>
      </w:r>
      <w:r>
        <w:t xml:space="preserve">Article 101 TFEU, relying</w:t>
      </w:r>
      <w:r>
        <w:t xml:space="preserve"> </w:t>
      </w:r>
      <w:r>
        <w:t xml:space="preserve">on the revised TTBER and</w:t>
      </w:r>
      <w:r>
        <w:t xml:space="preserve"> </w:t>
      </w:r>
      <w:r>
        <w:t xml:space="preserve">Guidelines</w:t>
      </w:r>
      <w:r>
        <w:t xml:space="preserve"> </w:t>
      </w:r>
      <w:r>
        <w:t xml:space="preserve">• Nature and recurrence of</w:t>
      </w:r>
      <w:r>
        <w:t xml:space="preserve"> </w:t>
      </w:r>
      <w:r>
        <w:t xml:space="preserve">questions relating to new</w:t>
      </w:r>
      <w:r>
        <w:t xml:space="preserve"> </w:t>
      </w:r>
      <w:r>
        <w:t xml:space="preserve">forms of licensing or</w:t>
      </w:r>
      <w:r>
        <w:t xml:space="preserve"> </w:t>
      </w:r>
      <w:r>
        <w:t xml:space="preserve">market developments</w:t>
      </w:r>
      <w:r>
        <w:t xml:space="preserve"> </w:t>
      </w:r>
      <w:r>
        <w:t xml:space="preserve">Qualitative stakeholder</w:t>
      </w:r>
      <w:r>
        <w:t xml:space="preserve"> </w:t>
      </w:r>
      <w:r>
        <w:t xml:space="preserve">feedback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 on a</w:t>
      </w:r>
      <w:r>
        <w:t xml:space="preserve"> </w:t>
      </w:r>
      <w:r>
        <w:t xml:space="preserve">continuous basis</w:t>
      </w:r>
      <w:r>
        <w:t xml:space="preserve"> </w:t>
      </w:r>
      <w:r>
        <w:t xml:space="preserve">(conferences, bilateral</w:t>
      </w:r>
      <w:r>
        <w:t xml:space="preserve"> </w:t>
      </w:r>
      <w:r>
        <w:t xml:space="preserve">meetings, clarification</w:t>
      </w:r>
      <w:r>
        <w:t xml:space="preserve"> </w:t>
      </w:r>
      <w:r>
        <w:t xml:space="preserve">requests); reality check</w:t>
      </w:r>
      <w:r>
        <w:t xml:space="preserve"> </w:t>
      </w:r>
      <w:r>
        <w:t xml:space="preserve">before next evaluation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8.3.</w:t>
      </w:r>
      <w:r>
        <w:t xml:space="preserve"> </w:t>
      </w:r>
      <w:r>
        <w:t xml:space="preserve">Limitations and proportionality</w:t>
      </w:r>
      <w:r>
        <w:t xml:space="preserve"> </w:t>
      </w:r>
      <w:r>
        <w:t xml:space="preserve">As outlined in this report222, it is not feasible to define fully quantitative or direct impact</w:t>
      </w:r>
      <w:r>
        <w:t xml:space="preserve"> </w:t>
      </w:r>
      <w:r>
        <w:t xml:space="preserve">indicators for this initiative. The TTBER and Guidelines provide a voluntary framework for</w:t>
      </w:r>
      <w:r>
        <w:t xml:space="preserve"> </w:t>
      </w:r>
      <w:r>
        <w:t xml:space="preserve">businesses to assess the compliance of their agreements with Article 101 TFEU and do not</w:t>
      </w:r>
      <w:r>
        <w:t xml:space="preserve"> </w:t>
      </w:r>
      <w:r>
        <w:t xml:space="preserve">impose obligations, require notifications or produce data that would allow direct</w:t>
      </w:r>
      <w:r>
        <w:t xml:space="preserve"> </w:t>
      </w:r>
      <w:r>
        <w:t xml:space="preserve">measurements of businesses’ behaviour, compliance costs or market outcomes, or to attribute</w:t>
      </w:r>
      <w:r>
        <w:t xml:space="preserve"> </w:t>
      </w:r>
      <w:r>
        <w:t xml:space="preserve">them to the revised rules.</w:t>
      </w:r>
      <w:r>
        <w:t xml:space="preserve"> </w:t>
      </w:r>
      <w:r>
        <w:t xml:space="preserve">In particular, the monitoring framework cannot directly measure pro-competitive benefits or</w:t>
      </w:r>
      <w:r>
        <w:t xml:space="preserve"> </w:t>
      </w:r>
      <w:r>
        <w:t xml:space="preserve">anti-competitive harm in quantitative terms. Any effects on technology- and data licensing</w:t>
      </w:r>
      <w:r>
        <w:t xml:space="preserve"> </w:t>
      </w:r>
      <w:r>
        <w:t xml:space="preserve">depend on a wide range of factors that cannot be isolated and directly linked to this initiative.</w:t>
      </w:r>
      <w:r>
        <w:t xml:space="preserve"> </w:t>
      </w:r>
      <w:r>
        <w:t xml:space="preserve">Therefore, the monitoring relies mainly on qualitative indicators and outcome proxies drawn</w:t>
      </w:r>
      <w:r>
        <w:t xml:space="preserve"> </w:t>
      </w:r>
      <w:r>
        <w:t xml:space="preserve">from existing sources, which will also allow the Commission to identify potential</w:t>
      </w:r>
      <w:r>
        <w:t xml:space="preserve"> </w:t>
      </w:r>
      <w:r>
        <w:t xml:space="preserve">competition concerns or practices that require closer scrutiny. This approach is proportionate,</w:t>
      </w:r>
      <w:r>
        <w:t xml:space="preserve"> </w:t>
      </w:r>
      <w:r>
        <w:t xml:space="preserve">avoids additional administrative burdens and is consistent with standard practice in</w:t>
      </w:r>
      <w:r>
        <w:t xml:space="preserve"> </w:t>
      </w:r>
      <w:r>
        <w:t xml:space="preserve">competition law enforcement. Further quantitative evidence may be integrated into future</w:t>
      </w:r>
      <w:r>
        <w:t xml:space="preserve"> </w:t>
      </w:r>
      <w:r>
        <w:t xml:space="preserve">monitoring if reliable and relevant data become available over time.</w:t>
      </w:r>
    </w:p>
    <w:p>
      <w:pPr>
        <w:pStyle w:val="BodyText"/>
      </w:pPr>
      <w:r>
        <w:t xml:space="preserve">222 See in particular Section 2 above.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 AND DECIDE PLANNING REFERENCES</w:t>
      </w:r>
      <w:r>
        <w:t xml:space="preserve"> </w:t>
      </w:r>
      <w:r>
        <w:t xml:space="preserve">The Directorate-General for Competition of the European Commission (</w:t>
      </w:r>
      <w:r>
        <w:t xml:space="preserve">“DG Competition”</w:t>
      </w:r>
      <w:r>
        <w:t xml:space="preserve">)</w:t>
      </w:r>
      <w:r>
        <w:t xml:space="preserve"> </w:t>
      </w:r>
      <w:r>
        <w:t xml:space="preserve">is the lead DG for the revision of Commission Regulation (EU) No 316/2014 of 21 March</w:t>
      </w:r>
      <w:r>
        <w:t xml:space="preserve"> </w:t>
      </w:r>
      <w:r>
        <w:t xml:space="preserve">2014 on the application of Article 101(3) TFEU on the Functioning of the European Union to</w:t>
      </w:r>
      <w:r>
        <w:t xml:space="preserve"> </w:t>
      </w:r>
      <w:r>
        <w:t xml:space="preserve">categories of technology transfer agreements and the Communication from the Commission -</w:t>
      </w:r>
      <w:r>
        <w:t xml:space="preserve"> </w:t>
      </w:r>
      <w:r>
        <w:t xml:space="preserve">Guidelines on the application of Article 101 TFEU on the Functioning of the European Union</w:t>
      </w:r>
      <w:r>
        <w:t xml:space="preserve"> </w:t>
      </w:r>
      <w:r>
        <w:t xml:space="preserve">to technology transfer agreements.</w:t>
      </w:r>
      <w:r>
        <w:t xml:space="preserve"> </w:t>
      </w:r>
      <w:r>
        <w:t xml:space="preserve">The review was registered in Decide Planning with the references PLAN/2024/2700 and</w:t>
      </w:r>
      <w:r>
        <w:t xml:space="preserve"> </w:t>
      </w:r>
      <w:r>
        <w:t xml:space="preserve">PLAN/2024/2701.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phase was launched in January 2025, following the publication of the</w:t>
      </w:r>
      <w:r>
        <w:t xml:space="preserve"> </w:t>
      </w:r>
      <w:r>
        <w:t xml:space="preserve">Evaluation Report, which summarised the results of the evaluation of the TTBER and</w:t>
      </w:r>
      <w:r>
        <w:t xml:space="preserve"> </w:t>
      </w:r>
      <w:r>
        <w:t xml:space="preserve">Guidelines. The impact assessment was carried out in cooperation with other interested</w:t>
      </w:r>
      <w:r>
        <w:t xml:space="preserve"> </w:t>
      </w:r>
      <w:r>
        <w:t xml:space="preserve">Commission services. The inter-service steering group (</w:t>
      </w:r>
      <w:r>
        <w:t xml:space="preserve">“ISG”</w:t>
      </w:r>
      <w:r>
        <w:t xml:space="preserve">) set up for that purpose</w:t>
      </w:r>
      <w:r>
        <w:t xml:space="preserve"> </w:t>
      </w:r>
      <w:r>
        <w:t xml:space="preserve">comprised representatives of Directorates-General AGRI, CLIMA, CNECT, DEFIS, ECFIN,</w:t>
      </w:r>
      <w:r>
        <w:t xml:space="preserve"> </w:t>
      </w:r>
      <w:r>
        <w:t xml:space="preserve">ENER, ENV, FISMA, GROW, JUST, MOVE, RTD, SANTE, TRADE and the Secretariat-</w:t>
      </w:r>
      <w:r>
        <w:t xml:space="preserve"> </w:t>
      </w:r>
      <w:r>
        <w:t xml:space="preserve">General and Legal Service.</w:t>
      </w:r>
      <w:r>
        <w:br/>
      </w:r>
      <w:r>
        <w:t xml:space="preserve">The impact assessment of the TTBER and Guidelines was also carried out in cooperation</w:t>
      </w:r>
      <w:r>
        <w:t xml:space="preserve"> </w:t>
      </w:r>
      <w:r>
        <w:t xml:space="preserve">with the National Competition Authorities (</w:t>
      </w:r>
      <w:r>
        <w:t xml:space="preserve">“NCAs”</w:t>
      </w:r>
      <w:r>
        <w:t xml:space="preserve">), which were consulted on the policy</w:t>
      </w:r>
      <w:r>
        <w:t xml:space="preserve"> </w:t>
      </w:r>
      <w:r>
        <w:t xml:space="preserve">options and on the draft revised rules. The milestones of the impact assessment phase are</w:t>
      </w:r>
      <w:r>
        <w:t xml:space="preserve"> </w:t>
      </w:r>
      <w:r>
        <w:t xml:space="preserve">shown in the following table.</w:t>
      </w:r>
      <w:r>
        <w:t xml:space="preserve"> </w:t>
      </w:r>
      <w:r>
        <w:t xml:space="preserve">IMPACT ASSESSMENT PHASE</w:t>
      </w:r>
      <w:r>
        <w:t xml:space="preserve"> </w:t>
      </w:r>
      <w:r>
        <w:t xml:space="preserve">22 December 2024</w:t>
      </w:r>
      <w:r>
        <w:t xml:space="preserve"> </w:t>
      </w:r>
      <w:r>
        <w:t xml:space="preserve">Launch of the Planning entries</w:t>
      </w:r>
      <w:r>
        <w:t xml:space="preserve"> </w:t>
      </w:r>
      <w:r>
        <w:t xml:space="preserve">15 January 2025</w:t>
      </w:r>
    </w:p>
    <w:bookmarkEnd w:id="9"/>
    <w:bookmarkStart w:id="10" w:name="X3506aec779f611699e10b8a745ecef03b6700ac"/>
    <w:p>
      <w:pPr>
        <w:pStyle w:val="Heading2"/>
      </w:pPr>
      <w:r>
        <w:t xml:space="preserve">1st ISSG Meeting with the following agenda item:</w:t>
      </w:r>
    </w:p>
    <w:p>
      <w:pPr>
        <w:pStyle w:val="FirstParagraph"/>
      </w:pPr>
      <w:r>
        <w:t xml:space="preserve">Discussion of Call for Evidence and draft questionnaire</w:t>
      </w:r>
      <w:r>
        <w:t xml:space="preserve"> </w:t>
      </w:r>
      <w:r>
        <w:t xml:space="preserve">30 January 2025</w:t>
      </w:r>
      <w:r>
        <w:t xml:space="preserve"> </w:t>
      </w:r>
      <w:r>
        <w:t xml:space="preserve">Publication of Call for Evidence and online questionnaire (12-week</w:t>
      </w:r>
      <w:r>
        <w:t xml:space="preserve"> </w:t>
      </w:r>
      <w:r>
        <w:t xml:space="preserve">comments period)</w:t>
      </w:r>
      <w:r>
        <w:t xml:space="preserve"> </w:t>
      </w:r>
      <w:r>
        <w:t xml:space="preserve">19 June 2025</w:t>
      </w:r>
      <w:r>
        <w:br/>
      </w:r>
      <w:r>
        <w:t xml:space="preserve">2nd ISSG Meeting with the following agenda items:</w:t>
      </w:r>
      <w:r>
        <w:br/>
      </w:r>
      <w:r>
        <w:t xml:space="preserve">-</w:t>
      </w:r>
      <w:r>
        <w:t xml:space="preserve"> </w:t>
      </w:r>
      <w:r>
        <w:t xml:space="preserve">discussion of results of public consultation</w:t>
      </w:r>
      <w:r>
        <w:br/>
      </w:r>
      <w:r>
        <w:t xml:space="preserve">-</w:t>
      </w:r>
      <w:r>
        <w:t xml:space="preserve"> </w:t>
      </w:r>
      <w:r>
        <w:t xml:space="preserve">consultation on draft revised TTBER + Guidelines</w:t>
      </w:r>
      <w:r>
        <w:t xml:space="preserve"> </w:t>
      </w:r>
      <w:r>
        <w:t xml:space="preserve">30 June 2025</w:t>
      </w:r>
      <w:r>
        <w:t xml:space="preserve"> </w:t>
      </w:r>
      <w:r>
        <w:t xml:space="preserve">Launch of ISC on draft revised TTBER and Guidelines</w:t>
      </w:r>
    </w:p>
    <w:p>
      <w:pPr>
        <w:pStyle w:val="BodyText"/>
      </w:pPr>
      <w:r>
        <w:t xml:space="preserve">2 July 2025</w:t>
      </w:r>
      <w:r>
        <w:t xml:space="preserve"> </w:t>
      </w:r>
      <w:r>
        <w:t xml:space="preserve">Upstream meeting with RSB</w:t>
      </w:r>
      <w:r>
        <w:t xml:space="preserve"> </w:t>
      </w:r>
      <w:r>
        <w:t xml:space="preserve">2 September 2025</w:t>
      </w:r>
      <w:r>
        <w:t xml:space="preserve"> </w:t>
      </w:r>
      <w:r>
        <w:t xml:space="preserve">1st Advisory Committee on the draft revised texts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11 September 2025</w:t>
      </w:r>
      <w:r>
        <w:t xml:space="preserve"> </w:t>
      </w:r>
      <w:r>
        <w:t xml:space="preserve">Publication of draft revised texts (6-week comment period)</w:t>
      </w:r>
      <w:r>
        <w:t xml:space="preserve"> </w:t>
      </w:r>
      <w:r>
        <w:t xml:space="preserve">Publication of the summary of the questionnaire</w:t>
      </w:r>
      <w:r>
        <w:t xml:space="preserve"> </w:t>
      </w:r>
      <w:r>
        <w:t xml:space="preserve">Publication of the Expert report on Data Licensing</w:t>
      </w:r>
      <w:r>
        <w:t xml:space="preserve"> </w:t>
      </w:r>
      <w:r>
        <w:t xml:space="preserve">3 December 2025</w:t>
      </w:r>
      <w:r>
        <w:br/>
      </w:r>
      <w:r>
        <w:t xml:space="preserve">3rd ISSG Meeting with the following agenda items:</w:t>
      </w:r>
      <w:r>
        <w:br/>
      </w:r>
      <w:r>
        <w:t xml:space="preserve">-</w:t>
      </w:r>
      <w:r>
        <w:t xml:space="preserve"> </w:t>
      </w:r>
      <w:r>
        <w:t xml:space="preserve">summary of the public consultation on the draft revised texts</w:t>
      </w:r>
      <w:r>
        <w:t xml:space="preserve"> </w:t>
      </w:r>
      <w:r>
        <w:t xml:space="preserve">-</w:t>
      </w:r>
      <w:r>
        <w:t xml:space="preserve"> </w:t>
      </w:r>
      <w:r>
        <w:t xml:space="preserve">draft IA report</w:t>
      </w:r>
      <w:r>
        <w:t xml:space="preserve"> </w:t>
      </w:r>
      <w:r>
        <w:t xml:space="preserve">14 January 2026</w:t>
      </w:r>
      <w:r>
        <w:br/>
      </w:r>
      <w:r>
        <w:t xml:space="preserve">RSB Meeting</w:t>
      </w:r>
    </w:p>
    <w:p>
      <w:pPr>
        <w:pStyle w:val="BodyText"/>
      </w:pPr>
      <w:r>
        <w:t xml:space="preserve">16 January 2026</w:t>
      </w:r>
      <w:r>
        <w:t xml:space="preserve"> </w:t>
      </w:r>
      <w:r>
        <w:t xml:space="preserve">Opinion of the RSB</w:t>
      </w:r>
      <w:r>
        <w:t xml:space="preserve"> </w:t>
      </w:r>
      <w:r>
        <w:t xml:space="preserve">5 February 2026</w:t>
      </w:r>
      <w:r>
        <w:t xml:space="preserve"> </w:t>
      </w:r>
      <w:r>
        <w:t xml:space="preserve">4th ISSG Meeting with the following agenda items:</w:t>
      </w:r>
      <w:r>
        <w:t xml:space="preserve"> </w:t>
      </w:r>
      <w:r>
        <w:t xml:space="preserve">-</w:t>
      </w:r>
      <w:r>
        <w:t xml:space="preserve"> </w:t>
      </w:r>
      <w:r>
        <w:t xml:space="preserve">Result of the RSB Meeting</w:t>
      </w:r>
      <w:r>
        <w:t xml:space="preserve"> </w:t>
      </w:r>
      <w:r>
        <w:t xml:space="preserve">-</w:t>
      </w:r>
      <w:r>
        <w:t xml:space="preserve"> </w:t>
      </w:r>
      <w:r>
        <w:t xml:space="preserve">Presentation of drafts of the revised rules and draft updated IAR</w:t>
      </w:r>
      <w:r>
        <w:t xml:space="preserve"> </w:t>
      </w:r>
      <w:r>
        <w:t xml:space="preserve">19 March 2026</w:t>
      </w:r>
      <w:r>
        <w:t xml:space="preserve"> </w:t>
      </w:r>
      <w:r>
        <w:t xml:space="preserve">2nd Advisory Committee on the draft final revised texts</w:t>
      </w:r>
    </w:p>
    <w:p>
      <w:pPr>
        <w:pStyle w:val="Compact"/>
        <w:numPr>
          <w:ilvl w:val="0"/>
          <w:numId w:val="1002"/>
        </w:numPr>
      </w:pPr>
      <w:r>
        <w:t xml:space="preserve">CONSULTATION OF THE RSB</w:t>
      </w:r>
      <w:r>
        <w:t xml:space="preserve"> </w:t>
      </w:r>
      <w:r>
        <w:t xml:space="preserve">An upstream meeting with the RSB took place on 2 July 2025 to discuss DG Competition’s</w:t>
      </w:r>
      <w:r>
        <w:t xml:space="preserve"> </w:t>
      </w:r>
      <w:r>
        <w:t xml:space="preserve">Impact Assessment report for the revised TTBER and Guidelines. In this respect, the RSB</w:t>
      </w:r>
      <w:r>
        <w:t xml:space="preserve"> </w:t>
      </w:r>
      <w:r>
        <w:t xml:space="preserve">members emphasised the need for a clear description of the problems to be addressed through</w:t>
      </w:r>
      <w:r>
        <w:t xml:space="preserve"> </w:t>
      </w:r>
      <w:r>
        <w:t xml:space="preserve">the intervention and the need for evidence and quantitative data for support to the extent</w:t>
      </w:r>
      <w:r>
        <w:t xml:space="preserve"> </w:t>
      </w:r>
      <w:r>
        <w:t xml:space="preserve">possible. Also, the impact of technological as well as market developments were signalled as</w:t>
      </w:r>
      <w:r>
        <w:t xml:space="preserve"> </w:t>
      </w:r>
      <w:r>
        <w:t xml:space="preserve">important elements to analyse. DG Competition highlighted the limited quantitative evidence</w:t>
      </w:r>
      <w:r>
        <w:t xml:space="preserve"> </w:t>
      </w:r>
      <w:r>
        <w:t xml:space="preserve">that it had been able to gather on the performance of the TTBER, in particular on the</w:t>
      </w:r>
      <w:r>
        <w:t xml:space="preserve"> </w:t>
      </w:r>
      <w:r>
        <w:t xml:space="preserve">potential compliance assessment cost savings and the potential positive impacts of the rules</w:t>
      </w:r>
      <w:r>
        <w:t xml:space="preserve"> </w:t>
      </w:r>
      <w:r>
        <w:t xml:space="preserve">in terms of increased dissemination of technology.</w:t>
      </w:r>
      <w:r>
        <w:t xml:space="preserve"> </w:t>
      </w:r>
      <w:r>
        <w:t xml:space="preserve">The meeting of the Regulatory Scrutiny Board (RSB) took place on 14 January 2026. The</w:t>
      </w:r>
      <w:r>
        <w:t xml:space="preserve"> </w:t>
      </w:r>
      <w:r>
        <w:t xml:space="preserve">outcome was a positive opinion with reservations, issued on 16 January 2026. The following</w:t>
      </w:r>
      <w:r>
        <w:t xml:space="preserve"> </w:t>
      </w:r>
      <w:r>
        <w:t xml:space="preserve">table provides information on how the comments made by the RSB were addressed in this</w:t>
      </w:r>
      <w:r>
        <w:t xml:space="preserve"> </w:t>
      </w:r>
      <w:r>
        <w:t xml:space="preserve">Impact Assessment report:</w:t>
      </w:r>
      <w:r>
        <w:t xml:space="preserve"> </w:t>
      </w:r>
      <w:r>
        <w:t xml:space="preserve">RSB comments</w:t>
      </w:r>
      <w:r>
        <w:br/>
      </w:r>
      <w:r>
        <w:t xml:space="preserve">Action taken</w:t>
      </w:r>
    </w:p>
    <w:p>
      <w:pPr>
        <w:pStyle w:val="Compact"/>
        <w:numPr>
          <w:ilvl w:val="0"/>
          <w:numId w:val="1003"/>
        </w:numPr>
      </w:pPr>
      <w:r>
        <w:t xml:space="preserve">The report should assess the scale of</w:t>
      </w:r>
      <w:r>
        <w:t xml:space="preserve"> </w:t>
      </w:r>
      <w:r>
        <w:t xml:space="preserve">the</w:t>
      </w:r>
      <w:r>
        <w:t xml:space="preserve"> </w:t>
      </w:r>
      <w:r>
        <w:t xml:space="preserve">problems</w:t>
      </w:r>
      <w:r>
        <w:t xml:space="preserve"> </w:t>
      </w:r>
      <w:r>
        <w:t xml:space="preserve">identified.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analyse, as far as possible, the economic</w:t>
      </w:r>
      <w:r>
        <w:t xml:space="preserve"> </w:t>
      </w:r>
      <w:r>
        <w:t xml:space="preserve">losses resulting from the alleged legal</w:t>
      </w:r>
      <w:r>
        <w:t xml:space="preserve"> </w:t>
      </w:r>
      <w:r>
        <w:t xml:space="preserve">uncertainty; including the estimated</w:t>
      </w:r>
      <w:r>
        <w:t xml:space="preserve"> </w:t>
      </w:r>
      <w:r>
        <w:t xml:space="preserve">number and size of agreements that may</w:t>
      </w:r>
      <w:r>
        <w:t xml:space="preserve"> </w:t>
      </w:r>
      <w:r>
        <w:t xml:space="preserve">currently</w:t>
      </w:r>
      <w:r>
        <w:t xml:space="preserve"> </w:t>
      </w:r>
      <w:r>
        <w:t xml:space="preserve">be</w:t>
      </w:r>
      <w:r>
        <w:t xml:space="preserve"> </w:t>
      </w:r>
      <w:r>
        <w:t xml:space="preserve">inhibited</w:t>
      </w:r>
      <w:r>
        <w:t xml:space="preserve"> </w:t>
      </w:r>
      <w:r>
        <w:t xml:space="preserve">by</w:t>
      </w:r>
      <w:r>
        <w:t xml:space="preserve"> </w:t>
      </w:r>
      <w:r>
        <w:t xml:space="preserve">existing</w:t>
      </w:r>
      <w:r>
        <w:t xml:space="preserve"> </w:t>
      </w:r>
      <w:r>
        <w:t xml:space="preserve">uncertainty. Beyond opinion data this</w:t>
      </w:r>
      <w:r>
        <w:t xml:space="preserve"> </w:t>
      </w:r>
      <w:r>
        <w:t xml:space="preserve">should be based, to the extent possible,</w:t>
      </w:r>
      <w:r>
        <w:t xml:space="preserve"> </w:t>
      </w:r>
      <w:r>
        <w:t xml:space="preserve">on observational data. The impact</w:t>
      </w:r>
      <w:r>
        <w:t xml:space="preserve"> </w:t>
      </w:r>
      <w:r>
        <w:t xml:space="preserve">The report has been revised to clarify the</w:t>
      </w:r>
      <w:r>
        <w:t xml:space="preserve"> </w:t>
      </w:r>
      <w:r>
        <w:t xml:space="preserve">limitations in precisely quantifying the number</w:t>
      </w:r>
      <w:r>
        <w:t xml:space="preserve"> </w:t>
      </w:r>
      <w:r>
        <w:t xml:space="preserve">and value of agreements affected by the</w:t>
      </w:r>
      <w:r>
        <w:t xml:space="preserve"> </w:t>
      </w:r>
      <w:r>
        <w:t xml:space="preserve">identified problems. Where empirical data allow</w:t>
      </w:r>
      <w:r>
        <w:t xml:space="preserve"> </w:t>
      </w:r>
      <w:r>
        <w:t xml:space="preserve">for extrapolation, the report now provides</w:t>
      </w:r>
      <w:r>
        <w:t xml:space="preserve"> </w:t>
      </w:r>
      <w:r>
        <w:t xml:space="preserve">estimates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population</w:t>
      </w:r>
      <w:r>
        <w:t xml:space="preserve"> </w:t>
      </w:r>
      <w:r>
        <w:t xml:space="preserve">of</w:t>
      </w:r>
      <w:r>
        <w:t xml:space="preserve"> </w:t>
      </w:r>
      <w:r>
        <w:t xml:space="preserve">affected</w:t>
      </w:r>
      <w:r>
        <w:t xml:space="preserve"> </w:t>
      </w:r>
      <w:r>
        <w:t xml:space="preserve">agreements (sections 2.3, 6.1, 6.2 and 6.3). In</w:t>
      </w:r>
      <w:r>
        <w:t xml:space="preserve"> </w:t>
      </w:r>
      <w:r>
        <w:t xml:space="preserve">addition, it has been expanded to include</w:t>
      </w:r>
      <w:r>
        <w:t xml:space="preserve"> </w:t>
      </w:r>
      <w:r>
        <w:t xml:space="preserve">empirical indications of the value of certain</w:t>
      </w:r>
      <w:r>
        <w:t xml:space="preserve"> </w:t>
      </w:r>
      <w:r>
        <w:t xml:space="preserve">segments of licensing markets and of licensing</w:t>
      </w:r>
    </w:p>
    <w:p>
      <w:pPr>
        <w:pStyle w:val="FirstParagraph"/>
      </w:pPr>
      <w:r>
        <w:t xml:space="preserve">63</w:t>
      </w:r>
      <w:r>
        <w:t xml:space="preserve"> </w:t>
      </w:r>
      <w:r>
        <w:t xml:space="preserve">assessment should be based on the</w:t>
      </w:r>
      <w:r>
        <w:t xml:space="preserve"> </w:t>
      </w:r>
      <w:r>
        <w:t xml:space="preserve">evidence</w:t>
      </w:r>
      <w:r>
        <w:t xml:space="preserve"> </w:t>
      </w:r>
      <w:r>
        <w:t xml:space="preserve">available,</w:t>
      </w:r>
      <w:r>
        <w:t xml:space="preserve"> </w:t>
      </w:r>
      <w:r>
        <w:t xml:space="preserve">while</w:t>
      </w:r>
      <w:r>
        <w:t xml:space="preserve"> </w:t>
      </w:r>
      <w:r>
        <w:t xml:space="preserve">clearly</w:t>
      </w:r>
      <w:r>
        <w:t xml:space="preserve"> </w:t>
      </w:r>
      <w:r>
        <w:t xml:space="preserve">presenting</w:t>
      </w:r>
      <w:r>
        <w:t xml:space="preserve"> </w:t>
      </w:r>
      <w:r>
        <w:t xml:space="preserve">the</w:t>
      </w:r>
      <w:r>
        <w:t xml:space="preserve"> </w:t>
      </w:r>
      <w:r>
        <w:t xml:space="preserve">limitations</w:t>
      </w:r>
      <w:r>
        <w:t xml:space="preserve"> </w:t>
      </w:r>
      <w:r>
        <w:t xml:space="preserve">in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 and robustness.</w:t>
      </w:r>
      <w:r>
        <w:t xml:space="preserve"> </w:t>
      </w:r>
      <w:r>
        <w:t xml:space="preserve">activity per firm (section 1.1). Based on these</w:t>
      </w:r>
      <w:r>
        <w:t xml:space="preserve"> </w:t>
      </w:r>
      <w:r>
        <w:t xml:space="preserve">estimates, the report has also been revised to</w:t>
      </w:r>
      <w:r>
        <w:t xml:space="preserve"> </w:t>
      </w:r>
      <w:r>
        <w:t xml:space="preserve">provide a quantitative indication of the main</w:t>
      </w:r>
      <w:r>
        <w:t xml:space="preserve"> </w:t>
      </w:r>
      <w:r>
        <w:t xml:space="preserve">types of costs (i.e. self-assessment costs)</w:t>
      </w:r>
      <w:r>
        <w:t xml:space="preserve"> </w:t>
      </w:r>
      <w:r>
        <w:t xml:space="preserve">stemming from the lack of legal certainty in the</w:t>
      </w:r>
      <w:r>
        <w:t xml:space="preserve"> </w:t>
      </w:r>
      <w:r>
        <w:t xml:space="preserve">areas identified (section 2.3). The report also</w:t>
      </w:r>
      <w:r>
        <w:t xml:space="preserve"> </w:t>
      </w:r>
      <w:r>
        <w:t xml:space="preserve">explains how a low level of legal certainty affects</w:t>
      </w:r>
      <w:r>
        <w:t xml:space="preserve"> </w:t>
      </w:r>
      <w:r>
        <w:t xml:space="preserve">economic decisions and, in certain areas, the</w:t>
      </w:r>
      <w:r>
        <w:t xml:space="preserve"> </w:t>
      </w:r>
      <w:r>
        <w:t xml:space="preserve">emergence of efficiency-enhancing agreements</w:t>
      </w:r>
      <w:r>
        <w:t xml:space="preserve"> </w:t>
      </w:r>
      <w:r>
        <w:t xml:space="preserve">(section 2.3).</w:t>
      </w:r>
      <w:r>
        <w:t xml:space="preserve"> </w:t>
      </w:r>
      <w:r>
        <w:t xml:space="preserve">(2) The intervention logic should clearly</w:t>
      </w:r>
      <w:r>
        <w:t xml:space="preserve"> </w:t>
      </w:r>
      <w:r>
        <w:t xml:space="preserve">distinguish between problems identified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underlying</w:t>
      </w:r>
      <w:r>
        <w:t xml:space="preserve"> </w:t>
      </w:r>
      <w:r>
        <w:t xml:space="preserve">root</w:t>
      </w:r>
      <w:r>
        <w:t xml:space="preserve"> </w:t>
      </w:r>
      <w:r>
        <w:t xml:space="preserve">causes</w:t>
      </w:r>
      <w:r>
        <w:t xml:space="preserve"> </w:t>
      </w:r>
      <w:r>
        <w:t xml:space="preserve">(problem drivers). The report should</w:t>
      </w:r>
      <w:r>
        <w:t xml:space="preserve"> </w:t>
      </w:r>
      <w:r>
        <w:t xml:space="preserve">refine the intervention logic based on the</w:t>
      </w:r>
      <w:r>
        <w:t xml:space="preserve"> </w:t>
      </w:r>
      <w:r>
        <w:t xml:space="preserve">improved analysis of the problems and</w:t>
      </w:r>
      <w:r>
        <w:t xml:space="preserve"> </w:t>
      </w:r>
      <w:r>
        <w:t xml:space="preserve">drivers.</w:t>
      </w:r>
      <w:r>
        <w:t xml:space="preserve"> </w:t>
      </w:r>
      <w:r>
        <w:t xml:space="preserve">The report has been revised to refine the</w:t>
      </w:r>
      <w:r>
        <w:t xml:space="preserve"> </w:t>
      </w:r>
      <w:r>
        <w:t xml:space="preserve">intervention logic. It clarifies the distinction</w:t>
      </w:r>
      <w:r>
        <w:t xml:space="preserve"> </w:t>
      </w:r>
      <w:r>
        <w:t xml:space="preserve">between problems and problem drivers and</w:t>
      </w:r>
      <w:r>
        <w:t xml:space="preserve"> </w:t>
      </w:r>
      <w:r>
        <w:t xml:space="preserve">reframes the specific objectives of the initiative</w:t>
      </w:r>
      <w:r>
        <w:t xml:space="preserve"> </w:t>
      </w:r>
      <w:r>
        <w:t xml:space="preserve">(sections 2.1, 2.4 and 4.2). The problem drivers</w:t>
      </w:r>
      <w:r>
        <w:t xml:space="preserve"> </w:t>
      </w:r>
      <w:r>
        <w:t xml:space="preserve">are also now further substantiated with additional</w:t>
      </w:r>
      <w:r>
        <w:t xml:space="preserve"> </w:t>
      </w:r>
      <w:r>
        <w:t xml:space="preserve">quantitative and qualitative evidence, including</w:t>
      </w:r>
      <w:r>
        <w:t xml:space="preserve"> </w:t>
      </w:r>
      <w:r>
        <w:t xml:space="preserve">recent trends in data licensing, as well as the</w:t>
      </w:r>
      <w:r>
        <w:t xml:space="preserve"> </w:t>
      </w:r>
      <w:r>
        <w:t xml:space="preserve">growing importance of technology standards and</w:t>
      </w:r>
      <w:r>
        <w:t xml:space="preserve"> </w:t>
      </w:r>
      <w:r>
        <w:t xml:space="preserve">licensing of standard-essential technology via</w:t>
      </w:r>
      <w:r>
        <w:t xml:space="preserve"> </w:t>
      </w:r>
      <w:r>
        <w:t xml:space="preserve">pools and platforms (section 2.4).</w:t>
      </w:r>
      <w:r>
        <w:t xml:space="preserve"> </w:t>
      </w:r>
      <w:r>
        <w:t xml:space="preserve">(3) The impact</w:t>
      </w:r>
      <w:r>
        <w:t xml:space="preserve"> </w:t>
      </w:r>
      <w:r>
        <w:t xml:space="preserve">assessment should</w:t>
      </w:r>
      <w:r>
        <w:t xml:space="preserve"> </w:t>
      </w:r>
      <w:r>
        <w:t xml:space="preserve">explain the evidence base for concluding</w:t>
      </w:r>
      <w:r>
        <w:t xml:space="preserve"> </w:t>
      </w:r>
      <w:r>
        <w:t xml:space="preserve">that the measures contained in the</w:t>
      </w:r>
      <w:r>
        <w:t xml:space="preserve"> </w:t>
      </w:r>
      <w:r>
        <w:t xml:space="preserve">preferred policy options address the</w:t>
      </w:r>
      <w:r>
        <w:t xml:space="preserve"> </w:t>
      </w:r>
      <w:r>
        <w:t xml:space="preserve">problems identified. For example, why</w:t>
      </w:r>
      <w:r>
        <w:t xml:space="preserve"> </w:t>
      </w:r>
      <w:r>
        <w:t xml:space="preserve">extending the grace period by one year</w:t>
      </w:r>
      <w:r>
        <w:t xml:space="preserve"> </w:t>
      </w:r>
      <w:r>
        <w:t xml:space="preserve">for early licensing is deemed to be</w:t>
      </w:r>
      <w:r>
        <w:t xml:space="preserve"> </w:t>
      </w:r>
      <w:r>
        <w:t xml:space="preserve">effective at addressing the identified</w:t>
      </w:r>
      <w:r>
        <w:t xml:space="preserve"> </w:t>
      </w:r>
      <w:r>
        <w:t xml:space="preserve">issues, and to what extent it is also</w:t>
      </w:r>
      <w:r>
        <w:t xml:space="preserve"> </w:t>
      </w:r>
      <w:r>
        <w:t xml:space="preserve">effective in key sectors having fast-paced</w:t>
      </w:r>
      <w:r>
        <w:t xml:space="preserve"> </w:t>
      </w:r>
      <w:r>
        <w:t xml:space="preserve">innovation cycles. The option regarding</w:t>
      </w:r>
      <w:r>
        <w:t xml:space="preserve"> </w:t>
      </w:r>
      <w:r>
        <w:t xml:space="preserve">data licensing should more specifically</w:t>
      </w:r>
      <w:r>
        <w:t xml:space="preserve"> </w:t>
      </w:r>
      <w:r>
        <w:t xml:space="preserve">describe the content of the guidance</w:t>
      </w:r>
      <w:r>
        <w:t xml:space="preserve"> </w:t>
      </w:r>
      <w:r>
        <w:t xml:space="preserve">foreseen,</w:t>
      </w:r>
      <w:r>
        <w:t xml:space="preserve"> </w:t>
      </w:r>
      <w:r>
        <w:t xml:space="preserve">including</w:t>
      </w:r>
      <w:r>
        <w:t xml:space="preserve"> </w:t>
      </w:r>
      <w:r>
        <w:t xml:space="preserve">what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practices might be facilitated. Similarly,</w:t>
      </w:r>
      <w:r>
        <w:t xml:space="preserve"> </w:t>
      </w:r>
      <w:r>
        <w:t xml:space="preserve">the options on licensing negotiations</w:t>
      </w:r>
      <w:r>
        <w:t xml:space="preserve"> </w:t>
      </w:r>
      <w:r>
        <w:t xml:space="preserve">groups should more clearly specify how</w:t>
      </w:r>
      <w:r>
        <w:t xml:space="preserve"> </w:t>
      </w:r>
      <w:r>
        <w:t xml:space="preserve">the guidance is intended to clarify which</w:t>
      </w:r>
      <w:r>
        <w:t xml:space="preserve"> </w:t>
      </w:r>
      <w:r>
        <w:t xml:space="preserve">types of agreements and practices are</w:t>
      </w:r>
      <w:r>
        <w:t xml:space="preserve"> </w:t>
      </w:r>
      <w:r>
        <w:t xml:space="preserve">admissible or not clearly admissible</w:t>
      </w:r>
      <w:r>
        <w:t xml:space="preserve"> </w:t>
      </w:r>
      <w:r>
        <w:t xml:space="preserve">according to the guidance.</w:t>
      </w:r>
      <w:r>
        <w:t xml:space="preserve"> </w:t>
      </w:r>
      <w:r>
        <w:t xml:space="preserve">The report has been revised to explain the</w:t>
      </w:r>
      <w:r>
        <w:t xml:space="preserve"> </w:t>
      </w:r>
      <w:r>
        <w:t xml:space="preserve">evidence base supporting the identification of the</w:t>
      </w:r>
      <w:r>
        <w:t xml:space="preserve"> </w:t>
      </w:r>
      <w:r>
        <w:t xml:space="preserve">policy options and the choice of the preferred</w:t>
      </w:r>
      <w:r>
        <w:t xml:space="preserve"> </w:t>
      </w:r>
      <w:r>
        <w:t xml:space="preserve">option (sections 5.2 and 7). This includes the</w:t>
      </w:r>
      <w:r>
        <w:t xml:space="preserve"> </w:t>
      </w:r>
      <w:r>
        <w:t xml:space="preserve">results of the evaluation support study, feedback</w:t>
      </w:r>
      <w:r>
        <w:t xml:space="preserve"> </w:t>
      </w:r>
      <w:r>
        <w:t xml:space="preserve">from stakeholders during the impact assessment</w:t>
      </w:r>
      <w:r>
        <w:t xml:space="preserve"> </w:t>
      </w:r>
      <w:r>
        <w:t xml:space="preserve">phase, empirical studies on technology markets,</w:t>
      </w:r>
      <w:r>
        <w:t xml:space="preserve"> </w:t>
      </w:r>
      <w:r>
        <w:t xml:space="preserve">and the Commission’s enforcement experience.</w:t>
      </w:r>
      <w:r>
        <w:t xml:space="preserve"> </w:t>
      </w:r>
      <w:r>
        <w:t xml:space="preserve">Regarding the grace period, the report now</w:t>
      </w:r>
      <w:r>
        <w:t xml:space="preserve"> </w:t>
      </w:r>
      <w:r>
        <w:t xml:space="preserve">explains how this provision simplifies self-</w:t>
      </w:r>
      <w:r>
        <w:t xml:space="preserve"> </w:t>
      </w:r>
      <w:r>
        <w:t xml:space="preserve">assessment, as supported by the evidence base</w:t>
      </w:r>
      <w:r>
        <w:t xml:space="preserve"> </w:t>
      </w:r>
      <w:r>
        <w:t xml:space="preserve">outlined above, for example in situations</w:t>
      </w:r>
      <w:r>
        <w:t xml:space="preserve"> </w:t>
      </w:r>
      <w:r>
        <w:t xml:space="preserve">involving fluctuations in market shares, while at</w:t>
      </w:r>
      <w:r>
        <w:t xml:space="preserve"> </w:t>
      </w:r>
      <w:r>
        <w:t xml:space="preserve">the same time emphasising the temporary nature</w:t>
      </w:r>
      <w:r>
        <w:t xml:space="preserve"> </w:t>
      </w:r>
      <w:r>
        <w:t xml:space="preserve">of this simplification (sections 5.2.1 and 6.1.1).</w:t>
      </w:r>
      <w:r>
        <w:t xml:space="preserve"> </w:t>
      </w:r>
      <w:r>
        <w:t xml:space="preserve">With respect to data licensing and licensing</w:t>
      </w:r>
      <w:r>
        <w:t xml:space="preserve"> </w:t>
      </w:r>
      <w:r>
        <w:t xml:space="preserve">negotiation groups, the report has been expanded</w:t>
      </w:r>
      <w:r>
        <w:t xml:space="preserve"> </w:t>
      </w:r>
      <w:r>
        <w:t xml:space="preserve">to clarify the content of the envisaged guidance,</w:t>
      </w:r>
      <w:r>
        <w:t xml:space="preserve"> </w:t>
      </w:r>
      <w:r>
        <w:t xml:space="preserve">including the competitive risks associated with</w:t>
      </w:r>
      <w:r>
        <w:t xml:space="preserve"> </w:t>
      </w:r>
      <w:r>
        <w:t xml:space="preserve">certain agreements, the types of agreements or</w:t>
      </w:r>
      <w:r>
        <w:t xml:space="preserve"> </w:t>
      </w:r>
      <w:r>
        <w:t xml:space="preserve">practices most likely to comply with the rules,</w:t>
      </w:r>
      <w:r>
        <w:t xml:space="preserve"> </w:t>
      </w:r>
      <w:r>
        <w:t xml:space="preserve">and those most likely to infringe them (sections 5</w:t>
      </w:r>
      <w:r>
        <w:t xml:space="preserve"> </w:t>
      </w:r>
      <w:r>
        <w:t xml:space="preserve">and 6).</w:t>
      </w:r>
      <w:r>
        <w:t xml:space="preserve"> </w:t>
      </w:r>
      <w:r>
        <w:t xml:space="preserve">(4) The economic impact of the proposed The report has been revised to better place the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intervention should be better assessed in</w:t>
      </w:r>
      <w:r>
        <w:t xml:space="preserve"> </w:t>
      </w:r>
      <w:r>
        <w:t xml:space="preserve">the report. It should, in this regard, place</w:t>
      </w:r>
      <w:r>
        <w:t xml:space="preserve"> </w:t>
      </w:r>
      <w:r>
        <w:t xml:space="preserve">the intervention within the wider context</w:t>
      </w:r>
      <w:r>
        <w:t xml:space="preserve"> </w:t>
      </w:r>
      <w:r>
        <w:t xml:space="preserve">of the EU market for intellectual property</w:t>
      </w:r>
      <w:r>
        <w:t xml:space="preserve"> </w:t>
      </w:r>
      <w:r>
        <w:t xml:space="preserve">rights and licensing agreements, and EU</w:t>
      </w:r>
      <w:r>
        <w:t xml:space="preserve"> </w:t>
      </w:r>
      <w:r>
        <w:t xml:space="preserve">interventions affecting this market. It</w:t>
      </w:r>
      <w:r>
        <w:t xml:space="preserve"> </w:t>
      </w:r>
      <w:r>
        <w:t xml:space="preserve">should also analyse the potential benefits</w:t>
      </w:r>
      <w:r>
        <w:t xml:space="preserve"> </w:t>
      </w:r>
      <w:r>
        <w:t xml:space="preserve">of the proposed measures on European</w:t>
      </w:r>
      <w:r>
        <w:t xml:space="preserve"> </w:t>
      </w:r>
      <w:r>
        <w:t xml:space="preserve">innovation and competitiveness.</w:t>
      </w:r>
      <w:r>
        <w:t xml:space="preserve"> </w:t>
      </w:r>
      <w:r>
        <w:t xml:space="preserve">intervention within the wider EU framework of</w:t>
      </w:r>
      <w:r>
        <w:t xml:space="preserve"> </w:t>
      </w:r>
      <w:r>
        <w:t xml:space="preserve">other initiatives. Section 1.4 now provides a</w:t>
      </w:r>
      <w:r>
        <w:t xml:space="preserve"> </w:t>
      </w:r>
      <w:r>
        <w:t xml:space="preserve">clearer overview of recent and upcoming EU</w:t>
      </w:r>
      <w:r>
        <w:t xml:space="preserve"> </w:t>
      </w:r>
      <w:r>
        <w:t xml:space="preserve">initiatives related to innovation, data and digital</w:t>
      </w:r>
      <w:r>
        <w:t xml:space="preserve"> </w:t>
      </w:r>
      <w:r>
        <w:t xml:space="preserve">markets, including the Data Act, the Digital</w:t>
      </w:r>
      <w:r>
        <w:t xml:space="preserve"> </w:t>
      </w:r>
      <w:r>
        <w:t xml:space="preserve">Omnibus Regulation Proposal, the Data Union</w:t>
      </w:r>
      <w:r>
        <w:t xml:space="preserve"> </w:t>
      </w:r>
      <w:r>
        <w:t xml:space="preserve">Strategy, the European Innovation Act and other</w:t>
      </w:r>
      <w:r>
        <w:t xml:space="preserve"> </w:t>
      </w:r>
      <w:r>
        <w:t xml:space="preserve">related</w:t>
      </w:r>
      <w:r>
        <w:t xml:space="preserve"> </w:t>
      </w:r>
      <w:r>
        <w:t xml:space="preserve">initiatives,</w:t>
      </w:r>
      <w:r>
        <w:t xml:space="preserve"> </w:t>
      </w:r>
      <w:r>
        <w:t xml:space="preserve">with</w:t>
      </w:r>
      <w:r>
        <w:t xml:space="preserve"> </w:t>
      </w:r>
      <w:r>
        <w:t xml:space="preserve">cross-references</w:t>
      </w:r>
      <w:r>
        <w:t xml:space="preserve"> </w:t>
      </w:r>
      <w:r>
        <w:t xml:space="preserve">elsewhere in the report.</w:t>
      </w:r>
      <w:r>
        <w:br/>
      </w:r>
      <w:r>
        <w:t xml:space="preserve">The assessment of economic impacts has also</w:t>
      </w:r>
      <w:r>
        <w:t xml:space="preserve"> </w:t>
      </w:r>
      <w:r>
        <w:t xml:space="preserve">been further expanded in Sections 6.1.3, 6.2.3</w:t>
      </w:r>
      <w:r>
        <w:t xml:space="preserve"> </w:t>
      </w:r>
      <w:r>
        <w:t xml:space="preserve">and 6.3.3, with clearer explanations of how pro-</w:t>
      </w:r>
      <w:r>
        <w:t xml:space="preserve"> </w:t>
      </w:r>
      <w:r>
        <w:t xml:space="preserve">competitive licensing can support innovation,</w:t>
      </w:r>
      <w:r>
        <w:t xml:space="preserve"> </w:t>
      </w:r>
      <w:r>
        <w:t xml:space="preserve">technology dissemination and competitiveness in</w:t>
      </w:r>
      <w:r>
        <w:t xml:space="preserve"> </w:t>
      </w:r>
      <w:r>
        <w:t xml:space="preserve">the EU.</w:t>
      </w:r>
      <w:r>
        <w:t xml:space="preserve"> </w:t>
      </w:r>
      <w:r>
        <w:t xml:space="preserve">(5) The report needs to better explain the</w:t>
      </w:r>
      <w:r>
        <w:t xml:space="preserve"> </w:t>
      </w:r>
      <w:r>
        <w:t xml:space="preserve">role legal certainty plays in helping drive</w:t>
      </w:r>
      <w:r>
        <w:t xml:space="preserve"> </w:t>
      </w:r>
      <w:r>
        <w:t xml:space="preserve">commercial decisions, looking beyond</w:t>
      </w:r>
      <w:r>
        <w:t xml:space="preserve"> </w:t>
      </w:r>
      <w:r>
        <w:t xml:space="preserve">the financial savings due to reduced</w:t>
      </w:r>
      <w:r>
        <w:t xml:space="preserve"> </w:t>
      </w:r>
      <w:r>
        <w:t xml:space="preserve">compliance costs. This analysis should</w:t>
      </w:r>
      <w:r>
        <w:t xml:space="preserve"> </w:t>
      </w:r>
      <w:r>
        <w:t xml:space="preserve">consider in what situations increased</w:t>
      </w:r>
      <w:r>
        <w:t xml:space="preserve"> </w:t>
      </w:r>
      <w:r>
        <w:t xml:space="preserve">legal certainty can increase contracting</w:t>
      </w:r>
      <w:r>
        <w:t xml:space="preserve"> </w:t>
      </w:r>
      <w:r>
        <w:t xml:space="preserve">between parties, and when it may lead to</w:t>
      </w:r>
      <w:r>
        <w:t xml:space="preserve"> </w:t>
      </w:r>
      <w:r>
        <w:t xml:space="preserve">decreases.</w:t>
      </w:r>
      <w:r>
        <w:t xml:space="preserve"> </w:t>
      </w:r>
      <w:r>
        <w:t xml:space="preserve">The report has been revised to better explain the</w:t>
      </w:r>
      <w:r>
        <w:t xml:space="preserve"> </w:t>
      </w:r>
      <w:r>
        <w:t xml:space="preserve">broader impact of legal certainty on businesses’</w:t>
      </w:r>
      <w:r>
        <w:t xml:space="preserve"> </w:t>
      </w:r>
      <w:r>
        <w:t xml:space="preserve">commercial decisions, beyond its impact on</w:t>
      </w:r>
      <w:r>
        <w:t xml:space="preserve"> </w:t>
      </w:r>
      <w:r>
        <w:t xml:space="preserve">compliance assessment costs. In particular,</w:t>
      </w:r>
      <w:r>
        <w:t xml:space="preserve"> </w:t>
      </w:r>
      <w:r>
        <w:t xml:space="preserve">Section 2.3 of the report now clarifies ways in</w:t>
      </w:r>
      <w:r>
        <w:t xml:space="preserve"> </w:t>
      </w:r>
      <w:r>
        <w:t xml:space="preserve">which increased legal certainty may facilitate</w:t>
      </w:r>
      <w:r>
        <w:t xml:space="preserve"> </w:t>
      </w:r>
      <w:r>
        <w:t xml:space="preserve">contracting by reducing perceived legal risk, and</w:t>
      </w:r>
      <w:r>
        <w:t xml:space="preserve"> </w:t>
      </w:r>
      <w:r>
        <w:t xml:space="preserve">deter agreements that are more likely to restrict</w:t>
      </w:r>
      <w:r>
        <w:t xml:space="preserve"> </w:t>
      </w:r>
      <w:r>
        <w:t xml:space="preserve">competition. See also Section 6 on the impact of</w:t>
      </w:r>
      <w:r>
        <w:t xml:space="preserve"> </w:t>
      </w:r>
      <w:r>
        <w:t xml:space="preserve">the policy options on this dimension of legal</w:t>
      </w:r>
      <w:r>
        <w:t xml:space="preserve"> </w:t>
      </w:r>
      <w:r>
        <w:t xml:space="preserve">certainty.</w:t>
      </w:r>
      <w:r>
        <w:t xml:space="preserve"> </w:t>
      </w:r>
      <w:r>
        <w:t xml:space="preserve">(6) The report should better analyse and</w:t>
      </w:r>
      <w:r>
        <w:t xml:space="preserve"> </w:t>
      </w:r>
      <w:r>
        <w:t xml:space="preserve">substantiate</w:t>
      </w:r>
      <w:r>
        <w:t xml:space="preserve"> </w:t>
      </w:r>
      <w:r>
        <w:t xml:space="preserve">possible</w:t>
      </w:r>
      <w:r>
        <w:t xml:space="preserve"> </w:t>
      </w:r>
      <w:r>
        <w:t xml:space="preserve">anti-competitive</w:t>
      </w:r>
      <w:r>
        <w:t xml:space="preserve"> </w:t>
      </w:r>
      <w:r>
        <w:t xml:space="preserve">effects and risks, and safeguards that</w:t>
      </w:r>
      <w:r>
        <w:t xml:space="preserve"> </w:t>
      </w:r>
      <w:r>
        <w:t xml:space="preserve">could mitigate these risks, including for</w:t>
      </w:r>
      <w:r>
        <w:t xml:space="preserve"> </w:t>
      </w:r>
      <w:r>
        <w:t xml:space="preserve">licensing negotiation groups.</w:t>
      </w:r>
      <w:r>
        <w:t xml:space="preserve"> </w:t>
      </w:r>
      <w:r>
        <w:t xml:space="preserve">The report has been revised to explain the main</w:t>
      </w:r>
      <w:r>
        <w:t xml:space="preserve"> </w:t>
      </w:r>
      <w:r>
        <w:t xml:space="preserve">anti-competitive effects and risks arising from</w:t>
      </w:r>
      <w:r>
        <w:t xml:space="preserve"> </w:t>
      </w:r>
      <w:r>
        <w:t xml:space="preserve">licensing agreements in general. It now clarifies</w:t>
      </w:r>
      <w:r>
        <w:t xml:space="preserve"> </w:t>
      </w:r>
      <w:r>
        <w:t xml:space="preserve">the key competitive risks associated with the</w:t>
      </w:r>
      <w:r>
        <w:t xml:space="preserve"> </w:t>
      </w:r>
      <w:r>
        <w:t xml:space="preserve">relevant agreements and explains how the</w:t>
      </w:r>
      <w:r>
        <w:t xml:space="preserve"> </w:t>
      </w:r>
      <w:r>
        <w:t xml:space="preserve">envisaged guidance will elaborate on these risks</w:t>
      </w:r>
      <w:r>
        <w:t xml:space="preserve"> </w:t>
      </w:r>
      <w:r>
        <w:t xml:space="preserve">and identify safeguards to mitigate them (sections</w:t>
      </w:r>
      <w:r>
        <w:t xml:space="preserve"> </w:t>
      </w:r>
      <w:r>
        <w:t xml:space="preserve">2.1 and 5.2). Particular attention has been given</w:t>
      </w:r>
      <w:r>
        <w:t xml:space="preserve"> </w:t>
      </w:r>
      <w:r>
        <w:t xml:space="preserve">to expanding on these issues in the section on</w:t>
      </w:r>
      <w:r>
        <w:t xml:space="preserve"> </w:t>
      </w:r>
      <w:r>
        <w:t xml:space="preserve">licensing negotiation groups.</w:t>
      </w:r>
      <w:r>
        <w:t xml:space="preserve"> </w:t>
      </w:r>
      <w:r>
        <w:t xml:space="preserve">(7) The report should provide more</w:t>
      </w:r>
      <w:r>
        <w:t xml:space="preserve"> </w:t>
      </w:r>
      <w:r>
        <w:t xml:space="preserve">analysis and extrapolate the costs and</w:t>
      </w:r>
      <w:r>
        <w:t xml:space="preserve"> </w:t>
      </w:r>
      <w:r>
        <w:t xml:space="preserve">cost-savings,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better</w:t>
      </w:r>
      <w:r>
        <w:t xml:space="preserve"> </w:t>
      </w:r>
      <w:r>
        <w:t xml:space="preserve">understanding of the magnitude and scale</w:t>
      </w:r>
      <w:r>
        <w:t xml:space="preserve"> </w:t>
      </w:r>
      <w:r>
        <w:t xml:space="preserve">of the compliance costs. The report</w:t>
      </w:r>
      <w:r>
        <w:t xml:space="preserve"> </w:t>
      </w:r>
      <w:r>
        <w:t xml:space="preserve">should also contextualise the relative size</w:t>
      </w:r>
      <w:r>
        <w:t xml:space="preserve"> </w:t>
      </w:r>
      <w:r>
        <w:t xml:space="preserve">of the compliance costs, for example in</w:t>
      </w:r>
      <w:r>
        <w:t xml:space="preserve"> </w:t>
      </w:r>
      <w:r>
        <w:t xml:space="preserve">relation to the economic size of the</w:t>
      </w:r>
      <w:r>
        <w:t xml:space="preserve"> </w:t>
      </w:r>
      <w:r>
        <w:t xml:space="preserve">agreements made or the actors involved.</w:t>
      </w:r>
      <w:r>
        <w:t xml:space="preserve"> </w:t>
      </w:r>
      <w:r>
        <w:t xml:space="preserve">The report has been revised to extrapolate the</w:t>
      </w:r>
      <w:r>
        <w:t xml:space="preserve"> </w:t>
      </w:r>
      <w:r>
        <w:t xml:space="preserve">compliance assessment costs stemming from a</w:t>
      </w:r>
      <w:r>
        <w:t xml:space="preserve"> </w:t>
      </w:r>
      <w:r>
        <w:t xml:space="preserve">low level of legal certainty, as well as the cost</w:t>
      </w:r>
      <w:r>
        <w:t xml:space="preserve"> </w:t>
      </w:r>
      <w:r>
        <w:t xml:space="preserve">savings that the preferred options are likely to</w:t>
      </w:r>
      <w:r>
        <w:t xml:space="preserve"> </w:t>
      </w:r>
      <w:r>
        <w:t xml:space="preserve">generate. It now sets out the assumptions</w:t>
      </w:r>
      <w:r>
        <w:t xml:space="preserve"> </w:t>
      </w:r>
      <w:r>
        <w:t xml:space="preserve">underlying</w:t>
      </w:r>
      <w:r>
        <w:t xml:space="preserve"> </w:t>
      </w:r>
      <w:r>
        <w:t xml:space="preserve">these</w:t>
      </w:r>
      <w:r>
        <w:t xml:space="preserve"> </w:t>
      </w:r>
      <w:r>
        <w:t xml:space="preserve">extrapolations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methodological limitations. The estimated cost</w:t>
      </w:r>
      <w:r>
        <w:t xml:space="preserve"> </w:t>
      </w:r>
      <w:r>
        <w:t xml:space="preserve">savings have been contextualised in light of the</w:t>
      </w:r>
      <w:r>
        <w:t xml:space="preserve"> </w:t>
      </w:r>
      <w:r>
        <w:t xml:space="preserve">different types of value and categories of actors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This analysis should include a close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assumptions and limitations.</w:t>
      </w:r>
      <w:r>
        <w:t xml:space="preserve"> </w:t>
      </w:r>
      <w:r>
        <w:t xml:space="preserve">involved in these agreements (section 6). On the</w:t>
      </w:r>
      <w:r>
        <w:t xml:space="preserve"> </w:t>
      </w:r>
      <w:r>
        <w:t xml:space="preserve">basis of this analysis, the report also explains, for</w:t>
      </w:r>
      <w:r>
        <w:t xml:space="preserve"> </w:t>
      </w:r>
      <w:r>
        <w:t xml:space="preserve">example, for which types of agreements and</w:t>
      </w:r>
      <w:r>
        <w:t xml:space="preserve"> </w:t>
      </w:r>
      <w:r>
        <w:t xml:space="preserve">actors the preferred option for Problem 1 is likely</w:t>
      </w:r>
      <w:r>
        <w:t xml:space="preserve"> </w:t>
      </w:r>
      <w:r>
        <w:t xml:space="preserve">to produce the greatest positive impact (sections</w:t>
      </w:r>
      <w:r>
        <w:t xml:space="preserve"> </w:t>
      </w:r>
      <w:r>
        <w:t xml:space="preserve">6.1 and 7.1).</w:t>
      </w:r>
      <w:r>
        <w:t xml:space="preserve"> </w:t>
      </w:r>
      <w:r>
        <w:t xml:space="preserve">(8) The monitoring framework, as</w:t>
      </w:r>
      <w:r>
        <w:t xml:space="preserve"> </w:t>
      </w:r>
      <w:r>
        <w:t xml:space="preserve">presented in the report, should include</w:t>
      </w:r>
      <w:r>
        <w:t xml:space="preserve"> </w:t>
      </w:r>
      <w:r>
        <w:t xml:space="preserve">S.M.A.R.T operational objectives and</w:t>
      </w:r>
      <w:r>
        <w:t xml:space="preserve"> </w:t>
      </w:r>
      <w:r>
        <w:t xml:space="preserve">R.A.C.E.R indicators.</w:t>
      </w:r>
      <w:r>
        <w:t xml:space="preserve"> </w:t>
      </w:r>
      <w:r>
        <w:t xml:space="preserve">The monitoring framework in section 8 has been</w:t>
      </w:r>
      <w:r>
        <w:t xml:space="preserve"> </w:t>
      </w:r>
      <w:r>
        <w:t xml:space="preserve">revised to better reflect S.M.A.R.T. operational</w:t>
      </w:r>
      <w:r>
        <w:t xml:space="preserve"> </w:t>
      </w:r>
      <w:r>
        <w:t xml:space="preserve">objectives and R.A.C.E.R. indicators. The</w:t>
      </w:r>
      <w:r>
        <w:t xml:space="preserve"> </w:t>
      </w:r>
      <w:r>
        <w:t xml:space="preserve">specific objectives are linked to the indicators,</w:t>
      </w:r>
      <w:r>
        <w:t xml:space="preserve"> </w:t>
      </w:r>
      <w:r>
        <w:t xml:space="preserve">with progress assessed against the baseline</w:t>
      </w:r>
      <w:r>
        <w:t xml:space="preserve"> </w:t>
      </w:r>
      <w:r>
        <w:t xml:space="preserve">established in the evaluation and through</w:t>
      </w:r>
      <w:r>
        <w:t xml:space="preserve"> </w:t>
      </w:r>
      <w:r>
        <w:t xml:space="preserve">developments over time in the nature and</w:t>
      </w:r>
      <w:r>
        <w:t xml:space="preserve"> </w:t>
      </w:r>
      <w:r>
        <w:t xml:space="preserve">recurrence of stakeholder issues. The revised</w:t>
      </w:r>
      <w:r>
        <w:t xml:space="preserve"> </w:t>
      </w:r>
      <w:r>
        <w:t xml:space="preserve">report also clarifies how relevance, acceptance,</w:t>
      </w:r>
      <w:r>
        <w:t xml:space="preserve"> </w:t>
      </w:r>
      <w:r>
        <w:t xml:space="preserve">credibility and ease of monitoring are ensured</w:t>
      </w:r>
      <w:r>
        <w:t xml:space="preserve"> </w:t>
      </w:r>
      <w:r>
        <w:t xml:space="preserve">through existing information channels and</w:t>
      </w:r>
      <w:r>
        <w:t xml:space="preserve"> </w:t>
      </w:r>
      <w:r>
        <w:t xml:space="preserve">explains why fully quantitative indicators are not</w:t>
      </w:r>
      <w:r>
        <w:t xml:space="preserve"> </w:t>
      </w:r>
      <w:r>
        <w:t xml:space="preserve">feasible given the nature of the initiative.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  <w:r>
        <w:t xml:space="preserve"> </w:t>
      </w:r>
      <w:r>
        <w:t xml:space="preserve">DG Competition obtained evidence from a wide range of sources to inform this initiative. In</w:t>
      </w:r>
      <w:r>
        <w:t xml:space="preserve"> </w:t>
      </w:r>
      <w:r>
        <w:t xml:space="preserve">addition to the Better Regulation tools used for initiatives involving impact assessments, such</w:t>
      </w:r>
      <w:r>
        <w:t xml:space="preserve"> </w:t>
      </w:r>
      <w:r>
        <w:t xml:space="preserve">as the call for evidence, the open public consultations and the direct consultation of</w:t>
      </w:r>
      <w:r>
        <w:t xml:space="preserve"> </w:t>
      </w:r>
      <w:r>
        <w:t xml:space="preserve">stakeholders in the reality check workshop, the consultation strategy included a broader effort</w:t>
      </w:r>
      <w:r>
        <w:t xml:space="preserve"> </w:t>
      </w:r>
      <w:r>
        <w:t xml:space="preserve">to incentivise stakeholder engagement to counterbalance the well-known challenges of</w:t>
      </w:r>
      <w:r>
        <w:t xml:space="preserve"> </w:t>
      </w:r>
      <w:r>
        <w:t xml:space="preserve">collecting quantitative evidence regarding the use of antitrust block exemption regulations.</w:t>
      </w:r>
      <w:r>
        <w:t xml:space="preserve"> </w:t>
      </w:r>
      <w:r>
        <w:t xml:space="preserve">These challenges were also encountered in the recent revisions of the block exemption</w:t>
      </w:r>
      <w:r>
        <w:t xml:space="preserve"> </w:t>
      </w:r>
      <w:r>
        <w:t xml:space="preserve">regulations for vertical agreements (in 2022) and horizontal agreements (in 2023).</w:t>
      </w:r>
      <w:r>
        <w:br/>
      </w:r>
      <w:r>
        <w:t xml:space="preserve">First, DG Competition took advantage of competition law conferences and workshops to</w:t>
      </w:r>
      <w:r>
        <w:t xml:space="preserve"> </w:t>
      </w:r>
      <w:r>
        <w:t xml:space="preserve">publicise the initiative and invite authorities, academics, businesses or law practitioners to</w:t>
      </w:r>
      <w:r>
        <w:t xml:space="preserve"> </w:t>
      </w:r>
      <w:r>
        <w:t xml:space="preserve">engage.</w:t>
      </w:r>
      <w:r>
        <w:t xml:space="preserve"> </w:t>
      </w:r>
      <w:r>
        <w:t xml:space="preserve">Second, DG Competition held meetings with individual stakeholders, at which it encouraged</w:t>
      </w:r>
      <w:r>
        <w:t xml:space="preserve"> </w:t>
      </w:r>
      <w:r>
        <w:t xml:space="preserve">participation in the consultation activities and gathered targeted feedback on specific issues.</w:t>
      </w:r>
      <w:r>
        <w:t xml:space="preserve"> </w:t>
      </w:r>
      <w:r>
        <w:t xml:space="preserve">These meetings enabled the collection of additional qualitative evidence.</w:t>
      </w:r>
      <w:r>
        <w:br/>
      </w:r>
      <w:r>
        <w:t xml:space="preserve">Third, DG Competition attended the regular meetings of the European Competition Network</w:t>
      </w:r>
      <w:r>
        <w:t xml:space="preserve"> </w:t>
      </w:r>
      <w:r>
        <w:t xml:space="preserve">and the EFTA Surveillance Authority (see Annex 2, Section 2.4 for more details), to update</w:t>
      </w:r>
      <w:r>
        <w:t xml:space="preserve"> </w:t>
      </w:r>
      <w:r>
        <w:t xml:space="preserve">those authorities on the progress of the initiative and to encourage them to raise awareness of</w:t>
      </w:r>
      <w:r>
        <w:t xml:space="preserve"> </w:t>
      </w:r>
      <w:r>
        <w:t xml:space="preserve">the initiative in their respective jurisdictions.</w:t>
      </w:r>
      <w:r>
        <w:br/>
      </w:r>
      <w:r>
        <w:t xml:space="preserve">Fourth, DG Competition extended the outreach beyond the usual stakeholder groups by</w:t>
      </w:r>
      <w:r>
        <w:t xml:space="preserve"> </w:t>
      </w:r>
      <w:r>
        <w:t xml:space="preserve">communicating about the consultation activities on DG Competition’s website, through the</w:t>
      </w:r>
    </w:p>
    <w:p>
      <w:pPr>
        <w:pStyle w:val="FirstParagraph"/>
      </w:pPr>
      <w:r>
        <w:t xml:space="preserve">66</w:t>
      </w:r>
      <w:r>
        <w:t xml:space="preserve"> </w:t>
      </w:r>
      <w:r>
        <w:t xml:space="preserve">Commission’s usual communication channels but also through posts on social media and via</w:t>
      </w:r>
      <w:r>
        <w:t xml:space="preserve"> </w:t>
      </w:r>
      <w:r>
        <w:t xml:space="preserve">direct communication with stakeholders who had contributed during the evaluation phase.</w:t>
      </w:r>
      <w:r>
        <w:br/>
      </w:r>
      <w:r>
        <w:t xml:space="preserve">Lastly, DG Competition commissioned an expert study to inform the impact assessment on</w:t>
      </w:r>
      <w:r>
        <w:t xml:space="preserve"> </w:t>
      </w:r>
      <w:r>
        <w:t xml:space="preserve">one of the areas of the rules for which policy options were identified: data licensing</w:t>
      </w:r>
      <w:r>
        <w:t xml:space="preserve"> </w:t>
      </w:r>
      <w:r>
        <w:t xml:space="preserve">agreements. The objective of the study was to provide the Commission with expert advice on</w:t>
      </w:r>
      <w:r>
        <w:t xml:space="preserve"> </w:t>
      </w:r>
      <w:r>
        <w:t xml:space="preserve">(i) the types of intellectual property rights or other forms of non-contractual legal protection</w:t>
      </w:r>
      <w:r>
        <w:t xml:space="preserve"> </w:t>
      </w:r>
      <w:r>
        <w:t xml:space="preserve">that can apply to data that is licensed for the purposes of production and (ii) the possible pro-</w:t>
      </w:r>
      <w:r>
        <w:t xml:space="preserve"> </w:t>
      </w:r>
      <w:r>
        <w:t xml:space="preserve">and anti-competitive effects of such data licensing agreements. The study was conducted by</w:t>
      </w:r>
      <w:r>
        <w:t xml:space="preserve"> </w:t>
      </w:r>
      <w:r>
        <w:t xml:space="preserve">Professor Peter Georg Picht, a professor with extensive experience in the fields of intellectual</w:t>
      </w:r>
      <w:r>
        <w:t xml:space="preserve"> </w:t>
      </w:r>
      <w:r>
        <w:t xml:space="preserve">property and competition law.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Various consultation activities were carried out to collect information and data for the</w:t>
      </w:r>
      <w:r>
        <w:t xml:space="preserve"> </w:t>
      </w:r>
      <w:r>
        <w:t xml:space="preserve">revision of the TTBER and the Guidelines. This Annex presents the results of the</w:t>
      </w:r>
      <w:r>
        <w:t xml:space="preserve"> </w:t>
      </w:r>
      <w:r>
        <w:t xml:space="preserve">consultation activities.</w:t>
      </w:r>
      <w:r>
        <w:br/>
      </w:r>
      <w:r>
        <w:t xml:space="preserve">The Commission mapped the stakeholder groups primarily concerned by the revision of the</w:t>
      </w:r>
      <w:r>
        <w:t xml:space="preserve"> </w:t>
      </w:r>
      <w:r>
        <w:t xml:space="preserve">TTBER and Guidelines, based on the consultations conducted during the evaluation phase.</w:t>
      </w:r>
      <w:r>
        <w:t xml:space="preserve"> </w:t>
      </w:r>
      <w:r>
        <w:t xml:space="preserve">This resulted in the identification of the following stakeholder groups:</w:t>
      </w:r>
      <w:r>
        <w:br/>
      </w:r>
      <w:r>
        <w:t xml:space="preserve">(i)</w:t>
      </w:r>
      <w:r>
        <w:t xml:space="preserve"> </w:t>
      </w:r>
      <w:r>
        <w:t xml:space="preserve">businesses with operations in the EU, in particular:</w:t>
      </w:r>
      <w:r>
        <w:t xml:space="preserve"> </w:t>
      </w:r>
      <w:r>
        <w:t xml:space="preserve">-</w:t>
      </w:r>
      <w:r>
        <w:t xml:space="preserve"> </w:t>
      </w:r>
      <w:r>
        <w:t xml:space="preserve">undertakings that hold and license intellectual property rights (IP holders);</w:t>
      </w:r>
      <w:r>
        <w:br/>
      </w:r>
      <w:r>
        <w:t xml:space="preserve">-</w:t>
      </w:r>
      <w:r>
        <w:t xml:space="preserve"> </w:t>
      </w:r>
      <w:r>
        <w:t xml:space="preserve">undertakings that obtain licences and implement such rights in their products</w:t>
      </w:r>
      <w:r>
        <w:t xml:space="preserve"> </w:t>
      </w:r>
      <w:r>
        <w:t xml:space="preserve">and services (IP implementers);</w:t>
      </w:r>
      <w:r>
        <w:br/>
      </w:r>
      <w:r>
        <w:t xml:space="preserve">-</w:t>
      </w:r>
      <w:r>
        <w:t xml:space="preserve"> </w:t>
      </w:r>
      <w:r>
        <w:t xml:space="preserve">undertakings that manage licensing platforms and standard-setting</w:t>
      </w:r>
      <w:r>
        <w:t xml:space="preserve"> </w:t>
      </w:r>
      <w:r>
        <w:t xml:space="preserve">organisations;</w:t>
      </w:r>
      <w:r>
        <w:t xml:space="preserve"> </w:t>
      </w:r>
      <w:r>
        <w:t xml:space="preserve">-</w:t>
      </w:r>
      <w:r>
        <w:t xml:space="preserve"> </w:t>
      </w:r>
      <w:r>
        <w:t xml:space="preserve">undertakings responsible for technology transfer and research</w:t>
      </w:r>
      <w:r>
        <w:t xml:space="preserve"> </w:t>
      </w:r>
      <w:r>
        <w:t xml:space="preserve">commercialisation in universities (e.g. technology transfer offices).</w:t>
      </w:r>
      <w:r>
        <w:t xml:space="preserve"> </w:t>
      </w:r>
      <w:r>
        <w:t xml:space="preserve">(ii)</w:t>
      </w:r>
      <w:r>
        <w:t xml:space="preserve"> </w:t>
      </w:r>
      <w:r>
        <w:t xml:space="preserve">law firms advising stakeholders on related competition issues;</w:t>
      </w:r>
      <w:r>
        <w:t xml:space="preserve"> </w:t>
      </w:r>
      <w:r>
        <w:t xml:space="preserve">(iii)</w:t>
      </w:r>
      <w:r>
        <w:t xml:space="preserve"> </w:t>
      </w:r>
      <w:r>
        <w:t xml:space="preserve">industry associations;</w:t>
      </w:r>
      <w:r>
        <w:t xml:space="preserve"> </w:t>
      </w:r>
      <w:r>
        <w:t xml:space="preserve">(iv)</w:t>
      </w:r>
      <w:r>
        <w:t xml:space="preserve"> </w:t>
      </w:r>
      <w:r>
        <w:t xml:space="preserve">associations of law firms; and</w:t>
      </w:r>
      <w:r>
        <w:t xml:space="preserve"> </w:t>
      </w:r>
      <w:r>
        <w:t xml:space="preserve">(v)</w:t>
      </w:r>
      <w:r>
        <w:t xml:space="preserve"> </w:t>
      </w:r>
      <w:r>
        <w:t xml:space="preserve">academics specialising in EU competition law and, in particular, technology</w:t>
      </w:r>
      <w:r>
        <w:t xml:space="preserve"> </w:t>
      </w:r>
      <w:r>
        <w:t xml:space="preserve">transfer agreements.</w:t>
      </w:r>
      <w:r>
        <w:t xml:space="preserve"> </w:t>
      </w:r>
      <w:r>
        <w:t xml:space="preserve">The consultation activities consisted of:</w:t>
      </w:r>
      <w:r>
        <w:br/>
      </w:r>
      <w:r>
        <w:t xml:space="preserve">• a call for evidence</w:t>
      </w:r>
      <w:r>
        <w:t xml:space="preserve"> </w:t>
      </w:r>
      <w:r>
        <w:t xml:space="preserve">• an open public consultation based on an online questionnaire;</w:t>
      </w:r>
      <w:r>
        <w:t xml:space="preserve"> </w:t>
      </w:r>
      <w:r>
        <w:t xml:space="preserve">• an open public consultation on draft revised TTBER and Guidelines;</w:t>
      </w:r>
      <w:r>
        <w:t xml:space="preserve"> </w:t>
      </w:r>
      <w:r>
        <w:t xml:space="preserve">• a stakeholder workshop (reality check);</w:t>
      </w:r>
      <w:r>
        <w:t xml:space="preserve"> </w:t>
      </w:r>
      <w:r>
        <w:t xml:space="preserve">• consultations with National Competition Authorities (“NCAs”) and Member States.</w:t>
      </w:r>
      <w:r>
        <w:t xml:space="preserve"> </w:t>
      </w:r>
      <w:r>
        <w:t xml:space="preserve">The consultation activities mentioned in this Annex aimed to gather input from stakeholders</w:t>
      </w:r>
      <w:r>
        <w:t xml:space="preserve"> </w:t>
      </w:r>
      <w:r>
        <w:t xml:space="preserve">on the policy options proposed for the revision of the TTBER and Guidelines and on other</w:t>
      </w:r>
      <w:r>
        <w:t xml:space="preserve"> </w:t>
      </w:r>
      <w:r>
        <w:t xml:space="preserve">proposals to update and clarify the rules.</w:t>
      </w:r>
      <w:r>
        <w:t xml:space="preserve"> </w:t>
      </w:r>
      <w:r>
        <w:t xml:space="preserve">2. RESULTS OF THE CONSULTATIONS</w:t>
      </w:r>
      <w:r>
        <w:t xml:space="preserve"> </w:t>
      </w:r>
      <w:r>
        <w:t xml:space="preserve">2.1. Call for evidence and open public consultation based on an online questionnaire</w:t>
      </w:r>
      <w:r>
        <w:t xml:space="preserve"> </w:t>
      </w:r>
      <w:r>
        <w:t xml:space="preserve">A call for evidence (four weeks) and a public consultation (twelve weeks) were launched in</w:t>
      </w:r>
      <w:r>
        <w:t xml:space="preserve"> </w:t>
      </w:r>
      <w:r>
        <w:t xml:space="preserve">parallel on 31 January 2025 on the Have Your Say portal.</w:t>
      </w:r>
      <w:r>
        <w:t xml:space="preserve"> </w:t>
      </w:r>
      <w:r>
        <w:t xml:space="preserve">The call for evidence was published in all 24 official EU languages. The public consultation</w:t>
      </w:r>
      <w:r>
        <w:t xml:space="preserve"> </w:t>
      </w:r>
      <w:r>
        <w:t xml:space="preserve">questionnaire was published in the Commission’s three working languages (English, French</w:t>
      </w:r>
      <w:r>
        <w:t xml:space="preserve"> </w:t>
      </w:r>
      <w:r>
        <w:t xml:space="preserve">and German). The call for evidence generated 13 replies, mainly from businesses</w:t>
      </w:r>
      <w:r>
        <w:t xml:space="preserve"> </w:t>
      </w:r>
      <w:r>
        <w:t xml:space="preserve">(7 respondents), business associations (5 respondents) and one research centre.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Regarding the public consultation, a summary report of the open public consultation was</w:t>
      </w:r>
      <w:r>
        <w:t xml:space="preserve"> </w:t>
      </w:r>
      <w:r>
        <w:t xml:space="preserve">published on 11 September 2025223. Of the 34 respondents, 21 replies were from business</w:t>
      </w:r>
      <w:r>
        <w:t xml:space="preserve"> </w:t>
      </w:r>
      <w:r>
        <w:t xml:space="preserve">organisations, 8 from business associations, 3 from “other” stakeholders and 2 from</w:t>
      </w:r>
      <w:r>
        <w:t xml:space="preserve"> </w:t>
      </w:r>
      <w:r>
        <w:t xml:space="preserve">academic/research institutions. The majority of the respondents (59%) were larger</w:t>
      </w:r>
      <w:r>
        <w:t xml:space="preserve"> </w:t>
      </w:r>
      <w:r>
        <w:t xml:space="preserve">organisations, though all size categories were represented (see Figure 1 below).</w:t>
      </w:r>
      <w:r>
        <w:br/>
      </w:r>
      <w:r>
        <w:t xml:space="preserve">Figure 1 – Size of the respondent organisations</w:t>
      </w:r>
    </w:p>
    <w:p>
      <w:pPr>
        <w:pStyle w:val="BodyText"/>
      </w:pPr>
      <w:r>
        <w:t xml:space="preserve">The respondent business associations were either national or Union-wide and represented</w:t>
      </w:r>
      <w:r>
        <w:t xml:space="preserve"> </w:t>
      </w:r>
      <w:r>
        <w:t xml:space="preserve">members in specific industrial sectors or economic activities (e.g. licensing). The respondent</w:t>
      </w:r>
      <w:r>
        <w:t xml:space="preserve"> </w:t>
      </w:r>
      <w:r>
        <w:t xml:space="preserve">businesses were mainly active in the ICT industry and car manufacturing, but also in the</w:t>
      </w:r>
      <w:r>
        <w:t xml:space="preserve"> </w:t>
      </w:r>
      <w:r>
        <w:t xml:space="preserve">chemical and energy sectors. The academic/research organisations were two universities, one</w:t>
      </w:r>
      <w:r>
        <w:t xml:space="preserve"> </w:t>
      </w:r>
      <w:r>
        <w:t xml:space="preserve">in the EU and one in the USA. The “other” respondents were a consultant, a lawyer, and an</w:t>
      </w:r>
      <w:r>
        <w:t xml:space="preserve"> </w:t>
      </w:r>
      <w:r>
        <w:t xml:space="preserve">individual identifying as both an academic and a lawyer.</w:t>
      </w:r>
      <w:r>
        <w:t xml:space="preserve"> </w:t>
      </w:r>
      <w:r>
        <w:t xml:space="preserve">As regards their activities in relation to the licensing of technology, 15 respondents were</w:t>
      </w:r>
      <w:r>
        <w:t xml:space="preserve"> </w:t>
      </w:r>
      <w:r>
        <w:t xml:space="preserve">active as a licensor and a licensee to an equal extent (or represent both licensors and licensees</w:t>
      </w:r>
      <w:r>
        <w:t xml:space="preserve"> </w:t>
      </w:r>
      <w:r>
        <w:t xml:space="preserve">to an equal extent)224, 9 respondents were active only as licensees (or primarily represented</w:t>
      </w:r>
      <w:r>
        <w:t xml:space="preserve"> </w:t>
      </w:r>
      <w:r>
        <w:t xml:space="preserve">licensees)225, and 6 respondents226 were active only as licensors or primarily represented</w:t>
      </w:r>
      <w:r>
        <w:t xml:space="preserve"> </w:t>
      </w:r>
      <w:r>
        <w:t xml:space="preserve">licensors. The remaining respondents (3)227 were neither licensors nor licensees nor</w:t>
      </w:r>
      <w:r>
        <w:t xml:space="preserve"> </w:t>
      </w:r>
      <w:r>
        <w:t xml:space="preserve">organisations representing them228.</w:t>
      </w:r>
      <w:r>
        <w:t xml:space="preserve"> </w:t>
      </w:r>
      <w:r>
        <w:t xml:space="preserve">Summary of the responses</w:t>
      </w:r>
      <w:r>
        <w:br/>
      </w:r>
      <w:r>
        <w:t xml:space="preserve">The call for evidence and public consultation sought the views of stakeholders on possible</w:t>
      </w:r>
      <w:r>
        <w:t xml:space="preserve"> </w:t>
      </w:r>
      <w:r>
        <w:t xml:space="preserve">changes in the following areas: (i) the possible introduction of new guidance on the</w:t>
      </w:r>
      <w:r>
        <w:t xml:space="preserve"> </w:t>
      </w:r>
      <w:r>
        <w:t xml:space="preserve">assessment of data licensing under Article 101 TFEU (ii) the TTBER’s market share</w:t>
      </w:r>
      <w:r>
        <w:t xml:space="preserve"> </w:t>
      </w:r>
      <w:r>
        <w:t xml:space="preserve">thresholds for technology markets; (iii) the possible introduction of new guidance on the</w:t>
      </w:r>
    </w:p>
    <w:p>
      <w:pPr>
        <w:pStyle w:val="BodyText"/>
      </w:pPr>
      <w:r>
        <w:t xml:space="preserve">223 The</w:t>
      </w:r>
      <w:r>
        <w:t xml:space="preserve"> </w:t>
      </w:r>
      <w:r>
        <w:t xml:space="preserve">summary</w:t>
      </w:r>
      <w:r>
        <w:t xml:space="preserve"> </w:t>
      </w:r>
      <w:r>
        <w:t xml:space="preserve">report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</w:t>
      </w:r>
      <w:r>
        <w:t xml:space="preserve"> </w:t>
      </w:r>
      <w:r>
        <w:t xml:space="preserve">say/initiatives/14478-EU-competition-rules-on-technology-transfer-agreements-revision-/public-</w:t>
      </w:r>
      <w:r>
        <w:t xml:space="preserve"> </w:t>
      </w:r>
      <w:r>
        <w:t xml:space="preserve">consultation_en</w:t>
      </w:r>
      <w:r>
        <w:br/>
      </w:r>
      <w:r>
        <w:t xml:space="preserve">224 11 businesses, 3 business associations and 1 other.</w:t>
      </w:r>
      <w:r>
        <w:t xml:space="preserve"> </w:t>
      </w:r>
      <w:r>
        <w:t xml:space="preserve">225 4 businesses, 4 business associations and 1 other.</w:t>
      </w:r>
      <w:r>
        <w:t xml:space="preserve"> </w:t>
      </w:r>
      <w:r>
        <w:t xml:space="preserve">226 All businesses.</w:t>
      </w:r>
      <w:r>
        <w:t xml:space="preserve"> </w:t>
      </w:r>
      <w:r>
        <w:t xml:space="preserve">227 1 academic/research institution, 1 other and 1 business association.</w:t>
      </w:r>
      <w:r>
        <w:t xml:space="preserve"> </w:t>
      </w:r>
      <w:r>
        <w:t xml:space="preserve">228 1 respondent did not answer the question.</w:t>
      </w:r>
      <w:r>
        <w:t xml:space="preserve"> </w:t>
      </w:r>
      <w:r>
        <w:t xml:space="preserve">59%</w:t>
      </w:r>
      <w:r>
        <w:t xml:space="preserve"> </w:t>
      </w:r>
      <w:r>
        <w:t xml:space="preserve">15%</w:t>
      </w:r>
      <w:r>
        <w:t xml:space="preserve"> </w:t>
      </w:r>
      <w:r>
        <w:t xml:space="preserve">21%</w:t>
      </w:r>
      <w:r>
        <w:t xml:space="preserve"> </w:t>
      </w:r>
      <w:r>
        <w:t xml:space="preserve">6%</w:t>
      </w:r>
      <w:r>
        <w:t xml:space="preserve"> </w:t>
      </w:r>
      <w:r>
        <w:t xml:space="preserve">Large (250 or</w:t>
      </w:r>
      <w:r>
        <w:t xml:space="preserve"> </w:t>
      </w:r>
      <w:r>
        <w:t xml:space="preserve">more)</w:t>
      </w:r>
      <w:r>
        <w:t xml:space="preserve"> </w:t>
      </w:r>
      <w:r>
        <w:t xml:space="preserve">Medium (50 to</w:t>
      </w:r>
      <w:r>
        <w:t xml:space="preserve"> </w:t>
      </w:r>
      <w:r>
        <w:t xml:space="preserve">249 employees)</w:t>
      </w:r>
      <w:r>
        <w:t xml:space="preserve"> </w:t>
      </w:r>
      <w:r>
        <w:t xml:space="preserve">Micro (1 to 9</w:t>
      </w:r>
      <w:r>
        <w:t xml:space="preserve"> </w:t>
      </w:r>
      <w:r>
        <w:t xml:space="preserve">employees)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assessment of licensing negotiation groups (“LNGs”), and (iv) the existing guidance on the</w:t>
      </w:r>
      <w:r>
        <w:t xml:space="preserve"> </w:t>
      </w:r>
      <w:r>
        <w:t xml:space="preserve">assessment of technology pools229.</w:t>
      </w:r>
      <w:r>
        <w:t xml:space="preserve"> </w:t>
      </w:r>
      <w:r>
        <w:t xml:space="preserve">In addition, stakeholders were asked to provide feedback on certain other areas of the TTBER</w:t>
      </w:r>
      <w:r>
        <w:t xml:space="preserve"> </w:t>
      </w:r>
      <w:r>
        <w:t xml:space="preserve">and Guidelines to help the Commission assess if the current rules could be improved230.</w:t>
      </w:r>
      <w:r>
        <w:br/>
      </w:r>
      <w:r>
        <w:t xml:space="preserve">(i) Data licensing</w:t>
      </w:r>
      <w:r>
        <w:t xml:space="preserve"> </w:t>
      </w:r>
      <w:r>
        <w:t xml:space="preserve">The evaluation indicated that data licensing agreements are increasingly common, and some</w:t>
      </w:r>
      <w:r>
        <w:t xml:space="preserve"> </w:t>
      </w:r>
      <w:r>
        <w:t xml:space="preserve">stakeholders called on the Commission to provide guidance in this area. At the time, the</w:t>
      </w:r>
      <w:r>
        <w:t xml:space="preserve"> </w:t>
      </w:r>
      <w:r>
        <w:t xml:space="preserve">TTBER and Guidelines did not provide specific rules or guidance on data licensing.</w:t>
      </w:r>
      <w:r>
        <w:t xml:space="preserve"> </w:t>
      </w:r>
      <w:r>
        <w:t xml:space="preserve">The public consultation questionnaire asked stakeholders whether they had entered into</w:t>
      </w:r>
      <w:r>
        <w:t xml:space="preserve"> </w:t>
      </w:r>
      <w:r>
        <w:t xml:space="preserve">agreements which included a transfer or licence of data in the last five years231. The majority</w:t>
      </w:r>
      <w:r>
        <w:t xml:space="preserve"> </w:t>
      </w:r>
      <w:r>
        <w:t xml:space="preserve">of respondents answered affirmatively, with 12 respondents232 confirming that they had</w:t>
      </w:r>
      <w:r>
        <w:t xml:space="preserve"> </w:t>
      </w:r>
      <w:r>
        <w:t xml:space="preserve">entered into such agreements in the last five years and only 2 respondents233 stating that they</w:t>
      </w:r>
      <w:r>
        <w:t xml:space="preserve"> </w:t>
      </w:r>
      <w:r>
        <w:t xml:space="preserve">had not234.</w:t>
      </w:r>
      <w:r>
        <w:t xml:space="preserve"> </w:t>
      </w:r>
      <w:r>
        <w:t xml:space="preserve">Moreover, when asked about the general effects on competition of data licensing</w:t>
      </w:r>
      <w:r>
        <w:t xml:space="preserve"> </w:t>
      </w:r>
      <w:r>
        <w:t xml:space="preserve">agreements235, the majority of respondents (8)236 indicated that data licensing creates more</w:t>
      </w:r>
      <w:r>
        <w:t xml:space="preserve"> </w:t>
      </w:r>
      <w:r>
        <w:t xml:space="preserve">pro-competitive than anti-competitive effects, 4 respondents237 answered that data licensing</w:t>
      </w:r>
      <w:r>
        <w:t xml:space="preserve"> </w:t>
      </w:r>
      <w:r>
        <w:t xml:space="preserve">generates only pro-competitive effects and only 1 respondent238 answered that data licensing</w:t>
      </w:r>
      <w:r>
        <w:t xml:space="preserve"> </w:t>
      </w:r>
      <w:r>
        <w:t xml:space="preserve">generates similar level of pro-competitive and anti-competitive effects in the market239. That</w:t>
      </w:r>
      <w:r>
        <w:t xml:space="preserve"> </w:t>
      </w:r>
      <w:r>
        <w:t xml:space="preserve">said, when asked if data licensing agreements commonly include clauses that can restrict</w:t>
      </w:r>
      <w:r>
        <w:t xml:space="preserve"> </w:t>
      </w:r>
      <w:r>
        <w:t xml:space="preserve">competition240, many respondents (13)241 answered affirmatively by pointing to at least one</w:t>
      </w:r>
      <w:r>
        <w:t xml:space="preserve"> </w:t>
      </w:r>
      <w:r>
        <w:t xml:space="preserve">such clause, most often citing field-of-use restrictions (10 respondents) and exclusivity</w:t>
      </w:r>
      <w:r>
        <w:t xml:space="preserve"> </w:t>
      </w:r>
      <w:r>
        <w:t xml:space="preserve">clauses (6 respondents).</w:t>
      </w:r>
      <w:r>
        <w:t xml:space="preserve"> </w:t>
      </w:r>
      <w:r>
        <w:t xml:space="preserve">Regarding possible options to provide guidance on data licensing agreements242, 7</w:t>
      </w:r>
      <w:r>
        <w:t xml:space="preserve"> </w:t>
      </w:r>
      <w:r>
        <w:t xml:space="preserve">respondents243 favoured a possible expansion of the scope of the TTBER, 1 respondent244</w:t>
      </w:r>
      <w:r>
        <w:t xml:space="preserve"> </w:t>
      </w:r>
      <w:r>
        <w:t xml:space="preserve">answered negatively and 4 responded245 that they did not know (see Figure 2 below) 246.</w:t>
      </w:r>
    </w:p>
    <w:p>
      <w:pPr>
        <w:pStyle w:val="BodyText"/>
      </w:pPr>
      <w:r>
        <w:t xml:space="preserve">229 The questionnaire covered all areas, however some stakeholders did not reply to every question and/or</w:t>
      </w:r>
      <w:r>
        <w:t xml:space="preserve"> </w:t>
      </w:r>
      <w:r>
        <w:t xml:space="preserve">referred to comments made in response to other questions or to separate submissions.</w:t>
      </w:r>
      <w:r>
        <w:br/>
      </w:r>
      <w:r>
        <w:t xml:space="preserve">230 Other areas included the current rules on: (i) potential competition, (ii) know-how, (iii) licensing agreements</w:t>
      </w:r>
      <w:r>
        <w:t xml:space="preserve"> </w:t>
      </w:r>
      <w:r>
        <w:t xml:space="preserve">for the purpose of further research and development, (iv) exclusive grant-back obligations, (v) field of use</w:t>
      </w:r>
      <w:r>
        <w:t xml:space="preserve"> </w:t>
      </w:r>
      <w:r>
        <w:t xml:space="preserve">restrictions and (vi) settlement agreements. This factual summary does not cover the feedback received to</w:t>
      </w:r>
      <w:r>
        <w:t xml:space="preserve"> </w:t>
      </w:r>
      <w:r>
        <w:t xml:space="preserve">the (few, targeted) questions on these topics.</w:t>
      </w:r>
      <w:r>
        <w:t xml:space="preserve"> </w:t>
      </w:r>
      <w:r>
        <w:t xml:space="preserve">231 See Question 2.1.</w:t>
      </w:r>
      <w:r>
        <w:t xml:space="preserve"> </w:t>
      </w:r>
      <w:r>
        <w:t xml:space="preserve">232 9 businesses, 1 business association and 1 other.</w:t>
      </w:r>
      <w:r>
        <w:t xml:space="preserve"> </w:t>
      </w:r>
      <w:r>
        <w:t xml:space="preserve">233 1 business association and 1 academic/research institution.</w:t>
      </w:r>
      <w:r>
        <w:t xml:space="preserve"> </w:t>
      </w:r>
      <w:r>
        <w:t xml:space="preserve">234 20 respondents did not answer the question.</w:t>
      </w:r>
      <w:r>
        <w:t xml:space="preserve"> </w:t>
      </w:r>
      <w:r>
        <w:t xml:space="preserve">235 See Question 2.11.</w:t>
      </w:r>
      <w:r>
        <w:t xml:space="preserve"> </w:t>
      </w:r>
      <w:r>
        <w:t xml:space="preserve">236 3 businesses, 3 business associations, 1 academic/research institution and 1 other.</w:t>
      </w:r>
      <w:r>
        <w:t xml:space="preserve"> </w:t>
      </w:r>
      <w:r>
        <w:t xml:space="preserve">237 All businesses.</w:t>
      </w:r>
      <w:r>
        <w:t xml:space="preserve"> </w:t>
      </w:r>
      <w:r>
        <w:t xml:space="preserve">238 A business association.</w:t>
      </w:r>
      <w:r>
        <w:t xml:space="preserve"> </w:t>
      </w:r>
      <w:r>
        <w:t xml:space="preserve">239 21 respondents did not answer the question.</w:t>
      </w:r>
      <w:r>
        <w:t xml:space="preserve"> </w:t>
      </w:r>
      <w:r>
        <w:t xml:space="preserve">240 See Question 2.6 of the public consultation.</w:t>
      </w:r>
      <w:r>
        <w:t xml:space="preserve"> </w:t>
      </w:r>
      <w:r>
        <w:t xml:space="preserve">241 7 businesses, 4 business associations, 1 academic/research institution and 1 other.</w:t>
      </w:r>
      <w:r>
        <w:t xml:space="preserve"> </w:t>
      </w:r>
      <w:r>
        <w:t xml:space="preserve">242 See Question 2.17.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Figure 2 – Possible expansion of the scope of the TTBER to certain data licensing</w:t>
      </w:r>
      <w:r>
        <w:t xml:space="preserve"> </w:t>
      </w:r>
      <w:r>
        <w:t xml:space="preserve">agreements</w:t>
      </w:r>
    </w:p>
    <w:p>
      <w:pPr>
        <w:pStyle w:val="BodyText"/>
      </w:pPr>
      <w:r>
        <w:t xml:space="preserve">That said, 4 respondents247 doubted that certain rules included in the TTBER could be easily</w:t>
      </w:r>
      <w:r>
        <w:t xml:space="preserve"> </w:t>
      </w:r>
      <w:r>
        <w:t xml:space="preserve">(or at all) applied to the licensing of all types of data. When prompted to elaborate, 2 of these</w:t>
      </w:r>
      <w:r>
        <w:t xml:space="preserve"> </w:t>
      </w:r>
      <w:r>
        <w:t xml:space="preserve">respondents248 highlighted that agreements relating to raw data (i.e. data that has not been</w:t>
      </w:r>
      <w:r>
        <w:t xml:space="preserve"> </w:t>
      </w:r>
      <w:r>
        <w:t xml:space="preserve">processed by the data holder) are particularly unsuitable to be assessed under the TTBER</w:t>
      </w:r>
      <w:r>
        <w:t xml:space="preserve"> </w:t>
      </w:r>
      <w:r>
        <w:t xml:space="preserve">framework, because such data is not generally an IP-protected technology. 3 of them249</w:t>
      </w:r>
      <w:r>
        <w:t xml:space="preserve"> </w:t>
      </w:r>
      <w:r>
        <w:t xml:space="preserve">considered that the TTBER’s current lists of hardcore restrictions and excluded restrictions</w:t>
      </w:r>
      <w:r>
        <w:t xml:space="preserve"> </w:t>
      </w:r>
      <w:r>
        <w:t xml:space="preserve">are not similarly applicable to data licensing.</w:t>
      </w:r>
      <w:r>
        <w:br/>
      </w:r>
      <w:r>
        <w:t xml:space="preserve">Asked whether, in the alternative, the provision of guidance on data licensing in the</w:t>
      </w:r>
      <w:r>
        <w:t xml:space="preserve"> </w:t>
      </w:r>
      <w:r>
        <w:t xml:space="preserve">Guidelines would increase legal certainty250, 8 respondents251 agreed, with only 1</w:t>
      </w:r>
      <w:r>
        <w:t xml:space="preserve"> </w:t>
      </w:r>
      <w:r>
        <w:t xml:space="preserve">respondent252 opposing such an option and 2 respondents253 answering that they did not know</w:t>
      </w:r>
      <w:r>
        <w:t xml:space="preserve"> </w:t>
      </w:r>
      <w:r>
        <w:t xml:space="preserve">(see Figure 3 below) 254.</w:t>
      </w:r>
    </w:p>
    <w:p>
      <w:pPr>
        <w:pStyle w:val="BodyText"/>
      </w:pPr>
      <w:r>
        <w:t xml:space="preserve">243 4 /businesses and 3 business associations.</w:t>
      </w:r>
      <w:r>
        <w:t xml:space="preserve"> </w:t>
      </w:r>
      <w:r>
        <w:t xml:space="preserve">244 1 academic/research institution.</w:t>
      </w:r>
      <w:r>
        <w:br/>
      </w:r>
      <w:r>
        <w:t xml:space="preserve">245 4 /businesses and 1 other.</w:t>
      </w:r>
      <w:r>
        <w:t xml:space="preserve"> </w:t>
      </w:r>
      <w:r>
        <w:t xml:space="preserve">246 22 respondents did not answer the question.</w:t>
      </w:r>
      <w:r>
        <w:t xml:space="preserve"> </w:t>
      </w:r>
      <w:r>
        <w:t xml:space="preserve">247 3 business associations and 1 academic/research institution.</w:t>
      </w:r>
      <w:r>
        <w:br/>
      </w:r>
      <w:r>
        <w:t xml:space="preserve">248 1 business association and 1 academic/research institution.</w:t>
      </w:r>
      <w:r>
        <w:br/>
      </w:r>
      <w:r>
        <w:t xml:space="preserve">249 3 business associations.</w:t>
      </w:r>
      <w:r>
        <w:br/>
      </w:r>
      <w:r>
        <w:t xml:space="preserve">250 See Question 2.22.</w:t>
      </w:r>
      <w:r>
        <w:t xml:space="preserve"> </w:t>
      </w:r>
      <w:r>
        <w:t xml:space="preserve">251 4 business, 2 business associations, 1 academic/research institution and 1 other.</w:t>
      </w:r>
      <w:r>
        <w:t xml:space="preserve"> </w:t>
      </w:r>
      <w:r>
        <w:t xml:space="preserve">252 1 company/business.</w:t>
      </w:r>
      <w:r>
        <w:t xml:space="preserve"> </w:t>
      </w:r>
      <w:r>
        <w:t xml:space="preserve">253 1 company/business and 1 business association.</w:t>
      </w:r>
      <w:r>
        <w:t xml:space="preserve"> </w:t>
      </w:r>
      <w:r>
        <w:t xml:space="preserve">254 23 respondents did not answer the question.</w:t>
      </w:r>
      <w:r>
        <w:t xml:space="preserve"> </w:t>
      </w:r>
      <w:r>
        <w:t xml:space="preserve">33%</w:t>
      </w:r>
      <w:r>
        <w:t xml:space="preserve"> </w:t>
      </w:r>
      <w:r>
        <w:t xml:space="preserve">8%</w:t>
      </w:r>
      <w:r>
        <w:t xml:space="preserve"> </w:t>
      </w:r>
      <w:r>
        <w:t xml:space="preserve">58%</w:t>
      </w:r>
      <w:r>
        <w:t xml:space="preserve"> </w:t>
      </w:r>
      <w:r>
        <w:t xml:space="preserve">Do not know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Figure 3 – If no expansion of the scope of the TTBER, would guidance on data licensing</w:t>
      </w:r>
      <w:r>
        <w:t xml:space="preserve"> </w:t>
      </w:r>
      <w:r>
        <w:t xml:space="preserve">agreements in the Guidelines still provide legal certainty?</w:t>
      </w:r>
    </w:p>
    <w:p>
      <w:pPr>
        <w:pStyle w:val="BodyText"/>
      </w:pPr>
      <w:r>
        <w:t xml:space="preserve">In the call for evidence, respondents recognised that data has become an increasingly</w:t>
      </w:r>
      <w:r>
        <w:t xml:space="preserve"> </w:t>
      </w:r>
      <w:r>
        <w:t xml:space="preserve">valuable economic asset, which plays a central role in many technology transfer relationships</w:t>
      </w:r>
      <w:r>
        <w:t xml:space="preserve"> </w:t>
      </w:r>
      <w:r>
        <w:t xml:space="preserve">and favours the provision of guidance on data licensing.</w:t>
      </w:r>
      <w:r>
        <w:br/>
      </w:r>
      <w:r>
        <w:t xml:space="preserve">(ii)</w:t>
      </w:r>
      <w:r>
        <w:t xml:space="preserve"> </w:t>
      </w:r>
      <w:r>
        <w:t xml:space="preserve">TTBER market share thresholds for technology markets</w:t>
      </w:r>
      <w:r>
        <w:t xml:space="preserve"> </w:t>
      </w:r>
      <w:r>
        <w:t xml:space="preserve">In the public consultation questionnaire, stakeholders were asked whether they had</w:t>
      </w:r>
      <w:r>
        <w:t xml:space="preserve"> </w:t>
      </w:r>
      <w:r>
        <w:t xml:space="preserve">experienced practical difficulties in applying the TTBER’s market share thresholds for</w:t>
      </w:r>
      <w:r>
        <w:t xml:space="preserve"> </w:t>
      </w:r>
      <w:r>
        <w:t xml:space="preserve">technology markets and the 4+ test in the Guidelines.</w:t>
      </w:r>
      <w:r>
        <w:br/>
      </w:r>
      <w:r>
        <w:t xml:space="preserve">The majority of respondents (9)255 reported practical difficulties in applying the TTBER’s</w:t>
      </w:r>
      <w:r>
        <w:t xml:space="preserve"> </w:t>
      </w:r>
      <w:r>
        <w:t xml:space="preserve">market share thresholds for technology markets256, with only 1 respondent257 answering that</w:t>
      </w:r>
      <w:r>
        <w:t xml:space="preserve"> </w:t>
      </w:r>
      <w:r>
        <w:t xml:space="preserve">it did not experience such difficulties258. Results for the 4+ test were similar: 7 respondents259</w:t>
      </w:r>
      <w:r>
        <w:t xml:space="preserve"> </w:t>
      </w:r>
      <w:r>
        <w:t xml:space="preserve">reported practical difficulties in applying it260 and 2 respondents261 answered that they did not</w:t>
      </w:r>
      <w:r>
        <w:t xml:space="preserve"> </w:t>
      </w:r>
      <w:r>
        <w:t xml:space="preserve">encounter difficulties262.</w:t>
      </w:r>
      <w:r>
        <w:br/>
      </w:r>
      <w:r>
        <w:t xml:space="preserve">That said, the majority of respondents still entered into technology transfer agreements even</w:t>
      </w:r>
      <w:r>
        <w:t xml:space="preserve"> </w:t>
      </w:r>
      <w:r>
        <w:t xml:space="preserve">when they encountered practical difficulties in calculating market shares (7 respondents)263 or</w:t>
      </w:r>
      <w:r>
        <w:t xml:space="preserve"> </w:t>
      </w:r>
      <w:r>
        <w:t xml:space="preserve">in applying the 4+ test (3 respondents)264.</w:t>
      </w:r>
    </w:p>
    <w:p>
      <w:pPr>
        <w:pStyle w:val="BodyText"/>
      </w:pPr>
      <w:r>
        <w:t xml:space="preserve">255 7 businesses, 1 business association and 1 other.</w:t>
      </w:r>
      <w:r>
        <w:t xml:space="preserve"> </w:t>
      </w:r>
      <w:r>
        <w:t xml:space="preserve">256 See Question 2.30.1.</w:t>
      </w:r>
      <w:r>
        <w:t xml:space="preserve"> </w:t>
      </w:r>
      <w:r>
        <w:t xml:space="preserve">257 1 company/business.</w:t>
      </w:r>
      <w:r>
        <w:t xml:space="preserve"> </w:t>
      </w:r>
      <w:r>
        <w:t xml:space="preserve">258 24 respondents did not answer this question.</w:t>
      </w:r>
      <w:r>
        <w:t xml:space="preserve"> </w:t>
      </w:r>
      <w:r>
        <w:t xml:space="preserve">259 5 businesses, 1 business association and 1 other.</w:t>
      </w:r>
      <w:r>
        <w:t xml:space="preserve"> </w:t>
      </w:r>
      <w:r>
        <w:t xml:space="preserve">260 See Question 2.31.1.</w:t>
      </w:r>
      <w:r>
        <w:t xml:space="preserve"> </w:t>
      </w:r>
      <w:r>
        <w:t xml:space="preserve">261 All businesses.</w:t>
      </w:r>
      <w:r>
        <w:t xml:space="preserve"> </w:t>
      </w:r>
      <w:r>
        <w:t xml:space="preserve">262 25 respondents did not answer this question.</w:t>
      </w:r>
      <w:r>
        <w:t xml:space="preserve"> </w:t>
      </w:r>
      <w:r>
        <w:t xml:space="preserve">263 See responses to Question 2.30.1.2. 7 respondents confirmed that – when faced with practical difficulties in</w:t>
      </w:r>
      <w:r>
        <w:t xml:space="preserve"> </w:t>
      </w:r>
      <w:r>
        <w:t xml:space="preserve">calculating market shares in the technology market – they still entered into the technology transfer</w:t>
      </w:r>
      <w:r>
        <w:t xml:space="preserve"> </w:t>
      </w:r>
      <w:r>
        <w:t xml:space="preserve">agreement (albeit with reduced legal certainty or by relying on the 4+ test), while only 3 answered that they</w:t>
      </w:r>
      <w:r>
        <w:t xml:space="preserve"> </w:t>
      </w:r>
      <w:r>
        <w:t xml:space="preserve">abandoned the technology transfer agreement.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73%</w:t>
      </w:r>
      <w:r>
        <w:t xml:space="preserve"> </w:t>
      </w:r>
      <w:r>
        <w:t xml:space="preserve">Do not know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When asked whether removing the market share thresholds for technology markets, leaving</w:t>
      </w:r>
      <w:r>
        <w:t xml:space="preserve"> </w:t>
      </w:r>
      <w:r>
        <w:t xml:space="preserve">only the market share thresholds for product markets265, would help to achieve the objectives</w:t>
      </w:r>
      <w:r>
        <w:t xml:space="preserve"> </w:t>
      </w:r>
      <w:r>
        <w:t xml:space="preserve">of the TTBER, 6 respondents266 favoured this option, 4 opposed it267 and 3 answered that</w:t>
      </w:r>
      <w:r>
        <w:t xml:space="preserve"> </w:t>
      </w:r>
      <w:r>
        <w:t xml:space="preserve">they did not know268 (see Figure 4 below)269.</w:t>
      </w:r>
    </w:p>
    <w:p>
      <w:pPr>
        <w:pStyle w:val="BodyText"/>
      </w:pPr>
      <w:r>
        <w:t xml:space="preserve">Figure 4 – Would the removal of the market share thresholds for technology markets help</w:t>
      </w:r>
      <w:r>
        <w:t xml:space="preserve"> </w:t>
      </w:r>
      <w:r>
        <w:t xml:space="preserve">achieve the objectives of the TTBER?</w:t>
      </w:r>
    </w:p>
    <w:p>
      <w:pPr>
        <w:pStyle w:val="BodyText"/>
      </w:pPr>
      <w:r>
        <w:t xml:space="preserve">When asked whether replacing the TTBER’s market share thresholds for technology markets</w:t>
      </w:r>
      <w:r>
        <w:t xml:space="preserve"> </w:t>
      </w:r>
      <w:r>
        <w:t xml:space="preserve">with a condition based on the existence of a certain number of independently controlled</w:t>
      </w:r>
      <w:r>
        <w:t xml:space="preserve"> </w:t>
      </w:r>
      <w:r>
        <w:t xml:space="preserve">substitute technologies would achieve the objectives of the TTBER, 5 respondents270</w:t>
      </w:r>
      <w:r>
        <w:t xml:space="preserve"> </w:t>
      </w:r>
      <w:r>
        <w:t xml:space="preserve">answered “Yes”, 7 respondents271 answered “No” and 2 respondents272 answered “Do not</w:t>
      </w:r>
      <w:r>
        <w:t xml:space="preserve"> </w:t>
      </w:r>
      <w:r>
        <w:t xml:space="preserve">know” (see Figure 5 below)273.</w:t>
      </w:r>
    </w:p>
    <w:p>
      <w:pPr>
        <w:pStyle w:val="BodyText"/>
      </w:pPr>
      <w:r>
        <w:t xml:space="preserve">264 See the responses to Question 2.31.1.2. 3 respondents confirmed that – when faced with practical difficulties</w:t>
      </w:r>
      <w:r>
        <w:t xml:space="preserve"> </w:t>
      </w:r>
      <w:r>
        <w:t xml:space="preserve">in applying the 4+ test – they still entered into the technology transfer agreement (albeit with insufficient</w:t>
      </w:r>
      <w:r>
        <w:t xml:space="preserve"> </w:t>
      </w:r>
      <w:r>
        <w:t xml:space="preserve">legal certainty), while 2 responded that they abandoned the technology transfer agreement.</w:t>
      </w:r>
      <w:r>
        <w:t xml:space="preserve"> </w:t>
      </w:r>
      <w:r>
        <w:t xml:space="preserve">265 See Question 2.32.</w:t>
      </w:r>
      <w:r>
        <w:t xml:space="preserve"> </w:t>
      </w:r>
      <w:r>
        <w:t xml:space="preserve">266 4 businesses and 2 business associations.</w:t>
      </w:r>
      <w:r>
        <w:t xml:space="preserve"> </w:t>
      </w:r>
      <w:r>
        <w:t xml:space="preserve">267 2 /businesses, 1 academic/research institution and 1 other.</w:t>
      </w:r>
      <w:r>
        <w:t xml:space="preserve"> </w:t>
      </w:r>
      <w:r>
        <w:t xml:space="preserve">268 All businesses.</w:t>
      </w:r>
      <w:r>
        <w:t xml:space="preserve"> </w:t>
      </w:r>
      <w:r>
        <w:t xml:space="preserve">269 21 respondents did not answer this question.</w:t>
      </w:r>
      <w:r>
        <w:t xml:space="preserve"> </w:t>
      </w:r>
      <w:r>
        <w:t xml:space="preserve">270 3 businesses, 1 academic/research institution and 1 business association.</w:t>
      </w:r>
      <w:r>
        <w:t xml:space="preserve"> </w:t>
      </w:r>
      <w:r>
        <w:t xml:space="preserve">271 5 /businesses, 1 business association and 1 other.</w:t>
      </w:r>
      <w:r>
        <w:t xml:space="preserve"> </w:t>
      </w:r>
      <w:r>
        <w:t xml:space="preserve">272 2 businesses.</w:t>
      </w:r>
      <w:r>
        <w:t xml:space="preserve"> </w:t>
      </w:r>
      <w:r>
        <w:t xml:space="preserve">273 20 respondents did not answer the question.</w:t>
      </w:r>
      <w:r>
        <w:t xml:space="preserve"> </w:t>
      </w:r>
      <w:r>
        <w:t xml:space="preserve">23%</w:t>
      </w:r>
      <w:r>
        <w:t xml:space="preserve"> </w:t>
      </w:r>
      <w:r>
        <w:t xml:space="preserve">31%</w:t>
      </w:r>
      <w:r>
        <w:t xml:space="preserve"> </w:t>
      </w:r>
      <w:r>
        <w:t xml:space="preserve">46%</w:t>
      </w:r>
      <w:r>
        <w:t xml:space="preserve"> </w:t>
      </w:r>
      <w:r>
        <w:t xml:space="preserve">Do not know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Figure 5 – Would replacing the market share thresholds for technology markets with a</w:t>
      </w:r>
      <w:r>
        <w:t xml:space="preserve"> </w:t>
      </w:r>
      <w:r>
        <w:t xml:space="preserve">condition based on the existence of substitute technologies help achieve the objectives of the</w:t>
      </w:r>
      <w:r>
        <w:t xml:space="preserve"> </w:t>
      </w:r>
      <w:r>
        <w:t xml:space="preserve">TTBER?</w:t>
      </w:r>
    </w:p>
    <w:p>
      <w:pPr>
        <w:pStyle w:val="BodyText"/>
      </w:pPr>
      <w:r>
        <w:t xml:space="preserve">When asked whether the application of the TTBER’s market share thresholds for technology</w:t>
      </w:r>
      <w:r>
        <w:t xml:space="preserve"> </w:t>
      </w:r>
      <w:r>
        <w:t xml:space="preserve">markets could be improved by providing for alternative methodologies or metrics for</w:t>
      </w:r>
      <w:r>
        <w:t xml:space="preserve"> </w:t>
      </w:r>
      <w:r>
        <w:t xml:space="preserve">calculating market shares in addition to the footprint methodology274, the results were also</w:t>
      </w:r>
      <w:r>
        <w:t xml:space="preserve"> </w:t>
      </w:r>
      <w:r>
        <w:t xml:space="preserve">mixed: 4 respondents answered positively275, 5 respondents276 answered negatively and 4277</w:t>
      </w:r>
      <w:r>
        <w:t xml:space="preserve"> </w:t>
      </w:r>
      <w:r>
        <w:t xml:space="preserve">answered that they did not know278.</w:t>
      </w:r>
      <w:r>
        <w:t xml:space="preserve"> </w:t>
      </w:r>
      <w:r>
        <w:t xml:space="preserve">In the same vein, some respondents to the call for evidence reported practical difficulties</w:t>
      </w:r>
      <w:r>
        <w:t xml:space="preserve"> </w:t>
      </w:r>
      <w:r>
        <w:t xml:space="preserve">when calculating market share thresholds in technology markets, arguing that it is difficult to</w:t>
      </w:r>
      <w:r>
        <w:t xml:space="preserve"> </w:t>
      </w:r>
      <w:r>
        <w:t xml:space="preserve">define market boundaries, identify substitutes, or measure market shares. They stressed that</w:t>
      </w:r>
      <w:r>
        <w:t xml:space="preserve"> </w:t>
      </w:r>
      <w:r>
        <w:t xml:space="preserve">technology markets evolve quickly, often revolve around early-stage innovation rather than</w:t>
      </w:r>
      <w:r>
        <w:t xml:space="preserve"> </w:t>
      </w:r>
      <w:r>
        <w:t xml:space="preserve">commercialised products, and may be inherently concentrated without implying harm to</w:t>
      </w:r>
      <w:r>
        <w:t xml:space="preserve"> </w:t>
      </w:r>
      <w:r>
        <w:t xml:space="preserve">competition. As a result, some stakeholders called for greater flexibility, for example by</w:t>
      </w:r>
      <w:r>
        <w:t xml:space="preserve"> </w:t>
      </w:r>
      <w:r>
        <w:t xml:space="preserve">placing less emphasis on market share calculations or by substituting them with an</w:t>
      </w:r>
      <w:r>
        <w:t xml:space="preserve"> </w:t>
      </w:r>
      <w:r>
        <w:t xml:space="preserve">assessment centred on the availability of substitute technologies rather than strict percentage-</w:t>
      </w:r>
      <w:r>
        <w:t xml:space="preserve"> </w:t>
      </w:r>
      <w:r>
        <w:t xml:space="preserve">based thresholds. Overall, the respondents who commented on the market share thresholds</w:t>
      </w:r>
      <w:r>
        <w:t xml:space="preserve"> </w:t>
      </w:r>
      <w:r>
        <w:t xml:space="preserve">suggested clarifying and simplifying their operation.</w:t>
      </w:r>
      <w:r>
        <w:t xml:space="preserve"> </w:t>
      </w:r>
      <w:r>
        <w:t xml:space="preserve">(iii)</w:t>
      </w:r>
      <w:r>
        <w:t xml:space="preserve"> </w:t>
      </w:r>
      <w:r>
        <w:t xml:space="preserve">Licensing negotiation groups (“LNGs”)</w:t>
      </w:r>
      <w:r>
        <w:t xml:space="preserve"> </w:t>
      </w:r>
      <w:r>
        <w:t xml:space="preserve">Respondents to the public consultation questionnaire were divided over whether the</w:t>
      </w:r>
      <w:r>
        <w:t xml:space="preserve"> </w:t>
      </w:r>
      <w:r>
        <w:t xml:space="preserve">Commission should provide guidance on the assessment of LNGs under Article 101</w:t>
      </w:r>
      <w:r>
        <w:t xml:space="preserve"> </w:t>
      </w:r>
      <w:r>
        <w:t xml:space="preserve">TFEU279. When asked if the Commission should provide such guidance, 14 respondents280</w:t>
      </w:r>
    </w:p>
    <w:p>
      <w:pPr>
        <w:pStyle w:val="BodyText"/>
      </w:pPr>
      <w:r>
        <w:t xml:space="preserve">274 See Question 2.36.</w:t>
      </w:r>
      <w:r>
        <w:t xml:space="preserve"> </w:t>
      </w:r>
      <w:r>
        <w:t xml:space="preserve">275 2 companies/businesses, 1 business association and other.</w:t>
      </w:r>
      <w:r>
        <w:t xml:space="preserve"> </w:t>
      </w:r>
      <w:r>
        <w:t xml:space="preserve">276 businesses and 1 business association.</w:t>
      </w:r>
      <w:r>
        <w:t xml:space="preserve"> </w:t>
      </w:r>
      <w:r>
        <w:t xml:space="preserve">277 3 businesses and 1 academic/research institution.</w:t>
      </w:r>
      <w:r>
        <w:t xml:space="preserve"> </w:t>
      </w:r>
      <w:r>
        <w:t xml:space="preserve">278 21 respondents did not answer the question.</w:t>
      </w:r>
      <w:r>
        <w:t xml:space="preserve"> </w:t>
      </w:r>
      <w:r>
        <w:t xml:space="preserve">279 See Question 3.22.</w:t>
      </w:r>
      <w:r>
        <w:t xml:space="preserve"> </w:t>
      </w:r>
      <w:r>
        <w:t xml:space="preserve">280 8 businesses, 4 business associations and 2 others. 5 of these respondents are active as a licensor and a licensee to an</w:t>
      </w:r>
      <w:r>
        <w:t xml:space="preserve"> </w:t>
      </w:r>
      <w:r>
        <w:t xml:space="preserve">equal extent or are organisations representing both licensors and licensees to an equal extent, 8 are active only as</w:t>
      </w:r>
      <w:r>
        <w:t xml:space="preserve"> </w:t>
      </w:r>
      <w:r>
        <w:t xml:space="preserve">licensees or are organisations representing primarily licensees and 1 is neither a licensor nor a licensee nor an</w:t>
      </w:r>
      <w:r>
        <w:t xml:space="preserve"> </w:t>
      </w:r>
      <w:r>
        <w:t xml:space="preserve">organisation representing them.</w:t>
      </w:r>
    </w:p>
    <w:p>
      <w:pPr>
        <w:pStyle w:val="BodyText"/>
      </w:pPr>
      <w:r>
        <w:t xml:space="preserve">14%</w:t>
      </w:r>
      <w:r>
        <w:t xml:space="preserve"> </w:t>
      </w:r>
      <w:r>
        <w:t xml:space="preserve">50%</w:t>
      </w:r>
      <w:r>
        <w:t xml:space="preserve"> </w:t>
      </w:r>
      <w:r>
        <w:t xml:space="preserve">36%</w:t>
      </w:r>
      <w:r>
        <w:t xml:space="preserve"> </w:t>
      </w:r>
      <w:r>
        <w:t xml:space="preserve">Do not know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answered positively, 12 respondents281 answered negatively, and 3 respondents282 answered</w:t>
      </w:r>
      <w:r>
        <w:t xml:space="preserve"> </w:t>
      </w:r>
      <w:r>
        <w:t xml:space="preserve">that they did not know (see Figure 6 below)283.</w:t>
      </w:r>
      <w:r>
        <w:t xml:space="preserve"> </w:t>
      </w:r>
      <w:r>
        <w:t xml:space="preserve">Figure 6 – Should the Commission provide guidance on LNGs?</w:t>
      </w:r>
    </w:p>
    <w:p>
      <w:pPr>
        <w:pStyle w:val="BodyText"/>
      </w:pPr>
      <w:r>
        <w:t xml:space="preserve">Regarding the possible anti-competitive effects of LNGs284, stakeholders mentioned less</w:t>
      </w:r>
      <w:r>
        <w:t xml:space="preserve"> </w:t>
      </w:r>
      <w:r>
        <w:t xml:space="preserve">innovation in the market resulting from lower R&amp;D investment by technology owners</w:t>
      </w:r>
      <w:r>
        <w:t xml:space="preserve"> </w:t>
      </w:r>
      <w:r>
        <w:t xml:space="preserve">(12 responses), lower quality or choice of downstream products (10), and higher downstream</w:t>
      </w:r>
      <w:r>
        <w:t xml:space="preserve"> </w:t>
      </w:r>
      <w:r>
        <w:t xml:space="preserve">prices (7).</w:t>
      </w:r>
      <w:r>
        <w:t xml:space="preserve"> </w:t>
      </w:r>
      <w:r>
        <w:t xml:space="preserve">Regarding the possible pro-competitive effects of LNGs285, stakeholders mentioned lower</w:t>
      </w:r>
      <w:r>
        <w:t xml:space="preserve"> </w:t>
      </w:r>
      <w:r>
        <w:t xml:space="preserve">downstream prices (12 responses), higher quality or more choice for downstream products</w:t>
      </w:r>
      <w:r>
        <w:t xml:space="preserve"> </w:t>
      </w:r>
      <w:r>
        <w:t xml:space="preserve">(12), and increased innovation in the market from licensees, including follow-on innovation</w:t>
      </w:r>
      <w:r>
        <w:t xml:space="preserve"> </w:t>
      </w:r>
      <w:r>
        <w:t xml:space="preserve">(12).</w:t>
      </w:r>
      <w:r>
        <w:t xml:space="preserve"> </w:t>
      </w:r>
      <w:r>
        <w:t xml:space="preserve">Similarly to the replies to the public consultation, stakeholder feedback to the call for</w:t>
      </w:r>
      <w:r>
        <w:t xml:space="preserve"> </w:t>
      </w:r>
      <w:r>
        <w:t xml:space="preserve">evidence was also highly polarised, with a clear divide between technology implementers</w:t>
      </w:r>
      <w:r>
        <w:t xml:space="preserve"> </w:t>
      </w:r>
      <w:r>
        <w:t xml:space="preserve">(who view LNGs as potentially beneficial) and technology owners/pool administrators (who</w:t>
      </w:r>
      <w:r>
        <w:t xml:space="preserve"> </w:t>
      </w:r>
      <w:r>
        <w:t xml:space="preserve">are strongly sceptical or opposed). On the one hand, implementers considered LNGs to be</w:t>
      </w:r>
      <w:r>
        <w:t xml:space="preserve"> </w:t>
      </w:r>
      <w:r>
        <w:t xml:space="preserve">potentially pro-competitive, arguing that they could help address “collective-action</w:t>
      </w:r>
      <w:r>
        <w:t xml:space="preserve"> </w:t>
      </w:r>
      <w:r>
        <w:t xml:space="preserve">problems” faced in SEP licensing. These stakeholders claimed that implementers may be</w:t>
      </w:r>
      <w:r>
        <w:t xml:space="preserve"> </w:t>
      </w:r>
      <w:r>
        <w:t xml:space="preserve">reluctant to take licences unless their competitors do the same, and that LNGs could provide</w:t>
      </w:r>
      <w:r>
        <w:t xml:space="preserve"> </w:t>
      </w:r>
      <w:r>
        <w:t xml:space="preserve">a structured mechanism to achieve balanced negotiations, reduce transaction costs, and limit</w:t>
      </w:r>
      <w:r>
        <w:t xml:space="preserve"> </w:t>
      </w:r>
      <w:r>
        <w:t xml:space="preserve">opportunities for patent hold-up. They therefore encouraged the Commission to consider</w:t>
      </w:r>
      <w:r>
        <w:t xml:space="preserve"> </w:t>
      </w:r>
      <w:r>
        <w:t xml:space="preserve">LNGs as legitimate coordination tools, subject to appropriate safeguards. On the other hand,</w:t>
      </w:r>
      <w:r>
        <w:t xml:space="preserve"> </w:t>
      </w:r>
      <w:r>
        <w:t xml:space="preserve">technology owners and pool administrators expressed strong reservations about LNGs. They</w:t>
      </w:r>
      <w:r>
        <w:t xml:space="preserve"> </w:t>
      </w:r>
      <w:r>
        <w:t xml:space="preserve">warned that LNGs may function as buyer cartels, enabling downstream competitors to</w:t>
      </w:r>
    </w:p>
    <w:p>
      <w:pPr>
        <w:pStyle w:val="BodyText"/>
      </w:pPr>
      <w:r>
        <w:t xml:space="preserve">281 10 businesses, 1 business association and 1 other. 7 of these respondents are active as a licensor and a licensee to an</w:t>
      </w:r>
      <w:r>
        <w:t xml:space="preserve"> </w:t>
      </w:r>
      <w:r>
        <w:t xml:space="preserve">equal extent or are organisations representing both licensors and licensees to an equal extent and 5 are active only as</w:t>
      </w:r>
      <w:r>
        <w:t xml:space="preserve"> </w:t>
      </w:r>
      <w:r>
        <w:t xml:space="preserve">licensors or are organisations representing primarily licensors.</w:t>
      </w:r>
    </w:p>
    <w:p>
      <w:pPr>
        <w:pStyle w:val="BodyText"/>
      </w:pPr>
      <w:r>
        <w:t xml:space="preserve">282 1 academic/research institution, 1 business association and 1 company/business. 1 of these respondents is active as a</w:t>
      </w:r>
      <w:r>
        <w:t xml:space="preserve"> </w:t>
      </w:r>
      <w:r>
        <w:t xml:space="preserve">licensor and a licensee to an equal extent or is an organisation representing both licensors and licensees to an equal</w:t>
      </w:r>
      <w:r>
        <w:t xml:space="preserve"> </w:t>
      </w:r>
      <w:r>
        <w:t xml:space="preserve">extent, 1 is active only as a licensee or is an organisation representing primarily licensees and 1 is neither a licensor nor a</w:t>
      </w:r>
      <w:r>
        <w:t xml:space="preserve"> </w:t>
      </w:r>
      <w:r>
        <w:t xml:space="preserve">licensee nor an organisation representing them.</w:t>
      </w:r>
    </w:p>
    <w:p>
      <w:pPr>
        <w:pStyle w:val="BodyText"/>
      </w:pPr>
      <w:r>
        <w:t xml:space="preserve">283 Moreover, 5 respondents did not answer the question.</w:t>
      </w:r>
      <w:r>
        <w:t xml:space="preserve"> </w:t>
      </w:r>
      <w:r>
        <w:t xml:space="preserve">284 See Question 3.23.</w:t>
      </w:r>
      <w:r>
        <w:t xml:space="preserve"> </w:t>
      </w:r>
      <w:r>
        <w:t xml:space="preserve">285 See Question 3.24.</w:t>
      </w:r>
      <w:r>
        <w:t xml:space="preserve"> </w:t>
      </w:r>
      <w:r>
        <w:t xml:space="preserve">10%</w:t>
      </w:r>
      <w:r>
        <w:t xml:space="preserve"> </w:t>
      </w:r>
      <w:r>
        <w:t xml:space="preserve">41%</w:t>
      </w:r>
      <w:r>
        <w:t xml:space="preserve"> </w:t>
      </w:r>
      <w:r>
        <w:t xml:space="preserve">48%</w:t>
      </w:r>
      <w:r>
        <w:t xml:space="preserve"> </w:t>
      </w:r>
      <w:r>
        <w:t xml:space="preserve">Do not know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coordinate on licensing strategies, share sensitive information and exert joint bargaining</w:t>
      </w:r>
      <w:r>
        <w:t xml:space="preserve"> </w:t>
      </w:r>
      <w:r>
        <w:t xml:space="preserve">power on patent owners. Many noted that LNGs could facilitate collective hold-out and delay</w:t>
      </w:r>
      <w:r>
        <w:t xml:space="preserve"> </w:t>
      </w:r>
      <w:r>
        <w:t xml:space="preserve">negotiations. Several emphasised the absence of any meaningful practical experience with</w:t>
      </w:r>
      <w:r>
        <w:t xml:space="preserve"> </w:t>
      </w:r>
      <w:r>
        <w:t xml:space="preserve">LNGs in Europe, arguing that their competitive effects remain uncertain at best and</w:t>
      </w:r>
      <w:r>
        <w:t xml:space="preserve"> </w:t>
      </w:r>
      <w:r>
        <w:t xml:space="preserve">potentially harmful. These stakeholders also opposed introducing a soft safe harbour for</w:t>
      </w:r>
      <w:r>
        <w:t xml:space="preserve"> </w:t>
      </w:r>
      <w:r>
        <w:t xml:space="preserve">LNGs, arguing that LNGs should be assessed on a case-by-case basis, and that safe-harbour</w:t>
      </w:r>
      <w:r>
        <w:t xml:space="preserve"> </w:t>
      </w:r>
      <w:r>
        <w:t xml:space="preserve">treatment would risk legitimising forms of coordination that are incompatible with Article</w:t>
      </w:r>
      <w:r>
        <w:t xml:space="preserve"> </w:t>
      </w:r>
      <w:r>
        <w:t xml:space="preserve">101 TFEU.</w:t>
      </w:r>
      <w:r>
        <w:t xml:space="preserve"> </w:t>
      </w:r>
      <w:r>
        <w:t xml:space="preserve">(iv)</w:t>
      </w:r>
      <w:r>
        <w:t xml:space="preserve"> </w:t>
      </w:r>
      <w:r>
        <w:t xml:space="preserve">Guidance on technology pools and other updates to the rules</w:t>
      </w:r>
      <w:r>
        <w:t xml:space="preserve"> </w:t>
      </w:r>
      <w:r>
        <w:t xml:space="preserve">In the public consultation questionnaire, stakeholders were asked whether improvements</w:t>
      </w:r>
      <w:r>
        <w:t xml:space="preserve"> </w:t>
      </w:r>
      <w:r>
        <w:t xml:space="preserve">were needed to the soft safe harbour for technology pools. Overall, respondents considered</w:t>
      </w:r>
      <w:r>
        <w:t xml:space="preserve"> </w:t>
      </w:r>
      <w:r>
        <w:t xml:space="preserve">that the framework functions well, with mixed views as to which adjustments could improve</w:t>
      </w:r>
      <w:r>
        <w:t xml:space="preserve"> </w:t>
      </w:r>
      <w:r>
        <w:t xml:space="preserve">its operation.</w:t>
      </w:r>
      <w:r>
        <w:br/>
      </w:r>
      <w:r>
        <w:t xml:space="preserve">On the question whether there is a need for specific improvements to ensure that only</w:t>
      </w:r>
      <w:r>
        <w:t xml:space="preserve"> </w:t>
      </w:r>
      <w:r>
        <w:t xml:space="preserve">technologies essential to a standard are included in the pool286, respondents were almost</w:t>
      </w:r>
      <w:r>
        <w:t xml:space="preserve"> </w:t>
      </w:r>
      <w:r>
        <w:t xml:space="preserve">equally divided: 15 respondents287 answered affirmatively while 14 respondents288 answered</w:t>
      </w:r>
      <w:r>
        <w:t xml:space="preserve"> </w:t>
      </w:r>
      <w:r>
        <w:t xml:space="preserve">negatively (see Figure 7 below)289.</w:t>
      </w:r>
    </w:p>
    <w:p>
      <w:pPr>
        <w:pStyle w:val="BodyText"/>
      </w:pPr>
      <w:r>
        <w:t xml:space="preserve">Figure 7 – Are there any specific improvements needed to ensure that only essential patents</w:t>
      </w:r>
      <w:r>
        <w:t xml:space="preserve"> </w:t>
      </w:r>
      <w:r>
        <w:t xml:space="preserve">are included in technology pools within the soft safe harbour?</w:t>
      </w:r>
    </w:p>
    <w:p>
      <w:pPr>
        <w:pStyle w:val="BodyText"/>
      </w:pPr>
      <w:r>
        <w:t xml:space="preserve">286 See Question 3.6.</w:t>
      </w:r>
      <w:r>
        <w:t xml:space="preserve"> </w:t>
      </w:r>
      <w:r>
        <w:t xml:space="preserve">287 7 businesses, 6 business associations and 2 others. 6 of these respondents are active as a licensor and a</w:t>
      </w:r>
      <w:r>
        <w:t xml:space="preserve"> </w:t>
      </w:r>
      <w:r>
        <w:t xml:space="preserve">licensee to an equal extent or are organisations representing both licensors and licensees to an equal extent, 8</w:t>
      </w:r>
      <w:r>
        <w:t xml:space="preserve"> </w:t>
      </w:r>
      <w:r>
        <w:t xml:space="preserve">are active only as licensees or are organisations representing primarily licensees and 1 is active only as</w:t>
      </w:r>
      <w:r>
        <w:t xml:space="preserve"> </w:t>
      </w:r>
      <w:r>
        <w:t xml:space="preserve">licensor or is an organisation representing primarily licensors.</w:t>
      </w:r>
    </w:p>
    <w:p>
      <w:pPr>
        <w:pStyle w:val="BodyText"/>
      </w:pPr>
      <w:r>
        <w:t xml:space="preserve">288 12 businesses, 1 business association and 1 academic/research institution. 7 of these respondents are active</w:t>
      </w:r>
      <w:r>
        <w:t xml:space="preserve"> </w:t>
      </w:r>
      <w:r>
        <w:t xml:space="preserve">as a licensor and a licensee to an equal extent or are organisations representing both licensors and licensees</w:t>
      </w:r>
      <w:r>
        <w:t xml:space="preserve"> </w:t>
      </w:r>
      <w:r>
        <w:t xml:space="preserve">to an equal extent, 5 are active only as licensors or are organisations representing primarily licensors, 1 is</w:t>
      </w:r>
      <w:r>
        <w:t xml:space="preserve"> </w:t>
      </w:r>
      <w:r>
        <w:t xml:space="preserve">active only as a licensee or is an organisation representing primarily licensees, and 1 is neither a licensor nor</w:t>
      </w:r>
      <w:r>
        <w:t xml:space="preserve"> </w:t>
      </w:r>
      <w:r>
        <w:t xml:space="preserve">licensee nor an organisation representing them.</w:t>
      </w:r>
      <w:r>
        <w:t xml:space="preserve"> </w:t>
      </w:r>
      <w:r>
        <w:t xml:space="preserve">289 5 respondents did not answer this question.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In response to a question about whether there is too much information exchange between</w:t>
      </w:r>
      <w:r>
        <w:t xml:space="preserve"> </w:t>
      </w:r>
      <w:r>
        <w:t xml:space="preserve">technology pools and their members290, 14 respondents291 answered “No”, 11 respondents292</w:t>
      </w:r>
      <w:r>
        <w:t xml:space="preserve"> </w:t>
      </w:r>
      <w:r>
        <w:t xml:space="preserve">answered “Yes” and 4 respondents293 answered that they did not know294.</w:t>
      </w:r>
      <w:r>
        <w:t xml:space="preserve"> </w:t>
      </w:r>
      <w:r>
        <w:t xml:space="preserve">Figure 8 below295 reports on the feedback to questions relating to the transparency of</w:t>
      </w:r>
      <w:r>
        <w:t xml:space="preserve"> </w:t>
      </w:r>
      <w:r>
        <w:t xml:space="preserve">technology pools296. There was a relatively clear division of views between technology</w:t>
      </w:r>
      <w:r>
        <w:t xml:space="preserve"> </w:t>
      </w:r>
      <w:r>
        <w:t xml:space="preserve">implementers – who advocated for increased transparency – and technology owners, who did</w:t>
      </w:r>
      <w:r>
        <w:t xml:space="preserve"> </w:t>
      </w:r>
      <w:r>
        <w:t xml:space="preserve">not see a need for it.</w:t>
      </w:r>
      <w:r>
        <w:t xml:space="preserve"> </w:t>
      </w:r>
      <w:r>
        <w:t xml:space="preserve">Figure 8 - Do you believe that the Guidelines adequately address the need for transparency</w:t>
      </w:r>
      <w:r>
        <w:t xml:space="preserve"> </w:t>
      </w:r>
      <w:r>
        <w:t xml:space="preserve">in relation to the following issues?</w:t>
      </w:r>
    </w:p>
    <w:p>
      <w:pPr>
        <w:pStyle w:val="BodyText"/>
      </w:pPr>
      <w:r>
        <w:t xml:space="preserve">When asked whether they had experienced issues with double dipping or overlapping patents</w:t>
      </w:r>
      <w:r>
        <w:t xml:space="preserve"> </w:t>
      </w:r>
      <w:r>
        <w:t xml:space="preserve">when dealing with technology pools297, 13 respondents298 answered “Yes”, 12 respondents299</w:t>
      </w:r>
      <w:r>
        <w:t xml:space="preserve"> </w:t>
      </w:r>
      <w:r>
        <w:t xml:space="preserve">answered “No”, and 4 respondents300 answered “Do not know”301.</w:t>
      </w:r>
    </w:p>
    <w:p>
      <w:pPr>
        <w:pStyle w:val="BodyText"/>
      </w:pPr>
      <w:r>
        <w:t xml:space="preserve">290 See Question 3.10.</w:t>
      </w:r>
      <w:r>
        <w:t xml:space="preserve"> </w:t>
      </w:r>
      <w:r>
        <w:t xml:space="preserve">291 11 businesses, 2 businesses associations and 1 other. 9 of these respondents are active as a licensor and 5 are</w:t>
      </w:r>
      <w:r>
        <w:t xml:space="preserve"> </w:t>
      </w:r>
      <w:r>
        <w:t xml:space="preserve">active only as licensors or are organisations representing primarily licensors.</w:t>
      </w:r>
      <w:r>
        <w:br/>
      </w:r>
      <w:r>
        <w:t xml:space="preserve">292 6 businesses, 4 business associations and 1 other. 3 of these respondents are active as a licensor and a</w:t>
      </w:r>
      <w:r>
        <w:t xml:space="preserve"> </w:t>
      </w:r>
      <w:r>
        <w:t xml:space="preserve">licensee to an equal extent or are organisations representing both licensors and licensees to an equal extent</w:t>
      </w:r>
      <w:r>
        <w:t xml:space="preserve"> </w:t>
      </w:r>
      <w:r>
        <w:t xml:space="preserve">and 8 are active only as licensees or are organisations representing primarily licensees</w:t>
      </w:r>
      <w:r>
        <w:br/>
      </w:r>
      <w:r>
        <w:t xml:space="preserve">293 2 businesses, 1 business association and 1 academic/research institution. 2 of these respondents are active as</w:t>
      </w:r>
      <w:r>
        <w:t xml:space="preserve"> </w:t>
      </w:r>
      <w:r>
        <w:t xml:space="preserve">a licensor and a licensee to an equal extent or are organisations representing both licensors and licensees to</w:t>
      </w:r>
      <w:r>
        <w:t xml:space="preserve"> </w:t>
      </w:r>
      <w:r>
        <w:t xml:space="preserve">an equal extent, 1 is active only as a licensee or is an organisation representing primarily licensees and 1 is</w:t>
      </w:r>
      <w:r>
        <w:t xml:space="preserve"> </w:t>
      </w:r>
      <w:r>
        <w:t xml:space="preserve">neither a licensor nor licensee nor an organisation representing them.</w:t>
      </w:r>
    </w:p>
    <w:p>
      <w:pPr>
        <w:pStyle w:val="BodyText"/>
      </w:pPr>
      <w:r>
        <w:t xml:space="preserve">294 5 respondents did not answer this question.</w:t>
      </w:r>
      <w:r>
        <w:t xml:space="preserve"> </w:t>
      </w:r>
      <w:r>
        <w:t xml:space="preserve">295 29 respondents answered the first five questions, while 28 answered the last one (on the “adequate</w:t>
      </w:r>
      <w:r>
        <w:t xml:space="preserve"> </w:t>
      </w:r>
      <w:r>
        <w:t xml:space="preserve">transparency on the information on licensees of the technology pool”).</w:t>
      </w:r>
      <w:r>
        <w:t xml:space="preserve"> </w:t>
      </w:r>
      <w:r>
        <w:t xml:space="preserve">296 See Question 3.15.</w:t>
      </w:r>
      <w:r>
        <w:t xml:space="preserve"> </w:t>
      </w:r>
      <w:r>
        <w:t xml:space="preserve">297 See Question 3.17.</w:t>
      </w:r>
      <w:r>
        <w:t xml:space="preserve"> </w:t>
      </w:r>
      <w:r>
        <w:t xml:space="preserve">298 8 businesses, 4 business associations and 1 other.</w:t>
      </w:r>
      <w:r>
        <w:t xml:space="preserve"> </w:t>
      </w:r>
      <w:r>
        <w:t xml:space="preserve">299 8 businesses, 3 business associations and 1 other.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41%</w:t>
      </w:r>
      <w:r>
        <w:t xml:space="preserve"> </w:t>
      </w:r>
      <w:r>
        <w:t xml:space="preserve">45%</w:t>
      </w:r>
      <w:r>
        <w:t xml:space="preserve"> </w:t>
      </w:r>
      <w:r>
        <w:t xml:space="preserve">52%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46%</w:t>
      </w:r>
      <w:r>
        <w:t xml:space="preserve"> </w:t>
      </w:r>
      <w:r>
        <w:t xml:space="preserve">52%</w:t>
      </w:r>
      <w:r>
        <w:t xml:space="preserve"> </w:t>
      </w:r>
      <w:r>
        <w:t xml:space="preserve">52%</w:t>
      </w:r>
      <w:r>
        <w:t xml:space="preserve"> </w:t>
      </w:r>
      <w:r>
        <w:t xml:space="preserve">45%</w:t>
      </w:r>
      <w:r>
        <w:t xml:space="preserve"> </w:t>
      </w:r>
      <w:r>
        <w:t xml:space="preserve">59%</w:t>
      </w:r>
      <w:r>
        <w:t xml:space="preserve"> </w:t>
      </w:r>
      <w:r>
        <w:t xml:space="preserve">55%</w:t>
      </w:r>
      <w:r>
        <w:t xml:space="preserve"> </w:t>
      </w:r>
      <w:r>
        <w:t xml:space="preserve">46%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Governance of technology pools</w:t>
      </w:r>
      <w:r>
        <w:t xml:space="preserve"> </w:t>
      </w:r>
      <w:r>
        <w:t xml:space="preserve">Essentiality of the patents included in the</w:t>
      </w:r>
      <w:r>
        <w:t xml:space="preserve"> </w:t>
      </w:r>
      <w:r>
        <w:t xml:space="preserve">pool</w:t>
      </w:r>
      <w:r>
        <w:t xml:space="preserve"> </w:t>
      </w:r>
      <w:r>
        <w:t xml:space="preserve">Calculation of royalties in the technology</w:t>
      </w:r>
      <w:r>
        <w:t xml:space="preserve"> </w:t>
      </w:r>
      <w:r>
        <w:t xml:space="preserve">pool</w:t>
      </w:r>
      <w:r>
        <w:t xml:space="preserve"> </w:t>
      </w:r>
      <w:r>
        <w:t xml:space="preserve">Information on the technologies included</w:t>
      </w:r>
      <w:r>
        <w:t xml:space="preserve"> </w:t>
      </w:r>
      <w:r>
        <w:t xml:space="preserve">in the pool</w:t>
      </w:r>
      <w:r>
        <w:t xml:space="preserve"> </w:t>
      </w:r>
      <w:r>
        <w:t xml:space="preserve">Information on contributors to the</w:t>
      </w:r>
      <w:r>
        <w:t xml:space="preserve"> </w:t>
      </w:r>
      <w:r>
        <w:t xml:space="preserve">technology pool</w:t>
      </w:r>
      <w:r>
        <w:t xml:space="preserve"> </w:t>
      </w:r>
      <w:r>
        <w:t xml:space="preserve">information on licensees of the</w:t>
      </w:r>
      <w:r>
        <w:t xml:space="preserve"> </w:t>
      </w:r>
      <w:r>
        <w:t xml:space="preserve">technology pool</w:t>
      </w:r>
      <w:r>
        <w:t xml:space="preserve"> </w:t>
      </w:r>
      <w:r>
        <w:t xml:space="preserve">Do not know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Similar feedback was provided in response to the call for evidence, with stakeholders</w:t>
      </w:r>
      <w:r>
        <w:t xml:space="preserve"> </w:t>
      </w:r>
      <w:r>
        <w:t xml:space="preserve">broadly recognising the pro-competitive role of technology pools, particularly in sectors</w:t>
      </w:r>
      <w:r>
        <w:t xml:space="preserve"> </w:t>
      </w:r>
      <w:r>
        <w:t xml:space="preserve">relying on SEPs. Respondents representing SEP holders, pool administrators and R&amp;D-</w:t>
      </w:r>
      <w:r>
        <w:t xml:space="preserve"> </w:t>
      </w:r>
      <w:r>
        <w:t xml:space="preserve">intensive companies emphasised that pools reduce transaction costs, prevent royalty stacking,</w:t>
      </w:r>
      <w:r>
        <w:t xml:space="preserve"> </w:t>
      </w:r>
      <w:r>
        <w:t xml:space="preserve">facilitate access to technology - especially for SMEs - and contribute to greater licensing</w:t>
      </w:r>
      <w:r>
        <w:t xml:space="preserve"> </w:t>
      </w:r>
      <w:r>
        <w:t xml:space="preserve">transparency. These stakeholders generally considered the current soft safe harbour to be</w:t>
      </w:r>
      <w:r>
        <w:t xml:space="preserve"> </w:t>
      </w:r>
      <w:r>
        <w:t xml:space="preserve">appropriate and effective.</w:t>
      </w:r>
      <w:r>
        <w:br/>
      </w:r>
      <w:r>
        <w:t xml:space="preserve">A smaller group of stakeholders representing implementers acknowledged the usefulness of</w:t>
      </w:r>
      <w:r>
        <w:t xml:space="preserve"> </w:t>
      </w:r>
      <w:r>
        <w:t xml:space="preserve">pools but raised concerns about certain practices, including inconsistent essentiality</w:t>
      </w:r>
      <w:r>
        <w:t xml:space="preserve"> </w:t>
      </w:r>
      <w:r>
        <w:t xml:space="preserve">assessments and double dipping (implementers being charged twice for the use of the same</w:t>
      </w:r>
      <w:r>
        <w:t xml:space="preserve"> </w:t>
      </w:r>
      <w:r>
        <w:t xml:space="preserve">rights). They called for clearer guidance to support transparency and ensure that pools do not</w:t>
      </w:r>
      <w:r>
        <w:t xml:space="preserve"> </w:t>
      </w:r>
      <w:r>
        <w:t xml:space="preserve">facilitate market power or weaken FRAND safeguards. Overall, while views differed on the</w:t>
      </w:r>
      <w:r>
        <w:t xml:space="preserve"> </w:t>
      </w:r>
      <w:r>
        <w:t xml:space="preserve">adequacy of existing safeguards, the call for evidence revealed broad support for maintaining</w:t>
      </w:r>
      <w:r>
        <w:t xml:space="preserve"> </w:t>
      </w:r>
      <w:r>
        <w:t xml:space="preserve">the soft safe harbour for technology pools, to be complemented by targeted clarifications</w:t>
      </w:r>
      <w:r>
        <w:t xml:space="preserve"> </w:t>
      </w:r>
      <w:r>
        <w:t xml:space="preserve">rather than structural reforms.</w:t>
      </w:r>
      <w:r>
        <w:t xml:space="preserve"> </w:t>
      </w:r>
      <w:r>
        <w:t xml:space="preserve">The feedback to the call for evidence and public consultation questionnaire also included</w:t>
      </w:r>
      <w:r>
        <w:t xml:space="preserve"> </w:t>
      </w:r>
      <w:r>
        <w:t xml:space="preserve">calls for technical amendments in several other areas, including clarifications to key</w:t>
      </w:r>
      <w:r>
        <w:t xml:space="preserve"> </w:t>
      </w:r>
      <w:r>
        <w:t xml:space="preserve">definitions (e.g. potential competition, active/passive sales), updates to guidance affected by</w:t>
      </w:r>
      <w:r>
        <w:t xml:space="preserve"> </w:t>
      </w:r>
      <w:r>
        <w:t xml:space="preserve">recent case law (e.g. the guidance on patent dispute settlement agreements), and the</w:t>
      </w:r>
      <w:r>
        <w:t xml:space="preserve"> </w:t>
      </w:r>
      <w:r>
        <w:t xml:space="preserve">alignment of certain definitions and provisions of the TTBER and Guidelines with other</w:t>
      </w:r>
      <w:r>
        <w:t xml:space="preserve"> </w:t>
      </w:r>
      <w:r>
        <w:t xml:space="preserve">recently revised block exemption regulations. Practitioner associations emphasised the</w:t>
      </w:r>
      <w:r>
        <w:t xml:space="preserve"> </w:t>
      </w:r>
      <w:r>
        <w:t xml:space="preserve">continued value of the TTBER and Guidelines as sources of legal certainty and encouraged</w:t>
      </w:r>
      <w:r>
        <w:t xml:space="preserve"> </w:t>
      </w:r>
      <w:r>
        <w:t xml:space="preserve">the Commission to undertake targeted rather than structural changes.</w:t>
      </w:r>
      <w:r>
        <w:t xml:space="preserve"> </w:t>
      </w:r>
      <w:r>
        <w:t xml:space="preserve">2.2. Open public consultation on the draft revised TTBER and draft revised Guidelines</w:t>
      </w:r>
      <w:r>
        <w:t xml:space="preserve"> </w:t>
      </w:r>
      <w:r>
        <w:t xml:space="preserve">Between 11 September and 23 October 2025, the Commission held an open public</w:t>
      </w:r>
      <w:r>
        <w:t xml:space="preserve"> </w:t>
      </w:r>
      <w:r>
        <w:t xml:space="preserve">consultation on draft revised TTBER and Guidelines. The drafts were published in all the</w:t>
      </w:r>
      <w:r>
        <w:t xml:space="preserve"> </w:t>
      </w:r>
      <w:r>
        <w:t xml:space="preserve">official EU languages. The consultation generated 46 contributions.</w:t>
      </w:r>
      <w:r>
        <w:t xml:space="preserve"> </w:t>
      </w:r>
      <w:r>
        <w:t xml:space="preserve">Profile of respondents</w:t>
      </w:r>
      <w:r>
        <w:t xml:space="preserve"> </w:t>
      </w:r>
      <w:r>
        <w:t xml:space="preserve">Of the 46 contributions, 19 emanated from business organisations, 16 were business</w:t>
      </w:r>
      <w:r>
        <w:t xml:space="preserve"> </w:t>
      </w:r>
      <w:r>
        <w:t xml:space="preserve">associations (including 2 associations of lawyers), 3 academic/research institutions, 4 public</w:t>
      </w:r>
      <w:r>
        <w:t xml:space="preserve"> </w:t>
      </w:r>
      <w:r>
        <w:t xml:space="preserve">authorities, 2 citizens (1 EU and 1 non-EU) and 1 non-profit organisation (see Figure 1</w:t>
      </w:r>
      <w:r>
        <w:t xml:space="preserve"> </w:t>
      </w:r>
      <w:r>
        <w:t xml:space="preserve">below).</w:t>
      </w:r>
    </w:p>
    <w:p>
      <w:pPr>
        <w:pStyle w:val="BodyText"/>
      </w:pPr>
      <w:r>
        <w:t xml:space="preserve">300 3 businesses and 1 academic/research institution.</w:t>
      </w:r>
      <w:r>
        <w:t xml:space="preserve"> </w:t>
      </w:r>
      <w:r>
        <w:t xml:space="preserve">301 Moreover, 5 respondents did not answer the question.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Figure 1: Profile of respondents</w:t>
      </w:r>
    </w:p>
    <w:p>
      <w:pPr>
        <w:pStyle w:val="BodyText"/>
      </w:pPr>
      <w:r>
        <w:t xml:space="preserve">Among businesses and business associations, the most represented sectors included the</w:t>
      </w:r>
      <w:r>
        <w:t xml:space="preserve"> </w:t>
      </w:r>
      <w:r>
        <w:t xml:space="preserve">automotive, telecommunications and electronics sectors.</w:t>
      </w:r>
      <w:r>
        <w:br/>
      </w:r>
      <w:r>
        <w:t xml:space="preserve">Stakeholder feedback</w:t>
      </w:r>
      <w:r>
        <w:t xml:space="preserve"> </w:t>
      </w:r>
      <w:r>
        <w:t xml:space="preserve">a. Feedback on the areas for which policy options were considered</w:t>
      </w:r>
      <w:r>
        <w:t xml:space="preserve"> </w:t>
      </w:r>
      <w:r>
        <w:t xml:space="preserve">Market share thresholds for technology markets</w:t>
      </w:r>
      <w:r>
        <w:br/>
      </w:r>
      <w:r>
        <w:t xml:space="preserve">17 stakeholders provided feedback on the TTBER’s market share thresholds for technology</w:t>
      </w:r>
      <w:r>
        <w:t xml:space="preserve"> </w:t>
      </w:r>
      <w:r>
        <w:t xml:space="preserve">markets. The majority was generally positive about the changes introduced in the draft</w:t>
      </w:r>
      <w:r>
        <w:t xml:space="preserve"> </w:t>
      </w:r>
      <w:r>
        <w:t xml:space="preserve">revised texts (which concerned primarily the treatment of technologies that have not yet</w:t>
      </w:r>
      <w:r>
        <w:t xml:space="preserve"> </w:t>
      </w:r>
      <w:r>
        <w:t xml:space="preserve">generated product sales and the extension of the grace period). Some of them expressed a</w:t>
      </w:r>
      <w:r>
        <w:t xml:space="preserve"> </w:t>
      </w:r>
      <w:r>
        <w:t xml:space="preserve">preference for further amendments, such as lowering the thresholds. A minority criticised the</w:t>
      </w:r>
      <w:r>
        <w:t xml:space="preserve"> </w:t>
      </w:r>
      <w:r>
        <w:t xml:space="preserve">changes and advocated removing the market share thresholds for technology markets</w:t>
      </w:r>
      <w:r>
        <w:t xml:space="preserve"> </w:t>
      </w:r>
      <w:r>
        <w:t xml:space="preserve">altogether.</w:t>
      </w:r>
      <w:r>
        <w:br/>
      </w:r>
      <w:r>
        <w:t xml:space="preserve">Data licensing</w:t>
      </w:r>
      <w:r>
        <w:t xml:space="preserve"> </w:t>
      </w:r>
      <w:r>
        <w:t xml:space="preserve">Around 15 respondents provided feedback on the proposed guidance on data licensing</w:t>
      </w:r>
      <w:r>
        <w:t xml:space="preserve"> </w:t>
      </w:r>
      <w:r>
        <w:t xml:space="preserve">agreements. Almost all the respondents confirmed the need for guidance on the competition</w:t>
      </w:r>
      <w:r>
        <w:t xml:space="preserve"> </w:t>
      </w:r>
      <w:r>
        <w:t xml:space="preserve">law assessment of data licensing agreements and supported the provision of guidance by the</w:t>
      </w:r>
      <w:r>
        <w:t xml:space="preserve"> </w:t>
      </w:r>
      <w:r>
        <w:t xml:space="preserve">Commission.</w:t>
      </w:r>
      <w:r>
        <w:br/>
      </w:r>
      <w:r>
        <w:t xml:space="preserve">Stakeholders were divided on whether the scope of the guidance provided in the draft revised</w:t>
      </w:r>
      <w:r>
        <w:t xml:space="preserve"> </w:t>
      </w:r>
      <w:r>
        <w:t xml:space="preserve">Guidelines should be expanded to other types of data. Moreover, respondents favoured</w:t>
      </w:r>
      <w:r>
        <w:t xml:space="preserve"> </w:t>
      </w:r>
      <w:r>
        <w:t xml:space="preserve">extending the scope of the TTBER to the licensing of databases protected by copyright or by</w:t>
      </w:r>
      <w:r>
        <w:t xml:space="preserve"> </w:t>
      </w:r>
      <w:r>
        <w:t xml:space="preserve">the database sui generis right.</w:t>
      </w:r>
      <w:r>
        <w:br/>
      </w:r>
      <w:r>
        <w:t xml:space="preserve">Some respondents also had other remarks, mainly to (i) request additional guidance in the</w:t>
      </w:r>
      <w:r>
        <w:t xml:space="preserve"> </w:t>
      </w:r>
      <w:r>
        <w:t xml:space="preserve">Guidelines on the application of the proposed new rules to the licensing of datasets pursuant</w:t>
      </w:r>
      <w:r>
        <w:t xml:space="preserve"> </w:t>
      </w:r>
      <w:r>
        <w:t xml:space="preserve">35%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41%</w:t>
      </w:r>
      <w:r>
        <w:t xml:space="preserve"> </w:t>
      </w:r>
      <w:r>
        <w:t xml:space="preserve">4%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Academic/research organisation</w:t>
      </w:r>
      <w:r>
        <w:t xml:space="preserve"> </w:t>
      </w:r>
      <w:r>
        <w:t xml:space="preserve">Non profit organisation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Citizen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to the Data Act302 and (ii) ask for examples or clarifications on the application of certain</w:t>
      </w:r>
      <w:r>
        <w:t xml:space="preserve"> </w:t>
      </w:r>
      <w:r>
        <w:t xml:space="preserve">paragraphs303.</w:t>
      </w:r>
      <w:r>
        <w:br/>
      </w:r>
      <w:r>
        <w:t xml:space="preserve">Licensing negotiation groups (LNGs)</w:t>
      </w:r>
      <w:r>
        <w:t xml:space="preserve"> </w:t>
      </w:r>
      <w:r>
        <w:t xml:space="preserve">Around 30 stakeholders commented on the draft guidance on LNGs. Similarly to the results</w:t>
      </w:r>
      <w:r>
        <w:t xml:space="preserve"> </w:t>
      </w:r>
      <w:r>
        <w:t xml:space="preserve">of earlier consultations, technology owners and technology implementers expressed strongly</w:t>
      </w:r>
      <w:r>
        <w:t xml:space="preserve"> </w:t>
      </w:r>
      <w:r>
        <w:t xml:space="preserve">opposing views. Technology owners considered that the Commission should not provide</w:t>
      </w:r>
      <w:r>
        <w:t xml:space="preserve"> </w:t>
      </w:r>
      <w:r>
        <w:t xml:space="preserve">guidance on LNGs, stating that this would encourage the formation of LNGs, which they</w:t>
      </w:r>
      <w:r>
        <w:t xml:space="preserve"> </w:t>
      </w:r>
      <w:r>
        <w:t xml:space="preserve">regard as a form of buyer cartel that will result in coordinated hold-outs and excessive buyer</w:t>
      </w:r>
      <w:r>
        <w:t xml:space="preserve"> </w:t>
      </w:r>
      <w:r>
        <w:t xml:space="preserve">power, allowing implementers to drive down royalty rates to sub-competitive levels. By</w:t>
      </w:r>
      <w:r>
        <w:t xml:space="preserve"> </w:t>
      </w:r>
      <w:r>
        <w:t xml:space="preserve">contrast, technology implementers welcomed the draft guidance, saying that it provides legal</w:t>
      </w:r>
      <w:r>
        <w:t xml:space="preserve"> </w:t>
      </w:r>
      <w:r>
        <w:t xml:space="preserve">certainty for a form of collective negotiation that is capable of reducing transaction costs and</w:t>
      </w:r>
      <w:r>
        <w:t xml:space="preserve"> </w:t>
      </w:r>
      <w:r>
        <w:t xml:space="preserve">information asymmetries between licensors and prospective licensees, thereby promoting</w:t>
      </w:r>
      <w:r>
        <w:t xml:space="preserve"> </w:t>
      </w:r>
      <w:r>
        <w:t xml:space="preserve">more informed and balanced licensing negotiations and an increased uptake of technology</w:t>
      </w:r>
      <w:r>
        <w:t xml:space="preserve"> </w:t>
      </w:r>
      <w:r>
        <w:t xml:space="preserve">licences, in particular by SMEs304.</w:t>
      </w:r>
      <w:r>
        <w:t xml:space="preserve"> </w:t>
      </w:r>
      <w:r>
        <w:t xml:space="preserve">Regarding the soft safe harbour included in the draft guidance, technology owners considered</w:t>
      </w:r>
      <w:r>
        <w:t xml:space="preserve"> </w:t>
      </w:r>
      <w:r>
        <w:t xml:space="preserve">that providing a soft safe harbour is premature, on the basis that LNGs are a new practice and</w:t>
      </w:r>
      <w:r>
        <w:t xml:space="preserve"> </w:t>
      </w:r>
      <w:r>
        <w:t xml:space="preserve">the Commission has insufficient enforcement experience to formulate the safe harbour</w:t>
      </w:r>
      <w:r>
        <w:t xml:space="preserve"> </w:t>
      </w:r>
      <w:r>
        <w:t xml:space="preserve">effectively305. By contrast, implementers welcomed the additional legal certainty provided by</w:t>
      </w:r>
      <w:r>
        <w:t xml:space="preserve"> </w:t>
      </w:r>
      <w:r>
        <w:t xml:space="preserve">the safe harbour and considered that it provides a balanced framework for collective</w:t>
      </w:r>
      <w:r>
        <w:t xml:space="preserve"> </w:t>
      </w:r>
      <w:r>
        <w:t xml:space="preserve">negotiations in cases where a technology owner has freely chosen to engage with an LNG.</w:t>
      </w:r>
      <w:r>
        <w:t xml:space="preserve"> </w:t>
      </w:r>
      <w:r>
        <w:t xml:space="preserve">b. Feedback on other areas</w:t>
      </w:r>
      <w:r>
        <w:t xml:space="preserve"> </w:t>
      </w:r>
      <w:r>
        <w:t xml:space="preserve">Technology pools</w:t>
      </w:r>
      <w:r>
        <w:t xml:space="preserve"> </w:t>
      </w:r>
      <w:r>
        <w:t xml:space="preserve">Most comments concerned the proposed clarifications to the conditions of the soft safe</w:t>
      </w:r>
      <w:r>
        <w:t xml:space="preserve"> </w:t>
      </w:r>
      <w:r>
        <w:t xml:space="preserve">harbour in the Guidelines, in particular the conditions relating to the essentiality of the</w:t>
      </w:r>
      <w:r>
        <w:t xml:space="preserve"> </w:t>
      </w:r>
      <w:r>
        <w:t xml:space="preserve">technology rights included in the pool. It was recognised that the requirement to disclose the</w:t>
      </w:r>
      <w:r>
        <w:t xml:space="preserve"> </w:t>
      </w:r>
      <w:r>
        <w:t xml:space="preserve">technology rights included in the pool reflected existing best practices amongst pools, though</w:t>
      </w:r>
      <w:r>
        <w:t xml:space="preserve"> </w:t>
      </w:r>
      <w:r>
        <w:t xml:space="preserve">some technology owners and pool administrators cautioned that exhaustive disclosure of the</w:t>
      </w:r>
      <w:r>
        <w:t xml:space="preserve"> </w:t>
      </w:r>
      <w:r>
        <w:t xml:space="preserve">technology rights and essentiality checks could have limited use for implementers. Some</w:t>
      </w:r>
      <w:r>
        <w:t xml:space="preserve"> </w:t>
      </w:r>
      <w:r>
        <w:t xml:space="preserve">technology owners and pool administrators opposed any amendments to the soft safe</w:t>
      </w:r>
      <w:r>
        <w:t xml:space="preserve"> </w:t>
      </w:r>
      <w:r>
        <w:t xml:space="preserve">harbour306. The safeguard against double dipping (the charging of duplicate royalties for the</w:t>
      </w:r>
      <w:r>
        <w:t xml:space="preserve"> </w:t>
      </w:r>
      <w:r>
        <w:t xml:space="preserve">same technology rights) was generally well received, as it aligns with existing pool best</w:t>
      </w:r>
      <w:r>
        <w:t xml:space="preserve"> </w:t>
      </w:r>
      <w:r>
        <w:t xml:space="preserve">practices.</w:t>
      </w:r>
      <w:r>
        <w:t xml:space="preserve"> </w:t>
      </w:r>
      <w:r>
        <w:t xml:space="preserve">Other areas of the rules</w:t>
      </w:r>
      <w:r>
        <w:t xml:space="preserve"> </w:t>
      </w:r>
      <w:r>
        <w:t xml:space="preserve">A limited number of stakeholders provided comments on other areas, such as the concept of</w:t>
      </w:r>
      <w:r>
        <w:t xml:space="preserve"> </w:t>
      </w:r>
      <w:r>
        <w:t xml:space="preserve">potential competitor and the guidance on patent settlement agreements, emphasising the need</w:t>
      </w:r>
      <w:r>
        <w:t xml:space="preserve"> </w:t>
      </w:r>
      <w:r>
        <w:t xml:space="preserve">for further guidance based on the most recent case law.</w:t>
      </w:r>
    </w:p>
    <w:p>
      <w:pPr>
        <w:pStyle w:val="BodyText"/>
      </w:pPr>
      <w:r>
        <w:t xml:space="preserve">302 This was suggested by 4 stakeholders.</w:t>
      </w:r>
      <w:r>
        <w:t xml:space="preserve"> </w:t>
      </w:r>
      <w:r>
        <w:t xml:space="preserve">303 For example, on whether that raw data can be considered know-how.</w:t>
      </w:r>
      <w:r>
        <w:t xml:space="preserve"> </w:t>
      </w:r>
      <w:r>
        <w:t xml:space="preserve">304 Some technology owners agreed that LNGs could facilitate licensing to SMEs.</w:t>
      </w:r>
      <w:r>
        <w:t xml:space="preserve"> </w:t>
      </w:r>
      <w:r>
        <w:t xml:space="preserve">305 Technology owners stated that the Commission waited more than 15 years after issuing the first comfort</w:t>
      </w:r>
      <w:r>
        <w:t xml:space="preserve"> </w:t>
      </w:r>
      <w:r>
        <w:t xml:space="preserve">letters for technology pools in the late 1990s (for MPEG-2 and DVD) before it introduced a soft safe harbour</w:t>
      </w:r>
      <w:r>
        <w:t xml:space="preserve"> </w:t>
      </w:r>
      <w:r>
        <w:t xml:space="preserve">for pools in the Technology Transfer Guidelines in 2014.</w:t>
      </w:r>
      <w:r>
        <w:t xml:space="preserve"> </w:t>
      </w:r>
      <w:r>
        <w:t xml:space="preserve">306 The number of entirely negative responses was however limited.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2.3. Reality check workshop</w:t>
      </w:r>
      <w:r>
        <w:t xml:space="preserve"> </w:t>
      </w:r>
      <w:r>
        <w:t xml:space="preserve">The Commission organised an online “reality check” workshop on 11 November 2025 to</w:t>
      </w:r>
      <w:r>
        <w:t xml:space="preserve"> </w:t>
      </w:r>
      <w:r>
        <w:t xml:space="preserve">gather information about how the proposed revisions of the rules would operate in real life</w:t>
      </w:r>
      <w:r>
        <w:t xml:space="preserve"> </w:t>
      </w:r>
      <w:r>
        <w:t xml:space="preserve">and how they might affect business incentives and practices, with the aim of ensuring that the</w:t>
      </w:r>
      <w:r>
        <w:t xml:space="preserve"> </w:t>
      </w:r>
      <w:r>
        <w:t xml:space="preserve">revised TTBER and Guidelines are well targeted and effective in delivering their intended</w:t>
      </w:r>
      <w:r>
        <w:t xml:space="preserve"> </w:t>
      </w:r>
      <w:r>
        <w:t xml:space="preserve">benefits.</w:t>
      </w:r>
      <w:r>
        <w:t xml:space="preserve"> </w:t>
      </w:r>
      <w:r>
        <w:t xml:space="preserve">The reality check focussed on the proposed new guidance on licensing negotiation groups,</w:t>
      </w:r>
      <w:r>
        <w:t xml:space="preserve"> </w:t>
      </w:r>
      <w:r>
        <w:t xml:space="preserve">the competition law assessment of certain types of data licensing and the clarifications to the</w:t>
      </w:r>
      <w:r>
        <w:t xml:space="preserve"> </w:t>
      </w:r>
      <w:r>
        <w:t xml:space="preserve">guidance on technology pools.</w:t>
      </w:r>
      <w:r>
        <w:t xml:space="preserve"> </w:t>
      </w:r>
      <w:r>
        <w:t xml:space="preserve">More than 80 participants attended the workshop. They represented businesses, industry</w:t>
      </w:r>
      <w:r>
        <w:t xml:space="preserve"> </w:t>
      </w:r>
      <w:r>
        <w:t xml:space="preserve">associations, law firms, academics and National Competition Authorities. The workshop</w:t>
      </w:r>
      <w:r>
        <w:t xml:space="preserve"> </w:t>
      </w:r>
      <w:r>
        <w:t xml:space="preserve">consisted of three sessions covering (i) technology pools; (ii) licensing negotiation groups,</w:t>
      </w:r>
      <w:r>
        <w:t xml:space="preserve"> </w:t>
      </w:r>
      <w:r>
        <w:t xml:space="preserve">and (iii) data licensing agreements. At the start of the workshop, the participants were</w:t>
      </w:r>
      <w:r>
        <w:t xml:space="preserve"> </w:t>
      </w:r>
      <w:r>
        <w:t xml:space="preserve">surveyed about the costs that they incur to assess the compliance of their technology licensing</w:t>
      </w:r>
      <w:r>
        <w:t xml:space="preserve"> </w:t>
      </w:r>
      <w:r>
        <w:t xml:space="preserve">agreements with Article 101 TFEU. The questions and the feedback are presented below.</w:t>
      </w:r>
      <w:r>
        <w:t xml:space="preserve"> </w:t>
      </w:r>
      <w:r>
        <w:t xml:space="preserve">Participants received an issues paper in advance of the workshop, which was intended to</w:t>
      </w:r>
      <w:r>
        <w:t xml:space="preserve"> </w:t>
      </w:r>
      <w:r>
        <w:t xml:space="preserve">structure the workshop discussions. Representatives from DG Competition acted as</w:t>
      </w:r>
      <w:r>
        <w:t xml:space="preserve"> </w:t>
      </w:r>
      <w:r>
        <w:t xml:space="preserve">moderators during the three sessions. A summary of the feedback provided by stakeholders at</w:t>
      </w:r>
      <w:r>
        <w:t xml:space="preserve"> </w:t>
      </w:r>
      <w:r>
        <w:t xml:space="preserve">the workshop is provided below.</w:t>
      </w:r>
      <w:r>
        <w:t xml:space="preserve"> </w:t>
      </w:r>
      <w:r>
        <w:t xml:space="preserve">Survey on compliance costs</w:t>
      </w:r>
      <w:r>
        <w:t xml:space="preserve"> </w:t>
      </w:r>
      <w:r>
        <w:t xml:space="preserve">The workshop participants were asked six questions about their compliance assessment costs</w:t>
      </w:r>
      <w:r>
        <w:t xml:space="preserve"> </w:t>
      </w:r>
      <w:r>
        <w:t xml:space="preserve">using the Slido platform. Of the 82 participants, 65 engaged with the questions, but the</w:t>
      </w:r>
      <w:r>
        <w:t xml:space="preserve"> </w:t>
      </w:r>
      <w:r>
        <w:t xml:space="preserve">number of respondents varied between questions. The responses were anonymised.</w:t>
      </w:r>
      <w:r>
        <w:t xml:space="preserve"> </w:t>
      </w:r>
      <w:r>
        <w:t xml:space="preserve">Profile of the respondents to the survey</w:t>
      </w:r>
      <w:r>
        <w:t xml:space="preserve"> </w:t>
      </w:r>
      <w:r>
        <w:t xml:space="preserve">Of the 59 respondents to the first question, 20 were business organisations, 12 law firms,</w:t>
      </w:r>
      <w:r>
        <w:t xml:space="preserve"> </w:t>
      </w:r>
      <w:r>
        <w:t xml:space="preserve">8 were business associations, 8 public authorities, 3 universities/or academic institutions, and</w:t>
      </w:r>
      <w:r>
        <w:t xml:space="preserve"> </w:t>
      </w:r>
      <w:r>
        <w:t xml:space="preserve">8 “other”307. Figure 1 below provides a breakdown of the respondents by category.</w:t>
      </w:r>
      <w:r>
        <w:t xml:space="preserve"> </w:t>
      </w:r>
      <w:r>
        <w:t xml:space="preserve">Figure 1 – Which best describes your organisation?</w:t>
      </w:r>
    </w:p>
    <w:p>
      <w:pPr>
        <w:pStyle w:val="BodyText"/>
      </w:pPr>
      <w:r>
        <w:t xml:space="preserve">307 The anonymised nature of the replies made it impossible to establish the nature of the participants in this</w:t>
      </w:r>
      <w:r>
        <w:t xml:space="preserve"> </w:t>
      </w:r>
      <w:r>
        <w:t xml:space="preserve">category.</w:t>
      </w:r>
      <w:r>
        <w:t xml:space="preserve"> </w:t>
      </w:r>
      <w:r>
        <w:t xml:space="preserve">34%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1…</w:t>
      </w:r>
      <w:r>
        <w:t xml:space="preserve"> </w:t>
      </w:r>
      <w:r>
        <w:t xml:space="preserve">Business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Law firm</w:t>
      </w:r>
      <w:r>
        <w:t xml:space="preserve"> </w:t>
      </w:r>
      <w:r>
        <w:t xml:space="preserve">University/academic institution</w:t>
      </w:r>
      <w:r>
        <w:t xml:space="preserve"> </w:t>
      </w:r>
      <w:r>
        <w:t xml:space="preserve">Research institute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Of those that answered “business” in the first question, the vast majority of participants (15)</w:t>
      </w:r>
      <w:r>
        <w:t xml:space="preserve"> </w:t>
      </w:r>
      <w:r>
        <w:t xml:space="preserve">were large businesses308. The rest were micro-SMEs (3), small SMEs (2), medium-size SMEs</w:t>
      </w:r>
      <w:r>
        <w:t xml:space="preserve"> </w:t>
      </w:r>
      <w:r>
        <w:t xml:space="preserve">(2), and small mid-caps309 (2) 310. Figure 2 below provides a breakdown of the respondents by</w:t>
      </w:r>
      <w:r>
        <w:t xml:space="preserve"> </w:t>
      </w:r>
      <w:r>
        <w:t xml:space="preserve">size (see Figure 2 below).</w:t>
      </w:r>
    </w:p>
    <w:p>
      <w:pPr>
        <w:pStyle w:val="BodyText"/>
      </w:pPr>
      <w:r>
        <w:t xml:space="preserve">Figure 2 – If you answered</w:t>
      </w:r>
      <w:r>
        <w:t xml:space="preserve"> </w:t>
      </w:r>
      <w:r>
        <w:t xml:space="preserve">“Business”</w:t>
      </w:r>
      <w:r>
        <w:t xml:space="preserve"> </w:t>
      </w:r>
      <w:r>
        <w:t xml:space="preserve">in Q.1, please specify the size of your business</w:t>
      </w:r>
    </w:p>
    <w:p>
      <w:pPr>
        <w:pStyle w:val="BodyText"/>
      </w:pPr>
      <w:r>
        <w:t xml:space="preserve">Concerning the number of technology licensing agreements signed by the participants on</w:t>
      </w:r>
      <w:r>
        <w:t xml:space="preserve"> </w:t>
      </w:r>
      <w:r>
        <w:t xml:space="preserve">average per year, of the 34 respondents, 10 signed between 21 and 100 agreements, another</w:t>
      </w:r>
      <w:r>
        <w:t xml:space="preserve"> </w:t>
      </w:r>
      <w:r>
        <w:t xml:space="preserve">10 between 1 and 10, 6 respondents signed more than 100, 5 respondents did not sign any</w:t>
      </w:r>
      <w:r>
        <w:t xml:space="preserve"> </w:t>
      </w:r>
      <w:r>
        <w:t xml:space="preserve">agreements and 3 between 11 and 20 (see Figure 3 below).</w:t>
      </w:r>
    </w:p>
    <w:p>
      <w:pPr>
        <w:pStyle w:val="BodyText"/>
      </w:pPr>
      <w:r>
        <w:t xml:space="preserve">308 Note that not all respondents to this question replied that they were businesses organisations in response to</w:t>
      </w:r>
      <w:r>
        <w:t xml:space="preserve"> </w:t>
      </w:r>
      <w:r>
        <w:t xml:space="preserve">Question 1.</w:t>
      </w:r>
      <w:r>
        <w:t xml:space="preserve"> </w:t>
      </w:r>
      <w:r>
        <w:t xml:space="preserve">309 Small mid-caps are businesses that have 250-749 employees, turnover ≤ €150 million or balance sheet ≤</w:t>
      </w:r>
      <w:r>
        <w:t xml:space="preserve"> </w:t>
      </w:r>
      <w:r>
        <w:t xml:space="preserve">€129 million; see Commission Recommendation (EU) 2025/1099 of 21 May 2025on the definition of small</w:t>
      </w:r>
      <w:r>
        <w:t xml:space="preserve"> </w:t>
      </w:r>
      <w:r>
        <w:t xml:space="preserve">mid-cap enterprises.</w:t>
      </w:r>
      <w:r>
        <w:t xml:space="preserve"> </w:t>
      </w:r>
      <w:r>
        <w:t xml:space="preserve">310 It should be noted that (i) some of businesses that categorised themselves as SMEs or representatives of</w:t>
      </w:r>
      <w:r>
        <w:t xml:space="preserve"> </w:t>
      </w:r>
      <w:r>
        <w:t xml:space="preserve">SMEs in the consultation activities did not provide information on their number of employees or turnover</w:t>
      </w:r>
      <w:r>
        <w:t xml:space="preserve"> </w:t>
      </w:r>
      <w:r>
        <w:t xml:space="preserve">and (ii) some of the business associations that claimed to represent SMEs also include large businesses</w:t>
      </w:r>
      <w:r>
        <w:t xml:space="preserve"> </w:t>
      </w:r>
      <w:r>
        <w:t xml:space="preserve">among their members.</w:t>
      </w:r>
      <w:r>
        <w:t xml:space="preserve"> </w:t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63%</w:t>
      </w:r>
      <w:r>
        <w:t xml:space="preserve"> </w:t>
      </w:r>
      <w:r>
        <w:t xml:space="preserve">Micro SME (&lt;10 employees and turnover ≤ €2m or balance sheet</w:t>
      </w:r>
      <w:r>
        <w:t xml:space="preserve"> </w:t>
      </w:r>
      <w:r>
        <w:t xml:space="preserve">≤€2m)</w:t>
      </w:r>
      <w:r>
        <w:t xml:space="preserve"> </w:t>
      </w:r>
      <w:r>
        <w:t xml:space="preserve">Small SME (&lt;50 employees and turnover ≤ €10m or balance sheet</w:t>
      </w:r>
      <w:r>
        <w:t xml:space="preserve"> </w:t>
      </w:r>
      <w:r>
        <w:t xml:space="preserve">≤€10m)</w:t>
      </w:r>
      <w:r>
        <w:t xml:space="preserve"> </w:t>
      </w:r>
      <w:r>
        <w:t xml:space="preserve">Medium-sized SME (&lt;250 employees and turnover ≤€50m or</w:t>
      </w:r>
      <w:r>
        <w:t xml:space="preserve"> </w:t>
      </w:r>
      <w:r>
        <w:t xml:space="preserve">balance sheet ≤€43m)</w:t>
      </w:r>
      <w:r>
        <w:t xml:space="preserve"> </w:t>
      </w:r>
      <w:r>
        <w:t xml:space="preserve">Small mid-cap (&lt;750 employees and turnover ≤ €150m or balance</w:t>
      </w:r>
      <w:r>
        <w:t xml:space="preserve"> </w:t>
      </w:r>
      <w:r>
        <w:t xml:space="preserve">sheet ≤€129m)</w:t>
      </w:r>
      <w:r>
        <w:t xml:space="preserve"> </w:t>
      </w:r>
      <w:r>
        <w:t xml:space="preserve">Larger business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Figure 3 – On average, how many technology licensing agreements does your organisation</w:t>
      </w:r>
      <w:r>
        <w:t xml:space="preserve"> </w:t>
      </w:r>
      <w:r>
        <w:t xml:space="preserve">sign or advise on per year?</w:t>
      </w:r>
    </w:p>
    <w:p>
      <w:pPr>
        <w:pStyle w:val="BodyText"/>
      </w:pPr>
      <w:r>
        <w:t xml:space="preserve">Regarding the (average) time and resources spent on compliance with EU competition law,</w:t>
      </w:r>
      <w:r>
        <w:t xml:space="preserve"> </w:t>
      </w:r>
      <w:r>
        <w:t xml:space="preserve">10 respondents replied that the question was not applicable. Of the respondents who</w:t>
      </w:r>
      <w:r>
        <w:t xml:space="preserve"> </w:t>
      </w:r>
      <w:r>
        <w:t xml:space="preserve">considered it applicable, 8 spend between 1 and 3 person-days, 7 more than 5 person-days,</w:t>
      </w:r>
      <w:r>
        <w:t xml:space="preserve"> </w:t>
      </w:r>
      <w:r>
        <w:t xml:space="preserve">6 less than 1 person-day and 3 between 3 and 5 person-days. Figure 4 below provides a</w:t>
      </w:r>
      <w:r>
        <w:t xml:space="preserve"> </w:t>
      </w:r>
      <w:r>
        <w:t xml:space="preserve">breakdown of the respondents by time/resources spent on assessing compliance.</w:t>
      </w:r>
      <w:r>
        <w:t xml:space="preserve"> </w:t>
      </w:r>
      <w:r>
        <w:t xml:space="preserve">Figure 4 – How much time and resources does your organisation spend on assessing the</w:t>
      </w:r>
      <w:r>
        <w:t xml:space="preserve"> </w:t>
      </w:r>
      <w:r>
        <w:t xml:space="preserve">compliance of licensing agreements with EU competition law (average cost per agreement)?</w:t>
      </w:r>
    </w:p>
    <w:p>
      <w:pPr>
        <w:pStyle w:val="BodyText"/>
      </w:pPr>
      <w:r>
        <w:t xml:space="preserve">Regarding the impact of the TTBER and Guidelines on compliance assessment costs for</w:t>
      </w:r>
      <w:r>
        <w:t xml:space="preserve"> </w:t>
      </w:r>
      <w:r>
        <w:t xml:space="preserve">technology agreements, several of the 35 respondents replied that the question was not</w:t>
      </w:r>
      <w:r>
        <w:t xml:space="preserve"> </w:t>
      </w:r>
      <w:r>
        <w:t xml:space="preserve">applicable. Of the respondents who considered it applicable, most of them (9 respondents)</w:t>
      </w:r>
      <w:r>
        <w:t xml:space="preserve"> </w:t>
      </w:r>
      <w:r>
        <w:t xml:space="preserve">considered that the rules lead to a significant reduction in costs, 6 respondents found a small</w:t>
      </w:r>
      <w:r>
        <w:t xml:space="preserve"> </w:t>
      </w:r>
      <w:r>
        <w:t xml:space="preserve">reduction in costs, 3 respondents a very significant reduction in costs and 2 an insignificant or</w:t>
      </w:r>
      <w:r>
        <w:t xml:space="preserve"> </w:t>
      </w:r>
      <w:r>
        <w:t xml:space="preserve">no reduction in costs (see Figure 5 below).</w:t>
      </w:r>
      <w:r>
        <w:br/>
      </w:r>
      <w:r>
        <w:t xml:space="preserve">15%</w:t>
      </w:r>
      <w:r>
        <w:t xml:space="preserve"> </w:t>
      </w:r>
      <w:r>
        <w:t xml:space="preserve">29%</w:t>
      </w:r>
      <w:r>
        <w:t xml:space="preserve"> </w:t>
      </w:r>
      <w:r>
        <w:t xml:space="preserve">9%</w:t>
      </w:r>
      <w:r>
        <w:t xml:space="preserve"> </w:t>
      </w:r>
      <w:r>
        <w:t xml:space="preserve">29%</w:t>
      </w:r>
      <w:r>
        <w:t xml:space="preserve"> </w:t>
      </w:r>
      <w:r>
        <w:t xml:space="preserve">18%</w:t>
      </w:r>
      <w:r>
        <w:t xml:space="preserve"> </w:t>
      </w:r>
      <w:r>
        <w:t xml:space="preserve">None</w:t>
      </w:r>
      <w:r>
        <w:t xml:space="preserve"> </w:t>
      </w:r>
      <w:r>
        <w:t xml:space="preserve">1-10</w:t>
      </w:r>
      <w:r>
        <w:t xml:space="preserve"> </w:t>
      </w:r>
      <w:r>
        <w:t xml:space="preserve">11-20</w:t>
      </w:r>
      <w:r>
        <w:t xml:space="preserve"> </w:t>
      </w:r>
      <w:r>
        <w:t xml:space="preserve">21-100</w:t>
      </w:r>
      <w:r>
        <w:t xml:space="preserve"> </w:t>
      </w:r>
      <w:r>
        <w:t xml:space="preserve">More than 100</w:t>
      </w:r>
      <w:r>
        <w:t xml:space="preserve"> </w:t>
      </w:r>
      <w:r>
        <w:t xml:space="preserve">18%</w:t>
      </w:r>
      <w:r>
        <w:t xml:space="preserve"> </w:t>
      </w:r>
      <w:r>
        <w:t xml:space="preserve">24%</w:t>
      </w:r>
      <w:r>
        <w:t xml:space="preserve"> </w:t>
      </w:r>
      <w:r>
        <w:t xml:space="preserve">9%</w:t>
      </w:r>
      <w:r>
        <w:t xml:space="preserve"> </w:t>
      </w:r>
      <w:r>
        <w:t xml:space="preserve">21%</w:t>
      </w:r>
      <w:r>
        <w:t xml:space="preserve"> </w:t>
      </w:r>
      <w:r>
        <w:t xml:space="preserve">29%</w:t>
      </w:r>
      <w:r>
        <w:t xml:space="preserve"> </w:t>
      </w:r>
      <w:r>
        <w:t xml:space="preserve">Less than 1 person-day</w:t>
      </w:r>
      <w:r>
        <w:t xml:space="preserve"> </w:t>
      </w:r>
      <w:r>
        <w:t xml:space="preserve">Between 1 and 3 person-days</w:t>
      </w:r>
      <w:r>
        <w:t xml:space="preserve"> </w:t>
      </w:r>
      <w:r>
        <w:t xml:space="preserve">Between 3 and 5 person-days</w:t>
      </w:r>
      <w:r>
        <w:t xml:space="preserve"> </w:t>
      </w:r>
      <w:r>
        <w:t xml:space="preserve">More than 5 person-days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Figure 5 – How do the TTBER and Guidelines affect your compliance assessment costs,</w:t>
      </w:r>
      <w:r>
        <w:t xml:space="preserve"> </w:t>
      </w:r>
      <w:r>
        <w:t xml:space="preserve">compared to assessing agreements using only Article 101 TFEU and the case law?</w:t>
      </w:r>
    </w:p>
    <w:p>
      <w:pPr>
        <w:pStyle w:val="BodyText"/>
      </w:pPr>
      <w:r>
        <w:t xml:space="preserve">Using this data, it is possible to estimate that the average reduction in cost is around 33%.</w:t>
      </w:r>
      <w:r>
        <w:t xml:space="preserve"> </w:t>
      </w:r>
      <w:r>
        <w:t xml:space="preserve">Finally, regarding the assessment costs of market share calculations, more than half of the 34</w:t>
      </w:r>
      <w:r>
        <w:t xml:space="preserve"> </w:t>
      </w:r>
      <w:r>
        <w:t xml:space="preserve">respondents replied that the question was not applicable (53%), whereas 6 considered they</w:t>
      </w:r>
      <w:r>
        <w:t xml:space="preserve"> </w:t>
      </w:r>
      <w:r>
        <w:t xml:space="preserve">spend a significant share of their compliance costs on market share calculations, another 6</w:t>
      </w:r>
      <w:r>
        <w:t xml:space="preserve"> </w:t>
      </w:r>
      <w:r>
        <w:t xml:space="preserve">respondents spent a small share and 4 respondents spent none or an insignificant share of</w:t>
      </w:r>
      <w:r>
        <w:t xml:space="preserve"> </w:t>
      </w:r>
      <w:r>
        <w:t xml:space="preserve">their compliance costs on market share calculations. Figure 6 below provides a breakdown of</w:t>
      </w:r>
      <w:r>
        <w:t xml:space="preserve"> </w:t>
      </w:r>
      <w:r>
        <w:t xml:space="preserve">the respondents by share of compliance costs spent on calculating market shares.</w:t>
      </w:r>
      <w:r>
        <w:t xml:space="preserve"> </w:t>
      </w:r>
      <w:r>
        <w:t xml:space="preserve">Figure 6 – What share of your compliance assessment costs do you spend on calculating</w:t>
      </w:r>
      <w:r>
        <w:t xml:space="preserve"> </w:t>
      </w:r>
      <w:r>
        <w:t xml:space="preserve">market shares for the purpose of applying the TTBER and Technology Transfer Guidelines?</w:t>
      </w:r>
    </w:p>
    <w:p>
      <w:pPr>
        <w:pStyle w:val="BodyText"/>
      </w:pPr>
      <w:r>
        <w:t xml:space="preserve">6%</w:t>
      </w:r>
      <w:r>
        <w:t xml:space="preserve"> </w:t>
      </w:r>
      <w:r>
        <w:t xml:space="preserve">17%</w:t>
      </w:r>
      <w:r>
        <w:t xml:space="preserve"> </w:t>
      </w:r>
      <w:r>
        <w:t xml:space="preserve">26%</w:t>
      </w:r>
      <w:r>
        <w:t xml:space="preserve"> </w:t>
      </w:r>
      <w:r>
        <w:t xml:space="preserve">9%</w:t>
      </w:r>
      <w:r>
        <w:t xml:space="preserve"> </w:t>
      </w:r>
      <w:r>
        <w:t xml:space="preserve">43%</w:t>
      </w:r>
      <w:r>
        <w:t xml:space="preserve"> </w:t>
      </w:r>
      <w:r>
        <w:t xml:space="preserve">No reduction in costs or insignificant reduction (0%-5%)</w:t>
      </w:r>
      <w:r>
        <w:t xml:space="preserve"> </w:t>
      </w:r>
      <w:r>
        <w:t xml:space="preserve">Small reduction in costs (6%-25%)</w:t>
      </w:r>
      <w:r>
        <w:t xml:space="preserve"> </w:t>
      </w:r>
      <w:r>
        <w:t xml:space="preserve">Significant reduction in costs (26%-50%)</w:t>
      </w:r>
      <w:r>
        <w:t xml:space="preserve"> </w:t>
      </w:r>
      <w:r>
        <w:t xml:space="preserve">Very significant reduction in costs (&gt; 50%)</w:t>
      </w:r>
      <w:r>
        <w:t xml:space="preserve"> </w:t>
      </w:r>
      <w:r>
        <w:t xml:space="preserve">N/A</w:t>
      </w:r>
      <w:r>
        <w:t xml:space="preserve"> </w:t>
      </w:r>
      <w:r>
        <w:t xml:space="preserve">12%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53%</w:t>
      </w:r>
      <w:r>
        <w:t xml:space="preserve"> </w:t>
      </w:r>
      <w:r>
        <w:t xml:space="preserve">None or insignificant share (0%-5%)</w:t>
      </w:r>
      <w:r>
        <w:t xml:space="preserve"> </w:t>
      </w:r>
      <w:r>
        <w:t xml:space="preserve">Small share (6%-25%)</w:t>
      </w:r>
      <w:r>
        <w:t xml:space="preserve"> </w:t>
      </w:r>
      <w:r>
        <w:t xml:space="preserve">Significant share (26%-50%)</w:t>
      </w:r>
      <w:r>
        <w:t xml:space="preserve"> </w:t>
      </w:r>
      <w:r>
        <w:t xml:space="preserve">Very significant share (&gt; 50%)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Summary of the discussions at the workshop</w:t>
      </w:r>
      <w:r>
        <w:t xml:space="preserve"> </w:t>
      </w:r>
      <w:r>
        <w:t xml:space="preserve">Session 1: technology pools</w:t>
      </w:r>
      <w:r>
        <w:t xml:space="preserve"> </w:t>
      </w:r>
      <w:r>
        <w:t xml:space="preserve">The discussion centred on the proposed adjustments to the conditions of the soft safe harbour</w:t>
      </w:r>
      <w:r>
        <w:t xml:space="preserve"> </w:t>
      </w:r>
      <w:r>
        <w:t xml:space="preserve">for technology pools in the Guidelines.</w:t>
      </w:r>
      <w:r>
        <w:t xml:space="preserve"> </w:t>
      </w:r>
      <w:r>
        <w:t xml:space="preserve">-</w:t>
      </w:r>
      <w:r>
        <w:t xml:space="preserve"> </w:t>
      </w:r>
      <w:r>
        <w:t xml:space="preserve">Disclosure of the pooled technology rights</w:t>
      </w:r>
      <w:r>
        <w:t xml:space="preserve"> </w:t>
      </w:r>
      <w:r>
        <w:t xml:space="preserve">Participants discussed the type and level of information that licensees require to understand</w:t>
      </w:r>
      <w:r>
        <w:t xml:space="preserve"> </w:t>
      </w:r>
      <w:r>
        <w:t xml:space="preserve">the scope and value of the pooled technology rights. Several stakeholders considered that</w:t>
      </w:r>
      <w:r>
        <w:t xml:space="preserve"> </w:t>
      </w:r>
      <w:r>
        <w:t xml:space="preserve">existing practices - such as disclosing the identity of licensors and making patent lists</w:t>
      </w:r>
      <w:r>
        <w:t xml:space="preserve"> </w:t>
      </w:r>
      <w:r>
        <w:t xml:space="preserve">available - generally provide sufficient information for licensees and have supported the</w:t>
      </w:r>
      <w:r>
        <w:t xml:space="preserve"> </w:t>
      </w:r>
      <w:r>
        <w:t xml:space="preserve">conclusion of thousands of licences. They cautioned against imposing a single form of</w:t>
      </w:r>
      <w:r>
        <w:t xml:space="preserve"> </w:t>
      </w:r>
      <w:r>
        <w:t xml:space="preserve">disclosure. Others favoured broader transparency. They stressed the importance of knowing</w:t>
      </w:r>
      <w:r>
        <w:t xml:space="preserve"> </w:t>
      </w:r>
      <w:r>
        <w:t xml:space="preserve">which patents are included in the pool, which patents have been subject to essentiality checks,</w:t>
      </w:r>
      <w:r>
        <w:t xml:space="preserve"> </w:t>
      </w:r>
      <w:r>
        <w:t xml:space="preserve">how much of the overall technology standard the pool covers, and the methodology and</w:t>
      </w:r>
      <w:r>
        <w:t xml:space="preserve"> </w:t>
      </w:r>
      <w:r>
        <w:t xml:space="preserve">independence of the experts that perform the essentiality checks. Several participants</w:t>
      </w:r>
      <w:r>
        <w:t xml:space="preserve"> </w:t>
      </w:r>
      <w:r>
        <w:t xml:space="preserve">underlined the need for up-to-date information and the need to avoid the charging of royalties</w:t>
      </w:r>
      <w:r>
        <w:t xml:space="preserve"> </w:t>
      </w:r>
      <w:r>
        <w:t xml:space="preserve">for expired patents.</w:t>
      </w:r>
      <w:r>
        <w:br/>
      </w:r>
      <w:r>
        <w:t xml:space="preserve">-</w:t>
      </w:r>
      <w:r>
        <w:t xml:space="preserve"> </w:t>
      </w:r>
      <w:r>
        <w:t xml:space="preserve">Examples and feasibility of disclosure practices</w:t>
      </w:r>
      <w:r>
        <w:t xml:space="preserve"> </w:t>
      </w:r>
      <w:r>
        <w:t xml:space="preserve">Some participants argued that current disclosure practices in established pools show that</w:t>
      </w:r>
      <w:r>
        <w:t xml:space="preserve"> </w:t>
      </w:r>
      <w:r>
        <w:t xml:space="preserve">transparency and efficiency can co-exist. Others noted concerns about the sufficiency of</w:t>
      </w:r>
      <w:r>
        <w:t xml:space="preserve"> </w:t>
      </w:r>
      <w:r>
        <w:t xml:space="preserve">current transparency levels and the need for more granular information.</w:t>
      </w:r>
      <w:r>
        <w:t xml:space="preserve"> </w:t>
      </w:r>
      <w:r>
        <w:t xml:space="preserve">-</w:t>
      </w:r>
      <w:r>
        <w:t xml:space="preserve"> </w:t>
      </w:r>
      <w:r>
        <w:t xml:space="preserve">Disclosure of essentiality checks</w:t>
      </w:r>
      <w:r>
        <w:t xml:space="preserve"> </w:t>
      </w:r>
      <w:r>
        <w:t xml:space="preserve">Licensees expressed interest in understanding which patents are checked, how they are</w:t>
      </w:r>
      <w:r>
        <w:t xml:space="preserve"> </w:t>
      </w:r>
      <w:r>
        <w:t xml:space="preserve">selected, and whether essentiality assessments are independent and robust. Several pool</w:t>
      </w:r>
      <w:r>
        <w:t xml:space="preserve"> </w:t>
      </w:r>
      <w:r>
        <w:t xml:space="preserve">operators underlined that essentiality checks are typically conducted for internal purposes</w:t>
      </w:r>
      <w:r>
        <w:t xml:space="preserve"> </w:t>
      </w:r>
      <w:r>
        <w:t xml:space="preserve">(e.g. to allocate royalties between the members of the pool) or on a sampling basis. They</w:t>
      </w:r>
      <w:r>
        <w:t xml:space="preserve"> </w:t>
      </w:r>
      <w:r>
        <w:t xml:space="preserve">cautioned that detailed disclosure could jeopardise confidential technical information.</w:t>
      </w:r>
      <w:r>
        <w:t xml:space="preserve"> </w:t>
      </w:r>
      <w:r>
        <w:t xml:space="preserve">Stakeholders stressed the importance of confidentiality protections when sharing essentiality-</w:t>
      </w:r>
      <w:r>
        <w:t xml:space="preserve"> </w:t>
      </w:r>
      <w:r>
        <w:t xml:space="preserve">related information.</w:t>
      </w:r>
    </w:p>
    <w:p>
      <w:pPr>
        <w:pStyle w:val="BodyText"/>
      </w:pPr>
      <w:r>
        <w:t xml:space="preserve">Session 2: Licensing negotiation groups (LNGs)</w:t>
      </w:r>
      <w:r>
        <w:t xml:space="preserve"> </w:t>
      </w:r>
      <w:r>
        <w:t xml:space="preserve">This session attracted the highest level of engagement and reflected the clear divide observed</w:t>
      </w:r>
      <w:r>
        <w:t xml:space="preserve"> </w:t>
      </w:r>
      <w:r>
        <w:t xml:space="preserve">in the public consultation on the draft revised Guidelines. Technology owners reiterated</w:t>
      </w:r>
      <w:r>
        <w:t xml:space="preserve"> </w:t>
      </w:r>
      <w:r>
        <w:t xml:space="preserve">concerns that the draft guidance - and in particular the proposed soft safe harbour - could</w:t>
      </w:r>
      <w:r>
        <w:t xml:space="preserve"> </w:t>
      </w:r>
      <w:r>
        <w:t xml:space="preserve">incentivise the formation of LNGs and that LNGs are likely to lead to coordinated hold-outs</w:t>
      </w:r>
      <w:r>
        <w:t xml:space="preserve"> </w:t>
      </w:r>
      <w:r>
        <w:t xml:space="preserve">and excessive buyer power. Conversely, technology implementers emphasised that LNGs</w:t>
      </w:r>
      <w:r>
        <w:t xml:space="preserve"> </w:t>
      </w:r>
      <w:r>
        <w:t xml:space="preserve">could reduce transaction costs, mitigate information asymmetries and foster more balanced</w:t>
      </w:r>
      <w:r>
        <w:t xml:space="preserve"> </w:t>
      </w:r>
      <w:r>
        <w:t xml:space="preserve">negotiations. They also said that the guidance provides much-needed legal certainty in a</w:t>
      </w:r>
      <w:r>
        <w:t xml:space="preserve"> </w:t>
      </w:r>
      <w:r>
        <w:t xml:space="preserve">context where LNGs are beginning to emerge in several sectors. Similarly to the results of the</w:t>
      </w:r>
      <w:r>
        <w:t xml:space="preserve"> </w:t>
      </w:r>
      <w:r>
        <w:t xml:space="preserve">public consultation on the draft revised Guidelines, views also diverged strongly on the</w:t>
      </w:r>
      <w:r>
        <w:t xml:space="preserve"> </w:t>
      </w:r>
      <w:r>
        <w:t xml:space="preserve">appropriate scope and safeguards of the soft safe harbour.</w:t>
      </w:r>
    </w:p>
    <w:bookmarkEnd w:id="10"/>
    <w:bookmarkStart w:id="11" w:name="section-1"/>
    <w:p>
      <w:pPr>
        <w:pStyle w:val="Heading2"/>
      </w:pPr>
      <w:r>
        <w:t xml:space="preserve">85</w:t>
      </w:r>
    </w:p>
    <w:p>
      <w:pPr>
        <w:pStyle w:val="FirstParagraph"/>
      </w:pPr>
      <w:r>
        <w:t xml:space="preserve">Market definition and the assessment of market power</w:t>
      </w:r>
      <w:r>
        <w:t xml:space="preserve"> </w:t>
      </w:r>
      <w:r>
        <w:t xml:space="preserve">Participants recognised that defining the relevant licensing market is fundamental for</w:t>
      </w:r>
      <w:r>
        <w:t xml:space="preserve"> </w:t>
      </w:r>
      <w:r>
        <w:t xml:space="preserve">assessing the effects of LNGs but expressed divergent views on the appropriate approach.</w:t>
      </w:r>
      <w:r>
        <w:t xml:space="preserve"> </w:t>
      </w:r>
      <w:r>
        <w:t xml:space="preserve">Some technology owners and pools said that markets should be defined based on the use</w:t>
      </w:r>
      <w:r>
        <w:t xml:space="preserve"> </w:t>
      </w:r>
      <w:r>
        <w:t xml:space="preserve">cases of the technology, noting that licensing terms differ significantly where the same</w:t>
      </w:r>
      <w:r>
        <w:t xml:space="preserve"> </w:t>
      </w:r>
      <w:r>
        <w:t xml:space="preserve">technology is licensed for use in smartphones, cars, smart meters or payment terminals.</w:t>
      </w:r>
      <w:r>
        <w:t xml:space="preserve"> </w:t>
      </w:r>
      <w:r>
        <w:t xml:space="preserve">Others emphasised that technology rights are not comparable to traditional products and that</w:t>
      </w:r>
      <w:r>
        <w:t xml:space="preserve"> </w:t>
      </w:r>
      <w:r>
        <w:t xml:space="preserve">market power should be assessed flexibly. Certain participants underlined bargaining</w:t>
      </w:r>
      <w:r>
        <w:t xml:space="preserve"> </w:t>
      </w:r>
      <w:r>
        <w:t xml:space="preserve">asymmetries, noting that prospective licensees are often already using the technology and that</w:t>
      </w:r>
      <w:r>
        <w:t xml:space="preserve"> </w:t>
      </w:r>
      <w:r>
        <w:t xml:space="preserve">licensors face procedural hurdles to obtain injunctions to enforce their IP rights. Some</w:t>
      </w:r>
      <w:r>
        <w:t xml:space="preserve"> </w:t>
      </w:r>
      <w:r>
        <w:t xml:space="preserve">speakers noted the need to remain consistent with the Commission’s Market Definition</w:t>
      </w:r>
      <w:r>
        <w:t xml:space="preserve"> </w:t>
      </w:r>
      <w:r>
        <w:t xml:space="preserve">Notice and the case law.</w:t>
      </w:r>
      <w:r>
        <w:t xml:space="preserve"> </w:t>
      </w:r>
      <w:r>
        <w:t xml:space="preserve">-</w:t>
      </w:r>
      <w:r>
        <w:t xml:space="preserve"> </w:t>
      </w:r>
      <w:r>
        <w:t xml:space="preserve">Soft safe harbour</w:t>
      </w:r>
      <w:r>
        <w:t xml:space="preserve"> </w:t>
      </w:r>
      <w:r>
        <w:t xml:space="preserve">Several representatives of implementers strongly supported including a soft safe harbour,</w:t>
      </w:r>
      <w:r>
        <w:t xml:space="preserve"> </w:t>
      </w:r>
      <w:r>
        <w:t xml:space="preserve">viewing LNGs as a tool to address perceived imbalances in SEP licensing. Other stakeholders</w:t>
      </w:r>
      <w:r>
        <w:t xml:space="preserve"> </w:t>
      </w:r>
      <w:r>
        <w:t xml:space="preserve">warned that LNGs could amplify buyer power - particularly of large implementers - and</w:t>
      </w:r>
      <w:r>
        <w:t xml:space="preserve"> </w:t>
      </w:r>
      <w:r>
        <w:t xml:space="preserve">argued that the Commission should acquire more enforcement experience before proposing a</w:t>
      </w:r>
      <w:r>
        <w:t xml:space="preserve"> </w:t>
      </w:r>
      <w:r>
        <w:t xml:space="preserve">soft safe harbour for LNGs. They therefore favoured a case-by-case assessment. Some</w:t>
      </w:r>
      <w:r>
        <w:t xml:space="preserve"> </w:t>
      </w:r>
      <w:r>
        <w:t xml:space="preserve">implementers stressed the need to consider SME participation and the barriers to entering</w:t>
      </w:r>
      <w:r>
        <w:t xml:space="preserve"> </w:t>
      </w:r>
      <w:r>
        <w:t xml:space="preserve">SEP negotiations. Several participants underlined the importance of market share thresholds</w:t>
      </w:r>
      <w:r>
        <w:t xml:space="preserve"> </w:t>
      </w:r>
      <w:r>
        <w:t xml:space="preserve">to avoid excessive buyer power.</w:t>
      </w:r>
      <w:r>
        <w:t xml:space="preserve"> </w:t>
      </w:r>
      <w:r>
        <w:t xml:space="preserve">-</w:t>
      </w:r>
      <w:r>
        <w:t xml:space="preserve"> </w:t>
      </w:r>
      <w:r>
        <w:t xml:space="preserve">Voluntary engagement by technology owners and standstill periods</w:t>
      </w:r>
      <w:r>
        <w:t xml:space="preserve"> </w:t>
      </w:r>
      <w:r>
        <w:t xml:space="preserve">Participants generally agreed that technology owners must remain free to decide whether they</w:t>
      </w:r>
      <w:r>
        <w:t xml:space="preserve"> </w:t>
      </w:r>
      <w:r>
        <w:t xml:space="preserve">engage with LNGs. Several stakeholders expressed concerns that a six-month standstill on</w:t>
      </w:r>
      <w:r>
        <w:t xml:space="preserve"> </w:t>
      </w:r>
      <w:r>
        <w:t xml:space="preserve">bilateral negotiations could encourage delays or weaken implementers’ incentives to</w:t>
      </w:r>
      <w:r>
        <w:t xml:space="preserve"> </w:t>
      </w:r>
      <w:r>
        <w:t xml:space="preserve">negotiate. Others considered that a limited standstill period is acceptable and conducive to the</w:t>
      </w:r>
      <w:r>
        <w:t xml:space="preserve"> </w:t>
      </w:r>
      <w:r>
        <w:t xml:space="preserve">efficiency of collective negotiations.</w:t>
      </w:r>
      <w:r>
        <w:t xml:space="preserve"> </w:t>
      </w:r>
      <w:r>
        <w:t xml:space="preserve">-</w:t>
      </w:r>
      <w:r>
        <w:t xml:space="preserve"> </w:t>
      </w:r>
      <w:r>
        <w:t xml:space="preserve">Binding nature of LNG outcomes</w:t>
      </w:r>
      <w:r>
        <w:t xml:space="preserve"> </w:t>
      </w:r>
      <w:r>
        <w:t xml:space="preserve">Some participants argued that, to avoid strategic behaviour, LNG members should be bound</w:t>
      </w:r>
      <w:r>
        <w:t xml:space="preserve"> </w:t>
      </w:r>
      <w:r>
        <w:t xml:space="preserve">by the jointly negotiated terms, similarly to the members of patent pools. Others warned that</w:t>
      </w:r>
      <w:r>
        <w:t xml:space="preserve"> </w:t>
      </w:r>
      <w:r>
        <w:t xml:space="preserve">binding arrangements could resemble a coordinated boycott and stressed that both licensors</w:t>
      </w:r>
      <w:r>
        <w:t xml:space="preserve"> </w:t>
      </w:r>
      <w:r>
        <w:t xml:space="preserve">and implementers must retain the option to negotiate bilaterally.</w:t>
      </w:r>
      <w:r>
        <w:br/>
      </w:r>
      <w:r>
        <w:t xml:space="preserve">Session 3: data licensing agreements</w:t>
      </w:r>
      <w:r>
        <w:t xml:space="preserve"> </w:t>
      </w:r>
      <w:r>
        <w:t xml:space="preserve">Stakeholders broadly welcomed the proposed new guidance on data licensing agreements,</w:t>
      </w:r>
      <w:r>
        <w:t xml:space="preserve"> </w:t>
      </w:r>
      <w:r>
        <w:t xml:space="preserve">confirming the need for legal certainty in an area of growing economic significance. Some</w:t>
      </w:r>
      <w:r>
        <w:t xml:space="preserve"> </w:t>
      </w:r>
      <w:r>
        <w:t xml:space="preserve">suggested ensuring that data shared pursuant to the Data Act can be protected by</w:t>
      </w:r>
      <w:r>
        <w:t xml:space="preserve"> </w:t>
      </w:r>
      <w:r>
        <w:t xml:space="preserve">confidentiality mechanisms without creating uncertainty under competition law.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2.4. Consultation of National Competition Authorities and Member States</w:t>
      </w:r>
      <w:r>
        <w:t xml:space="preserve"> </w:t>
      </w:r>
      <w:r>
        <w:t xml:space="preserve">As noted in the Evaluation Report, National Competition Authorities (“NCAs”) have little or</w:t>
      </w:r>
      <w:r>
        <w:t xml:space="preserve"> </w:t>
      </w:r>
      <w:r>
        <w:t xml:space="preserve">no recent experience of applying the TTBER and Guidelines311. The one NCA that reported</w:t>
      </w:r>
      <w:r>
        <w:t xml:space="preserve"> </w:t>
      </w:r>
      <w:r>
        <w:t xml:space="preserve">some enforcement experience has been more engaged in the consultations, and the</w:t>
      </w:r>
      <w:r>
        <w:t xml:space="preserve"> </w:t>
      </w:r>
      <w:r>
        <w:t xml:space="preserve">Commission services have held bilateral meetings with the NCA to obtain their views.</w:t>
      </w:r>
      <w:r>
        <w:t xml:space="preserve"> </w:t>
      </w:r>
      <w:r>
        <w:t xml:space="preserve">Nonetheless, all NCAs have been consulted periodically throughout the evaluation and</w:t>
      </w:r>
      <w:r>
        <w:t xml:space="preserve"> </w:t>
      </w:r>
      <w:r>
        <w:t xml:space="preserve">impact assessment via the regular meetings of the European Competition Network. The</w:t>
      </w:r>
      <w:r>
        <w:t xml:space="preserve"> </w:t>
      </w:r>
      <w:r>
        <w:t xml:space="preserve">EFTA Surveillance Authority has also been informed about the progress of the impact</w:t>
      </w:r>
      <w:r>
        <w:t xml:space="preserve"> </w:t>
      </w:r>
      <w:r>
        <w:t xml:space="preserve">assessment. Relevant ministries of the Member States were consulted on the draft revised</w:t>
      </w:r>
      <w:r>
        <w:t xml:space="preserve"> </w:t>
      </w:r>
      <w:r>
        <w:t xml:space="preserve">TTBER and Guidelines at a meeting of the Advisory Committee in September 2025. No</w:t>
      </w:r>
      <w:r>
        <w:t xml:space="preserve"> </w:t>
      </w:r>
      <w:r>
        <w:t xml:space="preserve">comments were received.</w:t>
      </w:r>
      <w:r>
        <w:br/>
      </w:r>
      <w:r>
        <w:t xml:space="preserve">2. 5. Stakeholder engagement outside the formal consultations</w:t>
      </w:r>
      <w:r>
        <w:br/>
      </w:r>
      <w:r>
        <w:t xml:space="preserve">The Commission services have made themselves available to meet stakeholders throughout</w:t>
      </w:r>
      <w:r>
        <w:t xml:space="preserve"> </w:t>
      </w:r>
      <w:r>
        <w:t xml:space="preserve">the evaluation and impact assessment. They met sector representatives and businesses</w:t>
      </w:r>
      <w:r>
        <w:t xml:space="preserve"> </w:t>
      </w:r>
      <w:r>
        <w:t xml:space="preserve">affected by the initiative, who provided their views and experience on the functioning of the</w:t>
      </w:r>
      <w:r>
        <w:t xml:space="preserve"> </w:t>
      </w:r>
      <w:r>
        <w:t xml:space="preserve">TTBER and Guidelines during the evaluation phase, as well as their views on the draft</w:t>
      </w:r>
      <w:r>
        <w:t xml:space="preserve"> </w:t>
      </w:r>
      <w:r>
        <w:t xml:space="preserve">revised texts published in the impact assessment phase.</w:t>
      </w:r>
    </w:p>
    <w:p>
      <w:pPr>
        <w:pStyle w:val="BodyText"/>
      </w:pPr>
      <w:r>
        <w:t xml:space="preserve">311 See the Evaluation Report, page 76.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initiative consists in a revision of the TTBER and the Guidelines. It preserves the</w:t>
      </w:r>
      <w:r>
        <w:t xml:space="preserve"> </w:t>
      </w:r>
      <w:r>
        <w:t xml:space="preserve">structure and framework of the existing rules, which the evaluation confirmed to be useful</w:t>
      </w:r>
      <w:r>
        <w:t xml:space="preserve"> </w:t>
      </w:r>
      <w:r>
        <w:t xml:space="preserve">and relevant for stakeholders.</w:t>
      </w:r>
      <w:r>
        <w:t xml:space="preserve"> </w:t>
      </w:r>
      <w:r>
        <w:t xml:space="preserve">It is important to recall that the TTBER and Guidelines do not impose obligations on</w:t>
      </w:r>
      <w:r>
        <w:t xml:space="preserve"> </w:t>
      </w:r>
      <w:r>
        <w:t xml:space="preserve">businesses; the competition law obligations of businesses in relation to technology transfer</w:t>
      </w:r>
      <w:r>
        <w:t xml:space="preserve"> </w:t>
      </w:r>
      <w:r>
        <w:t xml:space="preserve">agreements derive from Article 101 TFEU. The TTBER and Guidelines provide a simplified</w:t>
      </w:r>
      <w:r>
        <w:t xml:space="preserve"> </w:t>
      </w:r>
      <w:r>
        <w:t xml:space="preserve">set of rules for businesses to assess the compliance of their technology transfer agreements</w:t>
      </w:r>
      <w:r>
        <w:t xml:space="preserve"> </w:t>
      </w:r>
      <w:r>
        <w:t xml:space="preserve">with the Treaty.</w:t>
      </w:r>
      <w:r>
        <w:t xml:space="preserve"> </w:t>
      </w:r>
      <w:r>
        <w:t xml:space="preserve">The revised TTBER and Guidelines will primarily affect businesses and, indirectly, the law</w:t>
      </w:r>
      <w:r>
        <w:t xml:space="preserve"> </w:t>
      </w:r>
      <w:r>
        <w:t xml:space="preserve">firms and other professionals who advise businesses on compliance with Article 101 TFEU.</w:t>
      </w:r>
      <w:r>
        <w:t xml:space="preserve"> </w:t>
      </w:r>
      <w:r>
        <w:t xml:space="preserve">The revised TTBER and Guidelines may also have implications for the National Competition</w:t>
      </w:r>
      <w:r>
        <w:t xml:space="preserve"> </w:t>
      </w:r>
      <w:r>
        <w:t xml:space="preserve">Authorities (“NCAs”) and national courts. While the evaluation showed that they have</w:t>
      </w:r>
      <w:r>
        <w:t xml:space="preserve"> </w:t>
      </w:r>
      <w:r>
        <w:t xml:space="preserve">limited recent enforcement experience in relation to technology licensing agreements312, it is</w:t>
      </w:r>
      <w:r>
        <w:t xml:space="preserve"> </w:t>
      </w:r>
      <w:r>
        <w:t xml:space="preserve">not excluded that this experience may evolve. Indirectly, the revised TTBER and Guidelines</w:t>
      </w:r>
      <w:r>
        <w:t xml:space="preserve"> </w:t>
      </w:r>
      <w:r>
        <w:t xml:space="preserve">will also positively affect consumers, but the initiative has no practical implications for them.</w:t>
      </w:r>
      <w:r>
        <w:br/>
      </w:r>
      <w:r>
        <w:t xml:space="preserve">Businesses:</w:t>
      </w:r>
      <w:r>
        <w:t xml:space="preserve"> </w:t>
      </w:r>
      <w:r>
        <w:t xml:space="preserve">Businesses use the TTBER and Guidelines to assess compliance of their technology transfer</w:t>
      </w:r>
      <w:r>
        <w:t xml:space="preserve"> </w:t>
      </w:r>
      <w:r>
        <w:t xml:space="preserve">agreements with Article 101 TFEU. They use the TTBER to assess whether their agreement</w:t>
      </w:r>
      <w:r>
        <w:t xml:space="preserve"> </w:t>
      </w:r>
      <w:r>
        <w:t xml:space="preserve">can benefit from the block exemption, i.e. the legal safe harbour from the prohibition of anti-</w:t>
      </w:r>
      <w:r>
        <w:t xml:space="preserve"> </w:t>
      </w:r>
      <w:r>
        <w:t xml:space="preserve">competitive agreements in Article 101. Businesses use the Guidelines to help them to</w:t>
      </w:r>
      <w:r>
        <w:t xml:space="preserve"> </w:t>
      </w:r>
      <w:r>
        <w:t xml:space="preserve">interpret the TTBER’s conditions. They also use the Guidelines to help them to assess the</w:t>
      </w:r>
      <w:r>
        <w:t xml:space="preserve"> </w:t>
      </w:r>
      <w:r>
        <w:t xml:space="preserve">compliance with Article 101 of agreements that fall outside the block exemption.</w:t>
      </w:r>
      <w:r>
        <w:br/>
      </w:r>
      <w:r>
        <w:t xml:space="preserve">In the evaluation, stakeholders confirmed that the TTBER and Guidelines are valuable tools</w:t>
      </w:r>
      <w:r>
        <w:t xml:space="preserve"> </w:t>
      </w:r>
      <w:r>
        <w:t xml:space="preserve">that significantly facilitate the task of assessing the compliance of technology transfer</w:t>
      </w:r>
      <w:r>
        <w:t xml:space="preserve"> </w:t>
      </w:r>
      <w:r>
        <w:t xml:space="preserve">agreements with Article 101 TFEU. As the initiative preserves the structure of the existing</w:t>
      </w:r>
      <w:r>
        <w:t xml:space="preserve"> </w:t>
      </w:r>
      <w:r>
        <w:t xml:space="preserve">framework of assessment, businesses will be able to continue applying the same approach</w:t>
      </w:r>
      <w:r>
        <w:t xml:space="preserve"> </w:t>
      </w:r>
      <w:r>
        <w:t xml:space="preserve">when assessing their agreements. This continuity preserves businesses’ overall familiarity</w:t>
      </w:r>
      <w:r>
        <w:t xml:space="preserve"> </w:t>
      </w:r>
      <w:r>
        <w:t xml:space="preserve">with the system.</w:t>
      </w:r>
      <w:r>
        <w:br/>
      </w:r>
      <w:r>
        <w:t xml:space="preserve">At the same time, the initiative addresses the areas where stakeholders reported legal</w:t>
      </w:r>
      <w:r>
        <w:t xml:space="preserve"> </w:t>
      </w:r>
      <w:r>
        <w:t xml:space="preserve">uncertainty or complexity, in particular the application of TTBER’s market share thresholds</w:t>
      </w:r>
      <w:r>
        <w:t xml:space="preserve"> </w:t>
      </w:r>
      <w:r>
        <w:t xml:space="preserve">for technology markets and the lack of guidance on the competition law assessment of data</w:t>
      </w:r>
      <w:r>
        <w:t xml:space="preserve"> </w:t>
      </w:r>
      <w:r>
        <w:t xml:space="preserve">licensing agreements and licensing negotiation groups. By clarifying the rules and providing</w:t>
      </w:r>
      <w:r>
        <w:t xml:space="preserve"> </w:t>
      </w:r>
      <w:r>
        <w:t xml:space="preserve">new guidance in these areas, the initiative increases legal certainty and makes it easier and</w:t>
      </w:r>
      <w:r>
        <w:t xml:space="preserve"> </w:t>
      </w:r>
      <w:r>
        <w:t xml:space="preserve">less costly for businesses to assess the compliance of their agreements with Article 101. As</w:t>
      </w:r>
      <w:r>
        <w:t xml:space="preserve"> </w:t>
      </w:r>
      <w:r>
        <w:t xml:space="preserve">outlined in Section 2.3 of this report and Annex 6, although there was limited direct</w:t>
      </w:r>
    </w:p>
    <w:p>
      <w:pPr>
        <w:pStyle w:val="BodyText"/>
      </w:pPr>
      <w:r>
        <w:t xml:space="preserve">312 See the Evaluation Report, pp. 22-23 and the Evaluation Support Study, pp. 29 and 193.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participation from SMEs in the evaluation and impact assessment, the TTBER and</w:t>
      </w:r>
      <w:r>
        <w:t xml:space="preserve"> </w:t>
      </w:r>
      <w:r>
        <w:t xml:space="preserve">Guidelines are also used by SMEs, and the evidence suggests that greater legal certainty is</w:t>
      </w:r>
      <w:r>
        <w:t xml:space="preserve"> </w:t>
      </w:r>
      <w:r>
        <w:t xml:space="preserve">also helpful for them. Indirectly, law firms and other professionals who advise businesses on</w:t>
      </w:r>
      <w:r>
        <w:t xml:space="preserve"> </w:t>
      </w:r>
      <w:r>
        <w:t xml:space="preserve">compliance with Article 101 TFEU also benefit from a clearer set of rules, which would</w:t>
      </w:r>
      <w:r>
        <w:t xml:space="preserve"> </w:t>
      </w:r>
      <w:r>
        <w:t xml:space="preserve">allow them to advise their clients more effectively.</w:t>
      </w:r>
      <w:r>
        <w:br/>
      </w:r>
      <w:r>
        <w:t xml:space="preserve">Enforcement authorities:</w:t>
      </w:r>
      <w:r>
        <w:t xml:space="preserve"> </w:t>
      </w:r>
      <w:r>
        <w:t xml:space="preserve">The initiative would not have significant practical implications for the Commission, NCAs or</w:t>
      </w:r>
      <w:r>
        <w:t xml:space="preserve"> </w:t>
      </w:r>
      <w:r>
        <w:t xml:space="preserve">national courts. As the TTBER is binding on NCAs and national courts, these authorities</w:t>
      </w:r>
      <w:r>
        <w:t xml:space="preserve"> </w:t>
      </w:r>
      <w:r>
        <w:t xml:space="preserve">would be required to take into account the revised provisions of the TTBER when assessing</w:t>
      </w:r>
      <w:r>
        <w:t xml:space="preserve"> </w:t>
      </w:r>
      <w:r>
        <w:t xml:space="preserve">whether a technology transfer agreement falls within the block exemption. The Guidelines</w:t>
      </w:r>
      <w:r>
        <w:t xml:space="preserve"> </w:t>
      </w:r>
      <w:r>
        <w:t xml:space="preserve">only bind the Commission, but NCAs and national courts typically rely upon the</w:t>
      </w:r>
      <w:r>
        <w:t xml:space="preserve"> </w:t>
      </w:r>
      <w:r>
        <w:t xml:space="preserve">Commission’s guidelines for the purpose of interpreting Commission block exemption</w:t>
      </w:r>
      <w:r>
        <w:t xml:space="preserve"> </w:t>
      </w:r>
      <w:r>
        <w:t xml:space="preserve">regulations and when they apply Article 101 TFEU to the agreements concerned.</w:t>
      </w:r>
      <w:r>
        <w:t xml:space="preserve"> </w:t>
      </w:r>
      <w:r>
        <w:t xml:space="preserve">The initiative does not substantially alter the framework of analysis provided by the TTBER</w:t>
      </w:r>
      <w:r>
        <w:t xml:space="preserve"> </w:t>
      </w:r>
      <w:r>
        <w:t xml:space="preserve">and the Guidelines. Key provisions of the TTBER, such as the market share thresholds and</w:t>
      </w:r>
      <w:r>
        <w:t xml:space="preserve"> </w:t>
      </w:r>
      <w:r>
        <w:t xml:space="preserve">the lists of hardcore restrictions and excluded restrictions remain unchanged. Enforcement</w:t>
      </w:r>
      <w:r>
        <w:t xml:space="preserve"> </w:t>
      </w:r>
      <w:r>
        <w:t xml:space="preserve">authorities would therefore continue to apply the same overall approach when enforcing</w:t>
      </w:r>
      <w:r>
        <w:t xml:space="preserve"> </w:t>
      </w:r>
      <w:r>
        <w:t xml:space="preserve">Article 101 TFEU. For this reason, the initiative is not expected to generate significant</w:t>
      </w:r>
      <w:r>
        <w:t xml:space="preserve"> </w:t>
      </w:r>
      <w:r>
        <w:t xml:space="preserve">practical changes for the Commission, NCAs or national courts.</w:t>
      </w:r>
      <w:r>
        <w:t xml:space="preserve"> </w:t>
      </w:r>
      <w:r>
        <w:t xml:space="preserve">The TTBER and Guidelines will also continue to facilitate the enforcement work of</w:t>
      </w:r>
      <w:r>
        <w:t xml:space="preserve"> </w:t>
      </w:r>
      <w:r>
        <w:t xml:space="preserve">competition authorities. While the TTBER and the safe harbour that it provides are primarily</w:t>
      </w:r>
      <w:r>
        <w:t xml:space="preserve"> </w:t>
      </w:r>
      <w:r>
        <w:t xml:space="preserve">intended to assist businesses with their compliance assessments, they also simplify the</w:t>
      </w:r>
      <w:r>
        <w:t xml:space="preserve"> </w:t>
      </w:r>
      <w:r>
        <w:t xml:space="preserve">enforcement work of the Commission and NCAs. When they investigate an agreement, the</w:t>
      </w:r>
      <w:r>
        <w:t xml:space="preserve"> </w:t>
      </w:r>
      <w:r>
        <w:t xml:space="preserve">TTBER enables them to determine efficiently whether it meets the conditions of</w:t>
      </w:r>
      <w:r>
        <w:t xml:space="preserve"> </w:t>
      </w:r>
      <w:r>
        <w:t xml:space="preserve">Article 101(3) TFEU, while the Guidelines provide a framework for assessing technology</w:t>
      </w:r>
      <w:r>
        <w:t xml:space="preserve"> </w:t>
      </w:r>
      <w:r>
        <w:t xml:space="preserve">transfer agreements that fall outside the block exemption. A clearer and more up-to-date set</w:t>
      </w:r>
      <w:r>
        <w:t xml:space="preserve"> </w:t>
      </w:r>
      <w:r>
        <w:t xml:space="preserve">of rules resulting from the initiative would therefore support the effective enforcement of</w:t>
      </w:r>
      <w:r>
        <w:t xml:space="preserve"> </w:t>
      </w:r>
      <w:r>
        <w:t xml:space="preserve">Article 101, without imposing additional burdens on enforcement authorities.</w:t>
      </w:r>
      <w:r>
        <w:t xml:space="preserve"> </w:t>
      </w:r>
      <w:r>
        <w:t xml:space="preserve">Consumers:</w:t>
      </w:r>
      <w:r>
        <w:br/>
      </w:r>
      <w:r>
        <w:t xml:space="preserve">The initiative is not expected to have direct practical implications for consumers, as the</w:t>
      </w:r>
      <w:r>
        <w:t xml:space="preserve"> </w:t>
      </w:r>
      <w:r>
        <w:t xml:space="preserve">TTBER and Guidelines do not apply to them and are not used by them. Indirectly, however,</w:t>
      </w:r>
      <w:r>
        <w:t xml:space="preserve"> </w:t>
      </w:r>
      <w:r>
        <w:t xml:space="preserve">consumers would benefit from the initiative, as clearer and more effective rules facilitate the</w:t>
      </w:r>
      <w:r>
        <w:t xml:space="preserve"> </w:t>
      </w:r>
      <w:r>
        <w:t xml:space="preserve">use of technology transfer agreements, thereby promoting the dissemination of technology</w:t>
      </w:r>
      <w:r>
        <w:t xml:space="preserve"> </w:t>
      </w:r>
      <w:r>
        <w:t xml:space="preserve">and incentivising R&amp;D. This can in turn be expected to lead to increased innovation, which</w:t>
      </w:r>
      <w:r>
        <w:t xml:space="preserve"> </w:t>
      </w:r>
      <w:r>
        <w:t xml:space="preserve">can translate into better quality and more varied products and lower prices.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for businesses</w:t>
      </w:r>
      <w:r>
        <w:br/>
      </w:r>
      <w:r>
        <w:t xml:space="preserve">Based on a number of assumptions, the preferred</w:t>
      </w:r>
      <w:r>
        <w:t xml:space="preserve"> </w:t>
      </w:r>
      <w:r>
        <w:t xml:space="preserve">option for Problem 1 is expected to reduce</w:t>
      </w:r>
      <w:r>
        <w:t xml:space="preserve"> </w:t>
      </w:r>
      <w:r>
        <w:t xml:space="preserve">aggregate compliance assessment costs by</w:t>
      </w:r>
      <w:r>
        <w:t xml:space="preserve"> </w:t>
      </w:r>
      <w:r>
        <w:t xml:space="preserve">between EUR 223,000 and EUR 1,836,000 per</w:t>
      </w:r>
      <w:r>
        <w:t xml:space="preserve"> </w:t>
      </w:r>
      <w:r>
        <w:t xml:space="preserve">year. Based on a number of assumptions, the</w:t>
      </w:r>
      <w:r>
        <w:t xml:space="preserve"> </w:t>
      </w:r>
      <w:r>
        <w:t xml:space="preserve">preferred option for Problem 2 is expected to</w:t>
      </w:r>
      <w:r>
        <w:t xml:space="preserve"> </w:t>
      </w:r>
      <w:r>
        <w:t xml:space="preserve">reduce compliance assessment costs by between</w:t>
      </w:r>
      <w:r>
        <w:t xml:space="preserve"> </w:t>
      </w:r>
      <w:r>
        <w:t xml:space="preserve">EUR 739,200 and EUR 7,392,000 per year.</w:t>
      </w:r>
      <w:r>
        <w:t xml:space="preserve"> </w:t>
      </w:r>
      <w:r>
        <w:t xml:space="preserve">While it was not possible to precisely quantify</w:t>
      </w:r>
      <w:r>
        <w:t xml:space="preserve"> </w:t>
      </w:r>
      <w:r>
        <w:t xml:space="preserve">the cost reductions resulting from the preferred</w:t>
      </w:r>
      <w:r>
        <w:t xml:space="preserve"> </w:t>
      </w:r>
      <w:r>
        <w:t xml:space="preserve">option for Problem 3, it is expected to facilitate</w:t>
      </w:r>
      <w:r>
        <w:t xml:space="preserve"> </w:t>
      </w:r>
      <w:r>
        <w:t xml:space="preserve">the formation of pro-competitive LNGs, while</w:t>
      </w:r>
      <w:r>
        <w:t xml:space="preserve"> </w:t>
      </w:r>
      <w:r>
        <w:t xml:space="preserve">deterring those that are likely to lead to anti-</w:t>
      </w:r>
      <w:r>
        <w:t xml:space="preserve"> </w:t>
      </w:r>
      <w:r>
        <w:t xml:space="preserve">competitive effects.</w:t>
      </w:r>
      <w:r>
        <w:br/>
      </w:r>
      <w:r>
        <w:t xml:space="preserve">The preferred options will make it easier</w:t>
      </w:r>
      <w:r>
        <w:t xml:space="preserve"> </w:t>
      </w:r>
      <w:r>
        <w:t xml:space="preserve">for businesses to determine whether their</w:t>
      </w:r>
      <w:r>
        <w:t xml:space="preserve"> </w:t>
      </w:r>
      <w:r>
        <w:t xml:space="preserve">technology transfer agreements fall within</w:t>
      </w:r>
      <w:r>
        <w:t xml:space="preserve"> </w:t>
      </w:r>
      <w:r>
        <w:t xml:space="preserve">the safe harbour provided by the TTBER</w:t>
      </w:r>
      <w:r>
        <w:t xml:space="preserve"> </w:t>
      </w:r>
      <w:r>
        <w:t xml:space="preserve">and to assess whether their data licensing</w:t>
      </w:r>
      <w:r>
        <w:t xml:space="preserve"> </w:t>
      </w:r>
      <w:r>
        <w:t xml:space="preserve">agreements and their licensing negotiation</w:t>
      </w:r>
      <w:r>
        <w:t xml:space="preserve"> </w:t>
      </w:r>
      <w:r>
        <w:t xml:space="preserve">groups comply with Article 101 TFEU.</w:t>
      </w:r>
      <w:r>
        <w:br/>
      </w:r>
      <w:r>
        <w:t xml:space="preserve">Legal certainty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The initiative is expected to increase the</w:t>
      </w:r>
      <w:r>
        <w:t xml:space="preserve"> </w:t>
      </w:r>
      <w:r>
        <w:t xml:space="preserve">level of legal certainty as compared to the</w:t>
      </w:r>
      <w:r>
        <w:t xml:space="preserve"> </w:t>
      </w:r>
      <w:r>
        <w:t xml:space="preserve">existing rules.</w:t>
      </w:r>
      <w:r>
        <w:br/>
      </w:r>
      <w:r>
        <w:t xml:space="preserve">Indirect benefits</w:t>
      </w:r>
      <w:r>
        <w:t xml:space="preserve"> </w:t>
      </w:r>
      <w:r>
        <w:t xml:space="preserve">Indirect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reductions</w:t>
      </w:r>
      <w:r>
        <w:br/>
      </w:r>
      <w:r>
        <w:t xml:space="preserve">Not possible to quantify</w:t>
      </w:r>
      <w:r>
        <w:t xml:space="preserve"> </w:t>
      </w:r>
      <w:r>
        <w:t xml:space="preserve">All sectors can benefit from the fact that</w:t>
      </w:r>
      <w:r>
        <w:t xml:space="preserve"> </w:t>
      </w:r>
      <w:r>
        <w:t xml:space="preserve">businesses involved in technology transfer</w:t>
      </w:r>
      <w:r>
        <w:t xml:space="preserve"> </w:t>
      </w:r>
      <w:r>
        <w:t xml:space="preserve">agreements have more legal certainty.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infringement through agreements designed</w:t>
      </w:r>
      <w:r>
        <w:t xml:space="preserve"> </w:t>
      </w:r>
      <w:r>
        <w:t xml:space="preserve">to benefit from the block exemption gives</w:t>
      </w:r>
      <w:r>
        <w:t xml:space="preserve"> </w:t>
      </w:r>
      <w:r>
        <w:t xml:space="preserve">parties the confidence to enter into</w:t>
      </w:r>
      <w:r>
        <w:t xml:space="preserve"> </w:t>
      </w:r>
      <w:r>
        <w:t xml:space="preserve">agreements that they might not otherwise</w:t>
      </w:r>
      <w:r>
        <w:t xml:space="preserve"> </w:t>
      </w:r>
      <w:r>
        <w:t xml:space="preserve">have concluded. This is a significant</w:t>
      </w:r>
      <w:r>
        <w:t xml:space="preserve"> </w:t>
      </w:r>
      <w:r>
        <w:t xml:space="preserve">positive effect, as the TTBER is expected to</w:t>
      </w:r>
      <w:r>
        <w:t xml:space="preserve"> </w:t>
      </w:r>
      <w:r>
        <w:t xml:space="preserve">lead to more pro-competitive licensing</w:t>
      </w:r>
      <w:r>
        <w:t xml:space="preserve"> </w:t>
      </w:r>
      <w:r>
        <w:t xml:space="preserve">agreements than in its absence, and</w:t>
      </w:r>
      <w:r>
        <w:t xml:space="preserve"> </w:t>
      </w:r>
      <w:r>
        <w:t xml:space="preserve">therefore</w:t>
      </w:r>
      <w:r>
        <w:t xml:space="preserve"> </w:t>
      </w:r>
      <w:r>
        <w:t xml:space="preserve">greater</w:t>
      </w:r>
      <w:r>
        <w:t xml:space="preserve"> </w:t>
      </w:r>
      <w:r>
        <w:t xml:space="preserve">dissemination</w:t>
      </w:r>
      <w:r>
        <w:t xml:space="preserve"> </w:t>
      </w:r>
      <w:r>
        <w:t xml:space="preserve">of</w:t>
      </w:r>
      <w:r>
        <w:t xml:space="preserve"> </w:t>
      </w:r>
      <w:r>
        <w:t xml:space="preserve">innovation and stronger incentives to</w:t>
      </w:r>
      <w:r>
        <w:t xml:space="preserve"> </w:t>
      </w:r>
      <w:r>
        <w:t xml:space="preserve">innovate.</w:t>
      </w:r>
      <w:r>
        <w:br/>
      </w:r>
      <w:r>
        <w:t xml:space="preserve">Wider economic benefits</w:t>
      </w:r>
      <w:r>
        <w:br/>
      </w:r>
      <w:r>
        <w:t xml:space="preserve">Not possible to quantify</w:t>
      </w:r>
      <w:r>
        <w:t xml:space="preserve"> </w:t>
      </w:r>
      <w:r>
        <w:t xml:space="preserve">Increased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and</w:t>
      </w:r>
      <w:r>
        <w:t xml:space="preserve"> </w:t>
      </w:r>
      <w:r>
        <w:t xml:space="preserve">lower</w:t>
      </w:r>
      <w:r>
        <w:t xml:space="preserve"> </w:t>
      </w:r>
      <w:r>
        <w:t xml:space="preserve">compliance assessment costs may lead to a</w:t>
      </w:r>
      <w:r>
        <w:t xml:space="preserve"> </w:t>
      </w:r>
      <w:r>
        <w:t xml:space="preserve">greater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pro-competitive</w:t>
      </w:r>
      <w:r>
        <w:t xml:space="preserve"> </w:t>
      </w:r>
      <w:r>
        <w:t xml:space="preserve">technology transfer agreements. This can be</w:t>
      </w:r>
      <w:r>
        <w:t xml:space="preserve"> </w:t>
      </w:r>
      <w:r>
        <w:t xml:space="preserve">expected to lead to greater diffusion of</w:t>
      </w:r>
      <w:r>
        <w:t xml:space="preserve"> </w:t>
      </w:r>
      <w:r>
        <w:t xml:space="preserve">innovation,</w:t>
      </w:r>
      <w:r>
        <w:t xml:space="preserve"> </w:t>
      </w:r>
      <w:r>
        <w:t xml:space="preserve">improved</w:t>
      </w:r>
      <w:r>
        <w:t xml:space="preserve"> </w:t>
      </w:r>
      <w:r>
        <w:t xml:space="preserve">product</w:t>
      </w:r>
      <w:r>
        <w:t xml:space="preserve"> </w:t>
      </w:r>
      <w:r>
        <w:t xml:space="preserve">quality,</w:t>
      </w:r>
      <w:r>
        <w:t xml:space="preserve"> </w:t>
      </w:r>
      <w:r>
        <w:t xml:space="preserve">lower production costs and potentially</w:t>
      </w:r>
      <w:r>
        <w:t xml:space="preserve"> </w:t>
      </w:r>
      <w:r>
        <w:t xml:space="preserve">lower prices, as well as increased variety of</w:t>
      </w:r>
      <w:r>
        <w:t xml:space="preserve"> </w:t>
      </w:r>
      <w:r>
        <w:t xml:space="preserve">products and technologies available on the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II. Overview of costs – Preferred options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Simplified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share</w:t>
      </w:r>
      <w:r>
        <w:t xml:space="preserve"> </w:t>
      </w:r>
      <w:r>
        <w:t xml:space="preserve">thresholds</w:t>
      </w:r>
      <w:r>
        <w:t xml:space="preserve"> </w:t>
      </w:r>
      <w:r>
        <w:t xml:space="preserve">in</w:t>
      </w:r>
      <w:r>
        <w:t xml:space="preserve"> </w:t>
      </w:r>
      <w:r>
        <w:t xml:space="preserve">technology</w:t>
      </w:r>
      <w:r>
        <w:t xml:space="preserve"> </w:t>
      </w:r>
      <w:r>
        <w:t xml:space="preserve">markets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(n.a.)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Data</w:t>
      </w:r>
      <w:r>
        <w:t xml:space="preserve"> </w:t>
      </w:r>
      <w:r>
        <w:t xml:space="preserve">licensing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Licensing</w:t>
      </w:r>
      <w:r>
        <w:t xml:space="preserve"> </w:t>
      </w:r>
      <w:r>
        <w:t xml:space="preserve">Negotiation</w:t>
      </w:r>
      <w:r>
        <w:t xml:space="preserve"> </w:t>
      </w:r>
      <w:r>
        <w:t xml:space="preserve">Groups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III. Application of the ‘one in, one out’ approach – Preferred options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Not applicable (n.a.)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</w:t>
      </w:r>
      <w:r>
        <w:t xml:space="preserve"> </w:t>
      </w:r>
      <w:r>
        <w:t xml:space="preserve">citizens.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9:</w:t>
      </w:r>
    </w:p>
    <w:p>
      <w:pPr>
        <w:pStyle w:val="BodyText"/>
      </w:pPr>
      <w:r>
        <w:t xml:space="preserve">Build resilient infrastructure,</w:t>
      </w:r>
      <w:r>
        <w:t xml:space="preserve"> </w:t>
      </w:r>
      <w:r>
        <w:t xml:space="preserve">promote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industrialization</w:t>
      </w:r>
      <w:r>
        <w:t xml:space="preserve"> </w:t>
      </w:r>
      <w:r>
        <w:t xml:space="preserve">and foster innovation</w:t>
      </w:r>
      <w:r>
        <w:t xml:space="preserve"> </w:t>
      </w:r>
      <w:r>
        <w:t xml:space="preserve">The TTBER and Guidelines are expected to</w:t>
      </w:r>
      <w:r>
        <w:t xml:space="preserve"> </w:t>
      </w:r>
      <w:r>
        <w:t xml:space="preserve">support progress under SDG 9 by promoting the</w:t>
      </w:r>
      <w:r>
        <w:t xml:space="preserve"> </w:t>
      </w:r>
      <w:r>
        <w:t xml:space="preserve">diffusion, uptake and commercialisation of</w:t>
      </w:r>
      <w:r>
        <w:t xml:space="preserve"> </w:t>
      </w:r>
      <w:r>
        <w:t xml:space="preserve">innovative technologies. By providing clearer</w:t>
      </w:r>
      <w:r>
        <w:t xml:space="preserve"> </w:t>
      </w:r>
      <w:r>
        <w:t xml:space="preserve">rules for technology transfer agreements, the</w:t>
      </w:r>
      <w:r>
        <w:t xml:space="preserve"> </w:t>
      </w:r>
      <w:r>
        <w:t xml:space="preserve">initiative facilitates access to new technologies,</w:t>
      </w:r>
      <w:r>
        <w:t xml:space="preserve"> </w:t>
      </w:r>
      <w:r>
        <w:t xml:space="preserve">encourages</w:t>
      </w:r>
      <w:r>
        <w:t xml:space="preserve"> </w:t>
      </w:r>
      <w:r>
        <w:t xml:space="preserve">incremental</w:t>
      </w:r>
      <w:r>
        <w:t xml:space="preserve"> </w:t>
      </w:r>
      <w:r>
        <w:t xml:space="preserve">and</w:t>
      </w:r>
      <w:r>
        <w:t xml:space="preserve"> </w:t>
      </w:r>
      <w:r>
        <w:t xml:space="preserve">follow-on</w:t>
      </w:r>
      <w:r>
        <w:t xml:space="preserve"> </w:t>
      </w:r>
      <w:r>
        <w:t xml:space="preserve">innovation, and helps businesses - including</w:t>
      </w:r>
      <w:r>
        <w:t xml:space="preserve"> </w:t>
      </w:r>
      <w:r>
        <w:t xml:space="preserve">SMEs - integrate innovative solutions.</w:t>
      </w:r>
      <w:r>
        <w:t xml:space="preserve"> </w:t>
      </w:r>
      <w:r>
        <w:t xml:space="preserve">The initiative is likely to reduce legal</w:t>
      </w:r>
      <w:r>
        <w:t xml:space="preserve"> </w:t>
      </w:r>
      <w:r>
        <w:t xml:space="preserve">uncertainty, encourage investment, and</w:t>
      </w:r>
      <w:r>
        <w:t xml:space="preserve"> </w:t>
      </w:r>
      <w:r>
        <w:t xml:space="preserve">promote diffusion of innovation. This may</w:t>
      </w:r>
      <w:r>
        <w:t xml:space="preserve"> </w:t>
      </w:r>
      <w:r>
        <w:t xml:space="preserve">indirectly stimulate research and support a</w:t>
      </w:r>
      <w:r>
        <w:t xml:space="preserve"> </w:t>
      </w:r>
      <w:r>
        <w:t xml:space="preserve">more dynamic innovation ecosystem.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This annex provides an overview of the methods used in this impact assessment report. The</w:t>
      </w:r>
      <w:r>
        <w:t xml:space="preserve"> </w:t>
      </w:r>
      <w:r>
        <w:t xml:space="preserve">analysis combines the evidence described throughout the report and listed in Section 4 of</w:t>
      </w:r>
      <w:r>
        <w:t xml:space="preserve"> </w:t>
      </w:r>
      <w:r>
        <w:t xml:space="preserve">Annex 1 and Annex 2. The assessment mainly relies on qualitative and multi-criteria</w:t>
      </w:r>
      <w:r>
        <w:t xml:space="preserve"> </w:t>
      </w:r>
      <w:r>
        <w:t xml:space="preserve">analysis.</w:t>
      </w:r>
      <w:r>
        <w:br/>
      </w:r>
      <w:r>
        <w:t xml:space="preserve">1. The assessment of impacts</w:t>
      </w:r>
      <w:r>
        <w:t xml:space="preserve"> </w:t>
      </w:r>
      <w:r>
        <w:t xml:space="preserve">The assessment of the impacts of the policy options was based primarily on qualitative</w:t>
      </w:r>
      <w:r>
        <w:t xml:space="preserve"> </w:t>
      </w:r>
      <w:r>
        <w:t xml:space="preserve">analysis, as robust quantitative data was scarce. Evidence from the various sources was</w:t>
      </w:r>
      <w:r>
        <w:t xml:space="preserve"> </w:t>
      </w:r>
      <w:r>
        <w:t xml:space="preserve">triangulated where possible.</w:t>
      </w:r>
      <w:r>
        <w:br/>
      </w:r>
      <w:r>
        <w:t xml:space="preserve">The Evaluation Support Study had already highlighted significant challenges in obtaining</w:t>
      </w:r>
      <w:r>
        <w:t xml:space="preserve"> </w:t>
      </w:r>
      <w:r>
        <w:t xml:space="preserve">reliable quantitative data (for instance, on the magnitude of the market practices concerned),</w:t>
      </w:r>
      <w:r>
        <w:t xml:space="preserve"> </w:t>
      </w:r>
      <w:r>
        <w:t xml:space="preserve">and similar constraints were encountered in the impact assessment phase.</w:t>
      </w:r>
      <w:r>
        <w:br/>
      </w:r>
      <w:r>
        <w:t xml:space="preserve">Impacts on competition were assessed mainly on the basis of insights from economic</w:t>
      </w:r>
      <w:r>
        <w:t xml:space="preserve"> </w:t>
      </w:r>
      <w:r>
        <w:t xml:space="preserve">literature on licensing and technology markets, feedback from stakeholders and evidence</w:t>
      </w:r>
      <w:r>
        <w:t xml:space="preserve"> </w:t>
      </w:r>
      <w:r>
        <w:t xml:space="preserve">from the evaluation and the Expert Report on Data Licensing. The analysis considered</w:t>
      </w:r>
      <w:r>
        <w:t xml:space="preserve"> </w:t>
      </w:r>
      <w:r>
        <w:t xml:space="preserve">whether and to what extent each option would promote the use of pro-competitive</w:t>
      </w:r>
      <w:r>
        <w:t xml:space="preserve"> </w:t>
      </w:r>
      <w:r>
        <w:t xml:space="preserve">agreements, either through the application of the block exemption or through the provision of</w:t>
      </w:r>
      <w:r>
        <w:t xml:space="preserve"> </w:t>
      </w:r>
      <w:r>
        <w:t xml:space="preserve">appropriate guidance.</w:t>
      </w:r>
      <w:r>
        <w:br/>
      </w:r>
      <w:r>
        <w:t xml:space="preserve">Impacts on businesses were examined primarily by considering the capability of the policy</w:t>
      </w:r>
      <w:r>
        <w:t xml:space="preserve"> </w:t>
      </w:r>
      <w:r>
        <w:t xml:space="preserve">options to reduce businesses’ compliance assessment costs. For this purpose, qualitative</w:t>
      </w:r>
      <w:r>
        <w:t xml:space="preserve"> </w:t>
      </w:r>
      <w:r>
        <w:t xml:space="preserve">evidence and (limited) quantitative evidence was used, namely compliance assessment cost</w:t>
      </w:r>
      <w:r>
        <w:t xml:space="preserve"> </w:t>
      </w:r>
      <w:r>
        <w:t xml:space="preserve">data provided by stakeholders during the evaluation and the impact assessment phases. To</w:t>
      </w:r>
      <w:r>
        <w:t xml:space="preserve"> </w:t>
      </w:r>
      <w:r>
        <w:t xml:space="preserve">supplement and corroborate this data, additional evidence was gathered at the reality check</w:t>
      </w:r>
      <w:r>
        <w:t xml:space="preserve"> </w:t>
      </w:r>
      <w:r>
        <w:t xml:space="preserve">workshop from businesses familiar with technology transfer agreements (see Annex 2 for</w:t>
      </w:r>
      <w:r>
        <w:t xml:space="preserve"> </w:t>
      </w:r>
      <w:r>
        <w:t xml:space="preserve">more detail). On this basis, the impact assessment report provides – where possible –</w:t>
      </w:r>
      <w:r>
        <w:t xml:space="preserve"> </w:t>
      </w:r>
      <w:r>
        <w:t xml:space="preserve">indicative estimates of the impacts on compliance assessment costs.</w:t>
      </w:r>
      <w:r>
        <w:br/>
      </w:r>
      <w:r>
        <w:t xml:space="preserve">Impacts on innovation and competitiveness were assessed by analysing the possible effects of</w:t>
      </w:r>
      <w:r>
        <w:t xml:space="preserve"> </w:t>
      </w:r>
      <w:r>
        <w:t xml:space="preserve">the agreements covered by each policy option on these two parameters. This assessment</w:t>
      </w:r>
      <w:r>
        <w:t xml:space="preserve"> </w:t>
      </w:r>
      <w:r>
        <w:t xml:space="preserve">relies primarily on economic studies on technology licensing and stakeholder feedback.</w:t>
      </w:r>
      <w:r>
        <w:br/>
      </w:r>
      <w:r>
        <w:t xml:space="preserve">2. Multi-criteria analysis model</w:t>
      </w:r>
      <w:r>
        <w:t xml:space="preserve"> </w:t>
      </w:r>
      <w:r>
        <w:t xml:space="preserve">In line with the Better Regulation Guidelines, a multi-criteria analysis (MCA) was carried out</w:t>
      </w:r>
      <w:r>
        <w:t xml:space="preserve"> </w:t>
      </w:r>
      <w:r>
        <w:t xml:space="preserve">to assess the policy options. An MCA enables the comparison of policy options against</w:t>
      </w:r>
      <w:r>
        <w:t xml:space="preserve"> </w:t>
      </w:r>
      <w:r>
        <w:t xml:space="preserve">several different independent criteria. The impacts were assessed primarily qualitatively and</w:t>
      </w:r>
      <w:r>
        <w:t xml:space="preserve"> </w:t>
      </w:r>
      <w:r>
        <w:t xml:space="preserve">expressed as a comparison with the baseline scenario.</w:t>
      </w:r>
      <w:r>
        <w:br/>
      </w:r>
      <w:r>
        <w:t xml:space="preserve">Three assessment criteria were applied and the following questions were answered for each</w:t>
      </w:r>
      <w:r>
        <w:t xml:space="preserve"> </w:t>
      </w:r>
      <w:r>
        <w:t xml:space="preserve">policy option:</w:t>
      </w:r>
      <w:r>
        <w:t xml:space="preserve"> </w:t>
      </w:r>
      <w:r>
        <w:t xml:space="preserve">•</w:t>
      </w:r>
      <w:r>
        <w:t xml:space="preserve"> </w:t>
      </w:r>
      <w:r>
        <w:t xml:space="preserve">Effectiveness: the extent to which each option is expected to meet the specific</w:t>
      </w:r>
      <w:r>
        <w:t xml:space="preserve"> </w:t>
      </w:r>
      <w:r>
        <w:t xml:space="preserve">objective for each problem identified, namely reducing the complexity faced by</w:t>
      </w:r>
      <w:r>
        <w:t xml:space="preserve"> </w:t>
      </w:r>
      <w:r>
        <w:t xml:space="preserve">businesses when they apply the TTBER’s market share thresholds for technology</w:t>
      </w:r>
      <w:r>
        <w:t xml:space="preserve"> </w:t>
      </w:r>
      <w:r>
        <w:t xml:space="preserve">markets (Problem 1) and facilitating the competition law assessment of data licensing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agreements and LNGs under Article 101 TFEU (Problems 2 and 3), as well as the</w:t>
      </w:r>
      <w:r>
        <w:t xml:space="preserve"> </w:t>
      </w:r>
      <w:r>
        <w:t xml:space="preserve">general objective of ensuring the effective protection of competition.</w:t>
      </w:r>
      <w:r>
        <w:t xml:space="preserve"> </w:t>
      </w:r>
      <w:r>
        <w:t xml:space="preserve">•</w:t>
      </w:r>
      <w:r>
        <w:t xml:space="preserve"> </w:t>
      </w:r>
      <w:r>
        <w:t xml:space="preserve">Efficiency: comparison of the expected costs and benefits for stakeholders.</w:t>
      </w:r>
      <w:r>
        <w:t xml:space="preserve"> </w:t>
      </w:r>
      <w:r>
        <w:t xml:space="preserve">•</w:t>
      </w:r>
      <w:r>
        <w:t xml:space="preserve"> </w:t>
      </w:r>
      <w:r>
        <w:t xml:space="preserve">Coherence: the extent to which the initiative is coherent with other Commission rules</w:t>
      </w:r>
      <w:r>
        <w:t xml:space="preserve"> </w:t>
      </w:r>
      <w:r>
        <w:t xml:space="preserve">and guidance on the application of Article 101 TFEU, the Commission’s strategy in</w:t>
      </w:r>
      <w:r>
        <w:t xml:space="preserve"> </w:t>
      </w:r>
      <w:r>
        <w:t xml:space="preserve">relation to data313 and the primary legislation in this area, as well as other relevant</w:t>
      </w:r>
      <w:r>
        <w:t xml:space="preserve"> </w:t>
      </w:r>
      <w:r>
        <w:t xml:space="preserve">Union legislation.</w:t>
      </w:r>
      <w:r>
        <w:br/>
      </w:r>
      <w:r>
        <w:t xml:space="preserve">This assessment was carried out based on the following scoring system, and the scores</w:t>
      </w:r>
      <w:r>
        <w:t xml:space="preserve"> </w:t>
      </w:r>
      <w:r>
        <w:t xml:space="preserve">captured the performance of each policy option on the different assessment criteria:</w:t>
      </w:r>
      <w:r>
        <w:br/>
      </w:r>
      <w:r>
        <w:t xml:space="preserve">• − represented a downgrade as compared to the baseline;</w:t>
      </w:r>
      <w:r>
        <w:br/>
      </w:r>
      <w:r>
        <w:t xml:space="preserve">• + represented an improvement as compared to the baseline;</w:t>
      </w:r>
      <w:r>
        <w:t xml:space="preserve"> </w:t>
      </w:r>
      <w:r>
        <w:t xml:space="preserve">• 0 represented no change as compared to the baseline.</w:t>
      </w:r>
    </w:p>
    <w:p>
      <w:pPr>
        <w:pStyle w:val="BodyText"/>
      </w:pPr>
      <w:r>
        <w:t xml:space="preserve">313 See the references to the Communication on a European strategy for data and the Communication on the</w:t>
      </w:r>
      <w:r>
        <w:t xml:space="preserve"> </w:t>
      </w:r>
      <w:r>
        <w:t xml:space="preserve">Data Union Strategy in Section 1.4 above.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</w:t>
      </w:r>
      <w:r>
        <w:t xml:space="preserve"> </w:t>
      </w:r>
      <w:r>
        <w:t xml:space="preserve">of the main report or</w:t>
      </w:r>
      <w:r>
        <w:t xml:space="preserve"> </w:t>
      </w:r>
      <w:r>
        <w:t xml:space="preserve">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6.1.3, 6.2.3, 6.3.3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6.1.3, 6.2.3, 6.3.3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br/>
      </w:r>
      <w:r>
        <w:t xml:space="preserve">6.1.3, 6.2.3, 6.3.3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br/>
      </w:r>
      <w:r>
        <w:t xml:space="preserve">6.1.3, 6.2.3, 6.3.3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</w:t>
      </w:r>
      <w:r>
        <w:br/>
      </w:r>
      <w:r>
        <w:t xml:space="preserve">Costs and price competitiveness: The initiative is expected to improve cost and price</w:t>
      </w:r>
      <w:r>
        <w:t xml:space="preserve"> </w:t>
      </w:r>
      <w:r>
        <w:t xml:space="preserve">competitiveness by making it easier for businesses to assess the compliance of their</w:t>
      </w:r>
      <w:r>
        <w:t xml:space="preserve"> </w:t>
      </w:r>
      <w:r>
        <w:t xml:space="preserve">technology transfer agreements, data licensing agreements and Licensing Negotiation</w:t>
      </w:r>
      <w:r>
        <w:t xml:space="preserve"> </w:t>
      </w:r>
      <w:r>
        <w:t xml:space="preserve">Groups (LNGs) with Article 101 TFEU, thereby lowering compliance assessment costs.</w:t>
      </w:r>
      <w:r>
        <w:t xml:space="preserve"> </w:t>
      </w:r>
      <w:r>
        <w:t xml:space="preserve">By simplifying the application of the TTBER and providing guidance on other</w:t>
      </w:r>
      <w:r>
        <w:t xml:space="preserve"> </w:t>
      </w:r>
      <w:r>
        <w:t xml:space="preserve">technology-related agreements, the initiative helps reduce legal uncertainty for</w:t>
      </w:r>
      <w:r>
        <w:t xml:space="preserve"> </w:t>
      </w:r>
      <w:r>
        <w:t xml:space="preserve">businesses. This greater legal certainty makes it easier for businesses to conclude</w:t>
      </w:r>
      <w:r>
        <w:t xml:space="preserve"> </w:t>
      </w:r>
      <w:r>
        <w:t xml:space="preserve">licensing agreements that facilitate access to technology. More efficient technology</w:t>
      </w:r>
      <w:r>
        <w:t xml:space="preserve"> </w:t>
      </w:r>
      <w:r>
        <w:t xml:space="preserve">licensing can, in turn, reduce production costs for licensees and support competitive</w:t>
      </w:r>
      <w:r>
        <w:t xml:space="preserve"> </w:t>
      </w:r>
      <w:r>
        <w:t xml:space="preserve">pricing in downstream markets.</w:t>
      </w:r>
      <w:r>
        <w:br/>
      </w:r>
      <w:r>
        <w:t xml:space="preserve">International competitiveness: The initiative is expected to have a limited but overall</w:t>
      </w:r>
      <w:r>
        <w:t xml:space="preserve"> </w:t>
      </w:r>
      <w:r>
        <w:t xml:space="preserve">positive effect on international competitiveness. Increased legal certainty may increase</w:t>
      </w:r>
      <w:r>
        <w:t xml:space="preserve"> </w:t>
      </w:r>
      <w:r>
        <w:t xml:space="preserve">the attractiveness of the EU, particularly for undertakings that require predictable</w:t>
      </w:r>
      <w:r>
        <w:t xml:space="preserve"> </w:t>
      </w:r>
      <w:r>
        <w:t xml:space="preserve">competition-law compliance when doing business across multiple jurisdictions. While</w:t>
      </w:r>
      <w:r>
        <w:t xml:space="preserve"> </w:t>
      </w:r>
      <w:r>
        <w:t xml:space="preserve">the TTBER and Guidelines are neutral regarding the nationality of the parties, greater</w:t>
      </w:r>
      <w:r>
        <w:t xml:space="preserve"> </w:t>
      </w:r>
      <w:r>
        <w:t xml:space="preserve">legal certainty may indirectly strengthen the competitive position of EU businesses.</w:t>
      </w:r>
      <w:r>
        <w:br/>
      </w:r>
      <w:r>
        <w:t xml:space="preserve">Capacity to innovate: The initiative is expected to support undertakings’ capacity to</w:t>
      </w:r>
      <w:r>
        <w:t xml:space="preserve"> </w:t>
      </w:r>
      <w:r>
        <w:t xml:space="preserve">innovate. By encouraging licensing of technology rights, the initiative may improve</w:t>
      </w:r>
      <w:r>
        <w:t xml:space="preserve"> </w:t>
      </w:r>
      <w:r>
        <w:t xml:space="preserve">licensors’ ability to recoup R&amp;D investments and enable licensees to develop or improve</w:t>
      </w:r>
      <w:r>
        <w:t xml:space="preserve"> </w:t>
      </w:r>
      <w:r>
        <w:t xml:space="preserve">upon existing technologies. These dynamics contribute to cumulative innovation,</w:t>
      </w:r>
      <w:r>
        <w:t xml:space="preserve"> </w:t>
      </w:r>
      <w:r>
        <w:t xml:space="preserve">particularly in sectors where follow-on innovation relies on access to upstream</w:t>
      </w:r>
      <w:r>
        <w:t xml:space="preserve"> </w:t>
      </w:r>
      <w:r>
        <w:t xml:space="preserve">technologies. Similar considerations apply to data licensing.</w:t>
      </w:r>
      <w:r>
        <w:t xml:space="preserve"> </w:t>
      </w:r>
      <w:r>
        <w:t xml:space="preserve">SME competitiveness: The initiative is expected to have a positive impact on SME</w:t>
      </w:r>
      <w:r>
        <w:t xml:space="preserve"> </w:t>
      </w:r>
      <w:r>
        <w:t xml:space="preserve">competitiveness by reducing the costs for businesses of assessing compliance with</w:t>
      </w:r>
      <w:r>
        <w:t xml:space="preserve"> </w:t>
      </w:r>
      <w:r>
        <w:t xml:space="preserve">Article 101 TFEU. As SMEs typically have more limited legal and economic resources</w:t>
      </w:r>
      <w:r>
        <w:t xml:space="preserve"> </w:t>
      </w:r>
      <w:r>
        <w:t xml:space="preserve">(than larger companies), they are expected to particularly benefit from increased legal</w:t>
      </w:r>
      <w:r>
        <w:t xml:space="preserve"> </w:t>
      </w:r>
      <w:r>
        <w:t xml:space="preserve">certainty and clearer rules.</w:t>
      </w:r>
    </w:p>
    <w:p>
      <w:pPr>
        <w:pStyle w:val="BodyText"/>
      </w:pPr>
      <w:r>
        <w:t xml:space="preserve">95</w:t>
      </w:r>
    </w:p>
    <w:p>
      <w:pPr>
        <w:pStyle w:val="Compact"/>
        <w:numPr>
          <w:ilvl w:val="0"/>
          <w:numId w:val="1005"/>
        </w:numPr>
      </w:pPr>
      <w:r>
        <w:t xml:space="preserve">COMPETITIVE ASSESSMENT OF THE MOST AFFECTED SECTORS</w:t>
      </w:r>
      <w:r>
        <w:t xml:space="preserve"> </w:t>
      </w:r>
      <w:r>
        <w:t xml:space="preserve">The present initiative is not sector-specific. That said, it is likely to have a greater impact</w:t>
      </w:r>
      <w:r>
        <w:t xml:space="preserve"> </w:t>
      </w:r>
      <w:r>
        <w:t xml:space="preserve">in IP and data-intensive sectors, in which technology licensing is more common. These</w:t>
      </w:r>
      <w:r>
        <w:t xml:space="preserve"> </w:t>
      </w:r>
      <w:r>
        <w:t xml:space="preserve">include telecommunications, electronics, pharmaceuticals, automotive and other digital</w:t>
      </w:r>
      <w:r>
        <w:t xml:space="preserve"> </w:t>
      </w:r>
      <w:r>
        <w:t xml:space="preserve">sectors.</w:t>
      </w:r>
      <w:r>
        <w:br/>
      </w:r>
      <w:r>
        <w:t xml:space="preserve">The clarifications concerning the application of market share thresholds in technology</w:t>
      </w:r>
      <w:r>
        <w:t xml:space="preserve"> </w:t>
      </w:r>
      <w:r>
        <w:t xml:space="preserve">markets, as well as the guidance relating to data licensing and LNGs are expected to</w:t>
      </w:r>
      <w:r>
        <w:t xml:space="preserve"> </w:t>
      </w:r>
      <w:r>
        <w:t xml:space="preserve">reduce legal uncertainty and help businesses self-assess their agreements under Article</w:t>
      </w:r>
      <w:r>
        <w:t xml:space="preserve"> </w:t>
      </w:r>
      <w:r>
        <w:t xml:space="preserve">101 TFEU. By lowering complexity and improving legal certainty, the initiative may</w:t>
      </w:r>
      <w:r>
        <w:t xml:space="preserve"> </w:t>
      </w:r>
      <w:r>
        <w:t xml:space="preserve">support smoother technology licensing practices and contribute to a more effective</w:t>
      </w:r>
      <w:r>
        <w:t xml:space="preserve"> </w:t>
      </w:r>
      <w:r>
        <w:t xml:space="preserve">diffusion of innovation.</w:t>
      </w:r>
      <w:r>
        <w:br/>
      </w:r>
      <w:r>
        <w:t xml:space="preserve">While the precise magnitude of these effects will depend on market conditions and</w:t>
      </w:r>
      <w:r>
        <w:t xml:space="preserve"> </w:t>
      </w:r>
      <w:r>
        <w:t xml:space="preserve">businesses’ licensing behaviour, clearer rules can be expected to create a more favourable</w:t>
      </w:r>
      <w:r>
        <w:t xml:space="preserve"> </w:t>
      </w:r>
      <w:r>
        <w:t xml:space="preserve">environment for technology uptake, and in turn competitiveness and innovation.</w:t>
      </w:r>
    </w:p>
    <w:p>
      <w:pPr>
        <w:pStyle w:val="FirstParagraph"/>
      </w:pPr>
      <w:r>
        <w:t xml:space="preserve">96</w:t>
      </w:r>
    </w:p>
    <w:p>
      <w:pPr>
        <w:pStyle w:val="BodyText"/>
      </w:pPr>
      <w:r>
        <w:t xml:space="preserve">ANNEX 6: SME CHECK</w:t>
      </w:r>
      <w:r>
        <w:br/>
      </w:r>
      <w:r>
        <w:t xml:space="preserve">OVERVIEW OF IMPACTS ON SMES</w:t>
      </w:r>
      <w:r>
        <w:t xml:space="preserve"> </w:t>
      </w:r>
      <w:r>
        <w:t xml:space="preserve">Relevance for SMEs: Based on the SME filter, this initiative is relevant for SMEs314.</w:t>
      </w:r>
    </w:p>
    <w:p>
      <w:pPr>
        <w:pStyle w:val="Compact"/>
        <w:numPr>
          <w:ilvl w:val="0"/>
          <w:numId w:val="1006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Yes</w:t>
      </w:r>
      <w:r>
        <w:br/>
      </w:r>
      <w:r>
        <w:t xml:space="preserve">In which sectors? SMEs in all sectors may be affected, but they are more likely to be</w:t>
      </w:r>
      <w:r>
        <w:t xml:space="preserve"> </w:t>
      </w:r>
      <w:r>
        <w:t xml:space="preserve">affected in IP-intensive and data-intensive sectors315, where technology licensing is more</w:t>
      </w:r>
      <w:r>
        <w:t xml:space="preserve"> </w:t>
      </w:r>
      <w:r>
        <w:t xml:space="preserve">common, such as the telecommunications, electronics, pharmaceuticals and automotive</w:t>
      </w:r>
      <w:r>
        <w:t xml:space="preserve"> </w:t>
      </w:r>
      <w:r>
        <w:t xml:space="preserve">sectors316.</w:t>
      </w:r>
      <w:r>
        <w:t xml:space="preserve"> </w:t>
      </w:r>
      <w:r>
        <w:t xml:space="preserve">Estimated number of directly affected SMEs: Section 1.1 and Section 2.3 above</w:t>
      </w:r>
      <w:r>
        <w:t xml:space="preserve"> </w:t>
      </w:r>
      <w:r>
        <w:t xml:space="preserve">explains the difficulty of quantifying the exact scale of technology licensing, referring to</w:t>
      </w:r>
      <w:r>
        <w:t xml:space="preserve"> </w:t>
      </w:r>
      <w:r>
        <w:t xml:space="preserve">the findings set out on pages 16 of the Evaluation Report and 165 of the Evaluation</w:t>
      </w:r>
      <w:r>
        <w:t xml:space="preserve"> </w:t>
      </w:r>
      <w:r>
        <w:t xml:space="preserve">Support Study regarding the lack of data on the number of technology licensing</w:t>
      </w:r>
      <w:r>
        <w:t xml:space="preserve"> </w:t>
      </w:r>
      <w:r>
        <w:t xml:space="preserve">agreements and the number of businesses that have entered into such agreements. It is</w:t>
      </w:r>
      <w:r>
        <w:t xml:space="preserve"> </w:t>
      </w:r>
      <w:r>
        <w:t xml:space="preserve">therefore not possible to provide an estimate of the number of directly affected SMEs.</w:t>
      </w:r>
      <w:r>
        <w:t xml:space="preserve"> </w:t>
      </w:r>
      <w:r>
        <w:t xml:space="preserve">Nonetheless, according to the 2022 intellectual property SME scoreboard, only 10 % of</w:t>
      </w:r>
      <w:r>
        <w:t xml:space="preserve"> </w:t>
      </w:r>
      <w:r>
        <w:t xml:space="preserve">EU SMEs own registered IP rights, i.e. a small proportion of the total SME population317.</w:t>
      </w:r>
      <w:r>
        <w:t xml:space="preserve"> </w:t>
      </w:r>
      <w:r>
        <w:t xml:space="preserve">Evidence from the European Patent Office shows that licensing is the most common form</w:t>
      </w:r>
      <w:r>
        <w:t xml:space="preserve"> </w:t>
      </w:r>
      <w:r>
        <w:t xml:space="preserve">of collaborative exploitation of IP rights used by SMEs318. The 2019 EUIPO SME</w:t>
      </w:r>
      <w:r>
        <w:t xml:space="preserve"> </w:t>
      </w:r>
      <w:r>
        <w:t xml:space="preserve">scoreboard provides more detail on licensing behaviour: it reports that 24% of IPR-</w:t>
      </w:r>
      <w:r>
        <w:t xml:space="preserve"> </w:t>
      </w:r>
      <w:r>
        <w:t xml:space="preserve">owning SMEs had signed at least one licence agreement including IPRs, and among those</w:t>
      </w:r>
      <w:r>
        <w:t xml:space="preserve"> </w:t>
      </w:r>
      <w:r>
        <w:t xml:space="preserve">IPR owners the roles were distributed as 29% licensee (license-in), 35% licensor (license-</w:t>
      </w:r>
      <w:r>
        <w:t xml:space="preserve"> </w:t>
      </w:r>
      <w:r>
        <w:t xml:space="preserve">out) and 36% both319. As regards data in particular, a 2019 survey indicated that around</w:t>
      </w:r>
      <w:r>
        <w:t xml:space="preserve"> </w:t>
      </w:r>
      <w:r>
        <w:t xml:space="preserve">40% of SMEs struggle to access the data they need to develop data-driven products and</w:t>
      </w:r>
      <w:r>
        <w:t xml:space="preserve"> </w:t>
      </w:r>
      <w:r>
        <w:t xml:space="preserve">services.320</w:t>
      </w:r>
      <w:r>
        <w:t xml:space="preserve"> </w:t>
      </w:r>
      <w:r>
        <w:t xml:space="preserve">Estimated number of employees in directly affected SMEs: For the reasons stated</w:t>
      </w:r>
      <w:r>
        <w:t xml:space="preserve"> </w:t>
      </w:r>
      <w:r>
        <w:t xml:space="preserve">under the previous heading in relation to the number of directly affected SMEs, it is not</w:t>
      </w:r>
      <w:r>
        <w:t xml:space="preserve"> </w:t>
      </w:r>
      <w:r>
        <w:t xml:space="preserve">possible to estimate the number of affected SME employees.</w:t>
      </w:r>
    </w:p>
    <w:p>
      <w:pPr>
        <w:pStyle w:val="FirstParagraph"/>
      </w:pPr>
      <w:r>
        <w:t xml:space="preserve">314 See https://ec.europa.eu/docsroom/documents/63274</w:t>
      </w:r>
      <w:r>
        <w:br/>
      </w:r>
      <w:r>
        <w:t xml:space="preserve">315 See the Evaluation Support Study, page 28.</w:t>
      </w:r>
      <w:r>
        <w:t xml:space="preserve"> </w:t>
      </w:r>
      <w:r>
        <w:t xml:space="preserve">316 Stakeholders from these sectors were the most active in the various consultation activities.</w:t>
      </w:r>
      <w:r>
        <w:t xml:space="preserve"> </w:t>
      </w:r>
      <w:r>
        <w:t xml:space="preserve">317 EUIPO, Intellectual Property SME Scoreboard (2022), page 3.</w:t>
      </w:r>
      <w:r>
        <w:t xml:space="preserve"> </w:t>
      </w:r>
      <w:r>
        <w:t xml:space="preserve">318 European Patent Office (EPO) Patent Commercialisation Scoreboard: European SMEs (2019),</w:t>
      </w:r>
      <w:r>
        <w:t xml:space="preserve"> </w:t>
      </w:r>
      <w:r>
        <w:t xml:space="preserve">page 11.</w:t>
      </w:r>
      <w:r>
        <w:t xml:space="preserve"> </w:t>
      </w:r>
      <w:r>
        <w:t xml:space="preserve">319 EUIPO, SME Scoreboard (2019), pp. 99-101.</w:t>
      </w:r>
      <w:r>
        <w:t xml:space="preserve"> </w:t>
      </w:r>
      <w:r>
        <w:t xml:space="preserve">320 European Commission (2019). SME panel consultation B2B data sharing - Final Report.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Are SMEs indirectly affected? Yes. SMEs may be indirectly affected, for example, by</w:t>
      </w:r>
      <w:r>
        <w:t xml:space="preserve"> </w:t>
      </w:r>
      <w:r>
        <w:t xml:space="preserve">the positive and negative effects on competition that can result from technology and data</w:t>
      </w:r>
      <w:r>
        <w:t xml:space="preserve"> </w:t>
      </w:r>
      <w:r>
        <w:t xml:space="preserve">licensing agreements concluded between third parties.</w:t>
      </w:r>
      <w:r>
        <w:br/>
      </w:r>
      <w:r>
        <w:t xml:space="preserve">In which sectors? As stated above, SMEs in all sectors may be indirectly affected, but</w:t>
      </w:r>
      <w:r>
        <w:t xml:space="preserve"> </w:t>
      </w:r>
      <w:r>
        <w:t xml:space="preserve">they are more likely to be affected in IP-intensive and data-intensive sectors, where</w:t>
      </w:r>
      <w:r>
        <w:t xml:space="preserve"> </w:t>
      </w:r>
      <w:r>
        <w:t xml:space="preserve">technology and data licensing is more common.</w:t>
      </w:r>
      <w:r>
        <w:t xml:space="preserve"> </w:t>
      </w:r>
      <w:r>
        <w:t xml:space="preserve">What is the estimated number of indirectly affected SMEs and employees? For the</w:t>
      </w:r>
      <w:r>
        <w:t xml:space="preserve"> </w:t>
      </w:r>
      <w:r>
        <w:t xml:space="preserve">reasons stated above regarding the difficulty of quantifying the scale of technology</w:t>
      </w:r>
      <w:r>
        <w:t xml:space="preserve"> </w:t>
      </w:r>
      <w:r>
        <w:t xml:space="preserve">licensing and data licensing in general, it is not possible to estimate the number of SMEs</w:t>
      </w:r>
      <w:r>
        <w:t xml:space="preserve"> </w:t>
      </w:r>
      <w:r>
        <w:t xml:space="preserve">or their employees that are indirectly affected.</w:t>
      </w:r>
    </w:p>
    <w:p>
      <w:pPr>
        <w:pStyle w:val="Compact"/>
        <w:numPr>
          <w:ilvl w:val="0"/>
          <w:numId w:val="1007"/>
        </w:numPr>
      </w:pPr>
      <w:r>
        <w:t xml:space="preserve">CONSULTATION OF SME STAKEHOLDERS</w:t>
      </w:r>
      <w:r>
        <w:t xml:space="preserve"> </w:t>
      </w:r>
      <w:r>
        <w:t xml:space="preserve">How has input from SMEs been taken into consideration?</w:t>
      </w:r>
      <w:r>
        <w:t xml:space="preserve"> </w:t>
      </w:r>
      <w:r>
        <w:t xml:space="preserve">SME business associations, such as SMEunited, Eurochambres and EuroCommerce and</w:t>
      </w:r>
      <w:r>
        <w:t xml:space="preserve"> </w:t>
      </w:r>
      <w:r>
        <w:t xml:space="preserve">other members of the SME Envoys network were contacted on two occasions during the</w:t>
      </w:r>
      <w:r>
        <w:t xml:space="preserve"> </w:t>
      </w:r>
      <w:r>
        <w:t xml:space="preserve">impact assessment to ask them to encourage their members to participate in the</w:t>
      </w:r>
      <w:r>
        <w:t xml:space="preserve"> </w:t>
      </w:r>
      <w:r>
        <w:t xml:space="preserve">consultation activities. Nonetheless, the number of SME contributions to the</w:t>
      </w:r>
      <w:r>
        <w:t xml:space="preserve"> </w:t>
      </w:r>
      <w:r>
        <w:t xml:space="preserve">consultations was limited, and SMEs were mainly represented by business</w:t>
      </w:r>
      <w:r>
        <w:t xml:space="preserve"> </w:t>
      </w:r>
      <w:r>
        <w:t xml:space="preserve">associations321.</w:t>
      </w:r>
      <w:r>
        <w:br/>
      </w:r>
      <w:r>
        <w:t xml:space="preserve">• Call for evidence and public consultation questionnaire:</w:t>
      </w:r>
      <w:r>
        <w:t xml:space="preserve"> </w:t>
      </w:r>
      <w:r>
        <w:t xml:space="preserve">Of the 13 respondents to the call for evidence, one was a business association</w:t>
      </w:r>
      <w:r>
        <w:t xml:space="preserve"> </w:t>
      </w:r>
      <w:r>
        <w:t xml:space="preserve">representing SMEs in the technology development community.</w:t>
      </w:r>
      <w:r>
        <w:t xml:space="preserve"> </w:t>
      </w:r>
      <w:r>
        <w:t xml:space="preserve">Of the 46 responses to the public consultation questionnaire, 3 came from businesses that</w:t>
      </w:r>
      <w:r>
        <w:t xml:space="preserve"> </w:t>
      </w:r>
      <w:r>
        <w:t xml:space="preserve">categorised themselves as SMEs, and 2 emanated from business associations which</w:t>
      </w:r>
      <w:r>
        <w:t xml:space="preserve"> </w:t>
      </w:r>
      <w:r>
        <w:t xml:space="preserve">either represent SMEs or have SMEs among their members.</w:t>
      </w:r>
      <w:r>
        <w:br/>
      </w:r>
      <w:r>
        <w:t xml:space="preserve">• Public consultation on the draft revised TTBER and Guidelines:</w:t>
      </w:r>
      <w:r>
        <w:t xml:space="preserve"> </w:t>
      </w:r>
      <w:r>
        <w:t xml:space="preserve">Of the 46 responses to the consultation on the draft revised texts, 4 came from businesses</w:t>
      </w:r>
      <w:r>
        <w:t xml:space="preserve"> </w:t>
      </w:r>
      <w:r>
        <w:t xml:space="preserve">that categorised themselves as SMEs, and 3 came from business associations that either</w:t>
      </w:r>
      <w:r>
        <w:t xml:space="preserve"> </w:t>
      </w:r>
      <w:r>
        <w:t xml:space="preserve">represent SMEs or have SMEs among their members.</w:t>
      </w:r>
      <w:r>
        <w:t xml:space="preserve"> </w:t>
      </w:r>
      <w:r>
        <w:t xml:space="preserve">• Reality check workshop:</w:t>
      </w:r>
      <w:r>
        <w:t xml:space="preserve"> </w:t>
      </w:r>
      <w:r>
        <w:t xml:space="preserve">9 respondents to the survey held during the reality check workshop categorised</w:t>
      </w:r>
      <w:r>
        <w:t xml:space="preserve"> </w:t>
      </w:r>
      <w:r>
        <w:t xml:space="preserve">themselves as SMEs (3 micro-SMEs, 2 small SMEs, 2 medium-sized SMEs) and 2</w:t>
      </w:r>
    </w:p>
    <w:p>
      <w:pPr>
        <w:pStyle w:val="FirstParagraph"/>
      </w:pPr>
      <w:r>
        <w:t xml:space="preserve">321 It should be noted that (i) some of businesses that categorised themselves as SMEs or representatives of</w:t>
      </w:r>
      <w:r>
        <w:t xml:space="preserve"> </w:t>
      </w:r>
      <w:r>
        <w:t xml:space="preserve">SMEs in the consultation activities did not provide information on their number of employees or</w:t>
      </w:r>
      <w:r>
        <w:t xml:space="preserve"> </w:t>
      </w:r>
      <w:r>
        <w:t xml:space="preserve">turnover and (ii) some of the business associations that claimed to represent SMEs also include large</w:t>
      </w:r>
      <w:r>
        <w:t xml:space="preserve"> </w:t>
      </w:r>
      <w:r>
        <w:t xml:space="preserve">businesses among their members.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respondents categorised themselves as small mid-caps.</w:t>
      </w:r>
      <w:r>
        <w:br/>
      </w:r>
      <w:r>
        <w:t xml:space="preserve">Are SMEs’ views different from those of large businesses? Business associations</w:t>
      </w:r>
      <w:r>
        <w:t xml:space="preserve"> </w:t>
      </w:r>
      <w:r>
        <w:t xml:space="preserve">representing SMEs stated that SMEs generally possess less resources and expertise to</w:t>
      </w:r>
      <w:r>
        <w:t xml:space="preserve"> </w:t>
      </w:r>
      <w:r>
        <w:t xml:space="preserve">carry out specialised competition law assessments for agreements that do not fall within</w:t>
      </w:r>
      <w:r>
        <w:t xml:space="preserve"> </w:t>
      </w:r>
      <w:r>
        <w:t xml:space="preserve">the scope of the TTBER. Moreover, the evaluation found that SMEs use the TTBER (in</w:t>
      </w:r>
      <w:r>
        <w:t xml:space="preserve"> </w:t>
      </w:r>
      <w:r>
        <w:t xml:space="preserve">particular its list of hardcore restrictions) for defensive purposes in their negotiations</w:t>
      </w:r>
      <w:r>
        <w:t xml:space="preserve"> </w:t>
      </w:r>
      <w:r>
        <w:t xml:space="preserve">with larger businesses322.</w:t>
      </w:r>
    </w:p>
    <w:p>
      <w:pPr>
        <w:pStyle w:val="Compact"/>
        <w:numPr>
          <w:ilvl w:val="0"/>
          <w:numId w:val="1008"/>
        </w:numPr>
      </w:pPr>
      <w:r>
        <w:t xml:space="preserve">ASSESSMENT OF IMPACTS ON SMES323</w:t>
      </w:r>
      <w:r>
        <w:t xml:space="preserve"> </w:t>
      </w:r>
      <w:r>
        <w:t xml:space="preserve">What are the estimated direct costs for SMEs of the preferred policy option?</w:t>
      </w:r>
      <w:r>
        <w:br/>
      </w:r>
      <w:r>
        <w:t xml:space="preserve">As explained in Section 1 of this report, the TTBER and Guidelines do not create</w:t>
      </w:r>
      <w:r>
        <w:t xml:space="preserve"> </w:t>
      </w:r>
      <w:r>
        <w:t xml:space="preserve">obligations for businesses: the competition law obligations of businesses in relation to</w:t>
      </w:r>
      <w:r>
        <w:t xml:space="preserve"> </w:t>
      </w:r>
      <w:r>
        <w:t xml:space="preserve">technology transfer agreements derive from Article 101 TFEU. Consequently, the</w:t>
      </w:r>
      <w:r>
        <w:t xml:space="preserve"> </w:t>
      </w:r>
      <w:r>
        <w:t xml:space="preserve">preferred policy options do not result in direct costs for SMEs.</w:t>
      </w:r>
      <w:r>
        <w:br/>
      </w:r>
      <w:r>
        <w:t xml:space="preserve">Qualitative assessment</w:t>
      </w:r>
      <w:r>
        <w:t xml:space="preserve"> </w:t>
      </w:r>
      <w:r>
        <w:t xml:space="preserve">Not applicable, for the reason stated above.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Not applicable, for the reason stated above.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option?324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As set out in Sections 6.1.2, 6.2.2 and 6.3.2 of this report (impacts of the policy options</w:t>
      </w:r>
      <w:r>
        <w:t xml:space="preserve"> </w:t>
      </w:r>
      <w:r>
        <w:t xml:space="preserve">on businesses), the preferred options are expected to reduce the compliance assessment</w:t>
      </w:r>
      <w:r>
        <w:t xml:space="preserve"> </w:t>
      </w:r>
      <w:r>
        <w:t xml:space="preserve">costs of SMEs, by reducing the complexity of applying the TTBER and Guidelines and</w:t>
      </w:r>
      <w:r>
        <w:t xml:space="preserve"> </w:t>
      </w:r>
      <w:r>
        <w:t xml:space="preserve">by providing guidance on the competition law assessment of new types of agreement.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For Problem 1, the preferred option is expected to reduce the cost for businesses of</w:t>
      </w:r>
      <w:r>
        <w:t xml:space="preserve"> </w:t>
      </w:r>
      <w:r>
        <w:t xml:space="preserve">applying the TTBER by approximately EUR 149-306 per agreement.</w:t>
      </w:r>
      <w:r>
        <w:t xml:space="preserve"> </w:t>
      </w:r>
      <w:r>
        <w:t xml:space="preserve">For Problem 2, the preferred option (providing guidance in the Guidelines on the</w:t>
      </w:r>
      <w:r>
        <w:t xml:space="preserve"> </w:t>
      </w:r>
      <w:r>
        <w:t xml:space="preserve">competition law assessment of data licensing agreements) is expected to reduce</w:t>
      </w:r>
      <w:r>
        <w:t xml:space="preserve"> </w:t>
      </w:r>
      <w:r>
        <w:t xml:space="preserve">businesses’ compliance assessment costs significantly (by around 33% or EUR 1,848 per</w:t>
      </w:r>
    </w:p>
    <w:p>
      <w:pPr>
        <w:pStyle w:val="FirstParagraph"/>
      </w:pPr>
      <w:r>
        <w:t xml:space="preserve">322 See Section 4.3 of the Evaluation Report and page 29 of the Evaluation Support Study.</w:t>
      </w:r>
      <w:r>
        <w:t xml:space="preserve"> </w:t>
      </w:r>
      <w:r>
        <w:t xml:space="preserve">323 The data on costs and benefits in this Annex are consistent with the data in Annex 3.</w:t>
      </w:r>
      <w:r>
        <w:br/>
      </w:r>
      <w:r>
        <w:t xml:space="preserve">324 The direct benefits for SMEs can also be cost savings.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agreement, on average), compared to a situation in which businesses have to assess their</w:t>
      </w:r>
      <w:r>
        <w:t xml:space="preserve"> </w:t>
      </w:r>
      <w:r>
        <w:t xml:space="preserve">agreements using only Article 101 TFEU and the case law.</w:t>
      </w:r>
      <w:r>
        <w:t xml:space="preserve"> </w:t>
      </w:r>
      <w:r>
        <w:t xml:space="preserve">For Problem 3, while it was not possible to precisely quantify compliance cost</w:t>
      </w:r>
      <w:r>
        <w:t xml:space="preserve"> </w:t>
      </w:r>
      <w:r>
        <w:t xml:space="preserve">reductions, the preferred option is expected to facilitate the formation of pro-competitive</w:t>
      </w:r>
      <w:r>
        <w:t xml:space="preserve"> </w:t>
      </w:r>
      <w:r>
        <w:t xml:space="preserve">LNGs, while deterring those that are likely to lead to anti-competitive effects.</w:t>
      </w:r>
      <w:r>
        <w:t xml:space="preserve"> </w:t>
      </w:r>
      <w:r>
        <w:t xml:space="preserve">It has not been possible to quantify compliance assessment costs separately for SMEs,</w:t>
      </w:r>
      <w:r>
        <w:t xml:space="preserve"> </w:t>
      </w:r>
      <w:r>
        <w:t xml:space="preserve">however there is no reason to suspect that the above expected cost reductions do not</w:t>
      </w:r>
      <w:r>
        <w:t xml:space="preserve"> </w:t>
      </w:r>
      <w:r>
        <w:t xml:space="preserve">apply equally to SMEs.</w:t>
      </w:r>
      <w:r>
        <w:br/>
      </w:r>
      <w:r>
        <w:t xml:space="preserve">What are the indirect impacts of this initiative on SMEs?</w:t>
      </w:r>
      <w:r>
        <w:t xml:space="preserve"> </w:t>
      </w:r>
      <w:r>
        <w:t xml:space="preserve">As set out in Sections 6.1.1, 6.1.3, 6.2.1, 6.2.3, 6.3.1 and 6.3.3 of this report, the</w:t>
      </w:r>
      <w:r>
        <w:t xml:space="preserve"> </w:t>
      </w:r>
      <w:r>
        <w:t xml:space="preserve">preferred policy options are expected to have a positive impact on competition in the</w:t>
      </w:r>
      <w:r>
        <w:t xml:space="preserve"> </w:t>
      </w:r>
      <w:r>
        <w:t xml:space="preserve">market and on innovation and competitiveness. As noted above, SMEs may act both as</w:t>
      </w:r>
      <w:r>
        <w:t xml:space="preserve"> </w:t>
      </w:r>
      <w:r>
        <w:t xml:space="preserve">licensors and licensees. Pro-competitive licensing agreements enable implementer SMEs</w:t>
      </w:r>
      <w:r>
        <w:t xml:space="preserve"> </w:t>
      </w:r>
      <w:r>
        <w:t xml:space="preserve">to enter new markets and expand in existing ones, and they enable SMEs that own</w:t>
      </w:r>
      <w:r>
        <w:t xml:space="preserve"> </w:t>
      </w:r>
      <w:r>
        <w:t xml:space="preserve">technology rights to license them out efficiently. Increased licensing can enhance SMEs’</w:t>
      </w:r>
      <w:r>
        <w:t xml:space="preserve"> </w:t>
      </w:r>
      <w:r>
        <w:t xml:space="preserve">capacity to innovate and improve their productivity, thereby strengthening their overall</w:t>
      </w:r>
      <w:r>
        <w:t xml:space="preserve"> </w:t>
      </w:r>
      <w:r>
        <w:t xml:space="preserve">competitiveness.</w:t>
      </w:r>
    </w:p>
    <w:p>
      <w:pPr>
        <w:pStyle w:val="Compact"/>
        <w:numPr>
          <w:ilvl w:val="0"/>
          <w:numId w:val="1009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No, because</w:t>
      </w:r>
      <w:r>
        <w:t xml:space="preserve"> </w:t>
      </w:r>
      <w:r>
        <w:t xml:space="preserve">the initiative does not create obligations for businesses.</w:t>
      </w:r>
      <w:r>
        <w:t xml:space="preserve"> </w:t>
      </w:r>
      <w:r>
        <w:t xml:space="preserve">If yes, are there any specific subgroups of SMEs more exposed than others? No</w:t>
      </w:r>
      <w:r>
        <w:t xml:space="preserve"> </w:t>
      </w:r>
      <w:r>
        <w:t xml:space="preserve">Have mitigating measures been included in the preferred option/proposal? No</w:t>
      </w:r>
      <w:r>
        <w:t xml:space="preserve"> </w:t>
      </w:r>
      <w:r>
        <w:t xml:space="preserve">As explained in Section 1 of this report, the TTBER and Guidelines do not create</w:t>
      </w:r>
      <w:r>
        <w:t xml:space="preserve"> </w:t>
      </w:r>
      <w:r>
        <w:t xml:space="preserve">obligations for businesses. The competition law obligations of businesses in relation to</w:t>
      </w:r>
      <w:r>
        <w:t xml:space="preserve"> </w:t>
      </w:r>
      <w:r>
        <w:t xml:space="preserve">technology transfer agreements derive from Article 101 TFEU. The TTBER and</w:t>
      </w:r>
      <w:r>
        <w:t xml:space="preserve"> </w:t>
      </w:r>
      <w:r>
        <w:t xml:space="preserve">Guidelines provide a simplified set of rules to help businesses to assess the compliance of</w:t>
      </w:r>
      <w:r>
        <w:t xml:space="preserve"> </w:t>
      </w:r>
      <w:r>
        <w:t xml:space="preserve">their technology transfer and related agreements with Article 101.</w:t>
      </w:r>
    </w:p>
    <w:p>
      <w:pPr>
        <w:pStyle w:val="FirstParagraph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As set out in Section 3 of this Annex and in Sections 6.1.2, 6.2.2 and 6.3.2 of this report,</w:t>
      </w:r>
      <w:r>
        <w:t xml:space="preserve"> </w:t>
      </w:r>
      <w:r>
        <w:t xml:space="preserve">the initiative is expected to reduce the costs incurred by SMEs for assessing the</w:t>
      </w:r>
      <w:r>
        <w:t xml:space="preserve"> </w:t>
      </w:r>
      <w:r>
        <w:t xml:space="preserve">compliance of their technology transfer agreements with EU competition law. See</w:t>
      </w:r>
      <w:r>
        <w:t xml:space="preserve"> </w:t>
      </w:r>
      <w:r>
        <w:t xml:space="preserve">Section 3 of this Annex for estimates of the level of the cost reductions.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ADDITIONAL INFORMATION</w:t>
      </w:r>
      <w:r>
        <w:br/>
      </w:r>
      <w:r>
        <w:t xml:space="preserve">The impacts of the initiative on SMEs are described in Sections 3 and 4 of this Annex</w:t>
      </w:r>
      <w:r>
        <w:t xml:space="preserve"> </w:t>
      </w:r>
      <w:r>
        <w:t xml:space="preserve">and in Sections 2.3 (compliance assessment costs and influencing business strategies),</w:t>
      </w:r>
      <w:r>
        <w:t xml:space="preserve"> </w:t>
      </w:r>
      <w:r>
        <w:t xml:space="preserve">6.1.2 (compliance assessment costs), 6.1.3 (competitiveness), 6.2.2 (compliance</w:t>
      </w:r>
      <w:r>
        <w:t xml:space="preserve"> </w:t>
      </w:r>
      <w:r>
        <w:t xml:space="preserve">assessment costs), 6.2.3 (competitiveness), 6.3.1 (competition on the market), 6.3.2</w:t>
      </w:r>
      <w:r>
        <w:t xml:space="preserve"> </w:t>
      </w:r>
      <w:r>
        <w:t xml:space="preserve">(compliance assessment costs) and 6.3.3 (competitiveness) of this report.</w:t>
      </w:r>
      <w:r>
        <w:br/>
      </w:r>
      <w:r>
        <w:t xml:space="preserve">Replies of SMEs and mid-caps to the survey conducted at the reality check</w:t>
      </w:r>
      <w:r>
        <w:t xml:space="preserve"> </w:t>
      </w:r>
      <w:r>
        <w:t xml:space="preserve">workshop</w:t>
      </w:r>
      <w:r>
        <w:t xml:space="preserve"> </w:t>
      </w:r>
      <w:r>
        <w:t xml:space="preserve">As explained in Annex 2 above, participants in the reality check workshop were surveyed</w:t>
      </w:r>
      <w:r>
        <w:t xml:space="preserve"> </w:t>
      </w:r>
      <w:r>
        <w:t xml:space="preserve">regarding the time and resources that they incur to assess the compliance of their</w:t>
      </w:r>
      <w:r>
        <w:t xml:space="preserve"> </w:t>
      </w:r>
      <w:r>
        <w:t xml:space="preserve">technology transfer agreements with EU competition law.</w:t>
      </w:r>
      <w:r>
        <w:t xml:space="preserve"> </w:t>
      </w:r>
      <w:r>
        <w:t xml:space="preserve">Of the 24 respondents to the survey question about business categories325, 9 respondents</w:t>
      </w:r>
      <w:r>
        <w:t xml:space="preserve"> </w:t>
      </w:r>
      <w:r>
        <w:t xml:space="preserve">(37%) categorised themselves as SMEs (3 micro SMEs, 2 small SMEs, 2 medium-sized</w:t>
      </w:r>
      <w:r>
        <w:t xml:space="preserve"> </w:t>
      </w:r>
      <w:r>
        <w:t xml:space="preserve">SMEs and 2 respondents categorised themselves as small mid-caps (see Figure 1</w:t>
      </w:r>
      <w:r>
        <w:t xml:space="preserve"> </w:t>
      </w:r>
      <w:r>
        <w:t xml:space="preserve">below)326.</w:t>
      </w:r>
      <w:r>
        <w:br/>
      </w:r>
      <w:r>
        <w:t xml:space="preserve">Figure 1: Respondents by size (SMEs and mid-caps)</w:t>
      </w:r>
    </w:p>
    <w:p>
      <w:pPr>
        <w:pStyle w:val="BodyText"/>
      </w:pPr>
      <w:r>
        <w:t xml:space="preserve">Among SMEs, 1 respondent did not sign any agreements, 3 respondents signed between</w:t>
      </w:r>
      <w:r>
        <w:t xml:space="preserve"> </w:t>
      </w:r>
      <w:r>
        <w:t xml:space="preserve">1 and 10 licensing agreements per year on average, 2 respondents signed between 11 and</w:t>
      </w:r>
      <w:r>
        <w:t xml:space="preserve"> </w:t>
      </w:r>
      <w:r>
        <w:t xml:space="preserve">20 licensing agreements per year on average and 1 respondent signed more than 100</w:t>
      </w:r>
      <w:r>
        <w:t xml:space="preserve"> </w:t>
      </w:r>
      <w:r>
        <w:t xml:space="preserve">agreements (see Figure 2 below).</w:t>
      </w:r>
    </w:p>
    <w:p>
      <w:pPr>
        <w:pStyle w:val="BodyText"/>
      </w:pPr>
      <w:r>
        <w:t xml:space="preserve">325 See Annex 2, Section 2.3, question 2 “If you answered</w:t>
      </w:r>
      <w:r>
        <w:t xml:space="preserve"> </w:t>
      </w:r>
      <w:r>
        <w:t xml:space="preserve">“Business”</w:t>
      </w:r>
      <w:r>
        <w:t xml:space="preserve"> </w:t>
      </w:r>
      <w:r>
        <w:t xml:space="preserve">in Q.1, please specify the size of your</w:t>
      </w:r>
      <w:r>
        <w:t xml:space="preserve"> </w:t>
      </w:r>
      <w:r>
        <w:t xml:space="preserve">business?”.</w:t>
      </w:r>
      <w:r>
        <w:t xml:space="preserve"> </w:t>
      </w:r>
      <w:r>
        <w:t xml:space="preserve">326 It should be noted that not all the respondents to this question categorised themselves as businesses in a</w:t>
      </w:r>
      <w:r>
        <w:t xml:space="preserve"> </w:t>
      </w:r>
      <w:r>
        <w:t xml:space="preserve">previous question.</w:t>
      </w:r>
      <w:r>
        <w:br/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Micro SME (&lt;10 employees and turnover ≤ €2m or balance</w:t>
      </w:r>
      <w:r>
        <w:t xml:space="preserve"> </w:t>
      </w:r>
      <w:r>
        <w:t xml:space="preserve">sheet ≤€2m)</w:t>
      </w:r>
      <w:r>
        <w:t xml:space="preserve"> </w:t>
      </w:r>
      <w:r>
        <w:t xml:space="preserve">Small SME (&lt;50 employees and turnover ≤ €10m or balance</w:t>
      </w:r>
      <w:r>
        <w:t xml:space="preserve"> </w:t>
      </w:r>
      <w:r>
        <w:t xml:space="preserve">sheet ≤€10m)</w:t>
      </w:r>
      <w:r>
        <w:t xml:space="preserve"> </w:t>
      </w:r>
      <w:r>
        <w:t xml:space="preserve">Medium-sized SME (&lt;250 employees and turnover ≤€50m or</w:t>
      </w:r>
      <w:r>
        <w:t xml:space="preserve"> </w:t>
      </w:r>
      <w:r>
        <w:t xml:space="preserve">balance sheet ≤€43m)</w:t>
      </w:r>
      <w:r>
        <w:t xml:space="preserve"> </w:t>
      </w:r>
      <w:r>
        <w:t xml:space="preserve">Small mid-cap (&lt;750 employees and turnover ≤ €150m or</w:t>
      </w:r>
      <w:r>
        <w:t xml:space="preserve"> </w:t>
      </w:r>
      <w:r>
        <w:t xml:space="preserve">balance sheet ≤€129m)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Figure 2: On average, how many technology licensing agreements does your</w:t>
      </w:r>
      <w:r>
        <w:t xml:space="preserve"> </w:t>
      </w:r>
      <w:r>
        <w:t xml:space="preserve">organisation sign or advise on per year?</w:t>
      </w:r>
    </w:p>
    <w:p>
      <w:pPr>
        <w:pStyle w:val="BodyText"/>
      </w:pPr>
      <w:r>
        <w:t xml:space="preserve">Concerning the time and resources spent on assessing the compliance of technology</w:t>
      </w:r>
      <w:r>
        <w:t xml:space="preserve"> </w:t>
      </w:r>
      <w:r>
        <w:t xml:space="preserve">licensing agreements with EU competition law (average cost per agreement), 3 of SMEs</w:t>
      </w:r>
      <w:r>
        <w:t xml:space="preserve"> </w:t>
      </w:r>
      <w:r>
        <w:t xml:space="preserve">spent more than 5 person-days, 2 SMEs spent between 3 and 5 person-days and</w:t>
      </w:r>
      <w:r>
        <w:t xml:space="preserve"> </w:t>
      </w:r>
      <w:r>
        <w:t xml:space="preserve">1 respondent less than 1 person-day. 3 SMEs replied that the question was not applicable</w:t>
      </w:r>
      <w:r>
        <w:t xml:space="preserve"> </w:t>
      </w:r>
      <w:r>
        <w:t xml:space="preserve">(see Figure 3 below).</w:t>
      </w:r>
      <w:r>
        <w:t xml:space="preserve"> </w:t>
      </w:r>
      <w:r>
        <w:t xml:space="preserve">Figure 3: How much time and resources does your organisation spend on assessing the</w:t>
      </w:r>
      <w:r>
        <w:t xml:space="preserve"> </w:t>
      </w:r>
      <w:r>
        <w:t xml:space="preserve">compliance of licensing agreements with EU competition law (average cost per</w:t>
      </w:r>
      <w:r>
        <w:t xml:space="preserve"> </w:t>
      </w:r>
      <w:r>
        <w:t xml:space="preserve">agreement)?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11%</w:t>
      </w:r>
      <w:r>
        <w:t xml:space="preserve"> </w:t>
      </w:r>
      <w:r>
        <w:t xml:space="preserve">1-10</w:t>
      </w:r>
      <w:r>
        <w:t xml:space="preserve"> </w:t>
      </w:r>
      <w:r>
        <w:t xml:space="preserve">34%</w:t>
      </w:r>
      <w:r>
        <w:t xml:space="preserve"> </w:t>
      </w:r>
      <w:r>
        <w:t xml:space="preserve">11-20</w:t>
      </w:r>
      <w:r>
        <w:t xml:space="preserve"> </w:t>
      </w:r>
      <w:r>
        <w:t xml:space="preserve">22%</w:t>
      </w:r>
      <w:r>
        <w:t xml:space="preserve"> </w:t>
      </w:r>
      <w:r>
        <w:t xml:space="preserve">21-100</w:t>
      </w:r>
      <w:r>
        <w:t xml:space="preserve"> </w:t>
      </w:r>
      <w:r>
        <w:t xml:space="preserve">11%</w:t>
      </w:r>
      <w:r>
        <w:t xml:space="preserve"> </w:t>
      </w:r>
      <w:r>
        <w:t xml:space="preserve">More than 100</w:t>
      </w:r>
      <w:r>
        <w:t xml:space="preserve"> </w:t>
      </w:r>
      <w:r>
        <w:t xml:space="preserve">11%</w:t>
      </w:r>
      <w:r>
        <w:t xml:space="preserve"> </w:t>
      </w:r>
      <w:r>
        <w:t xml:space="preserve">N/A</w:t>
      </w:r>
      <w:r>
        <w:t xml:space="preserve"> </w:t>
      </w:r>
      <w:r>
        <w:t xml:space="preserve">11%</w:t>
      </w:r>
      <w:r>
        <w:t xml:space="preserve"> </w:t>
      </w:r>
      <w:r>
        <w:t xml:space="preserve">None</w:t>
      </w:r>
      <w:r>
        <w:t xml:space="preserve"> </w:t>
      </w:r>
      <w:r>
        <w:t xml:space="preserve">1-10</w:t>
      </w:r>
      <w:r>
        <w:t xml:space="preserve"> </w:t>
      </w:r>
      <w:r>
        <w:t xml:space="preserve">11-20</w:t>
      </w:r>
      <w:r>
        <w:t xml:space="preserve"> </w:t>
      </w:r>
      <w:r>
        <w:t xml:space="preserve">21-100</w:t>
      </w:r>
      <w:r>
        <w:t xml:space="preserve"> </w:t>
      </w:r>
      <w:r>
        <w:t xml:space="preserve">More than 100</w:t>
      </w:r>
      <w:r>
        <w:t xml:space="preserve"> </w:t>
      </w:r>
      <w:r>
        <w:t xml:space="preserve">N/A</w:t>
      </w:r>
      <w:r>
        <w:t xml:space="preserve"> </w:t>
      </w:r>
      <w:r>
        <w:t xml:space="preserve">Less than 1</w:t>
      </w:r>
      <w:r>
        <w:t xml:space="preserve"> </w:t>
      </w:r>
      <w:r>
        <w:t xml:space="preserve">person-day</w:t>
      </w:r>
      <w:r>
        <w:t xml:space="preserve"> </w:t>
      </w:r>
      <w:r>
        <w:t xml:space="preserve">11%</w:t>
      </w:r>
      <w:r>
        <w:t xml:space="preserve"> </w:t>
      </w:r>
      <w:r>
        <w:t xml:space="preserve">Between 1</w:t>
      </w:r>
      <w:r>
        <w:t xml:space="preserve"> </w:t>
      </w:r>
      <w:r>
        <w:t xml:space="preserve">and 3</w:t>
      </w:r>
      <w:r>
        <w:t xml:space="preserve"> </w:t>
      </w:r>
      <w:r>
        <w:t xml:space="preserve">person-days</w:t>
      </w:r>
      <w:r>
        <w:t xml:space="preserve"> </w:t>
      </w:r>
      <w:r>
        <w:t xml:space="preserve">0%</w:t>
      </w:r>
      <w:r>
        <w:t xml:space="preserve"> </w:t>
      </w:r>
      <w:r>
        <w:t xml:space="preserve">Between 3</w:t>
      </w:r>
      <w:r>
        <w:t xml:space="preserve"> </w:t>
      </w:r>
      <w:r>
        <w:t xml:space="preserve">and 5 person-</w:t>
      </w:r>
      <w:r>
        <w:t xml:space="preserve"> </w:t>
      </w:r>
      <w:r>
        <w:t xml:space="preserve">days</w:t>
      </w:r>
      <w:r>
        <w:t xml:space="preserve"> </w:t>
      </w:r>
      <w:r>
        <w:t xml:space="preserve">34%</w:t>
      </w:r>
      <w:r>
        <w:t xml:space="preserve"> </w:t>
      </w:r>
      <w:r>
        <w:t xml:space="preserve">More than</w:t>
      </w:r>
      <w:r>
        <w:t xml:space="preserve"> </w:t>
      </w:r>
      <w:r>
        <w:t xml:space="preserve">5 person-</w:t>
      </w:r>
      <w:r>
        <w:t xml:space="preserve"> </w:t>
      </w:r>
      <w:r>
        <w:t xml:space="preserve">days</w:t>
      </w:r>
      <w:r>
        <w:t xml:space="preserve"> </w:t>
      </w:r>
      <w:r>
        <w:t xml:space="preserve">22%</w:t>
      </w:r>
      <w:r>
        <w:t xml:space="preserve"> </w:t>
      </w:r>
      <w:r>
        <w:t xml:space="preserve">N/A</w:t>
      </w:r>
      <w:r>
        <w:t xml:space="preserve"> </w:t>
      </w:r>
      <w:r>
        <w:t xml:space="preserve">33%</w:t>
      </w:r>
      <w:r>
        <w:t xml:space="preserve"> </w:t>
      </w:r>
      <w:r>
        <w:t xml:space="preserve">Less than 1 person-day</w:t>
      </w:r>
      <w:r>
        <w:t xml:space="preserve"> </w:t>
      </w:r>
      <w:r>
        <w:t xml:space="preserve">Between 1 and 3 person-days</w:t>
      </w:r>
      <w:r>
        <w:t xml:space="preserve"> </w:t>
      </w:r>
      <w:r>
        <w:t xml:space="preserve">Between 3 and 5 person-days</w:t>
      </w:r>
      <w:r>
        <w:t xml:space="preserve"> </w:t>
      </w:r>
      <w:r>
        <w:t xml:space="preserve">More than 5 person-days</w:t>
      </w:r>
      <w:r>
        <w:t xml:space="preserve"> </w:t>
      </w:r>
      <w:r>
        <w:t xml:space="preserve">N/A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2026-07-31T16:48:42Z</dcterms:created>
  <dcterms:modified xsi:type="dcterms:W3CDTF">2026-07-31T16:48:42Z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